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3.xml" ContentType="application/vnd.openxmlformats-officedocument.drawingml.chartshapes+xml"/>
  <Override PartName="/word/drawings/drawing11.xml" ContentType="application/vnd.openxmlformats-officedocument.drawingml.chartshapes+xml"/>
  <Override PartName="/word/drawings/drawing13.xml" ContentType="application/vnd.openxmlformats-officedocument.drawingml.chartshapes+xml"/>
  <Override PartName="/word/drawings/drawing10.xml" ContentType="application/vnd.openxmlformats-officedocument.drawingml.chartshapes+xml"/>
  <Override PartName="/word/drawings/drawing14.xml" ContentType="application/vnd.openxmlformats-officedocument.drawingml.chartshapes+xml"/>
  <Override PartName="/word/drawings/drawing12.xml" ContentType="application/vnd.openxmlformats-officedocument.drawingml.chartshapes+xml"/>
  <Override PartName="/word/drawings/drawing8.xml" ContentType="application/vnd.openxmlformats-officedocument.drawingml.chartshapes+xml"/>
  <Override PartName="/word/drawings/drawing15.xml" ContentType="application/vnd.openxmlformats-officedocument.drawingml.chartshapes+xml"/>
  <Override PartName="/word/drawings/drawing7.xml" ContentType="application/vnd.openxmlformats-officedocument.drawingml.chartshapes+xml"/>
  <Override PartName="/word/drawings/drawing6.xml" ContentType="application/vnd.openxmlformats-officedocument.drawingml.chartshapes+xml"/>
  <Override PartName="/word/drawings/drawing5.xml" ContentType="application/vnd.openxmlformats-officedocument.drawingml.chartshapes+xml"/>
  <Override PartName="/word/drawings/drawing9.xml" ContentType="application/vnd.openxmlformats-officedocument.drawingml.chartshapes+xml"/>
  <Override PartName="/word/drawings/drawing17.xml" ContentType="application/vnd.openxmlformats-officedocument.drawingml.chartshapes+xml"/>
  <Override PartName="/word/drawings/drawing4.xml" ContentType="application/vnd.openxmlformats-officedocument.drawingml.chartshapes+xml"/>
  <Override PartName="/word/drawings/drawing23.xml" ContentType="application/vnd.openxmlformats-officedocument.drawingml.chartshapes+xml"/>
  <Override PartName="/word/drawings/drawing22.xml" ContentType="application/vnd.openxmlformats-officedocument.drawingml.chartshapes+xml"/>
  <Override PartName="/word/drawings/drawing21.xml" ContentType="application/vnd.openxmlformats-officedocument.drawingml.chartshapes+xml"/>
  <Override PartName="/word/drawings/drawing20.xml" ContentType="application/vnd.openxmlformats-officedocument.drawingml.chartshapes+xml"/>
  <Override PartName="/word/drawings/drawing19.xml" ContentType="application/vnd.openxmlformats-officedocument.drawingml.chartshapes+xml"/>
  <Override PartName="/word/drawings/drawing18.xml" ContentType="application/vnd.openxmlformats-officedocument.drawingml.chartshapes+xml"/>
  <Override PartName="/word/drawings/drawing16.xml" ContentType="application/vnd.openxmlformats-officedocument.drawingml.chartshapes+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charts/style39.xml" ContentType="application/vnd.ms-office.chartstyle+xml"/>
  <Override PartName="/word/charts/colors40.xml" ContentType="application/vnd.ms-office.chartcolorstyle+xml"/>
  <Override PartName="/word/theme/themeOverride4.xml" ContentType="application/vnd.openxmlformats-officedocument.themeOverride+xml"/>
  <Override PartName="/word/charts/style40.xml" ContentType="application/vnd.ms-office.chartstyle+xml"/>
  <Override PartName="/word/charts/chart43.xml" ContentType="application/vnd.openxmlformats-officedocument.drawingml.chart+xml"/>
  <Override PartName="/word/charts/chart42.xml" ContentType="application/vnd.openxmlformats-officedocument.drawingml.chart+xml"/>
  <Override PartName="/word/charts/colors39.xml" ContentType="application/vnd.ms-office.chartcolorstyle+xml"/>
  <Override PartName="/word/charts/chart41.xml" ContentType="application/vnd.openxmlformats-officedocument.drawingml.chart+xml"/>
  <Override PartName="/word/charts/colors41.xml" ContentType="application/vnd.ms-office.chartcolorstyle+xml"/>
  <Override PartName="/word/charts/style41.xml" ContentType="application/vnd.ms-office.chartstyle+xml"/>
  <Override PartName="/word/charts/chart45.xml" ContentType="application/vnd.openxmlformats-officedocument.drawingml.chart+xml"/>
  <Override PartName="/word/charts/style42.xml" ContentType="application/vnd.ms-office.chartstyle+xml"/>
  <Override PartName="/word/charts/colors38.xml" ContentType="application/vnd.ms-office.chartcolorstyle+xml"/>
  <Override PartName="/word/theme/themeOverride5.xml" ContentType="application/vnd.openxmlformats-officedocument.themeOverride+xml"/>
  <Override PartName="/word/charts/chart44.xml" ContentType="application/vnd.openxmlformats-officedocument.drawingml.chart+xml"/>
  <Override PartName="/word/charts/colors37.xml" ContentType="application/vnd.ms-office.chartcolorstyle+xml"/>
  <Override PartName="/word/charts/chart40.xml" ContentType="application/vnd.openxmlformats-officedocument.drawingml.chart+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colors32.xml" ContentType="application/vnd.ms-office.chartcolorstyle+xml"/>
  <Override PartName="/word/charts/style32.xml" ContentType="application/vnd.ms-office.chart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42.xml" ContentType="application/vnd.ms-office.chartcolorstyle+xml"/>
  <Override PartName="/word/charts/chart38.xml" ContentType="application/vnd.openxmlformats-officedocument.drawingml.chart+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style38.xml" ContentType="application/vnd.ms-office.chartstyle+xml"/>
  <Override PartName="/word/theme/theme1.xml" ContentType="application/vnd.openxmlformats-officedocument.theme+xml"/>
  <Override PartName="/word/charts/colors31.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olors2.xml" ContentType="application/vnd.ms-office.chartcolorstyle+xml"/>
  <Override PartName="/word/charts/chart14.xml" ContentType="application/vnd.openxmlformats-officedocument.drawingml.chart+xml"/>
  <Override PartName="/word/charts/colors10.xml" ContentType="application/vnd.ms-office.chartcolorstyle+xml"/>
  <Override PartName="/word/charts/style10.xml" ContentType="application/vnd.ms-office.chart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hart18.xml" ContentType="application/vnd.openxmlformats-officedocument.drawingml.chart+xml"/>
  <Override PartName="/word/charts/style16.xml" ContentType="application/vnd.ms-office.chartstyle+xml"/>
  <Override PartName="/word/charts/colors14.xml" ContentType="application/vnd.ms-office.chartcolorstyle+xml"/>
  <Override PartName="/word/charts/style14.xml" ContentType="application/vnd.ms-office.chartstyle+xml"/>
  <Override PartName="/word/charts/chart16.xml" ContentType="application/vnd.openxmlformats-officedocument.drawingml.chart+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olors8.xml" ContentType="application/vnd.ms-office.chartcolorstyle+xml"/>
  <Override PartName="/word/charts/style8.xml" ContentType="application/vnd.ms-office.chart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olors4.xml" ContentType="application/vnd.ms-office.chartcolorstyle+xml"/>
  <Override PartName="/word/charts/style4.xml" ContentType="application/vnd.ms-office.chart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chart9.xml" ContentType="application/vnd.openxmlformats-officedocument.drawingml.chart+xml"/>
  <Override PartName="/word/charts/colors6.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16.xml" ContentType="application/vnd.ms-office.chartcolorstyle+xml"/>
  <Override PartName="/word/charts/colors15.xml" ContentType="application/vnd.ms-office.chartcolorstyle+xml"/>
  <Override PartName="/word/charts/style31.xml" ContentType="application/vnd.ms-office.chartstyle+xml"/>
  <Override PartName="/word/charts/style1.xml" ContentType="application/vnd.ms-office.chart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1.xml" ContentType="application/vnd.openxmlformats-officedocument.drawingml.chart+xml"/>
  <Override PartName="/word/theme/themeOverride3.xml" ContentType="application/vnd.openxmlformats-officedocument.themeOverride+xml"/>
  <Override PartName="/word/charts/colors25.xml" ContentType="application/vnd.ms-office.chartcolorstyle+xml"/>
  <Override PartName="/word/charts/style2.xml" ContentType="application/vnd.ms-office.chartstyle+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colors29.xml" ContentType="application/vnd.ms-office.chartcolorstyle+xml"/>
  <Override PartName="/word/charts/style29.xml" ContentType="application/vnd.ms-office.chartstyle+xml"/>
  <Override PartName="/word/charts/chart31.xml" ContentType="application/vnd.openxmlformats-officedocument.drawingml.chart+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olors1.xml" ContentType="application/vnd.ms-office.chartcolorstyle+xml"/>
  <Override PartName="/word/charts/chart26.xml" ContentType="application/vnd.openxmlformats-officedocument.drawingml.chart+xml"/>
  <Override PartName="/word/charts/style23.xml" ContentType="application/vnd.ms-office.chartstyle+xml"/>
  <Override PartName="/word/charts/chart2.xml" ContentType="application/vnd.openxmlformats-officedocument.drawingml.chart+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olors18.xml" ContentType="application/vnd.ms-office.chartcolorstyle+xml"/>
  <Override PartName="/word/charts/style18.xml" ContentType="application/vnd.ms-office.chartstyle+xml"/>
  <Override PartName="/word/charts/chart20.xml" ContentType="application/vnd.openxmlformats-officedocument.drawingml.chart+xml"/>
  <Override PartName="/word/charts/colors17.xml" ContentType="application/vnd.ms-office.chartcolorstyle+xml"/>
  <Override PartName="/word/charts/style17.xml" ContentType="application/vnd.ms-office.chartstyle+xml"/>
  <Override PartName="/word/charts/chart19.xml" ContentType="application/vnd.openxmlformats-officedocument.drawingml.chart+xml"/>
  <Override PartName="/word/charts/colors23.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olors20.xml" ContentType="application/vnd.ms-office.chartcolorstyle+xml"/>
  <Override PartName="/word/charts/style20.xml" ContentType="application/vnd.ms-office.chartstyl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3C3EE" w14:textId="77777777" w:rsidR="00B6508C" w:rsidRPr="00C91EA2" w:rsidRDefault="00B6508C" w:rsidP="00A373E3">
      <w:pPr>
        <w:rPr>
          <w:rFonts w:ascii="Times New Roman" w:hAnsi="Times New Roman" w:cs="Times New Roman"/>
        </w:rPr>
      </w:pPr>
      <w:r w:rsidRPr="00C91EA2">
        <w:rPr>
          <w:rFonts w:ascii="Times New Roman" w:hAnsi="Times New Roman" w:cs="Times New Roman"/>
          <w:noProof/>
        </w:rPr>
        <w:drawing>
          <wp:inline distT="0" distB="0" distL="0" distR="0" wp14:anchorId="5AFF9755" wp14:editId="1A5D8008">
            <wp:extent cx="3067050" cy="600075"/>
            <wp:effectExtent l="0" t="0" r="0" b="9525"/>
            <wp:docPr id="11" name="Picture 11" descr="WBG_Horizontal-RGB"/>
            <wp:cNvGraphicFramePr/>
            <a:graphic xmlns:a="http://schemas.openxmlformats.org/drawingml/2006/main">
              <a:graphicData uri="http://schemas.openxmlformats.org/drawingml/2006/picture">
                <pic:pic xmlns:pic="http://schemas.openxmlformats.org/drawingml/2006/picture">
                  <pic:nvPicPr>
                    <pic:cNvPr id="11" name="Picture 11" descr="WBG_Horizontal-RGB"/>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600075"/>
                    </a:xfrm>
                    <a:prstGeom prst="rect">
                      <a:avLst/>
                    </a:prstGeom>
                    <a:noFill/>
                    <a:ln>
                      <a:noFill/>
                    </a:ln>
                  </pic:spPr>
                </pic:pic>
              </a:graphicData>
            </a:graphic>
          </wp:inline>
        </w:drawing>
      </w:r>
    </w:p>
    <w:p w14:paraId="7A20639D" w14:textId="77777777" w:rsidR="00B6508C" w:rsidRPr="00C91EA2" w:rsidRDefault="00B6508C" w:rsidP="00A373E3">
      <w:pPr>
        <w:rPr>
          <w:rFonts w:ascii="Times New Roman" w:hAnsi="Times New Roman" w:cs="Times New Roman"/>
        </w:rPr>
      </w:pPr>
    </w:p>
    <w:p w14:paraId="479A7C4A" w14:textId="77777777" w:rsidR="00B6508C" w:rsidRPr="00C91EA2" w:rsidRDefault="00B6508C" w:rsidP="00A373E3">
      <w:pPr>
        <w:rPr>
          <w:rFonts w:ascii="Times New Roman" w:hAnsi="Times New Roman" w:cs="Times New Roman"/>
        </w:rPr>
      </w:pPr>
    </w:p>
    <w:p w14:paraId="0C9EFF46" w14:textId="77777777" w:rsidR="00A373E3" w:rsidRPr="00C91EA2" w:rsidRDefault="00A373E3" w:rsidP="00A373E3">
      <w:pPr>
        <w:rPr>
          <w:rFonts w:ascii="Times New Roman" w:hAnsi="Times New Roman" w:cs="Times New Roman"/>
        </w:rPr>
      </w:pPr>
    </w:p>
    <w:p w14:paraId="4AB3D27B" w14:textId="77777777" w:rsidR="00A373E3" w:rsidRPr="00C91EA2" w:rsidRDefault="00A373E3" w:rsidP="00A373E3">
      <w:pPr>
        <w:rPr>
          <w:rFonts w:ascii="Times New Roman" w:hAnsi="Times New Roman" w:cs="Times New Roman"/>
        </w:rPr>
      </w:pPr>
    </w:p>
    <w:p w14:paraId="6F9E9F68" w14:textId="77777777" w:rsidR="00A373E3" w:rsidRPr="00C91EA2" w:rsidRDefault="00A373E3" w:rsidP="00A373E3">
      <w:pPr>
        <w:rPr>
          <w:rFonts w:ascii="Times New Roman" w:hAnsi="Times New Roman" w:cs="Times New Roman"/>
        </w:rPr>
      </w:pPr>
    </w:p>
    <w:p w14:paraId="33565A1C" w14:textId="77777777" w:rsidR="00A373E3" w:rsidRPr="00C91EA2" w:rsidRDefault="00A373E3" w:rsidP="00A373E3">
      <w:pPr>
        <w:rPr>
          <w:rFonts w:ascii="Times New Roman" w:hAnsi="Times New Roman" w:cs="Times New Roman"/>
        </w:rPr>
      </w:pPr>
    </w:p>
    <w:p w14:paraId="12CBAB6F" w14:textId="77777777" w:rsidR="00B6508C" w:rsidRPr="00C91EA2" w:rsidRDefault="00545490" w:rsidP="00B6508C">
      <w:pPr>
        <w:pStyle w:val="Title"/>
        <w:jc w:val="center"/>
        <w:rPr>
          <w:rFonts w:ascii="Times New Roman" w:hAnsi="Times New Roman" w:cs="Times New Roman"/>
        </w:rPr>
      </w:pPr>
      <w:r w:rsidRPr="00C91EA2">
        <w:rPr>
          <w:rFonts w:ascii="Times New Roman" w:hAnsi="Times New Roman" w:cs="Times New Roman"/>
          <w:b/>
        </w:rPr>
        <w:t>Senegal</w:t>
      </w:r>
    </w:p>
    <w:p w14:paraId="2A7C6AD6" w14:textId="77777777" w:rsidR="00B06440" w:rsidRDefault="004E3BE9" w:rsidP="00C95A72">
      <w:pPr>
        <w:pStyle w:val="Subtitle"/>
        <w:jc w:val="center"/>
        <w:rPr>
          <w:rFonts w:ascii="Times New Roman" w:hAnsi="Times New Roman" w:cs="Times New Roman"/>
          <w:b/>
          <w:sz w:val="36"/>
          <w:szCs w:val="36"/>
        </w:rPr>
      </w:pPr>
      <w:r>
        <w:rPr>
          <w:rFonts w:ascii="Times New Roman" w:hAnsi="Times New Roman" w:cs="Times New Roman"/>
          <w:b/>
          <w:sz w:val="36"/>
          <w:szCs w:val="36"/>
        </w:rPr>
        <w:t>Better</w:t>
      </w:r>
      <w:r w:rsidR="002673D0">
        <w:rPr>
          <w:rFonts w:ascii="Times New Roman" w:hAnsi="Times New Roman" w:cs="Times New Roman"/>
          <w:b/>
          <w:sz w:val="36"/>
          <w:szCs w:val="36"/>
        </w:rPr>
        <w:t xml:space="preserve"> </w:t>
      </w:r>
      <w:r w:rsidR="00C95A72">
        <w:rPr>
          <w:rFonts w:ascii="Times New Roman" w:hAnsi="Times New Roman" w:cs="Times New Roman"/>
          <w:b/>
          <w:sz w:val="36"/>
          <w:szCs w:val="36"/>
        </w:rPr>
        <w:t xml:space="preserve">Markets </w:t>
      </w:r>
      <w:r w:rsidR="00B06440">
        <w:rPr>
          <w:rFonts w:ascii="Times New Roman" w:hAnsi="Times New Roman" w:cs="Times New Roman"/>
          <w:b/>
          <w:sz w:val="36"/>
          <w:szCs w:val="36"/>
        </w:rPr>
        <w:t>for</w:t>
      </w:r>
      <w:r w:rsidR="00C95A72">
        <w:rPr>
          <w:rFonts w:ascii="Times New Roman" w:hAnsi="Times New Roman" w:cs="Times New Roman"/>
          <w:b/>
          <w:sz w:val="36"/>
          <w:szCs w:val="36"/>
        </w:rPr>
        <w:t xml:space="preserve"> All</w:t>
      </w:r>
      <w:r>
        <w:rPr>
          <w:rFonts w:ascii="Times New Roman" w:hAnsi="Times New Roman" w:cs="Times New Roman"/>
          <w:b/>
          <w:sz w:val="36"/>
          <w:szCs w:val="36"/>
        </w:rPr>
        <w:t xml:space="preserve"> through </w:t>
      </w:r>
    </w:p>
    <w:p w14:paraId="021B5F59" w14:textId="77777777" w:rsidR="0082390D" w:rsidRDefault="004E3BE9" w:rsidP="00C95A72">
      <w:pPr>
        <w:pStyle w:val="Subtitle"/>
        <w:jc w:val="center"/>
        <w:rPr>
          <w:rFonts w:ascii="Times New Roman" w:hAnsi="Times New Roman" w:cs="Times New Roman"/>
          <w:b/>
          <w:sz w:val="36"/>
          <w:szCs w:val="36"/>
        </w:rPr>
      </w:pPr>
      <w:r>
        <w:rPr>
          <w:rFonts w:ascii="Times New Roman" w:hAnsi="Times New Roman" w:cs="Times New Roman"/>
          <w:b/>
          <w:sz w:val="36"/>
          <w:szCs w:val="36"/>
        </w:rPr>
        <w:t xml:space="preserve">Competition Policy </w:t>
      </w:r>
    </w:p>
    <w:p w14:paraId="6F25975F" w14:textId="77777777" w:rsidR="00C252B1" w:rsidRPr="00C91EA2" w:rsidRDefault="00C252B1" w:rsidP="0030260C">
      <w:pPr>
        <w:rPr>
          <w:rFonts w:ascii="Times New Roman" w:hAnsi="Times New Roman" w:cs="Times New Roman"/>
        </w:rPr>
      </w:pPr>
    </w:p>
    <w:p w14:paraId="102D00A4" w14:textId="77777777" w:rsidR="00C252B1" w:rsidRPr="00C91EA2" w:rsidRDefault="00C252B1" w:rsidP="0030260C">
      <w:pPr>
        <w:rPr>
          <w:rFonts w:ascii="Times New Roman" w:hAnsi="Times New Roman" w:cs="Times New Roman"/>
        </w:rPr>
      </w:pPr>
    </w:p>
    <w:p w14:paraId="297E57FD" w14:textId="77777777" w:rsidR="00C252B1" w:rsidRPr="00C91EA2" w:rsidRDefault="00C252B1" w:rsidP="0030260C">
      <w:pPr>
        <w:rPr>
          <w:rFonts w:ascii="Times New Roman" w:hAnsi="Times New Roman" w:cs="Times New Roman"/>
        </w:rPr>
      </w:pPr>
    </w:p>
    <w:p w14:paraId="6F025887" w14:textId="77777777" w:rsidR="00C252B1" w:rsidRPr="00C91EA2" w:rsidRDefault="00C252B1" w:rsidP="0030260C">
      <w:pPr>
        <w:rPr>
          <w:rFonts w:ascii="Times New Roman" w:hAnsi="Times New Roman" w:cs="Times New Roman"/>
        </w:rPr>
      </w:pPr>
    </w:p>
    <w:p w14:paraId="480B2828" w14:textId="77777777" w:rsidR="00A373E3" w:rsidRPr="00C91EA2" w:rsidRDefault="00A373E3" w:rsidP="0030260C">
      <w:pPr>
        <w:rPr>
          <w:rFonts w:ascii="Times New Roman" w:hAnsi="Times New Roman" w:cs="Times New Roman"/>
        </w:rPr>
      </w:pPr>
    </w:p>
    <w:p w14:paraId="61C3F464" w14:textId="77777777" w:rsidR="00C252B1" w:rsidRPr="00C91EA2" w:rsidRDefault="00C252B1" w:rsidP="0030260C">
      <w:pPr>
        <w:rPr>
          <w:rFonts w:ascii="Times New Roman" w:hAnsi="Times New Roman" w:cs="Times New Roman"/>
        </w:rPr>
      </w:pPr>
    </w:p>
    <w:p w14:paraId="35837FDD" w14:textId="77777777" w:rsidR="00C252B1" w:rsidRPr="00C91EA2" w:rsidRDefault="00C252B1" w:rsidP="0030260C">
      <w:pPr>
        <w:rPr>
          <w:rFonts w:ascii="Times New Roman" w:hAnsi="Times New Roman" w:cs="Times New Roman"/>
        </w:rPr>
      </w:pPr>
    </w:p>
    <w:p w14:paraId="10CD0B78" w14:textId="77777777" w:rsidR="00A373E3" w:rsidRPr="00C91EA2" w:rsidRDefault="00A373E3" w:rsidP="0030260C">
      <w:pPr>
        <w:rPr>
          <w:rFonts w:ascii="Times New Roman" w:hAnsi="Times New Roman" w:cs="Times New Roman"/>
        </w:rPr>
      </w:pPr>
    </w:p>
    <w:p w14:paraId="253DA754" w14:textId="77777777" w:rsidR="00A373E3" w:rsidRPr="00C91EA2" w:rsidRDefault="00A373E3" w:rsidP="0030260C">
      <w:pPr>
        <w:rPr>
          <w:rFonts w:ascii="Times New Roman" w:hAnsi="Times New Roman" w:cs="Times New Roman"/>
        </w:rPr>
      </w:pPr>
    </w:p>
    <w:p w14:paraId="494905DA" w14:textId="77777777" w:rsidR="00A373E3" w:rsidRPr="00C91EA2" w:rsidRDefault="00A373E3" w:rsidP="0030260C">
      <w:pPr>
        <w:rPr>
          <w:rFonts w:ascii="Times New Roman" w:hAnsi="Times New Roman" w:cs="Times New Roman"/>
        </w:rPr>
      </w:pPr>
    </w:p>
    <w:p w14:paraId="117248DA" w14:textId="77777777" w:rsidR="00A373E3" w:rsidRPr="00C91EA2" w:rsidRDefault="00A373E3" w:rsidP="0030260C">
      <w:pPr>
        <w:rPr>
          <w:rFonts w:ascii="Times New Roman" w:hAnsi="Times New Roman" w:cs="Times New Roman"/>
        </w:rPr>
      </w:pPr>
    </w:p>
    <w:p w14:paraId="68617FB3" w14:textId="77777777" w:rsidR="00A373E3" w:rsidRPr="00C91EA2" w:rsidRDefault="00A373E3" w:rsidP="0030260C">
      <w:pPr>
        <w:rPr>
          <w:rFonts w:ascii="Times New Roman" w:hAnsi="Times New Roman" w:cs="Times New Roman"/>
        </w:rPr>
      </w:pPr>
    </w:p>
    <w:p w14:paraId="7F6CF22E" w14:textId="77777777" w:rsidR="00A373E3" w:rsidRPr="00C91EA2" w:rsidRDefault="00A373E3" w:rsidP="0030260C">
      <w:pPr>
        <w:rPr>
          <w:rFonts w:ascii="Times New Roman" w:hAnsi="Times New Roman" w:cs="Times New Roman"/>
        </w:rPr>
      </w:pPr>
    </w:p>
    <w:p w14:paraId="1193CE18" w14:textId="77777777" w:rsidR="00A373E3" w:rsidRPr="00C91EA2" w:rsidRDefault="00A373E3" w:rsidP="0030260C">
      <w:pPr>
        <w:rPr>
          <w:rFonts w:ascii="Times New Roman" w:hAnsi="Times New Roman" w:cs="Times New Roman"/>
        </w:rPr>
      </w:pPr>
    </w:p>
    <w:p w14:paraId="6E561A1A" w14:textId="77777777" w:rsidR="00A373E3" w:rsidRPr="00C91EA2" w:rsidRDefault="00A373E3" w:rsidP="0030260C">
      <w:pPr>
        <w:rPr>
          <w:rFonts w:ascii="Times New Roman" w:hAnsi="Times New Roman" w:cs="Times New Roman"/>
        </w:rPr>
      </w:pPr>
    </w:p>
    <w:p w14:paraId="783437CD" w14:textId="77777777" w:rsidR="00A373E3" w:rsidRPr="00C91EA2" w:rsidRDefault="00A373E3" w:rsidP="0030260C">
      <w:pPr>
        <w:rPr>
          <w:rFonts w:ascii="Times New Roman" w:hAnsi="Times New Roman" w:cs="Times New Roman"/>
        </w:rPr>
      </w:pPr>
    </w:p>
    <w:p w14:paraId="064DA418" w14:textId="77777777" w:rsidR="00A373E3" w:rsidRPr="00C91EA2" w:rsidRDefault="00A373E3" w:rsidP="0030260C">
      <w:pPr>
        <w:rPr>
          <w:rFonts w:ascii="Times New Roman" w:hAnsi="Times New Roman" w:cs="Times New Roman"/>
        </w:rPr>
      </w:pPr>
    </w:p>
    <w:p w14:paraId="6B9CE07E" w14:textId="77777777" w:rsidR="00A373E3" w:rsidRPr="00C91EA2" w:rsidRDefault="00A373E3" w:rsidP="00A373E3">
      <w:pPr>
        <w:rPr>
          <w:rFonts w:ascii="Times New Roman" w:hAnsi="Times New Roman" w:cs="Times New Roman"/>
        </w:rPr>
      </w:pPr>
    </w:p>
    <w:p w14:paraId="7C5D2F51" w14:textId="77777777" w:rsidR="00A373E3" w:rsidRPr="00C91EA2" w:rsidRDefault="00A373E3" w:rsidP="00A373E3">
      <w:pPr>
        <w:rPr>
          <w:rFonts w:ascii="Times New Roman" w:hAnsi="Times New Roman" w:cs="Times New Roman"/>
        </w:rPr>
      </w:pPr>
    </w:p>
    <w:p w14:paraId="1DED25D9" w14:textId="77777777" w:rsidR="00A373E3" w:rsidRPr="00C91EA2" w:rsidRDefault="00A373E3" w:rsidP="00A373E3">
      <w:pPr>
        <w:rPr>
          <w:rFonts w:ascii="Times New Roman" w:hAnsi="Times New Roman" w:cs="Times New Roman"/>
        </w:rPr>
      </w:pPr>
    </w:p>
    <w:p w14:paraId="2DD1AD35" w14:textId="77777777" w:rsidR="00A373E3" w:rsidRPr="00C91EA2" w:rsidRDefault="00A373E3" w:rsidP="00A373E3">
      <w:pPr>
        <w:rPr>
          <w:rFonts w:ascii="Times New Roman" w:hAnsi="Times New Roman" w:cs="Times New Roman"/>
        </w:rPr>
      </w:pPr>
    </w:p>
    <w:p w14:paraId="5FEE86A5" w14:textId="77777777" w:rsidR="00A373E3" w:rsidRPr="00C91EA2" w:rsidRDefault="00A373E3" w:rsidP="00A373E3">
      <w:pPr>
        <w:rPr>
          <w:rFonts w:ascii="Times New Roman" w:hAnsi="Times New Roman" w:cs="Times New Roman"/>
        </w:rPr>
      </w:pPr>
    </w:p>
    <w:p w14:paraId="5CB05137" w14:textId="77777777" w:rsidR="00A373E3" w:rsidRPr="00C91EA2" w:rsidRDefault="00A373E3" w:rsidP="00A373E3">
      <w:pPr>
        <w:rPr>
          <w:rFonts w:ascii="Times New Roman" w:hAnsi="Times New Roman" w:cs="Times New Roman"/>
        </w:rPr>
      </w:pPr>
    </w:p>
    <w:p w14:paraId="73288CAF" w14:textId="3F3287ED" w:rsidR="00C252B1" w:rsidRPr="00C91EA2" w:rsidRDefault="005F2EB6" w:rsidP="00A373E3">
      <w:pPr>
        <w:rPr>
          <w:rFonts w:ascii="Times New Roman" w:hAnsi="Times New Roman" w:cs="Times New Roman"/>
          <w:b/>
          <w:sz w:val="36"/>
        </w:rPr>
      </w:pPr>
      <w:r>
        <w:rPr>
          <w:rFonts w:ascii="Times New Roman" w:hAnsi="Times New Roman" w:cs="Times New Roman"/>
          <w:b/>
          <w:sz w:val="36"/>
        </w:rPr>
        <w:t>Ju</w:t>
      </w:r>
      <w:r w:rsidR="00B27B3B">
        <w:rPr>
          <w:rFonts w:ascii="Times New Roman" w:hAnsi="Times New Roman" w:cs="Times New Roman"/>
          <w:b/>
          <w:sz w:val="36"/>
        </w:rPr>
        <w:t>ly</w:t>
      </w:r>
      <w:r w:rsidR="00BF0BB6" w:rsidRPr="00C91EA2">
        <w:rPr>
          <w:rFonts w:ascii="Times New Roman" w:hAnsi="Times New Roman" w:cs="Times New Roman"/>
          <w:b/>
          <w:sz w:val="36"/>
        </w:rPr>
        <w:t xml:space="preserve"> </w:t>
      </w:r>
      <w:r w:rsidR="00C252B1" w:rsidRPr="00C91EA2">
        <w:rPr>
          <w:rFonts w:ascii="Times New Roman" w:hAnsi="Times New Roman" w:cs="Times New Roman"/>
          <w:b/>
          <w:sz w:val="36"/>
        </w:rPr>
        <w:t>201</w:t>
      </w:r>
      <w:r w:rsidR="005C09EF">
        <w:rPr>
          <w:rFonts w:ascii="Times New Roman" w:hAnsi="Times New Roman" w:cs="Times New Roman"/>
          <w:b/>
          <w:sz w:val="36"/>
        </w:rPr>
        <w:t>8</w:t>
      </w:r>
    </w:p>
    <w:p w14:paraId="75AA1061" w14:textId="77777777" w:rsidR="00A373E3" w:rsidRPr="00C91EA2" w:rsidRDefault="00A373E3" w:rsidP="00A373E3">
      <w:pPr>
        <w:rPr>
          <w:rFonts w:ascii="Times New Roman" w:hAnsi="Times New Roman" w:cs="Times New Roman"/>
          <w:b/>
          <w:sz w:val="36"/>
        </w:rPr>
      </w:pPr>
    </w:p>
    <w:p w14:paraId="18434E5B" w14:textId="77777777" w:rsidR="00A373E3" w:rsidRPr="00C91EA2" w:rsidRDefault="00A373E3" w:rsidP="00A373E3">
      <w:pPr>
        <w:rPr>
          <w:rFonts w:ascii="Times New Roman" w:hAnsi="Times New Roman" w:cs="Times New Roman"/>
          <w:b/>
          <w:sz w:val="36"/>
        </w:rPr>
      </w:pPr>
      <w:r w:rsidRPr="00C91EA2">
        <w:rPr>
          <w:rFonts w:ascii="Times New Roman" w:hAnsi="Times New Roman" w:cs="Times New Roman"/>
          <w:b/>
          <w:sz w:val="36"/>
        </w:rPr>
        <w:t>The World Bank Group</w:t>
      </w:r>
    </w:p>
    <w:p w14:paraId="6921A8F0" w14:textId="77777777" w:rsidR="0030260C" w:rsidRPr="00C91EA2" w:rsidRDefault="0030260C" w:rsidP="0030260C">
      <w:pPr>
        <w:rPr>
          <w:rFonts w:ascii="Times New Roman" w:hAnsi="Times New Roman" w:cs="Times New Roman"/>
        </w:rPr>
      </w:pPr>
      <w:r w:rsidRPr="00C91EA2">
        <w:rPr>
          <w:rFonts w:ascii="Times New Roman" w:hAnsi="Times New Roman" w:cs="Times New Roman"/>
        </w:rPr>
        <w:br w:type="page"/>
      </w:r>
    </w:p>
    <w:sdt>
      <w:sdtPr>
        <w:rPr>
          <w:rFonts w:ascii="Times New Roman" w:eastAsiaTheme="minorEastAsia" w:hAnsi="Times New Roman" w:cs="Times New Roman"/>
          <w:b w:val="0"/>
          <w:bCs w:val="0"/>
          <w:color w:val="auto"/>
          <w:sz w:val="24"/>
          <w:szCs w:val="24"/>
        </w:rPr>
        <w:id w:val="1972858822"/>
        <w:docPartObj>
          <w:docPartGallery w:val="Table of Contents"/>
          <w:docPartUnique/>
        </w:docPartObj>
      </w:sdtPr>
      <w:sdtEndPr>
        <w:rPr>
          <w:noProof/>
        </w:rPr>
      </w:sdtEndPr>
      <w:sdtContent>
        <w:p w14:paraId="4B5ADBA6" w14:textId="77777777" w:rsidR="00302297" w:rsidRPr="002B2202" w:rsidRDefault="00302297">
          <w:pPr>
            <w:pStyle w:val="TOCHeading"/>
            <w:rPr>
              <w:rFonts w:ascii="Times New Roman" w:hAnsi="Times New Roman" w:cs="Times New Roman"/>
            </w:rPr>
          </w:pPr>
          <w:r w:rsidRPr="002B2202">
            <w:rPr>
              <w:rFonts w:ascii="Times New Roman" w:hAnsi="Times New Roman" w:cs="Times New Roman"/>
            </w:rPr>
            <w:t>Table of Contents</w:t>
          </w:r>
        </w:p>
        <w:p w14:paraId="3B9ADB64" w14:textId="06C76FA4" w:rsidR="002B2202" w:rsidRPr="007575D7" w:rsidRDefault="00302297">
          <w:pPr>
            <w:pStyle w:val="TOC1"/>
            <w:rPr>
              <w:rFonts w:ascii="Times New Roman" w:hAnsi="Times New Roman" w:cs="Times New Roman"/>
              <w:b w:val="0"/>
              <w:bCs w:val="0"/>
              <w:noProof/>
            </w:rPr>
          </w:pPr>
          <w:r w:rsidRPr="002B2202">
            <w:rPr>
              <w:rFonts w:ascii="Times New Roman" w:hAnsi="Times New Roman" w:cs="Times New Roman"/>
              <w:sz w:val="22"/>
              <w:szCs w:val="22"/>
            </w:rPr>
            <w:fldChar w:fldCharType="begin"/>
          </w:r>
          <w:r w:rsidRPr="007575D7">
            <w:rPr>
              <w:rFonts w:ascii="Times New Roman" w:hAnsi="Times New Roman" w:cs="Times New Roman"/>
              <w:sz w:val="22"/>
              <w:szCs w:val="22"/>
            </w:rPr>
            <w:instrText xml:space="preserve"> TOC \o "1-3" \h \z \u </w:instrText>
          </w:r>
          <w:r w:rsidRPr="002B2202">
            <w:rPr>
              <w:rFonts w:ascii="Times New Roman" w:hAnsi="Times New Roman" w:cs="Times New Roman"/>
              <w:sz w:val="22"/>
              <w:szCs w:val="22"/>
            </w:rPr>
            <w:fldChar w:fldCharType="separate"/>
          </w:r>
          <w:hyperlink w:anchor="_Toc520724090" w:history="1">
            <w:r w:rsidR="002B2202" w:rsidRPr="002B2202">
              <w:rPr>
                <w:rStyle w:val="Hyperlink"/>
                <w:rFonts w:ascii="Times New Roman" w:hAnsi="Times New Roman" w:cs="Times New Roman"/>
                <w:noProof/>
              </w:rPr>
              <w:t>Lists of Table, Figures and Boxes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_Toc520724090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iv</w:t>
            </w:r>
            <w:r w:rsidR="002B2202" w:rsidRPr="007575D7">
              <w:rPr>
                <w:rFonts w:ascii="Times New Roman" w:hAnsi="Times New Roman" w:cs="Times New Roman"/>
                <w:noProof/>
                <w:webHidden/>
              </w:rPr>
              <w:fldChar w:fldCharType="end"/>
            </w:r>
          </w:hyperlink>
        </w:p>
        <w:p w14:paraId="3EDF4D7D" w14:textId="058615A2" w:rsidR="002B2202" w:rsidRPr="007575D7" w:rsidRDefault="00B42297">
          <w:pPr>
            <w:pStyle w:val="TOC2"/>
            <w:rPr>
              <w:rFonts w:ascii="Times New Roman" w:hAnsi="Times New Roman" w:cs="Times New Roman"/>
              <w:b w:val="0"/>
              <w:bCs w:val="0"/>
              <w:noProof/>
              <w:sz w:val="24"/>
              <w:szCs w:val="24"/>
            </w:rPr>
          </w:pPr>
          <w:hyperlink w:anchor="_Toc520724091" w:history="1">
            <w:r w:rsidR="002B2202" w:rsidRPr="002B2202">
              <w:rPr>
                <w:rStyle w:val="Hyperlink"/>
                <w:rFonts w:ascii="Times New Roman" w:hAnsi="Times New Roman" w:cs="Times New Roman"/>
                <w:noProof/>
              </w:rPr>
              <w:t>List of Figures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_Toc520724091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iv</w:t>
            </w:r>
            <w:r w:rsidR="002B2202" w:rsidRPr="007575D7">
              <w:rPr>
                <w:rFonts w:ascii="Times New Roman" w:hAnsi="Times New Roman" w:cs="Times New Roman"/>
                <w:noProof/>
                <w:webHidden/>
              </w:rPr>
              <w:fldChar w:fldCharType="end"/>
            </w:r>
          </w:hyperlink>
        </w:p>
        <w:p w14:paraId="17AC9D2A" w14:textId="7201877B" w:rsidR="002B2202" w:rsidRPr="007575D7" w:rsidRDefault="00B42297">
          <w:pPr>
            <w:pStyle w:val="TOC2"/>
            <w:rPr>
              <w:rFonts w:ascii="Times New Roman" w:hAnsi="Times New Roman" w:cs="Times New Roman"/>
              <w:b w:val="0"/>
              <w:bCs w:val="0"/>
              <w:noProof/>
              <w:sz w:val="24"/>
              <w:szCs w:val="24"/>
            </w:rPr>
          </w:pPr>
          <w:hyperlink w:anchor="_Toc520724092" w:history="1">
            <w:r w:rsidR="002B2202" w:rsidRPr="002B2202">
              <w:rPr>
                <w:rStyle w:val="Hyperlink"/>
                <w:rFonts w:ascii="Times New Roman" w:hAnsi="Times New Roman" w:cs="Times New Roman"/>
                <w:noProof/>
              </w:rPr>
              <w:t>List of Tables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_Toc520724092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vi</w:t>
            </w:r>
            <w:r w:rsidR="002B2202" w:rsidRPr="007575D7">
              <w:rPr>
                <w:rFonts w:ascii="Times New Roman" w:hAnsi="Times New Roman" w:cs="Times New Roman"/>
                <w:noProof/>
                <w:webHidden/>
              </w:rPr>
              <w:fldChar w:fldCharType="end"/>
            </w:r>
          </w:hyperlink>
        </w:p>
        <w:p w14:paraId="5416052F" w14:textId="7A0E6AC4" w:rsidR="002B2202" w:rsidRPr="007575D7" w:rsidRDefault="00B42297">
          <w:pPr>
            <w:pStyle w:val="TOC2"/>
            <w:rPr>
              <w:rFonts w:ascii="Times New Roman" w:hAnsi="Times New Roman" w:cs="Times New Roman"/>
              <w:b w:val="0"/>
              <w:bCs w:val="0"/>
              <w:noProof/>
              <w:sz w:val="24"/>
              <w:szCs w:val="24"/>
            </w:rPr>
          </w:pPr>
          <w:hyperlink w:anchor="_Toc520724093" w:history="1">
            <w:r w:rsidR="002B2202" w:rsidRPr="002B2202">
              <w:rPr>
                <w:rStyle w:val="Hyperlink"/>
                <w:rFonts w:ascii="Times New Roman" w:hAnsi="Times New Roman" w:cs="Times New Roman"/>
                <w:noProof/>
              </w:rPr>
              <w:t>List of Boxes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_Toc520724093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vi</w:t>
            </w:r>
            <w:r w:rsidR="002B2202" w:rsidRPr="007575D7">
              <w:rPr>
                <w:rFonts w:ascii="Times New Roman" w:hAnsi="Times New Roman" w:cs="Times New Roman"/>
                <w:noProof/>
                <w:webHidden/>
              </w:rPr>
              <w:fldChar w:fldCharType="end"/>
            </w:r>
          </w:hyperlink>
        </w:p>
        <w:p w14:paraId="6BD1CD5D" w14:textId="4F9EED99" w:rsidR="002B2202" w:rsidRPr="007575D7" w:rsidRDefault="00B42297">
          <w:pPr>
            <w:pStyle w:val="TOC1"/>
            <w:rPr>
              <w:rFonts w:ascii="Times New Roman" w:hAnsi="Times New Roman" w:cs="Times New Roman"/>
              <w:b w:val="0"/>
              <w:bCs w:val="0"/>
              <w:noProof/>
            </w:rPr>
          </w:pPr>
          <w:hyperlink w:anchor="_Toc520724094" w:history="1">
            <w:r w:rsidR="002B2202" w:rsidRPr="002B2202">
              <w:rPr>
                <w:rStyle w:val="Hyperlink"/>
                <w:rFonts w:ascii="Times New Roman" w:hAnsi="Times New Roman" w:cs="Times New Roman"/>
                <w:noProof/>
              </w:rPr>
              <w:t>List of Acronyms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_Toc520724094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viii</w:t>
            </w:r>
            <w:r w:rsidR="002B2202" w:rsidRPr="007575D7">
              <w:rPr>
                <w:rFonts w:ascii="Times New Roman" w:hAnsi="Times New Roman" w:cs="Times New Roman"/>
                <w:noProof/>
                <w:webHidden/>
              </w:rPr>
              <w:fldChar w:fldCharType="end"/>
            </w:r>
          </w:hyperlink>
        </w:p>
        <w:p w14:paraId="6AC05B33" w14:textId="74BA6622" w:rsidR="002B2202" w:rsidRPr="007575D7" w:rsidRDefault="00B42297">
          <w:pPr>
            <w:pStyle w:val="TOC1"/>
            <w:rPr>
              <w:rFonts w:ascii="Times New Roman" w:hAnsi="Times New Roman" w:cs="Times New Roman"/>
              <w:b w:val="0"/>
              <w:bCs w:val="0"/>
              <w:noProof/>
            </w:rPr>
          </w:pPr>
          <w:hyperlink w:anchor="_Toc520724095" w:history="1">
            <w:r w:rsidR="002B2202" w:rsidRPr="002B2202">
              <w:rPr>
                <w:rStyle w:val="Hyperlink"/>
                <w:rFonts w:ascii="Times New Roman" w:hAnsi="Times New Roman" w:cs="Times New Roman"/>
                <w:noProof/>
              </w:rPr>
              <w:t>Acknowledgements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_Toc520724095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x</w:t>
            </w:r>
            <w:r w:rsidR="002B2202" w:rsidRPr="007575D7">
              <w:rPr>
                <w:rFonts w:ascii="Times New Roman" w:hAnsi="Times New Roman" w:cs="Times New Roman"/>
                <w:noProof/>
                <w:webHidden/>
              </w:rPr>
              <w:fldChar w:fldCharType="end"/>
            </w:r>
          </w:hyperlink>
        </w:p>
        <w:p w14:paraId="70779B73" w14:textId="7C7FD7AE" w:rsidR="002B2202" w:rsidRPr="007575D7" w:rsidRDefault="00B42297">
          <w:pPr>
            <w:pStyle w:val="TOC1"/>
            <w:rPr>
              <w:rFonts w:ascii="Times New Roman" w:hAnsi="Times New Roman" w:cs="Times New Roman"/>
              <w:b w:val="0"/>
              <w:bCs w:val="0"/>
              <w:noProof/>
            </w:rPr>
          </w:pPr>
          <w:hyperlink w:anchor="_Toc520724096" w:history="1">
            <w:r w:rsidR="002B2202" w:rsidRPr="002B2202">
              <w:rPr>
                <w:rStyle w:val="Hyperlink"/>
                <w:rFonts w:ascii="Times New Roman" w:hAnsi="Times New Roman" w:cs="Times New Roman"/>
                <w:noProof/>
              </w:rPr>
              <w:t>Executive Summary</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_Toc520724096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xi</w:t>
            </w:r>
            <w:r w:rsidR="002B2202" w:rsidRPr="007575D7">
              <w:rPr>
                <w:rFonts w:ascii="Times New Roman" w:hAnsi="Times New Roman" w:cs="Times New Roman"/>
                <w:noProof/>
                <w:webHidden/>
              </w:rPr>
              <w:fldChar w:fldCharType="end"/>
            </w:r>
          </w:hyperlink>
        </w:p>
        <w:p w14:paraId="37938882" w14:textId="4E1C22C6" w:rsidR="002B2202" w:rsidRPr="007575D7" w:rsidRDefault="00B42297">
          <w:pPr>
            <w:pStyle w:val="TOC1"/>
            <w:rPr>
              <w:rFonts w:ascii="Times New Roman" w:hAnsi="Times New Roman" w:cs="Times New Roman"/>
              <w:b w:val="0"/>
              <w:bCs w:val="0"/>
              <w:noProof/>
            </w:rPr>
          </w:pPr>
          <w:hyperlink w:anchor="_Toc520724097" w:history="1">
            <w:r w:rsidR="002B2202" w:rsidRPr="002B2202">
              <w:rPr>
                <w:rStyle w:val="Hyperlink"/>
                <w:rFonts w:ascii="Times New Roman" w:hAnsi="Times New Roman" w:cs="Times New Roman"/>
                <w:noProof/>
              </w:rPr>
              <w:t>1. Introduction</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_Toc520724097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w:t>
            </w:r>
            <w:r w:rsidR="002B2202" w:rsidRPr="007575D7">
              <w:rPr>
                <w:rFonts w:ascii="Times New Roman" w:hAnsi="Times New Roman" w:cs="Times New Roman"/>
                <w:noProof/>
                <w:webHidden/>
              </w:rPr>
              <w:fldChar w:fldCharType="end"/>
            </w:r>
          </w:hyperlink>
        </w:p>
        <w:p w14:paraId="31E8B546" w14:textId="3E8E9121" w:rsidR="002B2202" w:rsidRPr="007575D7" w:rsidRDefault="00B42297">
          <w:pPr>
            <w:pStyle w:val="TOC2"/>
            <w:rPr>
              <w:rFonts w:ascii="Times New Roman" w:hAnsi="Times New Roman" w:cs="Times New Roman"/>
              <w:b w:val="0"/>
              <w:bCs w:val="0"/>
              <w:noProof/>
              <w:sz w:val="24"/>
              <w:szCs w:val="24"/>
            </w:rPr>
          </w:pPr>
          <w:hyperlink w:anchor="_Toc520724098" w:history="1">
            <w:r w:rsidR="002B2202" w:rsidRPr="002B2202">
              <w:rPr>
                <w:rStyle w:val="Hyperlink"/>
                <w:rFonts w:ascii="Times New Roman" w:hAnsi="Times New Roman" w:cs="Times New Roman"/>
                <w:noProof/>
              </w:rPr>
              <w:t>1.1 Objectives of the Report</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_Toc520724098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w:t>
            </w:r>
            <w:r w:rsidR="002B2202" w:rsidRPr="007575D7">
              <w:rPr>
                <w:rFonts w:ascii="Times New Roman" w:hAnsi="Times New Roman" w:cs="Times New Roman"/>
                <w:noProof/>
                <w:webHidden/>
              </w:rPr>
              <w:fldChar w:fldCharType="end"/>
            </w:r>
          </w:hyperlink>
        </w:p>
        <w:p w14:paraId="477F144C" w14:textId="22C50E8F" w:rsidR="002B2202" w:rsidRPr="007575D7" w:rsidRDefault="00B42297">
          <w:pPr>
            <w:pStyle w:val="TOC2"/>
            <w:rPr>
              <w:rFonts w:ascii="Times New Roman" w:hAnsi="Times New Roman" w:cs="Times New Roman"/>
              <w:b w:val="0"/>
              <w:bCs w:val="0"/>
              <w:noProof/>
              <w:sz w:val="24"/>
              <w:szCs w:val="24"/>
            </w:rPr>
          </w:pPr>
          <w:hyperlink w:anchor="_Toc520724099" w:history="1">
            <w:r w:rsidR="002B2202" w:rsidRPr="002B2202">
              <w:rPr>
                <w:rStyle w:val="Hyperlink"/>
                <w:rFonts w:ascii="Times New Roman" w:hAnsi="Times New Roman" w:cs="Times New Roman"/>
                <w:noProof/>
              </w:rPr>
              <w:t>1.2 Economic Overview</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_Toc520724099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w:t>
            </w:r>
            <w:r w:rsidR="002B2202" w:rsidRPr="007575D7">
              <w:rPr>
                <w:rFonts w:ascii="Times New Roman" w:hAnsi="Times New Roman" w:cs="Times New Roman"/>
                <w:noProof/>
                <w:webHidden/>
              </w:rPr>
              <w:fldChar w:fldCharType="end"/>
            </w:r>
          </w:hyperlink>
        </w:p>
        <w:p w14:paraId="713A8797" w14:textId="468A67D0" w:rsidR="002B2202" w:rsidRPr="007575D7" w:rsidRDefault="00B42297">
          <w:pPr>
            <w:pStyle w:val="TOC1"/>
            <w:rPr>
              <w:rFonts w:ascii="Times New Roman" w:hAnsi="Times New Roman" w:cs="Times New Roman"/>
              <w:b w:val="0"/>
              <w:bCs w:val="0"/>
              <w:noProof/>
            </w:rPr>
          </w:pPr>
          <w:hyperlink w:anchor="_Toc520724100" w:history="1">
            <w:r w:rsidR="002B2202" w:rsidRPr="002B2202">
              <w:rPr>
                <w:rStyle w:val="Hyperlink"/>
                <w:rFonts w:ascii="Times New Roman" w:hAnsi="Times New Roman" w:cs="Times New Roman"/>
                <w:noProof/>
              </w:rPr>
              <w:t>2. Competitive Markets Matter for Economic Development in Senegal</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_Toc520724100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6</w:t>
            </w:r>
            <w:r w:rsidR="002B2202" w:rsidRPr="007575D7">
              <w:rPr>
                <w:rFonts w:ascii="Times New Roman" w:hAnsi="Times New Roman" w:cs="Times New Roman"/>
                <w:noProof/>
                <w:webHidden/>
              </w:rPr>
              <w:fldChar w:fldCharType="end"/>
            </w:r>
          </w:hyperlink>
        </w:p>
        <w:p w14:paraId="6D709FD8" w14:textId="6F11D41E" w:rsidR="002B2202" w:rsidRPr="007575D7" w:rsidRDefault="00B42297">
          <w:pPr>
            <w:pStyle w:val="TOC2"/>
            <w:rPr>
              <w:rFonts w:ascii="Times New Roman" w:hAnsi="Times New Roman" w:cs="Times New Roman"/>
              <w:b w:val="0"/>
              <w:bCs w:val="0"/>
              <w:noProof/>
              <w:sz w:val="24"/>
              <w:szCs w:val="24"/>
            </w:rPr>
          </w:pPr>
          <w:hyperlink w:anchor="_Toc520724101" w:history="1">
            <w:r w:rsidR="002B2202" w:rsidRPr="002B2202">
              <w:rPr>
                <w:rStyle w:val="Hyperlink"/>
                <w:rFonts w:ascii="Times New Roman" w:hAnsi="Times New Roman" w:cs="Times New Roman"/>
                <w:noProof/>
              </w:rPr>
              <w:t>2.1 Improving the Market Functioning in Senegal</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_Toc520724101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10</w:t>
            </w:r>
            <w:r w:rsidR="002B2202" w:rsidRPr="007575D7">
              <w:rPr>
                <w:rFonts w:ascii="Times New Roman" w:hAnsi="Times New Roman" w:cs="Times New Roman"/>
                <w:noProof/>
                <w:webHidden/>
              </w:rPr>
              <w:fldChar w:fldCharType="end"/>
            </w:r>
          </w:hyperlink>
        </w:p>
        <w:p w14:paraId="14B10234" w14:textId="135C131C" w:rsidR="002B2202" w:rsidRPr="007575D7" w:rsidRDefault="00B42297">
          <w:pPr>
            <w:pStyle w:val="TOC1"/>
            <w:rPr>
              <w:rFonts w:ascii="Times New Roman" w:hAnsi="Times New Roman" w:cs="Times New Roman"/>
              <w:b w:val="0"/>
              <w:bCs w:val="0"/>
              <w:noProof/>
            </w:rPr>
          </w:pPr>
          <w:hyperlink w:anchor="_Toc520724102" w:history="1">
            <w:r w:rsidR="002B2202" w:rsidRPr="002B2202">
              <w:rPr>
                <w:rStyle w:val="Hyperlink"/>
                <w:rFonts w:ascii="Times New Roman" w:hAnsi="Times New Roman" w:cs="Times New Roman"/>
                <w:noProof/>
              </w:rPr>
              <w:t>3. Regulatory Obstacles to Competition in the Senegalese Markets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_Toc520724102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13</w:t>
            </w:r>
            <w:r w:rsidR="002B2202" w:rsidRPr="007575D7">
              <w:rPr>
                <w:rFonts w:ascii="Times New Roman" w:hAnsi="Times New Roman" w:cs="Times New Roman"/>
                <w:noProof/>
                <w:webHidden/>
              </w:rPr>
              <w:fldChar w:fldCharType="end"/>
            </w:r>
          </w:hyperlink>
        </w:p>
        <w:p w14:paraId="65AE4B8C" w14:textId="4E0B9D4B" w:rsidR="002B2202" w:rsidRPr="007575D7" w:rsidRDefault="00B42297">
          <w:pPr>
            <w:pStyle w:val="TOC2"/>
            <w:rPr>
              <w:rFonts w:ascii="Times New Roman" w:hAnsi="Times New Roman" w:cs="Times New Roman"/>
              <w:b w:val="0"/>
              <w:bCs w:val="0"/>
              <w:noProof/>
              <w:sz w:val="24"/>
              <w:szCs w:val="24"/>
            </w:rPr>
          </w:pPr>
          <w:hyperlink w:anchor="_Toc520724103" w:history="1">
            <w:r w:rsidR="002B2202" w:rsidRPr="002B2202">
              <w:rPr>
                <w:rStyle w:val="Hyperlink"/>
                <w:rFonts w:ascii="Times New Roman" w:hAnsi="Times New Roman" w:cs="Times New Roman"/>
                <w:noProof/>
              </w:rPr>
              <w:t>3.1 Restrictions that May Affect the Level Playing Field Between Public and Private Operators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_Toc520724103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19</w:t>
            </w:r>
            <w:r w:rsidR="002B2202" w:rsidRPr="007575D7">
              <w:rPr>
                <w:rFonts w:ascii="Times New Roman" w:hAnsi="Times New Roman" w:cs="Times New Roman"/>
                <w:noProof/>
                <w:webHidden/>
              </w:rPr>
              <w:fldChar w:fldCharType="end"/>
            </w:r>
          </w:hyperlink>
        </w:p>
        <w:p w14:paraId="6A951EB6" w14:textId="04025501" w:rsidR="002B2202" w:rsidRPr="007575D7" w:rsidRDefault="00B42297">
          <w:pPr>
            <w:pStyle w:val="TOC2"/>
            <w:rPr>
              <w:rFonts w:ascii="Times New Roman" w:hAnsi="Times New Roman" w:cs="Times New Roman"/>
              <w:b w:val="0"/>
              <w:bCs w:val="0"/>
              <w:noProof/>
              <w:sz w:val="24"/>
              <w:szCs w:val="24"/>
            </w:rPr>
          </w:pPr>
          <w:hyperlink w:anchor="_Toc520724104" w:history="1">
            <w:r w:rsidR="002B2202" w:rsidRPr="002B2202">
              <w:rPr>
                <w:rStyle w:val="Hyperlink"/>
                <w:rFonts w:ascii="Times New Roman" w:hAnsi="Times New Roman" w:cs="Times New Roman"/>
                <w:noProof/>
              </w:rPr>
              <w:t>3.2 Entry Restrictions that Inhibit Competition and Private Sector Development in Key Sectors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_Toc520724104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30</w:t>
            </w:r>
            <w:r w:rsidR="002B2202" w:rsidRPr="007575D7">
              <w:rPr>
                <w:rFonts w:ascii="Times New Roman" w:hAnsi="Times New Roman" w:cs="Times New Roman"/>
                <w:noProof/>
                <w:webHidden/>
              </w:rPr>
              <w:fldChar w:fldCharType="end"/>
            </w:r>
          </w:hyperlink>
        </w:p>
        <w:p w14:paraId="75C818AF" w14:textId="1F70099E" w:rsidR="002B2202" w:rsidRPr="007575D7" w:rsidRDefault="00B42297">
          <w:pPr>
            <w:pStyle w:val="TOC2"/>
            <w:rPr>
              <w:rFonts w:ascii="Times New Roman" w:hAnsi="Times New Roman" w:cs="Times New Roman"/>
              <w:b w:val="0"/>
              <w:bCs w:val="0"/>
              <w:noProof/>
              <w:sz w:val="24"/>
              <w:szCs w:val="24"/>
            </w:rPr>
          </w:pPr>
          <w:hyperlink w:anchor="_Toc520724105" w:history="1">
            <w:r w:rsidR="002B2202" w:rsidRPr="002B2202">
              <w:rPr>
                <w:rStyle w:val="Hyperlink"/>
                <w:rFonts w:ascii="Times New Roman" w:hAnsi="Times New Roman" w:cs="Times New Roman"/>
                <w:noProof/>
              </w:rPr>
              <w:t>3.3 Restrictions to Trade and Foreign Direct Investment Could Affect International Competitiveness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_Toc520724105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36</w:t>
            </w:r>
            <w:r w:rsidR="002B2202" w:rsidRPr="007575D7">
              <w:rPr>
                <w:rFonts w:ascii="Times New Roman" w:hAnsi="Times New Roman" w:cs="Times New Roman"/>
                <w:noProof/>
                <w:webHidden/>
              </w:rPr>
              <w:fldChar w:fldCharType="end"/>
            </w:r>
          </w:hyperlink>
        </w:p>
        <w:p w14:paraId="1867F959" w14:textId="7D07541A" w:rsidR="002B2202" w:rsidRPr="007575D7" w:rsidRDefault="00B42297">
          <w:pPr>
            <w:pStyle w:val="TOC2"/>
            <w:tabs>
              <w:tab w:val="left" w:pos="960"/>
            </w:tabs>
            <w:rPr>
              <w:rFonts w:ascii="Times New Roman" w:hAnsi="Times New Roman" w:cs="Times New Roman"/>
              <w:b w:val="0"/>
              <w:bCs w:val="0"/>
              <w:noProof/>
              <w:sz w:val="24"/>
              <w:szCs w:val="24"/>
            </w:rPr>
          </w:pPr>
          <w:hyperlink w:anchor="_Toc520724106" w:history="1">
            <w:r w:rsidR="002B2202" w:rsidRPr="002B2202">
              <w:rPr>
                <w:rStyle w:val="Hyperlink"/>
                <w:rFonts w:ascii="Times New Roman" w:hAnsi="Times New Roman" w:cs="Times New Roman"/>
                <w:noProof/>
              </w:rPr>
              <w:t>3.4</w:t>
            </w:r>
            <w:r w:rsidR="002B2202" w:rsidRPr="007575D7">
              <w:rPr>
                <w:rFonts w:ascii="Times New Roman" w:hAnsi="Times New Roman" w:cs="Times New Roman"/>
                <w:b w:val="0"/>
                <w:bCs w:val="0"/>
                <w:noProof/>
                <w:sz w:val="24"/>
                <w:szCs w:val="24"/>
              </w:rPr>
              <w:tab/>
            </w:r>
            <w:r w:rsidR="002B2202" w:rsidRPr="002B2202">
              <w:rPr>
                <w:rStyle w:val="Hyperlink"/>
                <w:rFonts w:ascii="Times New Roman" w:hAnsi="Times New Roman" w:cs="Times New Roman"/>
                <w:noProof/>
              </w:rPr>
              <w:t>Simulation of A Reduction in Regulatory Restrictiveness on GDP Growth</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_Toc520724106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39</w:t>
            </w:r>
            <w:r w:rsidR="002B2202" w:rsidRPr="007575D7">
              <w:rPr>
                <w:rFonts w:ascii="Times New Roman" w:hAnsi="Times New Roman" w:cs="Times New Roman"/>
                <w:noProof/>
                <w:webHidden/>
              </w:rPr>
              <w:fldChar w:fldCharType="end"/>
            </w:r>
          </w:hyperlink>
        </w:p>
        <w:p w14:paraId="67D583E7" w14:textId="2EE9DB0F" w:rsidR="002B2202" w:rsidRPr="007575D7" w:rsidRDefault="00B42297">
          <w:pPr>
            <w:pStyle w:val="TOC1"/>
            <w:rPr>
              <w:rFonts w:ascii="Times New Roman" w:hAnsi="Times New Roman" w:cs="Times New Roman"/>
              <w:b w:val="0"/>
              <w:bCs w:val="0"/>
              <w:noProof/>
            </w:rPr>
          </w:pPr>
          <w:hyperlink w:anchor="_Toc520724107" w:history="1">
            <w:r w:rsidR="002B2202" w:rsidRPr="002B2202">
              <w:rPr>
                <w:rStyle w:val="Hyperlink"/>
                <w:rFonts w:ascii="Times New Roman" w:hAnsi="Times New Roman" w:cs="Times New Roman"/>
                <w:noProof/>
              </w:rPr>
              <w:t>4. To What Extent Do Regulatory Restrictions to Competition Affect Senegalese Households and Poverty?</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_Toc520724107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39</w:t>
            </w:r>
            <w:r w:rsidR="002B2202" w:rsidRPr="007575D7">
              <w:rPr>
                <w:rFonts w:ascii="Times New Roman" w:hAnsi="Times New Roman" w:cs="Times New Roman"/>
                <w:noProof/>
                <w:webHidden/>
              </w:rPr>
              <w:fldChar w:fldCharType="end"/>
            </w:r>
          </w:hyperlink>
        </w:p>
        <w:p w14:paraId="05321415" w14:textId="0E599346" w:rsidR="002B2202" w:rsidRPr="007575D7" w:rsidRDefault="00B42297">
          <w:pPr>
            <w:pStyle w:val="TOC1"/>
            <w:rPr>
              <w:rFonts w:ascii="Times New Roman" w:hAnsi="Times New Roman" w:cs="Times New Roman"/>
              <w:b w:val="0"/>
              <w:bCs w:val="0"/>
              <w:noProof/>
            </w:rPr>
          </w:pPr>
          <w:hyperlink w:anchor="_Toc520724108" w:history="1">
            <w:r w:rsidR="002B2202" w:rsidRPr="002B2202">
              <w:rPr>
                <w:rStyle w:val="Hyperlink"/>
                <w:rFonts w:ascii="Times New Roman" w:hAnsi="Times New Roman" w:cs="Times New Roman"/>
                <w:noProof/>
              </w:rPr>
              <w:t>5. The Groundnut and Telecommunication Sectors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_Toc520724108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45</w:t>
            </w:r>
            <w:r w:rsidR="002B2202" w:rsidRPr="007575D7">
              <w:rPr>
                <w:rFonts w:ascii="Times New Roman" w:hAnsi="Times New Roman" w:cs="Times New Roman"/>
                <w:noProof/>
                <w:webHidden/>
              </w:rPr>
              <w:fldChar w:fldCharType="end"/>
            </w:r>
          </w:hyperlink>
        </w:p>
        <w:p w14:paraId="6D3910F7" w14:textId="77FEC0C9" w:rsidR="002B2202" w:rsidRPr="007575D7" w:rsidRDefault="00B42297">
          <w:pPr>
            <w:pStyle w:val="TOC2"/>
            <w:rPr>
              <w:rFonts w:ascii="Times New Roman" w:hAnsi="Times New Roman" w:cs="Times New Roman"/>
              <w:b w:val="0"/>
              <w:bCs w:val="0"/>
              <w:noProof/>
              <w:sz w:val="24"/>
              <w:szCs w:val="24"/>
            </w:rPr>
          </w:pPr>
          <w:hyperlink w:anchor="_Toc520724109" w:history="1">
            <w:r w:rsidR="002B2202" w:rsidRPr="002B2202">
              <w:rPr>
                <w:rStyle w:val="Hyperlink"/>
                <w:rFonts w:ascii="Times New Roman" w:hAnsi="Times New Roman" w:cs="Times New Roman"/>
                <w:noProof/>
              </w:rPr>
              <w:t>5.1 The Groundnut Sector</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_Toc520724109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46</w:t>
            </w:r>
            <w:r w:rsidR="002B2202" w:rsidRPr="007575D7">
              <w:rPr>
                <w:rFonts w:ascii="Times New Roman" w:hAnsi="Times New Roman" w:cs="Times New Roman"/>
                <w:noProof/>
                <w:webHidden/>
              </w:rPr>
              <w:fldChar w:fldCharType="end"/>
            </w:r>
          </w:hyperlink>
        </w:p>
        <w:p w14:paraId="414CBB6E" w14:textId="68979CA0" w:rsidR="002B2202" w:rsidRPr="007575D7" w:rsidRDefault="00B42297">
          <w:pPr>
            <w:pStyle w:val="TOC3"/>
            <w:tabs>
              <w:tab w:val="right" w:leader="dot" w:pos="8290"/>
            </w:tabs>
            <w:rPr>
              <w:rFonts w:ascii="Times New Roman" w:hAnsi="Times New Roman" w:cs="Times New Roman"/>
              <w:noProof/>
              <w:sz w:val="24"/>
              <w:szCs w:val="24"/>
            </w:rPr>
          </w:pPr>
          <w:hyperlink w:anchor="_Toc520724110" w:history="1">
            <w:r w:rsidR="002B2202" w:rsidRPr="002B2202">
              <w:rPr>
                <w:rStyle w:val="Hyperlink"/>
                <w:rFonts w:ascii="Times New Roman" w:hAnsi="Times New Roman" w:cs="Times New Roman"/>
                <w:noProof/>
              </w:rPr>
              <w:t>5.1.1 Background</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_Toc520724110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46</w:t>
            </w:r>
            <w:r w:rsidR="002B2202" w:rsidRPr="007575D7">
              <w:rPr>
                <w:rFonts w:ascii="Times New Roman" w:hAnsi="Times New Roman" w:cs="Times New Roman"/>
                <w:noProof/>
                <w:webHidden/>
              </w:rPr>
              <w:fldChar w:fldCharType="end"/>
            </w:r>
          </w:hyperlink>
        </w:p>
        <w:p w14:paraId="37BF53C9" w14:textId="63198CE0" w:rsidR="002B2202" w:rsidRPr="007575D7" w:rsidRDefault="00B42297">
          <w:pPr>
            <w:pStyle w:val="TOC3"/>
            <w:tabs>
              <w:tab w:val="right" w:leader="dot" w:pos="8290"/>
            </w:tabs>
            <w:rPr>
              <w:rFonts w:ascii="Times New Roman" w:hAnsi="Times New Roman" w:cs="Times New Roman"/>
              <w:noProof/>
              <w:sz w:val="24"/>
              <w:szCs w:val="24"/>
            </w:rPr>
          </w:pPr>
          <w:hyperlink w:anchor="_Toc520724111" w:history="1">
            <w:r w:rsidR="002B2202" w:rsidRPr="002B2202">
              <w:rPr>
                <w:rStyle w:val="Hyperlink"/>
                <w:rFonts w:ascii="Times New Roman" w:hAnsi="Times New Roman" w:cs="Times New Roman"/>
                <w:noProof/>
              </w:rPr>
              <w:t>5.1.2 The Groundnut Value Chain in Senegal</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_Toc520724111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50</w:t>
            </w:r>
            <w:r w:rsidR="002B2202" w:rsidRPr="007575D7">
              <w:rPr>
                <w:rFonts w:ascii="Times New Roman" w:hAnsi="Times New Roman" w:cs="Times New Roman"/>
                <w:noProof/>
                <w:webHidden/>
              </w:rPr>
              <w:fldChar w:fldCharType="end"/>
            </w:r>
          </w:hyperlink>
        </w:p>
        <w:p w14:paraId="41FE2448" w14:textId="7EA655FE" w:rsidR="002B2202" w:rsidRPr="007575D7" w:rsidRDefault="00B42297">
          <w:pPr>
            <w:pStyle w:val="TOC3"/>
            <w:tabs>
              <w:tab w:val="right" w:leader="dot" w:pos="8290"/>
            </w:tabs>
            <w:rPr>
              <w:rFonts w:ascii="Times New Roman" w:hAnsi="Times New Roman" w:cs="Times New Roman"/>
              <w:noProof/>
              <w:sz w:val="24"/>
              <w:szCs w:val="24"/>
            </w:rPr>
          </w:pPr>
          <w:hyperlink w:anchor="_Toc520724112" w:history="1">
            <w:r w:rsidR="002B2202" w:rsidRPr="002B2202">
              <w:rPr>
                <w:rStyle w:val="Hyperlink"/>
                <w:rFonts w:ascii="Times New Roman" w:hAnsi="Times New Roman" w:cs="Times New Roman"/>
                <w:noProof/>
              </w:rPr>
              <w:t>5.1.3 An Assessment of Market Dynamics and Government Interventions that May Restrict Competition</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_Toc520724112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53</w:t>
            </w:r>
            <w:r w:rsidR="002B2202" w:rsidRPr="007575D7">
              <w:rPr>
                <w:rFonts w:ascii="Times New Roman" w:hAnsi="Times New Roman" w:cs="Times New Roman"/>
                <w:noProof/>
                <w:webHidden/>
              </w:rPr>
              <w:fldChar w:fldCharType="end"/>
            </w:r>
          </w:hyperlink>
        </w:p>
        <w:p w14:paraId="4DC2A4F7" w14:textId="3A17DF0D" w:rsidR="002B2202" w:rsidRPr="007575D7" w:rsidRDefault="00B42297">
          <w:pPr>
            <w:pStyle w:val="TOC3"/>
            <w:tabs>
              <w:tab w:val="right" w:leader="dot" w:pos="8290"/>
            </w:tabs>
            <w:rPr>
              <w:rFonts w:ascii="Times New Roman" w:hAnsi="Times New Roman" w:cs="Times New Roman"/>
              <w:noProof/>
              <w:sz w:val="24"/>
              <w:szCs w:val="24"/>
            </w:rPr>
          </w:pPr>
          <w:hyperlink w:anchor="_Toc520724113" w:history="1">
            <w:r w:rsidR="002B2202" w:rsidRPr="002B2202">
              <w:rPr>
                <w:rStyle w:val="Hyperlink"/>
                <w:rFonts w:ascii="Times New Roman" w:hAnsi="Times New Roman" w:cs="Times New Roman"/>
                <w:noProof/>
              </w:rPr>
              <w:t>5.1.4 Implications of Rules that Restrict Competition</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_Toc520724113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78</w:t>
            </w:r>
            <w:r w:rsidR="002B2202" w:rsidRPr="007575D7">
              <w:rPr>
                <w:rFonts w:ascii="Times New Roman" w:hAnsi="Times New Roman" w:cs="Times New Roman"/>
                <w:noProof/>
                <w:webHidden/>
              </w:rPr>
              <w:fldChar w:fldCharType="end"/>
            </w:r>
          </w:hyperlink>
        </w:p>
        <w:p w14:paraId="3F3F6428" w14:textId="3C5A1972" w:rsidR="002B2202" w:rsidRPr="007575D7" w:rsidRDefault="00B42297">
          <w:pPr>
            <w:pStyle w:val="TOC3"/>
            <w:tabs>
              <w:tab w:val="right" w:leader="dot" w:pos="8290"/>
            </w:tabs>
            <w:rPr>
              <w:rFonts w:ascii="Times New Roman" w:hAnsi="Times New Roman" w:cs="Times New Roman"/>
              <w:noProof/>
              <w:sz w:val="24"/>
              <w:szCs w:val="24"/>
            </w:rPr>
          </w:pPr>
          <w:hyperlink w:anchor="_Toc520724114" w:history="1">
            <w:r w:rsidR="002B2202" w:rsidRPr="002B2202">
              <w:rPr>
                <w:rStyle w:val="Hyperlink"/>
                <w:rFonts w:ascii="Times New Roman" w:hAnsi="Times New Roman" w:cs="Times New Roman"/>
                <w:noProof/>
              </w:rPr>
              <w:t>5.1.5 Recommendations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_Toc520724114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85</w:t>
            </w:r>
            <w:r w:rsidR="002B2202" w:rsidRPr="007575D7">
              <w:rPr>
                <w:rFonts w:ascii="Times New Roman" w:hAnsi="Times New Roman" w:cs="Times New Roman"/>
                <w:noProof/>
                <w:webHidden/>
              </w:rPr>
              <w:fldChar w:fldCharType="end"/>
            </w:r>
          </w:hyperlink>
        </w:p>
        <w:p w14:paraId="7DF236DB" w14:textId="745B2684" w:rsidR="002B2202" w:rsidRPr="007575D7" w:rsidRDefault="00B42297">
          <w:pPr>
            <w:pStyle w:val="TOC2"/>
            <w:rPr>
              <w:rFonts w:ascii="Times New Roman" w:hAnsi="Times New Roman" w:cs="Times New Roman"/>
              <w:b w:val="0"/>
              <w:bCs w:val="0"/>
              <w:noProof/>
              <w:sz w:val="24"/>
              <w:szCs w:val="24"/>
            </w:rPr>
          </w:pPr>
          <w:hyperlink w:anchor="_Toc520724115" w:history="1">
            <w:r w:rsidR="002B2202" w:rsidRPr="002B2202">
              <w:rPr>
                <w:rStyle w:val="Hyperlink"/>
                <w:rFonts w:ascii="Times New Roman" w:hAnsi="Times New Roman" w:cs="Times New Roman"/>
                <w:noProof/>
              </w:rPr>
              <w:t>5.2 Telecommunications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_Toc520724115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90</w:t>
            </w:r>
            <w:r w:rsidR="002B2202" w:rsidRPr="007575D7">
              <w:rPr>
                <w:rFonts w:ascii="Times New Roman" w:hAnsi="Times New Roman" w:cs="Times New Roman"/>
                <w:noProof/>
                <w:webHidden/>
              </w:rPr>
              <w:fldChar w:fldCharType="end"/>
            </w:r>
          </w:hyperlink>
        </w:p>
        <w:p w14:paraId="502F7814" w14:textId="526A43CD" w:rsidR="002B2202" w:rsidRPr="007575D7" w:rsidRDefault="00B42297">
          <w:pPr>
            <w:pStyle w:val="TOC3"/>
            <w:tabs>
              <w:tab w:val="right" w:leader="dot" w:pos="8290"/>
            </w:tabs>
            <w:rPr>
              <w:rFonts w:ascii="Times New Roman" w:hAnsi="Times New Roman" w:cs="Times New Roman"/>
              <w:noProof/>
              <w:sz w:val="24"/>
              <w:szCs w:val="24"/>
            </w:rPr>
          </w:pPr>
          <w:hyperlink w:anchor="_Toc520724116" w:history="1">
            <w:r w:rsidR="002B2202" w:rsidRPr="002B2202">
              <w:rPr>
                <w:rStyle w:val="Hyperlink"/>
                <w:rFonts w:ascii="Times New Roman" w:hAnsi="Times New Roman" w:cs="Times New Roman"/>
                <w:noProof/>
              </w:rPr>
              <w:t>5.2.1 Background</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_Toc520724116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90</w:t>
            </w:r>
            <w:r w:rsidR="002B2202" w:rsidRPr="007575D7">
              <w:rPr>
                <w:rFonts w:ascii="Times New Roman" w:hAnsi="Times New Roman" w:cs="Times New Roman"/>
                <w:noProof/>
                <w:webHidden/>
              </w:rPr>
              <w:fldChar w:fldCharType="end"/>
            </w:r>
          </w:hyperlink>
        </w:p>
        <w:p w14:paraId="481E6F4E" w14:textId="17141886" w:rsidR="002B2202" w:rsidRPr="007575D7" w:rsidRDefault="00B42297">
          <w:pPr>
            <w:pStyle w:val="TOC3"/>
            <w:tabs>
              <w:tab w:val="right" w:leader="dot" w:pos="8290"/>
            </w:tabs>
            <w:rPr>
              <w:rFonts w:ascii="Times New Roman" w:hAnsi="Times New Roman" w:cs="Times New Roman"/>
              <w:noProof/>
              <w:sz w:val="24"/>
              <w:szCs w:val="24"/>
            </w:rPr>
          </w:pPr>
          <w:hyperlink w:anchor="_Toc520724117" w:history="1">
            <w:r w:rsidR="002B2202" w:rsidRPr="002B2202">
              <w:rPr>
                <w:rStyle w:val="Hyperlink"/>
                <w:rFonts w:ascii="Times New Roman" w:hAnsi="Times New Roman" w:cs="Times New Roman"/>
                <w:noProof/>
              </w:rPr>
              <w:t>5.2.2 Characteristics of the Telecoms Market in Senegal</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_Toc520724117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105</w:t>
            </w:r>
            <w:r w:rsidR="002B2202" w:rsidRPr="007575D7">
              <w:rPr>
                <w:rFonts w:ascii="Times New Roman" w:hAnsi="Times New Roman" w:cs="Times New Roman"/>
                <w:noProof/>
                <w:webHidden/>
              </w:rPr>
              <w:fldChar w:fldCharType="end"/>
            </w:r>
          </w:hyperlink>
        </w:p>
        <w:p w14:paraId="52A0ED95" w14:textId="2FF3B2A9" w:rsidR="002B2202" w:rsidRPr="007575D7" w:rsidRDefault="00B42297">
          <w:pPr>
            <w:pStyle w:val="TOC3"/>
            <w:tabs>
              <w:tab w:val="right" w:leader="dot" w:pos="8290"/>
            </w:tabs>
            <w:rPr>
              <w:rFonts w:ascii="Times New Roman" w:hAnsi="Times New Roman" w:cs="Times New Roman"/>
              <w:noProof/>
              <w:sz w:val="24"/>
              <w:szCs w:val="24"/>
            </w:rPr>
          </w:pPr>
          <w:hyperlink w:anchor="_Toc520724118" w:history="1">
            <w:r w:rsidR="002B2202" w:rsidRPr="002B2202">
              <w:rPr>
                <w:rStyle w:val="Hyperlink"/>
                <w:rFonts w:ascii="Times New Roman" w:hAnsi="Times New Roman" w:cs="Times New Roman"/>
                <w:noProof/>
              </w:rPr>
              <w:t>5.2.3 Key Bottlenecks in the Senegalese Telecom Value Chain that Hinder Service- and Facilities-Based Competition</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_Toc520724118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108</w:t>
            </w:r>
            <w:r w:rsidR="002B2202" w:rsidRPr="007575D7">
              <w:rPr>
                <w:rFonts w:ascii="Times New Roman" w:hAnsi="Times New Roman" w:cs="Times New Roman"/>
                <w:noProof/>
                <w:webHidden/>
              </w:rPr>
              <w:fldChar w:fldCharType="end"/>
            </w:r>
          </w:hyperlink>
        </w:p>
        <w:p w14:paraId="02C75CB4" w14:textId="0190E867" w:rsidR="002B2202" w:rsidRPr="007575D7" w:rsidRDefault="00B42297">
          <w:pPr>
            <w:pStyle w:val="TOC3"/>
            <w:tabs>
              <w:tab w:val="right" w:leader="dot" w:pos="8290"/>
            </w:tabs>
            <w:rPr>
              <w:rFonts w:ascii="Times New Roman" w:hAnsi="Times New Roman" w:cs="Times New Roman"/>
              <w:noProof/>
              <w:sz w:val="24"/>
              <w:szCs w:val="24"/>
            </w:rPr>
          </w:pPr>
          <w:hyperlink w:anchor="_Toc520724119" w:history="1">
            <w:r w:rsidR="002B2202" w:rsidRPr="002B2202">
              <w:rPr>
                <w:rStyle w:val="Hyperlink"/>
                <w:rFonts w:ascii="Times New Roman" w:hAnsi="Times New Roman" w:cs="Times New Roman"/>
                <w:noProof/>
              </w:rPr>
              <w:t>5.2.4 Recommendations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_Toc520724119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131</w:t>
            </w:r>
            <w:r w:rsidR="002B2202" w:rsidRPr="007575D7">
              <w:rPr>
                <w:rFonts w:ascii="Times New Roman" w:hAnsi="Times New Roman" w:cs="Times New Roman"/>
                <w:noProof/>
                <w:webHidden/>
              </w:rPr>
              <w:fldChar w:fldCharType="end"/>
            </w:r>
          </w:hyperlink>
        </w:p>
        <w:p w14:paraId="353C0443" w14:textId="710E5304" w:rsidR="002B2202" w:rsidRPr="007575D7" w:rsidRDefault="00B42297">
          <w:pPr>
            <w:pStyle w:val="TOC1"/>
            <w:rPr>
              <w:rFonts w:ascii="Times New Roman" w:hAnsi="Times New Roman" w:cs="Times New Roman"/>
              <w:b w:val="0"/>
              <w:bCs w:val="0"/>
              <w:noProof/>
            </w:rPr>
          </w:pPr>
          <w:hyperlink w:anchor="_Toc520724120" w:history="1">
            <w:r w:rsidR="002B2202" w:rsidRPr="002B2202">
              <w:rPr>
                <w:rStyle w:val="Hyperlink"/>
                <w:rFonts w:ascii="Times New Roman" w:hAnsi="Times New Roman" w:cs="Times New Roman"/>
                <w:noProof/>
              </w:rPr>
              <w:t>6. Effectiveness of the Competition Policy and Law to Address Anticompetitive Conduct and Regulations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_Toc520724120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133</w:t>
            </w:r>
            <w:r w:rsidR="002B2202" w:rsidRPr="007575D7">
              <w:rPr>
                <w:rFonts w:ascii="Times New Roman" w:hAnsi="Times New Roman" w:cs="Times New Roman"/>
                <w:noProof/>
                <w:webHidden/>
              </w:rPr>
              <w:fldChar w:fldCharType="end"/>
            </w:r>
          </w:hyperlink>
        </w:p>
        <w:p w14:paraId="5A7C51E3" w14:textId="353DB251" w:rsidR="002B2202" w:rsidRPr="007575D7" w:rsidRDefault="00B42297">
          <w:pPr>
            <w:pStyle w:val="TOC2"/>
            <w:rPr>
              <w:rFonts w:ascii="Times New Roman" w:hAnsi="Times New Roman" w:cs="Times New Roman"/>
              <w:b w:val="0"/>
              <w:bCs w:val="0"/>
              <w:noProof/>
              <w:sz w:val="24"/>
              <w:szCs w:val="24"/>
            </w:rPr>
          </w:pPr>
          <w:hyperlink w:anchor="_Toc520724121" w:history="1">
            <w:r w:rsidR="002B2202" w:rsidRPr="002B2202">
              <w:rPr>
                <w:rStyle w:val="Hyperlink"/>
                <w:rFonts w:ascii="Times New Roman" w:hAnsi="Times New Roman" w:cs="Times New Roman"/>
                <w:noProof/>
              </w:rPr>
              <w:t>6.1 The Effects of ECOWAS and WAEMU’s Competition Laws on Senegal’s Competition Policy</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_Toc520724121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133</w:t>
            </w:r>
            <w:r w:rsidR="002B2202" w:rsidRPr="007575D7">
              <w:rPr>
                <w:rFonts w:ascii="Times New Roman" w:hAnsi="Times New Roman" w:cs="Times New Roman"/>
                <w:noProof/>
                <w:webHidden/>
              </w:rPr>
              <w:fldChar w:fldCharType="end"/>
            </w:r>
          </w:hyperlink>
        </w:p>
        <w:p w14:paraId="6E5E503F" w14:textId="4F20DE0F" w:rsidR="002B2202" w:rsidRPr="007575D7" w:rsidRDefault="00B42297">
          <w:pPr>
            <w:pStyle w:val="TOC2"/>
            <w:rPr>
              <w:rFonts w:ascii="Times New Roman" w:hAnsi="Times New Roman" w:cs="Times New Roman"/>
              <w:b w:val="0"/>
              <w:bCs w:val="0"/>
              <w:noProof/>
              <w:sz w:val="24"/>
              <w:szCs w:val="24"/>
            </w:rPr>
          </w:pPr>
          <w:hyperlink w:anchor="_Toc520724122" w:history="1">
            <w:r w:rsidR="002B2202" w:rsidRPr="002B2202">
              <w:rPr>
                <w:rStyle w:val="Hyperlink"/>
                <w:rFonts w:ascii="Times New Roman" w:hAnsi="Times New Roman" w:cs="Times New Roman"/>
                <w:noProof/>
              </w:rPr>
              <w:t>6.2 Senegal’s National Competition Commission (NCC)’s Powers under WAEMU’s Competition Law</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_Toc520724122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136</w:t>
            </w:r>
            <w:r w:rsidR="002B2202" w:rsidRPr="007575D7">
              <w:rPr>
                <w:rFonts w:ascii="Times New Roman" w:hAnsi="Times New Roman" w:cs="Times New Roman"/>
                <w:noProof/>
                <w:webHidden/>
              </w:rPr>
              <w:fldChar w:fldCharType="end"/>
            </w:r>
          </w:hyperlink>
        </w:p>
        <w:p w14:paraId="33397879" w14:textId="331B35C6" w:rsidR="002B2202" w:rsidRPr="007575D7" w:rsidRDefault="00B42297">
          <w:pPr>
            <w:pStyle w:val="TOC2"/>
            <w:rPr>
              <w:rFonts w:ascii="Times New Roman" w:hAnsi="Times New Roman" w:cs="Times New Roman"/>
              <w:b w:val="0"/>
              <w:bCs w:val="0"/>
              <w:noProof/>
              <w:sz w:val="24"/>
              <w:szCs w:val="24"/>
            </w:rPr>
          </w:pPr>
          <w:hyperlink w:anchor="_Toc520724123" w:history="1">
            <w:r w:rsidR="002B2202" w:rsidRPr="002B2202">
              <w:rPr>
                <w:rStyle w:val="Hyperlink"/>
                <w:rFonts w:ascii="Times New Roman" w:hAnsi="Times New Roman" w:cs="Times New Roman"/>
                <w:noProof/>
              </w:rPr>
              <w:t>6.3 Recommendations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_Toc520724123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144</w:t>
            </w:r>
            <w:r w:rsidR="002B2202" w:rsidRPr="007575D7">
              <w:rPr>
                <w:rFonts w:ascii="Times New Roman" w:hAnsi="Times New Roman" w:cs="Times New Roman"/>
                <w:noProof/>
                <w:webHidden/>
              </w:rPr>
              <w:fldChar w:fldCharType="end"/>
            </w:r>
          </w:hyperlink>
        </w:p>
        <w:p w14:paraId="3ECF8FE6" w14:textId="07D30808" w:rsidR="002B2202" w:rsidRPr="007575D7" w:rsidRDefault="00B42297">
          <w:pPr>
            <w:pStyle w:val="TOC1"/>
            <w:rPr>
              <w:rFonts w:ascii="Times New Roman" w:hAnsi="Times New Roman" w:cs="Times New Roman"/>
              <w:b w:val="0"/>
              <w:bCs w:val="0"/>
              <w:noProof/>
            </w:rPr>
          </w:pPr>
          <w:hyperlink w:anchor="_Toc520724124" w:history="1">
            <w:r w:rsidR="002B2202" w:rsidRPr="002B2202">
              <w:rPr>
                <w:rStyle w:val="Hyperlink"/>
                <w:rFonts w:ascii="Times New Roman" w:hAnsi="Times New Roman" w:cs="Times New Roman"/>
                <w:noProof/>
              </w:rPr>
              <w:t>7. Sources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_Toc520724124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145</w:t>
            </w:r>
            <w:r w:rsidR="002B2202" w:rsidRPr="007575D7">
              <w:rPr>
                <w:rFonts w:ascii="Times New Roman" w:hAnsi="Times New Roman" w:cs="Times New Roman"/>
                <w:noProof/>
                <w:webHidden/>
              </w:rPr>
              <w:fldChar w:fldCharType="end"/>
            </w:r>
          </w:hyperlink>
        </w:p>
        <w:p w14:paraId="3BD05182" w14:textId="683BBEE7" w:rsidR="002B2202" w:rsidRPr="007575D7" w:rsidRDefault="00B42297">
          <w:pPr>
            <w:pStyle w:val="TOC1"/>
            <w:rPr>
              <w:rFonts w:ascii="Times New Roman" w:hAnsi="Times New Roman" w:cs="Times New Roman"/>
              <w:b w:val="0"/>
              <w:bCs w:val="0"/>
              <w:noProof/>
            </w:rPr>
          </w:pPr>
          <w:hyperlink w:anchor="_Toc520724125" w:history="1">
            <w:r w:rsidR="002B2202" w:rsidRPr="002B2202">
              <w:rPr>
                <w:rStyle w:val="Hyperlink"/>
                <w:rFonts w:ascii="Times New Roman" w:hAnsi="Times New Roman" w:cs="Times New Roman"/>
                <w:noProof/>
              </w:rPr>
              <w:t>8. Annexes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_Toc520724125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156</w:t>
            </w:r>
            <w:r w:rsidR="002B2202" w:rsidRPr="007575D7">
              <w:rPr>
                <w:rFonts w:ascii="Times New Roman" w:hAnsi="Times New Roman" w:cs="Times New Roman"/>
                <w:noProof/>
                <w:webHidden/>
              </w:rPr>
              <w:fldChar w:fldCharType="end"/>
            </w:r>
          </w:hyperlink>
        </w:p>
        <w:p w14:paraId="41D3B1BB" w14:textId="3D20578D" w:rsidR="002B2202" w:rsidRPr="007575D7" w:rsidRDefault="00B42297">
          <w:pPr>
            <w:pStyle w:val="TOC2"/>
            <w:rPr>
              <w:rFonts w:ascii="Times New Roman" w:hAnsi="Times New Roman" w:cs="Times New Roman"/>
              <w:b w:val="0"/>
              <w:bCs w:val="0"/>
              <w:noProof/>
              <w:sz w:val="24"/>
              <w:szCs w:val="24"/>
            </w:rPr>
          </w:pPr>
          <w:hyperlink w:anchor="_Toc520724126" w:history="1">
            <w:r w:rsidR="002B2202" w:rsidRPr="002B2202">
              <w:rPr>
                <w:rStyle w:val="Hyperlink"/>
                <w:rFonts w:ascii="Times New Roman" w:hAnsi="Times New Roman" w:cs="Times New Roman"/>
                <w:noProof/>
              </w:rPr>
              <w:t>Annex 1: Senegalese export commodities and destinations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_Toc520724126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156</w:t>
            </w:r>
            <w:r w:rsidR="002B2202" w:rsidRPr="007575D7">
              <w:rPr>
                <w:rFonts w:ascii="Times New Roman" w:hAnsi="Times New Roman" w:cs="Times New Roman"/>
                <w:noProof/>
                <w:webHidden/>
              </w:rPr>
              <w:fldChar w:fldCharType="end"/>
            </w:r>
          </w:hyperlink>
        </w:p>
        <w:p w14:paraId="7156340A" w14:textId="49909240" w:rsidR="002B2202" w:rsidRPr="007575D7" w:rsidRDefault="00B42297">
          <w:pPr>
            <w:pStyle w:val="TOC2"/>
            <w:rPr>
              <w:rFonts w:ascii="Times New Roman" w:hAnsi="Times New Roman" w:cs="Times New Roman"/>
              <w:b w:val="0"/>
              <w:bCs w:val="0"/>
              <w:noProof/>
              <w:sz w:val="24"/>
              <w:szCs w:val="24"/>
            </w:rPr>
          </w:pPr>
          <w:hyperlink w:anchor="_Toc520724127" w:history="1">
            <w:r w:rsidR="002B2202" w:rsidRPr="002B2202">
              <w:rPr>
                <w:rStyle w:val="Hyperlink"/>
                <w:rFonts w:ascii="Times New Roman" w:hAnsi="Times New Roman" w:cs="Times New Roman"/>
                <w:noProof/>
              </w:rPr>
              <w:t>Annex 2: PMR</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_Toc520724127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158</w:t>
            </w:r>
            <w:r w:rsidR="002B2202" w:rsidRPr="007575D7">
              <w:rPr>
                <w:rFonts w:ascii="Times New Roman" w:hAnsi="Times New Roman" w:cs="Times New Roman"/>
                <w:noProof/>
                <w:webHidden/>
              </w:rPr>
              <w:fldChar w:fldCharType="end"/>
            </w:r>
          </w:hyperlink>
        </w:p>
        <w:p w14:paraId="13174D0F" w14:textId="35077EFC" w:rsidR="002B2202" w:rsidRPr="007575D7" w:rsidRDefault="00B42297">
          <w:pPr>
            <w:pStyle w:val="TOC3"/>
            <w:tabs>
              <w:tab w:val="right" w:leader="dot" w:pos="8290"/>
            </w:tabs>
            <w:rPr>
              <w:rFonts w:ascii="Times New Roman" w:hAnsi="Times New Roman" w:cs="Times New Roman"/>
              <w:noProof/>
              <w:sz w:val="24"/>
              <w:szCs w:val="24"/>
            </w:rPr>
          </w:pPr>
          <w:hyperlink w:anchor="_Toc520724128" w:history="1">
            <w:r w:rsidR="002B2202" w:rsidRPr="002B2202">
              <w:rPr>
                <w:rStyle w:val="Hyperlink"/>
                <w:rFonts w:ascii="Times New Roman" w:hAnsi="Times New Roman" w:cs="Times New Roman"/>
                <w:noProof/>
              </w:rPr>
              <w:t>Simulation of effect of improvements in PMR scores on value added and GDP growth</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_Toc520724128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159</w:t>
            </w:r>
            <w:r w:rsidR="002B2202" w:rsidRPr="007575D7">
              <w:rPr>
                <w:rFonts w:ascii="Times New Roman" w:hAnsi="Times New Roman" w:cs="Times New Roman"/>
                <w:noProof/>
                <w:webHidden/>
              </w:rPr>
              <w:fldChar w:fldCharType="end"/>
            </w:r>
          </w:hyperlink>
        </w:p>
        <w:p w14:paraId="7FF401CD" w14:textId="28E62A7B" w:rsidR="002B2202" w:rsidRPr="007575D7" w:rsidRDefault="00B42297">
          <w:pPr>
            <w:pStyle w:val="TOC2"/>
            <w:rPr>
              <w:rFonts w:ascii="Times New Roman" w:hAnsi="Times New Roman" w:cs="Times New Roman"/>
              <w:b w:val="0"/>
              <w:bCs w:val="0"/>
              <w:noProof/>
              <w:sz w:val="24"/>
              <w:szCs w:val="24"/>
            </w:rPr>
          </w:pPr>
          <w:hyperlink w:anchor="_Toc520724129" w:history="1">
            <w:r w:rsidR="002B2202" w:rsidRPr="002B2202">
              <w:rPr>
                <w:rStyle w:val="Hyperlink"/>
                <w:rFonts w:ascii="Times New Roman" w:hAnsi="Times New Roman" w:cs="Times New Roman"/>
                <w:noProof/>
              </w:rPr>
              <w:t>Annex 4: Sector Prioritization Matrix for Senegal Competitiveness Assessment</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_Toc520724129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162</w:t>
            </w:r>
            <w:r w:rsidR="002B2202" w:rsidRPr="007575D7">
              <w:rPr>
                <w:rFonts w:ascii="Times New Roman" w:hAnsi="Times New Roman" w:cs="Times New Roman"/>
                <w:noProof/>
                <w:webHidden/>
              </w:rPr>
              <w:fldChar w:fldCharType="end"/>
            </w:r>
          </w:hyperlink>
        </w:p>
        <w:p w14:paraId="4EF60F01" w14:textId="767D2FAA" w:rsidR="002B2202" w:rsidRPr="007575D7" w:rsidRDefault="00B42297">
          <w:pPr>
            <w:pStyle w:val="TOC2"/>
            <w:rPr>
              <w:rFonts w:ascii="Times New Roman" w:hAnsi="Times New Roman" w:cs="Times New Roman"/>
              <w:b w:val="0"/>
              <w:bCs w:val="0"/>
              <w:noProof/>
              <w:sz w:val="24"/>
              <w:szCs w:val="24"/>
            </w:rPr>
          </w:pPr>
          <w:hyperlink w:anchor="_Toc520724130" w:history="1">
            <w:r w:rsidR="002B2202" w:rsidRPr="002B2202">
              <w:rPr>
                <w:rStyle w:val="Hyperlink"/>
                <w:rFonts w:ascii="Times New Roman" w:hAnsi="Times New Roman" w:cs="Times New Roman"/>
                <w:noProof/>
              </w:rPr>
              <w:t>Annex 5: Calculations for the “middle way” policy reforms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_Toc520724130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165</w:t>
            </w:r>
            <w:r w:rsidR="002B2202" w:rsidRPr="007575D7">
              <w:rPr>
                <w:rFonts w:ascii="Times New Roman" w:hAnsi="Times New Roman" w:cs="Times New Roman"/>
                <w:noProof/>
                <w:webHidden/>
              </w:rPr>
              <w:fldChar w:fldCharType="end"/>
            </w:r>
          </w:hyperlink>
        </w:p>
        <w:p w14:paraId="50AA8B2E" w14:textId="311362A7" w:rsidR="002B2202" w:rsidRPr="007575D7" w:rsidRDefault="00B42297">
          <w:pPr>
            <w:pStyle w:val="TOC3"/>
            <w:tabs>
              <w:tab w:val="right" w:leader="dot" w:pos="8290"/>
            </w:tabs>
            <w:rPr>
              <w:rFonts w:ascii="Times New Roman" w:hAnsi="Times New Roman" w:cs="Times New Roman"/>
              <w:noProof/>
              <w:sz w:val="24"/>
              <w:szCs w:val="24"/>
            </w:rPr>
          </w:pPr>
          <w:hyperlink w:anchor="_Toc520724131" w:history="1">
            <w:r w:rsidR="002B2202" w:rsidRPr="002B2202">
              <w:rPr>
                <w:rStyle w:val="Hyperlink"/>
                <w:rFonts w:ascii="Times New Roman" w:hAnsi="Times New Roman" w:cs="Times New Roman"/>
                <w:noProof/>
              </w:rPr>
              <w:t>Current policy</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_Toc520724131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165</w:t>
            </w:r>
            <w:r w:rsidR="002B2202" w:rsidRPr="007575D7">
              <w:rPr>
                <w:rFonts w:ascii="Times New Roman" w:hAnsi="Times New Roman" w:cs="Times New Roman"/>
                <w:noProof/>
                <w:webHidden/>
              </w:rPr>
              <w:fldChar w:fldCharType="end"/>
            </w:r>
          </w:hyperlink>
        </w:p>
        <w:p w14:paraId="39AA3A2E" w14:textId="0B199165" w:rsidR="002B2202" w:rsidRPr="007575D7" w:rsidRDefault="00B42297">
          <w:pPr>
            <w:pStyle w:val="TOC3"/>
            <w:tabs>
              <w:tab w:val="right" w:leader="dot" w:pos="8290"/>
            </w:tabs>
            <w:rPr>
              <w:rFonts w:ascii="Times New Roman" w:hAnsi="Times New Roman" w:cs="Times New Roman"/>
              <w:noProof/>
              <w:sz w:val="24"/>
              <w:szCs w:val="24"/>
            </w:rPr>
          </w:pPr>
          <w:hyperlink w:anchor="_Toc520724132" w:history="1">
            <w:r w:rsidR="002B2202" w:rsidRPr="002B2202">
              <w:rPr>
                <w:rStyle w:val="Hyperlink"/>
                <w:rFonts w:ascii="Times New Roman" w:hAnsi="Times New Roman" w:cs="Times New Roman"/>
                <w:noProof/>
              </w:rPr>
              <w:t>Reform scenario “middle way”</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_Toc520724132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166</w:t>
            </w:r>
            <w:r w:rsidR="002B2202" w:rsidRPr="007575D7">
              <w:rPr>
                <w:rFonts w:ascii="Times New Roman" w:hAnsi="Times New Roman" w:cs="Times New Roman"/>
                <w:noProof/>
                <w:webHidden/>
              </w:rPr>
              <w:fldChar w:fldCharType="end"/>
            </w:r>
          </w:hyperlink>
        </w:p>
        <w:p w14:paraId="5286C1B7" w14:textId="5E166324" w:rsidR="002B2202" w:rsidRPr="007575D7" w:rsidRDefault="00B42297">
          <w:pPr>
            <w:pStyle w:val="TOC2"/>
            <w:rPr>
              <w:rFonts w:ascii="Times New Roman" w:hAnsi="Times New Roman" w:cs="Times New Roman"/>
              <w:b w:val="0"/>
              <w:bCs w:val="0"/>
              <w:noProof/>
              <w:sz w:val="24"/>
              <w:szCs w:val="24"/>
            </w:rPr>
          </w:pPr>
          <w:hyperlink w:anchor="_Toc520724133" w:history="1">
            <w:r w:rsidR="002B2202" w:rsidRPr="002B2202">
              <w:rPr>
                <w:rStyle w:val="Hyperlink"/>
                <w:rFonts w:ascii="Times New Roman" w:hAnsi="Times New Roman" w:cs="Times New Roman"/>
                <w:noProof/>
              </w:rPr>
              <w:t>Annex 6: Telecommunications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_Toc520724133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168</w:t>
            </w:r>
            <w:r w:rsidR="002B2202" w:rsidRPr="007575D7">
              <w:rPr>
                <w:rFonts w:ascii="Times New Roman" w:hAnsi="Times New Roman" w:cs="Times New Roman"/>
                <w:noProof/>
                <w:webHidden/>
              </w:rPr>
              <w:fldChar w:fldCharType="end"/>
            </w:r>
          </w:hyperlink>
        </w:p>
        <w:p w14:paraId="16C25C81" w14:textId="6E10579A" w:rsidR="002B2202" w:rsidRPr="007575D7" w:rsidRDefault="00B42297">
          <w:pPr>
            <w:pStyle w:val="TOC2"/>
            <w:rPr>
              <w:rFonts w:ascii="Times New Roman" w:hAnsi="Times New Roman" w:cs="Times New Roman"/>
              <w:b w:val="0"/>
              <w:bCs w:val="0"/>
              <w:noProof/>
              <w:sz w:val="24"/>
              <w:szCs w:val="24"/>
            </w:rPr>
          </w:pPr>
          <w:hyperlink w:anchor="_Toc520724134" w:history="1">
            <w:r w:rsidR="002B2202" w:rsidRPr="002B2202">
              <w:rPr>
                <w:rStyle w:val="Hyperlink"/>
                <w:rFonts w:ascii="Times New Roman" w:hAnsi="Times New Roman" w:cs="Times New Roman"/>
                <w:noProof/>
              </w:rPr>
              <w:t>Annex 7: Review of the ECOWAS and WAEMU competition law frameworks</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_Toc520724134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170</w:t>
            </w:r>
            <w:r w:rsidR="002B2202" w:rsidRPr="007575D7">
              <w:rPr>
                <w:rFonts w:ascii="Times New Roman" w:hAnsi="Times New Roman" w:cs="Times New Roman"/>
                <w:noProof/>
                <w:webHidden/>
              </w:rPr>
              <w:fldChar w:fldCharType="end"/>
            </w:r>
          </w:hyperlink>
        </w:p>
        <w:p w14:paraId="39637E3B" w14:textId="36BF1058" w:rsidR="002B2202" w:rsidRPr="007575D7" w:rsidRDefault="00B42297">
          <w:pPr>
            <w:pStyle w:val="TOC3"/>
            <w:tabs>
              <w:tab w:val="right" w:leader="dot" w:pos="8290"/>
            </w:tabs>
            <w:rPr>
              <w:rFonts w:ascii="Times New Roman" w:hAnsi="Times New Roman" w:cs="Times New Roman"/>
              <w:noProof/>
              <w:sz w:val="24"/>
              <w:szCs w:val="24"/>
            </w:rPr>
          </w:pPr>
          <w:hyperlink w:anchor="_Toc520724135" w:history="1">
            <w:r w:rsidR="002B2202" w:rsidRPr="002B2202">
              <w:rPr>
                <w:rStyle w:val="Hyperlink"/>
                <w:rFonts w:ascii="Times New Roman" w:hAnsi="Times New Roman" w:cs="Times New Roman"/>
                <w:noProof/>
              </w:rPr>
              <w:t>ECOWAS competition law framework</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_Toc520724135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170</w:t>
            </w:r>
            <w:r w:rsidR="002B2202" w:rsidRPr="007575D7">
              <w:rPr>
                <w:rFonts w:ascii="Times New Roman" w:hAnsi="Times New Roman" w:cs="Times New Roman"/>
                <w:noProof/>
                <w:webHidden/>
              </w:rPr>
              <w:fldChar w:fldCharType="end"/>
            </w:r>
          </w:hyperlink>
        </w:p>
        <w:p w14:paraId="38EE6E35" w14:textId="4BDECAF7" w:rsidR="002B2202" w:rsidRPr="007575D7" w:rsidRDefault="00B42297">
          <w:pPr>
            <w:pStyle w:val="TOC3"/>
            <w:tabs>
              <w:tab w:val="right" w:leader="dot" w:pos="8290"/>
            </w:tabs>
            <w:rPr>
              <w:rFonts w:ascii="Times New Roman" w:hAnsi="Times New Roman" w:cs="Times New Roman"/>
              <w:noProof/>
              <w:sz w:val="24"/>
              <w:szCs w:val="24"/>
            </w:rPr>
          </w:pPr>
          <w:hyperlink w:anchor="_Toc520724136" w:history="1">
            <w:r w:rsidR="002B2202" w:rsidRPr="002B2202">
              <w:rPr>
                <w:rStyle w:val="Hyperlink"/>
                <w:rFonts w:ascii="Times New Roman" w:hAnsi="Times New Roman" w:cs="Times New Roman"/>
                <w:noProof/>
              </w:rPr>
              <w:t>WAEMU competition law framework</w:t>
            </w:r>
            <w:r w:rsidR="002B2202" w:rsidRPr="007575D7">
              <w:rPr>
                <w:rFonts w:ascii="Times New Roman" w:hAnsi="Times New Roman" w:cs="Times New Roman"/>
                <w:noProof/>
                <w:webHidden/>
              </w:rPr>
              <w:tab/>
            </w:r>
            <w:r w:rsidR="002B2202" w:rsidRPr="007575D7">
              <w:rPr>
                <w:rFonts w:ascii="Times New Roman" w:hAnsi="Times New Roman" w:cs="Times New Roman"/>
                <w:noProof/>
                <w:webHidden/>
              </w:rPr>
              <w:fldChar w:fldCharType="begin"/>
            </w:r>
            <w:r w:rsidR="002B2202" w:rsidRPr="007575D7">
              <w:rPr>
                <w:rFonts w:ascii="Times New Roman" w:hAnsi="Times New Roman" w:cs="Times New Roman"/>
                <w:noProof/>
                <w:webHidden/>
              </w:rPr>
              <w:instrText xml:space="preserve"> PAGEREF _Toc520724136 \h </w:instrText>
            </w:r>
            <w:r w:rsidR="002B2202" w:rsidRPr="007575D7">
              <w:rPr>
                <w:rFonts w:ascii="Times New Roman" w:hAnsi="Times New Roman" w:cs="Times New Roman"/>
                <w:noProof/>
                <w:webHidden/>
              </w:rPr>
            </w:r>
            <w:r w:rsidR="002B2202" w:rsidRPr="007575D7">
              <w:rPr>
                <w:rFonts w:ascii="Times New Roman" w:hAnsi="Times New Roman" w:cs="Times New Roman"/>
                <w:noProof/>
                <w:webHidden/>
              </w:rPr>
              <w:fldChar w:fldCharType="separate"/>
            </w:r>
            <w:r w:rsidR="008261B2">
              <w:rPr>
                <w:rFonts w:ascii="Times New Roman" w:hAnsi="Times New Roman" w:cs="Times New Roman"/>
                <w:noProof/>
                <w:webHidden/>
              </w:rPr>
              <w:t>174</w:t>
            </w:r>
            <w:r w:rsidR="002B2202" w:rsidRPr="007575D7">
              <w:rPr>
                <w:rFonts w:ascii="Times New Roman" w:hAnsi="Times New Roman" w:cs="Times New Roman"/>
                <w:noProof/>
                <w:webHidden/>
              </w:rPr>
              <w:fldChar w:fldCharType="end"/>
            </w:r>
          </w:hyperlink>
        </w:p>
        <w:p w14:paraId="3069D159" w14:textId="341EFE99" w:rsidR="00545490" w:rsidRPr="00C91EA2" w:rsidRDefault="00302297" w:rsidP="00545490">
          <w:pPr>
            <w:rPr>
              <w:rFonts w:ascii="Times New Roman" w:hAnsi="Times New Roman" w:cs="Times New Roman"/>
              <w:noProof/>
            </w:rPr>
          </w:pPr>
          <w:r w:rsidRPr="002B2202">
            <w:rPr>
              <w:rFonts w:ascii="Times New Roman" w:hAnsi="Times New Roman" w:cs="Times New Roman"/>
              <w:b/>
              <w:bCs/>
              <w:noProof/>
              <w:sz w:val="22"/>
              <w:szCs w:val="22"/>
            </w:rPr>
            <w:fldChar w:fldCharType="end"/>
          </w:r>
        </w:p>
      </w:sdtContent>
    </w:sdt>
    <w:p w14:paraId="66910558" w14:textId="77777777" w:rsidR="00545490" w:rsidRPr="00C91EA2" w:rsidRDefault="00545490" w:rsidP="008A75D3">
      <w:pPr>
        <w:pStyle w:val="Heading1"/>
        <w:rPr>
          <w:rFonts w:ascii="Times New Roman" w:hAnsi="Times New Roman" w:cs="Times New Roman"/>
        </w:rPr>
      </w:pPr>
      <w:r w:rsidRPr="00C91EA2">
        <w:rPr>
          <w:rFonts w:ascii="Times New Roman" w:hAnsi="Times New Roman" w:cs="Times New Roman"/>
        </w:rPr>
        <w:br w:type="page"/>
      </w:r>
    </w:p>
    <w:p w14:paraId="6486DBC8" w14:textId="77777777" w:rsidR="006829D8" w:rsidRPr="00C91EA2" w:rsidRDefault="006829D8" w:rsidP="008A75D3">
      <w:pPr>
        <w:pStyle w:val="Heading1"/>
        <w:rPr>
          <w:rFonts w:ascii="Times New Roman" w:hAnsi="Times New Roman" w:cs="Times New Roman"/>
        </w:rPr>
      </w:pPr>
      <w:bookmarkStart w:id="0" w:name="_Toc498114274"/>
      <w:bookmarkStart w:id="1" w:name="_Toc520724090"/>
      <w:r w:rsidRPr="00C91EA2">
        <w:rPr>
          <w:rFonts w:ascii="Times New Roman" w:hAnsi="Times New Roman" w:cs="Times New Roman"/>
        </w:rPr>
        <w:t>List</w:t>
      </w:r>
      <w:r w:rsidR="00AD53CA" w:rsidRPr="00C91EA2">
        <w:rPr>
          <w:rFonts w:ascii="Times New Roman" w:hAnsi="Times New Roman" w:cs="Times New Roman"/>
        </w:rPr>
        <w:t xml:space="preserve">s of Table, </w:t>
      </w:r>
      <w:r w:rsidRPr="00C91EA2">
        <w:rPr>
          <w:rFonts w:ascii="Times New Roman" w:hAnsi="Times New Roman" w:cs="Times New Roman"/>
        </w:rPr>
        <w:t>Figures</w:t>
      </w:r>
      <w:r w:rsidR="00AD53CA" w:rsidRPr="00C91EA2">
        <w:rPr>
          <w:rFonts w:ascii="Times New Roman" w:hAnsi="Times New Roman" w:cs="Times New Roman"/>
        </w:rPr>
        <w:t xml:space="preserve"> and Boxes</w:t>
      </w:r>
      <w:bookmarkEnd w:id="0"/>
      <w:bookmarkEnd w:id="1"/>
    </w:p>
    <w:p w14:paraId="24AA6731" w14:textId="77777777" w:rsidR="00AD53CA" w:rsidRPr="000C4A63" w:rsidRDefault="00AD53CA" w:rsidP="00AD53CA">
      <w:pPr>
        <w:pStyle w:val="Heading2"/>
        <w:rPr>
          <w:rFonts w:ascii="Times New Roman" w:hAnsi="Times New Roman" w:cs="Times New Roman"/>
          <w:b w:val="0"/>
        </w:rPr>
      </w:pPr>
      <w:bookmarkStart w:id="2" w:name="_Toc498114275"/>
      <w:bookmarkStart w:id="3" w:name="_Toc520724091"/>
      <w:r w:rsidRPr="000C4A63">
        <w:rPr>
          <w:rFonts w:ascii="Times New Roman" w:hAnsi="Times New Roman" w:cs="Times New Roman"/>
        </w:rPr>
        <w:t>List of Figures</w:t>
      </w:r>
      <w:bookmarkEnd w:id="2"/>
      <w:bookmarkEnd w:id="3"/>
    </w:p>
    <w:p w14:paraId="6BFBB69F" w14:textId="6BB0A6D8" w:rsidR="00144590" w:rsidRPr="007575D7" w:rsidRDefault="00AD53CA">
      <w:pPr>
        <w:pStyle w:val="TableofFigures"/>
        <w:tabs>
          <w:tab w:val="right" w:leader="dot" w:pos="8290"/>
        </w:tabs>
        <w:rPr>
          <w:rFonts w:ascii="Times New Roman" w:hAnsi="Times New Roman" w:cs="Times New Roman"/>
          <w:noProof/>
        </w:rPr>
      </w:pPr>
      <w:r w:rsidRPr="00144590">
        <w:rPr>
          <w:rFonts w:ascii="Times New Roman" w:hAnsi="Times New Roman" w:cs="Times New Roman"/>
        </w:rPr>
        <w:fldChar w:fldCharType="begin"/>
      </w:r>
      <w:r w:rsidRPr="00144590">
        <w:rPr>
          <w:rFonts w:ascii="Times New Roman" w:hAnsi="Times New Roman" w:cs="Times New Roman"/>
        </w:rPr>
        <w:instrText xml:space="preserve"> TOC \h \z \c "Figure" </w:instrText>
      </w:r>
      <w:r w:rsidRPr="00144590">
        <w:rPr>
          <w:rFonts w:ascii="Times New Roman" w:hAnsi="Times New Roman" w:cs="Times New Roman"/>
        </w:rPr>
        <w:fldChar w:fldCharType="separate"/>
      </w:r>
      <w:hyperlink w:anchor="_Toc520725557" w:history="1">
        <w:r w:rsidR="00144590" w:rsidRPr="00144590">
          <w:rPr>
            <w:rStyle w:val="Hyperlink"/>
            <w:rFonts w:ascii="Times New Roman" w:hAnsi="Times New Roman" w:cs="Times New Roman"/>
            <w:noProof/>
          </w:rPr>
          <w:t>Figure 1: High level overview of the MCPAT approach</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_Toc520725557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xii</w:t>
        </w:r>
        <w:r w:rsidR="00144590" w:rsidRPr="007575D7">
          <w:rPr>
            <w:rFonts w:ascii="Times New Roman" w:hAnsi="Times New Roman" w:cs="Times New Roman"/>
            <w:noProof/>
            <w:webHidden/>
          </w:rPr>
          <w:fldChar w:fldCharType="end"/>
        </w:r>
      </w:hyperlink>
    </w:p>
    <w:p w14:paraId="3299EFDE" w14:textId="095D2E3B" w:rsidR="00144590" w:rsidRPr="007575D7" w:rsidRDefault="00B42297">
      <w:pPr>
        <w:pStyle w:val="TableofFigures"/>
        <w:tabs>
          <w:tab w:val="right" w:leader="dot" w:pos="8290"/>
        </w:tabs>
        <w:rPr>
          <w:rFonts w:ascii="Times New Roman" w:hAnsi="Times New Roman" w:cs="Times New Roman"/>
          <w:noProof/>
        </w:rPr>
      </w:pPr>
      <w:hyperlink w:anchor="_Toc520725558" w:history="1">
        <w:r w:rsidR="00144590" w:rsidRPr="00144590">
          <w:rPr>
            <w:rStyle w:val="Hyperlink"/>
            <w:rFonts w:ascii="Times New Roman" w:hAnsi="Times New Roman" w:cs="Times New Roman"/>
            <w:noProof/>
          </w:rPr>
          <w:t>Figure 2: Economy-Wide PMR Methodology</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_Toc520725558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xiv</w:t>
        </w:r>
        <w:r w:rsidR="00144590" w:rsidRPr="007575D7">
          <w:rPr>
            <w:rFonts w:ascii="Times New Roman" w:hAnsi="Times New Roman" w:cs="Times New Roman"/>
            <w:noProof/>
            <w:webHidden/>
          </w:rPr>
          <w:fldChar w:fldCharType="end"/>
        </w:r>
      </w:hyperlink>
    </w:p>
    <w:p w14:paraId="5693F1A3" w14:textId="1D5E6825" w:rsidR="00144590" w:rsidRPr="007575D7" w:rsidRDefault="00B42297">
      <w:pPr>
        <w:pStyle w:val="TableofFigures"/>
        <w:tabs>
          <w:tab w:val="right" w:leader="dot" w:pos="8290"/>
        </w:tabs>
        <w:rPr>
          <w:rFonts w:ascii="Times New Roman" w:hAnsi="Times New Roman" w:cs="Times New Roman"/>
          <w:noProof/>
        </w:rPr>
      </w:pPr>
      <w:hyperlink w:anchor="_Toc520725559" w:history="1">
        <w:r w:rsidR="00144590" w:rsidRPr="00144590">
          <w:rPr>
            <w:rStyle w:val="Hyperlink"/>
            <w:rFonts w:ascii="Times New Roman" w:hAnsi="Times New Roman" w:cs="Times New Roman"/>
            <w:noProof/>
          </w:rPr>
          <w:t>Figure 3: Global exports of groundnuts (oil equivalent) and oil (1990-2016)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_Toc520725559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xviii</w:t>
        </w:r>
        <w:r w:rsidR="00144590" w:rsidRPr="007575D7">
          <w:rPr>
            <w:rFonts w:ascii="Times New Roman" w:hAnsi="Times New Roman" w:cs="Times New Roman"/>
            <w:noProof/>
            <w:webHidden/>
          </w:rPr>
          <w:fldChar w:fldCharType="end"/>
        </w:r>
      </w:hyperlink>
    </w:p>
    <w:p w14:paraId="04A9D9D4" w14:textId="013F67C9" w:rsidR="00144590" w:rsidRPr="007575D7" w:rsidRDefault="00B42297">
      <w:pPr>
        <w:pStyle w:val="TableofFigures"/>
        <w:tabs>
          <w:tab w:val="right" w:leader="dot" w:pos="8290"/>
        </w:tabs>
        <w:rPr>
          <w:rFonts w:ascii="Times New Roman" w:hAnsi="Times New Roman" w:cs="Times New Roman"/>
          <w:noProof/>
        </w:rPr>
      </w:pPr>
      <w:hyperlink w:anchor="_Toc520725560" w:history="1">
        <w:r w:rsidR="00144590" w:rsidRPr="007575D7">
          <w:rPr>
            <w:rStyle w:val="Hyperlink"/>
            <w:rFonts w:ascii="Times New Roman" w:hAnsi="Times New Roman" w:cs="Times New Roman"/>
            <w:noProof/>
          </w:rPr>
          <w:t>Figure 4: A virtuous circle between three key markets in the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xix</w:t>
        </w:r>
        <w:r w:rsidR="00144590" w:rsidRPr="007575D7">
          <w:rPr>
            <w:rFonts w:ascii="Times New Roman" w:hAnsi="Times New Roman" w:cs="Times New Roman"/>
            <w:noProof/>
            <w:webHidden/>
          </w:rPr>
          <w:fldChar w:fldCharType="end"/>
        </w:r>
      </w:hyperlink>
    </w:p>
    <w:p w14:paraId="031644CE" w14:textId="7978EE1D" w:rsidR="00144590" w:rsidRPr="007575D7" w:rsidRDefault="00B42297">
      <w:pPr>
        <w:pStyle w:val="TableofFigures"/>
        <w:tabs>
          <w:tab w:val="right" w:leader="dot" w:pos="8290"/>
        </w:tabs>
        <w:rPr>
          <w:rFonts w:ascii="Times New Roman" w:hAnsi="Times New Roman" w:cs="Times New Roman"/>
          <w:noProof/>
        </w:rPr>
      </w:pPr>
      <w:hyperlink w:anchor="_Toc520725561" w:history="1">
        <w:r w:rsidR="00144590" w:rsidRPr="00144590">
          <w:rPr>
            <w:rStyle w:val="Hyperlink"/>
            <w:rFonts w:ascii="Times New Roman" w:hAnsi="Times New Roman" w:cs="Times New Roman"/>
            <w:noProof/>
          </w:rPr>
          <w:t>Figure 5: Internet Penetration in Senegal vs. Peer Countries: % of People Using the Internet (2010-2016)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xxiii</w:t>
        </w:r>
        <w:r w:rsidR="00144590" w:rsidRPr="007575D7">
          <w:rPr>
            <w:rFonts w:ascii="Times New Roman" w:hAnsi="Times New Roman" w:cs="Times New Roman"/>
            <w:noProof/>
            <w:webHidden/>
          </w:rPr>
          <w:fldChar w:fldCharType="end"/>
        </w:r>
      </w:hyperlink>
    </w:p>
    <w:p w14:paraId="085A3B73" w14:textId="3DC473AF" w:rsidR="00144590" w:rsidRPr="007575D7" w:rsidRDefault="00B42297">
      <w:pPr>
        <w:pStyle w:val="TableofFigures"/>
        <w:tabs>
          <w:tab w:val="right" w:leader="dot" w:pos="8290"/>
        </w:tabs>
        <w:rPr>
          <w:rFonts w:ascii="Times New Roman" w:hAnsi="Times New Roman" w:cs="Times New Roman"/>
          <w:noProof/>
        </w:rPr>
      </w:pPr>
      <w:hyperlink w:anchor="_Toc520725562" w:history="1">
        <w:r w:rsidR="00144590" w:rsidRPr="007575D7">
          <w:rPr>
            <w:rStyle w:val="Hyperlink"/>
            <w:rFonts w:ascii="Times New Roman" w:hAnsi="Times New Roman" w:cs="Times New Roman"/>
            <w:noProof/>
          </w:rPr>
          <w:t>Figure 6:</w:t>
        </w:r>
        <w:r w:rsidR="00144590" w:rsidRPr="00144590">
          <w:rPr>
            <w:rStyle w:val="Hyperlink"/>
            <w:rFonts w:ascii="Times New Roman" w:hAnsi="Times New Roman" w:cs="Times New Roman"/>
            <w:noProof/>
          </w:rPr>
          <w:t xml:space="preserve"> </w:t>
        </w:r>
        <w:r w:rsidR="00144590" w:rsidRPr="007575D7">
          <w:rPr>
            <w:rStyle w:val="Hyperlink"/>
            <w:rFonts w:ascii="Times New Roman" w:hAnsi="Times New Roman" w:cs="Times New Roman"/>
            <w:noProof/>
          </w:rPr>
          <w:t>Fixed broadband (USD/month)</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xxiv</w:t>
        </w:r>
        <w:r w:rsidR="00144590" w:rsidRPr="007575D7">
          <w:rPr>
            <w:rFonts w:ascii="Times New Roman" w:hAnsi="Times New Roman" w:cs="Times New Roman"/>
            <w:noProof/>
            <w:webHidden/>
          </w:rPr>
          <w:fldChar w:fldCharType="end"/>
        </w:r>
      </w:hyperlink>
    </w:p>
    <w:p w14:paraId="08A76F7E" w14:textId="17E1A1BB" w:rsidR="00144590" w:rsidRPr="007575D7" w:rsidRDefault="00B42297">
      <w:pPr>
        <w:pStyle w:val="TableofFigures"/>
        <w:tabs>
          <w:tab w:val="right" w:leader="dot" w:pos="8290"/>
        </w:tabs>
        <w:rPr>
          <w:rFonts w:ascii="Times New Roman" w:hAnsi="Times New Roman" w:cs="Times New Roman"/>
          <w:noProof/>
        </w:rPr>
      </w:pPr>
      <w:hyperlink w:anchor="_Toc520725563" w:history="1">
        <w:r w:rsidR="00144590" w:rsidRPr="007575D7">
          <w:rPr>
            <w:rStyle w:val="Hyperlink"/>
            <w:rFonts w:ascii="Times New Roman" w:hAnsi="Times New Roman" w:cs="Times New Roman"/>
            <w:noProof/>
          </w:rPr>
          <w:t>Figure 7:</w:t>
        </w:r>
        <w:r w:rsidR="00144590" w:rsidRPr="00144590">
          <w:rPr>
            <w:rStyle w:val="Hyperlink"/>
            <w:rFonts w:ascii="Times New Roman" w:hAnsi="Times New Roman" w:cs="Times New Roman"/>
            <w:noProof/>
          </w:rPr>
          <w:t xml:space="preserve"> </w:t>
        </w:r>
        <w:r w:rsidR="00144590" w:rsidRPr="007575D7">
          <w:rPr>
            <w:rStyle w:val="Hyperlink"/>
            <w:rFonts w:ascii="Times New Roman" w:hAnsi="Times New Roman" w:cs="Times New Roman"/>
            <w:noProof/>
          </w:rPr>
          <w:t>Fixed broadband download speed (Mbps)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xxiv</w:t>
        </w:r>
        <w:r w:rsidR="00144590" w:rsidRPr="007575D7">
          <w:rPr>
            <w:rFonts w:ascii="Times New Roman" w:hAnsi="Times New Roman" w:cs="Times New Roman"/>
            <w:noProof/>
            <w:webHidden/>
          </w:rPr>
          <w:fldChar w:fldCharType="end"/>
        </w:r>
      </w:hyperlink>
    </w:p>
    <w:p w14:paraId="1A6CEE89" w14:textId="76A1947A" w:rsidR="00144590" w:rsidRPr="007575D7" w:rsidRDefault="00B42297">
      <w:pPr>
        <w:pStyle w:val="TableofFigures"/>
        <w:tabs>
          <w:tab w:val="right" w:leader="dot" w:pos="8290"/>
        </w:tabs>
        <w:rPr>
          <w:rFonts w:ascii="Times New Roman" w:hAnsi="Times New Roman" w:cs="Times New Roman"/>
          <w:noProof/>
        </w:rPr>
      </w:pPr>
      <w:hyperlink w:anchor="_Toc520725564" w:history="1">
        <w:r w:rsidR="00144590" w:rsidRPr="00144590">
          <w:rPr>
            <w:rStyle w:val="Hyperlink"/>
            <w:rFonts w:ascii="Times New Roman" w:hAnsi="Times New Roman" w:cs="Times New Roman"/>
            <w:noProof/>
          </w:rPr>
          <w:t>Figure 8: Bottlenecks along the Senegalese telecommunications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xxv</w:t>
        </w:r>
        <w:r w:rsidR="00144590" w:rsidRPr="007575D7">
          <w:rPr>
            <w:rFonts w:ascii="Times New Roman" w:hAnsi="Times New Roman" w:cs="Times New Roman"/>
            <w:noProof/>
            <w:webHidden/>
          </w:rPr>
          <w:fldChar w:fldCharType="end"/>
        </w:r>
      </w:hyperlink>
    </w:p>
    <w:p w14:paraId="6007CA13" w14:textId="76605636" w:rsidR="00144590" w:rsidRPr="007575D7" w:rsidRDefault="00B42297">
      <w:pPr>
        <w:pStyle w:val="TableofFigures"/>
        <w:tabs>
          <w:tab w:val="right" w:leader="dot" w:pos="8290"/>
        </w:tabs>
        <w:rPr>
          <w:rFonts w:ascii="Times New Roman" w:hAnsi="Times New Roman" w:cs="Times New Roman"/>
          <w:noProof/>
        </w:rPr>
      </w:pPr>
      <w:hyperlink w:anchor="_Toc520725565" w:history="1">
        <w:r w:rsidR="00144590" w:rsidRPr="00144590">
          <w:rPr>
            <w:rStyle w:val="Hyperlink"/>
            <w:rFonts w:ascii="Times New Roman" w:hAnsi="Times New Roman" w:cs="Times New Roman"/>
            <w:noProof/>
          </w:rPr>
          <w:t>Figure 9: Senegal GDP Growth (2000-2020)</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w:t>
        </w:r>
        <w:r w:rsidR="00144590" w:rsidRPr="007575D7">
          <w:rPr>
            <w:rFonts w:ascii="Times New Roman" w:hAnsi="Times New Roman" w:cs="Times New Roman"/>
            <w:noProof/>
            <w:webHidden/>
          </w:rPr>
          <w:fldChar w:fldCharType="end"/>
        </w:r>
      </w:hyperlink>
    </w:p>
    <w:p w14:paraId="25E018B7" w14:textId="4F38C169" w:rsidR="00144590" w:rsidRPr="007575D7" w:rsidRDefault="00B42297">
      <w:pPr>
        <w:pStyle w:val="TableofFigures"/>
        <w:tabs>
          <w:tab w:val="right" w:leader="dot" w:pos="8290"/>
        </w:tabs>
        <w:rPr>
          <w:rFonts w:ascii="Times New Roman" w:hAnsi="Times New Roman" w:cs="Times New Roman"/>
          <w:noProof/>
        </w:rPr>
      </w:pPr>
      <w:hyperlink w:anchor="_Toc520725566" w:history="1">
        <w:r w:rsidR="00144590" w:rsidRPr="00144590">
          <w:rPr>
            <w:rStyle w:val="Hyperlink"/>
            <w:rFonts w:ascii="Times New Roman" w:hAnsi="Times New Roman" w:cs="Times New Roman"/>
            <w:noProof/>
          </w:rPr>
          <w:t>Figure 10: Sectoral contribution to GDP (2016)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w:t>
        </w:r>
        <w:r w:rsidR="00144590" w:rsidRPr="007575D7">
          <w:rPr>
            <w:rFonts w:ascii="Times New Roman" w:hAnsi="Times New Roman" w:cs="Times New Roman"/>
            <w:noProof/>
            <w:webHidden/>
          </w:rPr>
          <w:fldChar w:fldCharType="end"/>
        </w:r>
      </w:hyperlink>
    </w:p>
    <w:p w14:paraId="2120E7D8" w14:textId="4D714BB1" w:rsidR="00144590" w:rsidRPr="007575D7" w:rsidRDefault="00B42297">
      <w:pPr>
        <w:pStyle w:val="TableofFigures"/>
        <w:tabs>
          <w:tab w:val="right" w:leader="dot" w:pos="8290"/>
        </w:tabs>
        <w:rPr>
          <w:rFonts w:ascii="Times New Roman" w:hAnsi="Times New Roman" w:cs="Times New Roman"/>
          <w:noProof/>
        </w:rPr>
      </w:pPr>
      <w:hyperlink w:anchor="_Toc520725567" w:history="1">
        <w:r w:rsidR="00144590" w:rsidRPr="00144590">
          <w:rPr>
            <w:rStyle w:val="Hyperlink"/>
            <w:rFonts w:ascii="Times New Roman" w:hAnsi="Times New Roman" w:cs="Times New Roman"/>
            <w:noProof/>
          </w:rPr>
          <w:t>Figure 11: Labor Productivity in Senegal Compared to Best Performing Middle-Income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4</w:t>
        </w:r>
        <w:r w:rsidR="00144590" w:rsidRPr="007575D7">
          <w:rPr>
            <w:rFonts w:ascii="Times New Roman" w:hAnsi="Times New Roman" w:cs="Times New Roman"/>
            <w:noProof/>
            <w:webHidden/>
          </w:rPr>
          <w:fldChar w:fldCharType="end"/>
        </w:r>
      </w:hyperlink>
    </w:p>
    <w:p w14:paraId="066B0843" w14:textId="369CE924" w:rsidR="00144590" w:rsidRPr="007575D7" w:rsidRDefault="00B42297">
      <w:pPr>
        <w:pStyle w:val="TableofFigures"/>
        <w:tabs>
          <w:tab w:val="right" w:leader="dot" w:pos="8290"/>
        </w:tabs>
        <w:rPr>
          <w:rFonts w:ascii="Times New Roman" w:hAnsi="Times New Roman" w:cs="Times New Roman"/>
          <w:noProof/>
        </w:rPr>
      </w:pPr>
      <w:hyperlink w:anchor="_Toc520725568" w:history="1">
        <w:r w:rsidR="00144590" w:rsidRPr="00144590">
          <w:rPr>
            <w:rStyle w:val="Hyperlink"/>
            <w:rFonts w:ascii="Times New Roman" w:hAnsi="Times New Roman" w:cs="Times New Roman"/>
            <w:noProof/>
          </w:rPr>
          <w:t>Figure 12: A Comprehensive Competition Policy Framework</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7</w:t>
        </w:r>
        <w:r w:rsidR="00144590" w:rsidRPr="007575D7">
          <w:rPr>
            <w:rFonts w:ascii="Times New Roman" w:hAnsi="Times New Roman" w:cs="Times New Roman"/>
            <w:noProof/>
            <w:webHidden/>
          </w:rPr>
          <w:fldChar w:fldCharType="end"/>
        </w:r>
      </w:hyperlink>
    </w:p>
    <w:p w14:paraId="5328AE0F" w14:textId="34EC2F2D" w:rsidR="00144590" w:rsidRPr="007575D7" w:rsidRDefault="00B42297">
      <w:pPr>
        <w:pStyle w:val="TableofFigures"/>
        <w:tabs>
          <w:tab w:val="right" w:leader="dot" w:pos="8290"/>
        </w:tabs>
        <w:rPr>
          <w:rFonts w:ascii="Times New Roman" w:hAnsi="Times New Roman" w:cs="Times New Roman"/>
          <w:noProof/>
        </w:rPr>
      </w:pPr>
      <w:hyperlink w:anchor="_Toc520725569" w:history="1">
        <w:r w:rsidR="00144590" w:rsidRPr="00144590">
          <w:rPr>
            <w:rStyle w:val="Hyperlink"/>
            <w:rFonts w:ascii="Times New Roman" w:hAnsi="Times New Roman" w:cs="Times New Roman"/>
            <w:noProof/>
          </w:rPr>
          <w:t>Figure 13: High level overview of the MCPAT approach</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_Toc520725569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11</w:t>
        </w:r>
        <w:r w:rsidR="00144590" w:rsidRPr="007575D7">
          <w:rPr>
            <w:rFonts w:ascii="Times New Roman" w:hAnsi="Times New Roman" w:cs="Times New Roman"/>
            <w:noProof/>
            <w:webHidden/>
          </w:rPr>
          <w:fldChar w:fldCharType="end"/>
        </w:r>
      </w:hyperlink>
    </w:p>
    <w:p w14:paraId="5AAA465F" w14:textId="54599F77" w:rsidR="00144590" w:rsidRPr="007575D7" w:rsidRDefault="00B42297">
      <w:pPr>
        <w:pStyle w:val="TableofFigures"/>
        <w:tabs>
          <w:tab w:val="right" w:leader="dot" w:pos="8290"/>
        </w:tabs>
        <w:rPr>
          <w:rFonts w:ascii="Times New Roman" w:hAnsi="Times New Roman" w:cs="Times New Roman"/>
          <w:noProof/>
        </w:rPr>
      </w:pPr>
      <w:hyperlink w:anchor="_Toc520725570" w:history="1">
        <w:r w:rsidR="00144590" w:rsidRPr="00144590">
          <w:rPr>
            <w:rStyle w:val="Hyperlink"/>
            <w:rFonts w:ascii="Times New Roman" w:hAnsi="Times New Roman" w:cs="Times New Roman"/>
            <w:noProof/>
          </w:rPr>
          <w:t>Figure 14: MCPAT Typology of competition restrictions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12</w:t>
        </w:r>
        <w:r w:rsidR="00144590" w:rsidRPr="007575D7">
          <w:rPr>
            <w:rFonts w:ascii="Times New Roman" w:hAnsi="Times New Roman" w:cs="Times New Roman"/>
            <w:noProof/>
            <w:webHidden/>
          </w:rPr>
          <w:fldChar w:fldCharType="end"/>
        </w:r>
      </w:hyperlink>
    </w:p>
    <w:p w14:paraId="515A8AF2" w14:textId="0B14F583" w:rsidR="00144590" w:rsidRPr="007575D7" w:rsidRDefault="00B42297">
      <w:pPr>
        <w:pStyle w:val="TableofFigures"/>
        <w:tabs>
          <w:tab w:val="right" w:leader="dot" w:pos="8290"/>
        </w:tabs>
        <w:rPr>
          <w:rFonts w:ascii="Times New Roman" w:hAnsi="Times New Roman" w:cs="Times New Roman"/>
          <w:noProof/>
        </w:rPr>
      </w:pPr>
      <w:hyperlink w:anchor="_Toc520725571" w:history="1">
        <w:r w:rsidR="00144590" w:rsidRPr="00144590">
          <w:rPr>
            <w:rStyle w:val="Hyperlink"/>
            <w:rFonts w:ascii="Times New Roman" w:hAnsi="Times New Roman" w:cs="Times New Roman"/>
            <w:noProof/>
          </w:rPr>
          <w:t>Figure 15: Justified Ex Ante Government Interventions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13</w:t>
        </w:r>
        <w:r w:rsidR="00144590" w:rsidRPr="007575D7">
          <w:rPr>
            <w:rFonts w:ascii="Times New Roman" w:hAnsi="Times New Roman" w:cs="Times New Roman"/>
            <w:noProof/>
            <w:webHidden/>
          </w:rPr>
          <w:fldChar w:fldCharType="end"/>
        </w:r>
      </w:hyperlink>
    </w:p>
    <w:p w14:paraId="199136FD" w14:textId="3C765CAE" w:rsidR="00144590" w:rsidRPr="007575D7" w:rsidRDefault="00B42297">
      <w:pPr>
        <w:pStyle w:val="TableofFigures"/>
        <w:tabs>
          <w:tab w:val="right" w:leader="dot" w:pos="8290"/>
        </w:tabs>
        <w:rPr>
          <w:rFonts w:ascii="Times New Roman" w:hAnsi="Times New Roman" w:cs="Times New Roman"/>
          <w:noProof/>
        </w:rPr>
      </w:pPr>
      <w:hyperlink w:anchor="_Toc520725572" w:history="1">
        <w:r w:rsidR="00144590" w:rsidRPr="00144590">
          <w:rPr>
            <w:rStyle w:val="Hyperlink"/>
            <w:rFonts w:ascii="Times New Roman" w:hAnsi="Times New Roman" w:cs="Times New Roman"/>
            <w:noProof/>
          </w:rPr>
          <w:t>Figure 16: Economy-Wide PMR Methodology</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16</w:t>
        </w:r>
        <w:r w:rsidR="00144590" w:rsidRPr="007575D7">
          <w:rPr>
            <w:rFonts w:ascii="Times New Roman" w:hAnsi="Times New Roman" w:cs="Times New Roman"/>
            <w:noProof/>
            <w:webHidden/>
          </w:rPr>
          <w:fldChar w:fldCharType="end"/>
        </w:r>
      </w:hyperlink>
    </w:p>
    <w:p w14:paraId="72F74FEA" w14:textId="3ECDB2CD" w:rsidR="00144590" w:rsidRPr="007575D7" w:rsidRDefault="00B42297">
      <w:pPr>
        <w:pStyle w:val="TableofFigures"/>
        <w:tabs>
          <w:tab w:val="right" w:leader="dot" w:pos="8290"/>
        </w:tabs>
        <w:rPr>
          <w:rFonts w:ascii="Times New Roman" w:hAnsi="Times New Roman" w:cs="Times New Roman"/>
          <w:noProof/>
        </w:rPr>
      </w:pPr>
      <w:hyperlink w:anchor="_Toc520725573" w:history="1">
        <w:r w:rsidR="00144590" w:rsidRPr="00144590">
          <w:rPr>
            <w:rStyle w:val="Hyperlink"/>
            <w:rFonts w:ascii="Times New Roman" w:hAnsi="Times New Roman" w:cs="Times New Roman"/>
            <w:noProof/>
          </w:rPr>
          <w:t>Figure 17: Product Market Regulation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17</w:t>
        </w:r>
        <w:r w:rsidR="00144590" w:rsidRPr="007575D7">
          <w:rPr>
            <w:rFonts w:ascii="Times New Roman" w:hAnsi="Times New Roman" w:cs="Times New Roman"/>
            <w:noProof/>
            <w:webHidden/>
          </w:rPr>
          <w:fldChar w:fldCharType="end"/>
        </w:r>
      </w:hyperlink>
    </w:p>
    <w:p w14:paraId="14C1B334" w14:textId="68B21B31" w:rsidR="00144590" w:rsidRPr="007575D7" w:rsidRDefault="00B42297">
      <w:pPr>
        <w:pStyle w:val="TableofFigures"/>
        <w:tabs>
          <w:tab w:val="right" w:leader="dot" w:pos="8290"/>
        </w:tabs>
        <w:rPr>
          <w:rFonts w:ascii="Times New Roman" w:hAnsi="Times New Roman" w:cs="Times New Roman"/>
          <w:noProof/>
        </w:rPr>
      </w:pPr>
      <w:hyperlink w:anchor="_Toc520725574" w:history="1">
        <w:r w:rsidR="00144590" w:rsidRPr="00144590">
          <w:rPr>
            <w:rStyle w:val="Hyperlink"/>
            <w:rFonts w:ascii="Times New Roman" w:hAnsi="Times New Roman" w:cs="Times New Roman"/>
            <w:noProof/>
          </w:rPr>
          <w:t>Figure 18: Relationship between PMR and Global Competitiveness Index</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18</w:t>
        </w:r>
        <w:r w:rsidR="00144590" w:rsidRPr="007575D7">
          <w:rPr>
            <w:rFonts w:ascii="Times New Roman" w:hAnsi="Times New Roman" w:cs="Times New Roman"/>
            <w:noProof/>
            <w:webHidden/>
          </w:rPr>
          <w:fldChar w:fldCharType="end"/>
        </w:r>
      </w:hyperlink>
    </w:p>
    <w:p w14:paraId="66049AA5" w14:textId="4D022623" w:rsidR="00144590" w:rsidRPr="007575D7" w:rsidRDefault="00B42297">
      <w:pPr>
        <w:pStyle w:val="TableofFigures"/>
        <w:tabs>
          <w:tab w:val="right" w:leader="dot" w:pos="8290"/>
        </w:tabs>
        <w:rPr>
          <w:rFonts w:ascii="Times New Roman" w:hAnsi="Times New Roman" w:cs="Times New Roman"/>
          <w:noProof/>
        </w:rPr>
      </w:pPr>
      <w:hyperlink w:anchor="_Toc520725575" w:history="1">
        <w:r w:rsidR="00144590" w:rsidRPr="00144590">
          <w:rPr>
            <w:rStyle w:val="Hyperlink"/>
            <w:rFonts w:ascii="Times New Roman" w:hAnsi="Times New Roman" w:cs="Times New Roman"/>
            <w:noProof/>
          </w:rPr>
          <w:t>Figure 19: Relationship between PMR and Exports (% of GDP)</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18</w:t>
        </w:r>
        <w:r w:rsidR="00144590" w:rsidRPr="007575D7">
          <w:rPr>
            <w:rFonts w:ascii="Times New Roman" w:hAnsi="Times New Roman" w:cs="Times New Roman"/>
            <w:noProof/>
            <w:webHidden/>
          </w:rPr>
          <w:fldChar w:fldCharType="end"/>
        </w:r>
      </w:hyperlink>
    </w:p>
    <w:p w14:paraId="59AD9417" w14:textId="0A4441C2" w:rsidR="00144590" w:rsidRPr="007575D7" w:rsidRDefault="00B42297">
      <w:pPr>
        <w:pStyle w:val="TableofFigures"/>
        <w:tabs>
          <w:tab w:val="right" w:leader="dot" w:pos="8290"/>
        </w:tabs>
        <w:rPr>
          <w:rFonts w:ascii="Times New Roman" w:hAnsi="Times New Roman" w:cs="Times New Roman"/>
          <w:noProof/>
        </w:rPr>
      </w:pPr>
      <w:hyperlink w:anchor="_Toc520725576" w:history="1">
        <w:r w:rsidR="00144590" w:rsidRPr="00144590">
          <w:rPr>
            <w:rStyle w:val="Hyperlink"/>
            <w:rFonts w:ascii="Times New Roman" w:hAnsi="Times New Roman" w:cs="Times New Roman"/>
            <w:noProof/>
          </w:rPr>
          <w:t>Figure 20: Overall PMR Score</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19</w:t>
        </w:r>
        <w:r w:rsidR="00144590" w:rsidRPr="007575D7">
          <w:rPr>
            <w:rFonts w:ascii="Times New Roman" w:hAnsi="Times New Roman" w:cs="Times New Roman"/>
            <w:noProof/>
            <w:webHidden/>
          </w:rPr>
          <w:fldChar w:fldCharType="end"/>
        </w:r>
      </w:hyperlink>
    </w:p>
    <w:p w14:paraId="731722A0" w14:textId="1E3E872E" w:rsidR="00144590" w:rsidRPr="007575D7" w:rsidRDefault="00B42297">
      <w:pPr>
        <w:pStyle w:val="TableofFigures"/>
        <w:tabs>
          <w:tab w:val="right" w:leader="dot" w:pos="8290"/>
        </w:tabs>
        <w:rPr>
          <w:rFonts w:ascii="Times New Roman" w:hAnsi="Times New Roman" w:cs="Times New Roman"/>
          <w:noProof/>
        </w:rPr>
      </w:pPr>
      <w:hyperlink w:anchor="_Toc520725577" w:history="1">
        <w:r w:rsidR="00144590" w:rsidRPr="00144590">
          <w:rPr>
            <w:rStyle w:val="Hyperlink"/>
            <w:rFonts w:ascii="Times New Roman" w:hAnsi="Times New Roman" w:cs="Times New Roman"/>
            <w:noProof/>
          </w:rPr>
          <w:t>Figure 21: Senegal’s PMR Score Broken Down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19</w:t>
        </w:r>
        <w:r w:rsidR="00144590" w:rsidRPr="007575D7">
          <w:rPr>
            <w:rFonts w:ascii="Times New Roman" w:hAnsi="Times New Roman" w:cs="Times New Roman"/>
            <w:noProof/>
            <w:webHidden/>
          </w:rPr>
          <w:fldChar w:fldCharType="end"/>
        </w:r>
      </w:hyperlink>
    </w:p>
    <w:p w14:paraId="59984005" w14:textId="7B9C3912" w:rsidR="00144590" w:rsidRPr="007575D7" w:rsidRDefault="00B42297">
      <w:pPr>
        <w:pStyle w:val="TableofFigures"/>
        <w:tabs>
          <w:tab w:val="right" w:leader="dot" w:pos="8290"/>
        </w:tabs>
        <w:rPr>
          <w:rFonts w:ascii="Times New Roman" w:hAnsi="Times New Roman" w:cs="Times New Roman"/>
          <w:noProof/>
        </w:rPr>
      </w:pPr>
      <w:hyperlink w:anchor="_Toc520725578" w:history="1">
        <w:r w:rsidR="00144590" w:rsidRPr="00144590">
          <w:rPr>
            <w:rStyle w:val="Hyperlink"/>
            <w:rFonts w:ascii="Times New Roman" w:hAnsi="Times New Roman" w:cs="Times New Roman"/>
            <w:noProof/>
          </w:rPr>
          <w:t>Figure 22: State Control Indicator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21</w:t>
        </w:r>
        <w:r w:rsidR="00144590" w:rsidRPr="007575D7">
          <w:rPr>
            <w:rFonts w:ascii="Times New Roman" w:hAnsi="Times New Roman" w:cs="Times New Roman"/>
            <w:noProof/>
            <w:webHidden/>
          </w:rPr>
          <w:fldChar w:fldCharType="end"/>
        </w:r>
      </w:hyperlink>
    </w:p>
    <w:p w14:paraId="40DCEF3C" w14:textId="2FC46D3C" w:rsidR="00144590" w:rsidRPr="007575D7" w:rsidRDefault="00B42297">
      <w:pPr>
        <w:pStyle w:val="TableofFigures"/>
        <w:tabs>
          <w:tab w:val="right" w:leader="dot" w:pos="8290"/>
        </w:tabs>
        <w:rPr>
          <w:rFonts w:ascii="Times New Roman" w:hAnsi="Times New Roman" w:cs="Times New Roman"/>
          <w:noProof/>
        </w:rPr>
      </w:pPr>
      <w:hyperlink w:anchor="_Toc520725579" w:history="1">
        <w:r w:rsidR="00144590" w:rsidRPr="00144590">
          <w:rPr>
            <w:rStyle w:val="Hyperlink"/>
            <w:rFonts w:ascii="Times New Roman" w:hAnsi="Times New Roman" w:cs="Times New Roman"/>
            <w:noProof/>
          </w:rPr>
          <w:t>Figure 23: Composition of Senegal's State Control Indicator</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_Toc520725579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21</w:t>
        </w:r>
        <w:r w:rsidR="00144590" w:rsidRPr="007575D7">
          <w:rPr>
            <w:rFonts w:ascii="Times New Roman" w:hAnsi="Times New Roman" w:cs="Times New Roman"/>
            <w:noProof/>
            <w:webHidden/>
          </w:rPr>
          <w:fldChar w:fldCharType="end"/>
        </w:r>
      </w:hyperlink>
    </w:p>
    <w:p w14:paraId="76D2AE74" w14:textId="0926C997" w:rsidR="00144590" w:rsidRPr="007575D7" w:rsidRDefault="00B42297">
      <w:pPr>
        <w:pStyle w:val="TableofFigures"/>
        <w:tabs>
          <w:tab w:val="right" w:leader="dot" w:pos="8290"/>
        </w:tabs>
        <w:rPr>
          <w:rFonts w:ascii="Times New Roman" w:hAnsi="Times New Roman" w:cs="Times New Roman"/>
          <w:noProof/>
        </w:rPr>
      </w:pPr>
      <w:hyperlink w:anchor="_Toc520725580" w:history="1">
        <w:r w:rsidR="00144590" w:rsidRPr="00144590">
          <w:rPr>
            <w:rStyle w:val="Hyperlink"/>
            <w:rFonts w:ascii="Times New Roman" w:hAnsi="Times New Roman" w:cs="Times New Roman"/>
            <w:noProof/>
          </w:rPr>
          <w:t>Figure 24: Public Ownership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22</w:t>
        </w:r>
        <w:r w:rsidR="00144590" w:rsidRPr="007575D7">
          <w:rPr>
            <w:rFonts w:ascii="Times New Roman" w:hAnsi="Times New Roman" w:cs="Times New Roman"/>
            <w:noProof/>
            <w:webHidden/>
          </w:rPr>
          <w:fldChar w:fldCharType="end"/>
        </w:r>
      </w:hyperlink>
    </w:p>
    <w:p w14:paraId="0B7B9A4B" w14:textId="7BDB9F18" w:rsidR="00144590" w:rsidRPr="007575D7" w:rsidRDefault="00B42297">
      <w:pPr>
        <w:pStyle w:val="TableofFigures"/>
        <w:tabs>
          <w:tab w:val="right" w:leader="dot" w:pos="8290"/>
        </w:tabs>
        <w:rPr>
          <w:rFonts w:ascii="Times New Roman" w:hAnsi="Times New Roman" w:cs="Times New Roman"/>
          <w:noProof/>
        </w:rPr>
      </w:pPr>
      <w:hyperlink w:anchor="_Toc520725581" w:history="1">
        <w:r w:rsidR="00144590" w:rsidRPr="00144590">
          <w:rPr>
            <w:rStyle w:val="Hyperlink"/>
            <w:rFonts w:ascii="Times New Roman" w:hAnsi="Times New Roman" w:cs="Times New Roman"/>
            <w:noProof/>
          </w:rPr>
          <w:t>Figure 25: Number of Sectors/Markets with at least one SOEs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24</w:t>
        </w:r>
        <w:r w:rsidR="00144590" w:rsidRPr="007575D7">
          <w:rPr>
            <w:rFonts w:ascii="Times New Roman" w:hAnsi="Times New Roman" w:cs="Times New Roman"/>
            <w:noProof/>
            <w:webHidden/>
          </w:rPr>
          <w:fldChar w:fldCharType="end"/>
        </w:r>
      </w:hyperlink>
    </w:p>
    <w:p w14:paraId="1FDAF65B" w14:textId="6AD9A712" w:rsidR="00144590" w:rsidRPr="007575D7" w:rsidRDefault="00B42297">
      <w:pPr>
        <w:pStyle w:val="TableofFigures"/>
        <w:tabs>
          <w:tab w:val="right" w:leader="dot" w:pos="8290"/>
        </w:tabs>
        <w:rPr>
          <w:rFonts w:ascii="Times New Roman" w:hAnsi="Times New Roman" w:cs="Times New Roman"/>
          <w:noProof/>
        </w:rPr>
      </w:pPr>
      <w:hyperlink w:anchor="_Toc520725582" w:history="1">
        <w:r w:rsidR="00144590" w:rsidRPr="00144590">
          <w:rPr>
            <w:rStyle w:val="Hyperlink"/>
            <w:rFonts w:ascii="Times New Roman" w:hAnsi="Times New Roman" w:cs="Times New Roman"/>
            <w:noProof/>
          </w:rPr>
          <w:t>Figure 26: Governance of SOEs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26</w:t>
        </w:r>
        <w:r w:rsidR="00144590" w:rsidRPr="007575D7">
          <w:rPr>
            <w:rFonts w:ascii="Times New Roman" w:hAnsi="Times New Roman" w:cs="Times New Roman"/>
            <w:noProof/>
            <w:webHidden/>
          </w:rPr>
          <w:fldChar w:fldCharType="end"/>
        </w:r>
      </w:hyperlink>
    </w:p>
    <w:p w14:paraId="2E29C2FF" w14:textId="6DC969C6" w:rsidR="00144590" w:rsidRPr="007575D7" w:rsidRDefault="00B42297">
      <w:pPr>
        <w:pStyle w:val="TableofFigures"/>
        <w:tabs>
          <w:tab w:val="right" w:leader="dot" w:pos="8290"/>
        </w:tabs>
        <w:rPr>
          <w:rFonts w:ascii="Times New Roman" w:hAnsi="Times New Roman" w:cs="Times New Roman"/>
          <w:noProof/>
        </w:rPr>
      </w:pPr>
      <w:hyperlink w:anchor="_Toc520725583" w:history="1">
        <w:r w:rsidR="00144590" w:rsidRPr="00144590">
          <w:rPr>
            <w:rStyle w:val="Hyperlink"/>
            <w:rFonts w:ascii="Times New Roman" w:hAnsi="Times New Roman" w:cs="Times New Roman"/>
            <w:noProof/>
          </w:rPr>
          <w:t>Figure 27: Government Involvement in Network Industries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27</w:t>
        </w:r>
        <w:r w:rsidR="00144590" w:rsidRPr="007575D7">
          <w:rPr>
            <w:rFonts w:ascii="Times New Roman" w:hAnsi="Times New Roman" w:cs="Times New Roman"/>
            <w:noProof/>
            <w:webHidden/>
          </w:rPr>
          <w:fldChar w:fldCharType="end"/>
        </w:r>
      </w:hyperlink>
    </w:p>
    <w:p w14:paraId="132A847C" w14:textId="06DAAFB1" w:rsidR="00144590" w:rsidRPr="007575D7" w:rsidRDefault="00B42297">
      <w:pPr>
        <w:pStyle w:val="TableofFigures"/>
        <w:tabs>
          <w:tab w:val="right" w:leader="dot" w:pos="8290"/>
        </w:tabs>
        <w:rPr>
          <w:rFonts w:ascii="Times New Roman" w:hAnsi="Times New Roman" w:cs="Times New Roman"/>
          <w:noProof/>
        </w:rPr>
      </w:pPr>
      <w:hyperlink w:anchor="_Toc520725584" w:history="1">
        <w:r w:rsidR="00144590" w:rsidRPr="00144590">
          <w:rPr>
            <w:rStyle w:val="Hyperlink"/>
            <w:rFonts w:ascii="Times New Roman" w:hAnsi="Times New Roman" w:cs="Times New Roman"/>
            <w:noProof/>
          </w:rPr>
          <w:t>Figure 28: Regulations in Network Sectors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27</w:t>
        </w:r>
        <w:r w:rsidR="00144590" w:rsidRPr="007575D7">
          <w:rPr>
            <w:rFonts w:ascii="Times New Roman" w:hAnsi="Times New Roman" w:cs="Times New Roman"/>
            <w:noProof/>
            <w:webHidden/>
          </w:rPr>
          <w:fldChar w:fldCharType="end"/>
        </w:r>
      </w:hyperlink>
    </w:p>
    <w:p w14:paraId="61294656" w14:textId="3278CC70" w:rsidR="00144590" w:rsidRPr="007575D7" w:rsidRDefault="00B42297">
      <w:pPr>
        <w:pStyle w:val="TableofFigures"/>
        <w:tabs>
          <w:tab w:val="right" w:leader="dot" w:pos="8290"/>
        </w:tabs>
        <w:rPr>
          <w:rFonts w:ascii="Times New Roman" w:hAnsi="Times New Roman" w:cs="Times New Roman"/>
          <w:noProof/>
        </w:rPr>
      </w:pPr>
      <w:hyperlink w:anchor="_Toc520725585" w:history="1">
        <w:r w:rsidR="00144590" w:rsidRPr="00144590">
          <w:rPr>
            <w:rStyle w:val="Hyperlink"/>
            <w:rFonts w:ascii="Times New Roman" w:hAnsi="Times New Roman" w:cs="Times New Roman"/>
            <w:noProof/>
          </w:rPr>
          <w:t>Figure 29: Involvement in Business Operations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28</w:t>
        </w:r>
        <w:r w:rsidR="00144590" w:rsidRPr="007575D7">
          <w:rPr>
            <w:rFonts w:ascii="Times New Roman" w:hAnsi="Times New Roman" w:cs="Times New Roman"/>
            <w:noProof/>
            <w:webHidden/>
          </w:rPr>
          <w:fldChar w:fldCharType="end"/>
        </w:r>
      </w:hyperlink>
    </w:p>
    <w:p w14:paraId="077C416A" w14:textId="5D0F021A" w:rsidR="00144590" w:rsidRPr="007575D7" w:rsidRDefault="00B42297">
      <w:pPr>
        <w:pStyle w:val="TableofFigures"/>
        <w:tabs>
          <w:tab w:val="right" w:leader="dot" w:pos="8290"/>
        </w:tabs>
        <w:rPr>
          <w:rFonts w:ascii="Times New Roman" w:hAnsi="Times New Roman" w:cs="Times New Roman"/>
          <w:noProof/>
        </w:rPr>
      </w:pPr>
      <w:hyperlink w:anchor="_Toc520725586" w:history="1">
        <w:r w:rsidR="00144590" w:rsidRPr="00144590">
          <w:rPr>
            <w:rStyle w:val="Hyperlink"/>
            <w:rFonts w:ascii="Times New Roman" w:hAnsi="Times New Roman" w:cs="Times New Roman"/>
            <w:noProof/>
          </w:rPr>
          <w:t>Figure 30: Price Controls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30</w:t>
        </w:r>
        <w:r w:rsidR="00144590" w:rsidRPr="007575D7">
          <w:rPr>
            <w:rFonts w:ascii="Times New Roman" w:hAnsi="Times New Roman" w:cs="Times New Roman"/>
            <w:noProof/>
            <w:webHidden/>
          </w:rPr>
          <w:fldChar w:fldCharType="end"/>
        </w:r>
      </w:hyperlink>
    </w:p>
    <w:p w14:paraId="44E62FC3" w14:textId="1439241C" w:rsidR="00144590" w:rsidRPr="007575D7" w:rsidRDefault="00B42297">
      <w:pPr>
        <w:pStyle w:val="TableofFigures"/>
        <w:tabs>
          <w:tab w:val="right" w:leader="dot" w:pos="8290"/>
        </w:tabs>
        <w:rPr>
          <w:rFonts w:ascii="Times New Roman" w:hAnsi="Times New Roman" w:cs="Times New Roman"/>
          <w:noProof/>
        </w:rPr>
      </w:pPr>
      <w:hyperlink w:anchor="_Toc520725587" w:history="1">
        <w:r w:rsidR="00144590" w:rsidRPr="00144590">
          <w:rPr>
            <w:rStyle w:val="Hyperlink"/>
            <w:rFonts w:ascii="Times New Roman" w:hAnsi="Times New Roman" w:cs="Times New Roman"/>
            <w:noProof/>
          </w:rPr>
          <w:t>Figure 31: Barriers to Entry and Rivalry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31</w:t>
        </w:r>
        <w:r w:rsidR="00144590" w:rsidRPr="007575D7">
          <w:rPr>
            <w:rFonts w:ascii="Times New Roman" w:hAnsi="Times New Roman" w:cs="Times New Roman"/>
            <w:noProof/>
            <w:webHidden/>
          </w:rPr>
          <w:fldChar w:fldCharType="end"/>
        </w:r>
      </w:hyperlink>
    </w:p>
    <w:p w14:paraId="4DC324C7" w14:textId="61EB621E" w:rsidR="00144590" w:rsidRPr="007575D7" w:rsidRDefault="00B42297">
      <w:pPr>
        <w:pStyle w:val="TableofFigures"/>
        <w:tabs>
          <w:tab w:val="right" w:leader="dot" w:pos="8290"/>
        </w:tabs>
        <w:rPr>
          <w:rFonts w:ascii="Times New Roman" w:hAnsi="Times New Roman" w:cs="Times New Roman"/>
          <w:noProof/>
        </w:rPr>
      </w:pPr>
      <w:hyperlink w:anchor="_Toc520725588" w:history="1">
        <w:r w:rsidR="00144590" w:rsidRPr="00144590">
          <w:rPr>
            <w:rStyle w:val="Hyperlink"/>
            <w:rFonts w:ascii="Times New Roman" w:hAnsi="Times New Roman" w:cs="Times New Roman"/>
            <w:noProof/>
          </w:rPr>
          <w:t>Figure 32: Barriers to Entry and Rivalry, Composition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32</w:t>
        </w:r>
        <w:r w:rsidR="00144590" w:rsidRPr="007575D7">
          <w:rPr>
            <w:rFonts w:ascii="Times New Roman" w:hAnsi="Times New Roman" w:cs="Times New Roman"/>
            <w:noProof/>
            <w:webHidden/>
          </w:rPr>
          <w:fldChar w:fldCharType="end"/>
        </w:r>
      </w:hyperlink>
    </w:p>
    <w:p w14:paraId="5266D76F" w14:textId="4CD7F580" w:rsidR="00144590" w:rsidRPr="007575D7" w:rsidRDefault="00B42297">
      <w:pPr>
        <w:pStyle w:val="TableofFigures"/>
        <w:tabs>
          <w:tab w:val="right" w:leader="dot" w:pos="8290"/>
        </w:tabs>
        <w:rPr>
          <w:rFonts w:ascii="Times New Roman" w:hAnsi="Times New Roman" w:cs="Times New Roman"/>
          <w:noProof/>
        </w:rPr>
      </w:pPr>
      <w:hyperlink w:anchor="_Toc520725589" w:history="1">
        <w:r w:rsidR="00144590" w:rsidRPr="00144590">
          <w:rPr>
            <w:rStyle w:val="Hyperlink"/>
            <w:rFonts w:ascii="Times New Roman" w:hAnsi="Times New Roman" w:cs="Times New Roman"/>
            <w:noProof/>
          </w:rPr>
          <w:t>Figure 33: Complexity of Regulatory Procedures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_Toc520725589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33</w:t>
        </w:r>
        <w:r w:rsidR="00144590" w:rsidRPr="007575D7">
          <w:rPr>
            <w:rFonts w:ascii="Times New Roman" w:hAnsi="Times New Roman" w:cs="Times New Roman"/>
            <w:noProof/>
            <w:webHidden/>
          </w:rPr>
          <w:fldChar w:fldCharType="end"/>
        </w:r>
      </w:hyperlink>
    </w:p>
    <w:p w14:paraId="4E63A1CD" w14:textId="4973C839" w:rsidR="00144590" w:rsidRPr="007575D7" w:rsidRDefault="00B42297">
      <w:pPr>
        <w:pStyle w:val="TableofFigures"/>
        <w:tabs>
          <w:tab w:val="right" w:leader="dot" w:pos="8290"/>
        </w:tabs>
        <w:rPr>
          <w:rFonts w:ascii="Times New Roman" w:hAnsi="Times New Roman" w:cs="Times New Roman"/>
          <w:noProof/>
        </w:rPr>
      </w:pPr>
      <w:hyperlink w:anchor="_Toc520725590" w:history="1">
        <w:r w:rsidR="00144590" w:rsidRPr="00144590">
          <w:rPr>
            <w:rStyle w:val="Hyperlink"/>
            <w:rFonts w:ascii="Times New Roman" w:hAnsi="Times New Roman" w:cs="Times New Roman"/>
            <w:noProof/>
          </w:rPr>
          <w:t>Figure 34: Regulatory Protection of Incumbents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34</w:t>
        </w:r>
        <w:r w:rsidR="00144590" w:rsidRPr="007575D7">
          <w:rPr>
            <w:rFonts w:ascii="Times New Roman" w:hAnsi="Times New Roman" w:cs="Times New Roman"/>
            <w:noProof/>
            <w:webHidden/>
          </w:rPr>
          <w:fldChar w:fldCharType="end"/>
        </w:r>
      </w:hyperlink>
    </w:p>
    <w:p w14:paraId="5F432590" w14:textId="7D5AA803" w:rsidR="00144590" w:rsidRPr="007575D7" w:rsidRDefault="00B42297">
      <w:pPr>
        <w:pStyle w:val="TableofFigures"/>
        <w:tabs>
          <w:tab w:val="right" w:leader="dot" w:pos="8290"/>
        </w:tabs>
        <w:rPr>
          <w:rFonts w:ascii="Times New Roman" w:hAnsi="Times New Roman" w:cs="Times New Roman"/>
          <w:noProof/>
        </w:rPr>
      </w:pPr>
      <w:hyperlink w:anchor="_Toc520725591" w:history="1">
        <w:r w:rsidR="00144590" w:rsidRPr="00144590">
          <w:rPr>
            <w:rStyle w:val="Hyperlink"/>
            <w:rFonts w:ascii="Times New Roman" w:hAnsi="Times New Roman" w:cs="Times New Roman"/>
            <w:noProof/>
          </w:rPr>
          <w:t>Figure 35: Regulation in Professional Services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35</w:t>
        </w:r>
        <w:r w:rsidR="00144590" w:rsidRPr="007575D7">
          <w:rPr>
            <w:rFonts w:ascii="Times New Roman" w:hAnsi="Times New Roman" w:cs="Times New Roman"/>
            <w:noProof/>
            <w:webHidden/>
          </w:rPr>
          <w:fldChar w:fldCharType="end"/>
        </w:r>
      </w:hyperlink>
    </w:p>
    <w:p w14:paraId="2E04FB53" w14:textId="1DBEDAF7" w:rsidR="00144590" w:rsidRPr="007575D7" w:rsidRDefault="00B42297">
      <w:pPr>
        <w:pStyle w:val="TableofFigures"/>
        <w:tabs>
          <w:tab w:val="right" w:leader="dot" w:pos="8290"/>
        </w:tabs>
        <w:rPr>
          <w:rFonts w:ascii="Times New Roman" w:hAnsi="Times New Roman" w:cs="Times New Roman"/>
          <w:noProof/>
        </w:rPr>
      </w:pPr>
      <w:hyperlink w:anchor="_Toc520725592" w:history="1">
        <w:r w:rsidR="00144590" w:rsidRPr="00144590">
          <w:rPr>
            <w:rStyle w:val="Hyperlink"/>
            <w:rFonts w:ascii="Times New Roman" w:hAnsi="Times New Roman" w:cs="Times New Roman"/>
            <w:noProof/>
          </w:rPr>
          <w:t>Figure 36: Regulations in Retail Trade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36</w:t>
        </w:r>
        <w:r w:rsidR="00144590" w:rsidRPr="007575D7">
          <w:rPr>
            <w:rFonts w:ascii="Times New Roman" w:hAnsi="Times New Roman" w:cs="Times New Roman"/>
            <w:noProof/>
            <w:webHidden/>
          </w:rPr>
          <w:fldChar w:fldCharType="end"/>
        </w:r>
      </w:hyperlink>
    </w:p>
    <w:p w14:paraId="102A7C37" w14:textId="466F7889" w:rsidR="00144590" w:rsidRPr="007575D7" w:rsidRDefault="00B42297">
      <w:pPr>
        <w:pStyle w:val="TableofFigures"/>
        <w:tabs>
          <w:tab w:val="right" w:leader="dot" w:pos="8290"/>
        </w:tabs>
        <w:rPr>
          <w:rFonts w:ascii="Times New Roman" w:hAnsi="Times New Roman" w:cs="Times New Roman"/>
          <w:noProof/>
        </w:rPr>
      </w:pPr>
      <w:hyperlink w:anchor="_Toc520725593" w:history="1">
        <w:r w:rsidR="00144590" w:rsidRPr="00144590">
          <w:rPr>
            <w:rStyle w:val="Hyperlink"/>
            <w:rFonts w:ascii="Times New Roman" w:hAnsi="Times New Roman" w:cs="Times New Roman"/>
            <w:noProof/>
          </w:rPr>
          <w:t>Figure 37: Barriers to Trade and Investment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37</w:t>
        </w:r>
        <w:r w:rsidR="00144590" w:rsidRPr="007575D7">
          <w:rPr>
            <w:rFonts w:ascii="Times New Roman" w:hAnsi="Times New Roman" w:cs="Times New Roman"/>
            <w:noProof/>
            <w:webHidden/>
          </w:rPr>
          <w:fldChar w:fldCharType="end"/>
        </w:r>
      </w:hyperlink>
    </w:p>
    <w:p w14:paraId="48EC1462" w14:textId="0CF579C5" w:rsidR="00144590" w:rsidRPr="007575D7" w:rsidRDefault="00B42297">
      <w:pPr>
        <w:pStyle w:val="TableofFigures"/>
        <w:tabs>
          <w:tab w:val="right" w:leader="dot" w:pos="8290"/>
        </w:tabs>
        <w:rPr>
          <w:rFonts w:ascii="Times New Roman" w:hAnsi="Times New Roman" w:cs="Times New Roman"/>
          <w:noProof/>
        </w:rPr>
      </w:pPr>
      <w:hyperlink w:anchor="_Toc520725594" w:history="1">
        <w:r w:rsidR="00144590" w:rsidRPr="00144590">
          <w:rPr>
            <w:rStyle w:val="Hyperlink"/>
            <w:rFonts w:ascii="Times New Roman" w:hAnsi="Times New Roman" w:cs="Times New Roman"/>
            <w:noProof/>
          </w:rPr>
          <w:t>Figure 38: Composition of Barriers to Trade and Investment Indicator</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38</w:t>
        </w:r>
        <w:r w:rsidR="00144590" w:rsidRPr="007575D7">
          <w:rPr>
            <w:rFonts w:ascii="Times New Roman" w:hAnsi="Times New Roman" w:cs="Times New Roman"/>
            <w:noProof/>
            <w:webHidden/>
          </w:rPr>
          <w:fldChar w:fldCharType="end"/>
        </w:r>
      </w:hyperlink>
    </w:p>
    <w:p w14:paraId="23D6DB9B" w14:textId="6A3FE0EF" w:rsidR="00144590" w:rsidRPr="007575D7" w:rsidRDefault="00B42297">
      <w:pPr>
        <w:pStyle w:val="TableofFigures"/>
        <w:tabs>
          <w:tab w:val="right" w:leader="dot" w:pos="8290"/>
        </w:tabs>
        <w:rPr>
          <w:rFonts w:ascii="Times New Roman" w:hAnsi="Times New Roman" w:cs="Times New Roman"/>
          <w:noProof/>
        </w:rPr>
      </w:pPr>
      <w:hyperlink w:anchor="_Toc520725595" w:history="1">
        <w:r w:rsidR="00144590" w:rsidRPr="00144590">
          <w:rPr>
            <w:rStyle w:val="Hyperlink"/>
            <w:rFonts w:ascii="Times New Roman" w:hAnsi="Times New Roman" w:cs="Times New Roman"/>
            <w:noProof/>
          </w:rPr>
          <w:t>Figure 39: Barriers to Trade Facilitation in Senegal and Comparator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39</w:t>
        </w:r>
        <w:r w:rsidR="00144590" w:rsidRPr="007575D7">
          <w:rPr>
            <w:rFonts w:ascii="Times New Roman" w:hAnsi="Times New Roman" w:cs="Times New Roman"/>
            <w:noProof/>
            <w:webHidden/>
          </w:rPr>
          <w:fldChar w:fldCharType="end"/>
        </w:r>
      </w:hyperlink>
    </w:p>
    <w:p w14:paraId="04B38149" w14:textId="6F4E0B9A" w:rsidR="00144590" w:rsidRPr="007575D7" w:rsidRDefault="00B42297">
      <w:pPr>
        <w:pStyle w:val="TableofFigures"/>
        <w:tabs>
          <w:tab w:val="right" w:leader="dot" w:pos="8290"/>
        </w:tabs>
        <w:rPr>
          <w:rFonts w:ascii="Times New Roman" w:hAnsi="Times New Roman" w:cs="Times New Roman"/>
          <w:noProof/>
        </w:rPr>
      </w:pPr>
      <w:hyperlink w:anchor="_Toc520725596" w:history="1">
        <w:r w:rsidR="00144590" w:rsidRPr="00144590">
          <w:rPr>
            <w:rStyle w:val="Hyperlink"/>
            <w:rFonts w:ascii="Times New Roman" w:hAnsi="Times New Roman" w:cs="Times New Roman"/>
            <w:noProof/>
          </w:rPr>
          <w:t>Figure 40: Mechanisms Through Which Competition Affects Poverty Reduction and Shared Prosperity</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41</w:t>
        </w:r>
        <w:r w:rsidR="00144590" w:rsidRPr="007575D7">
          <w:rPr>
            <w:rFonts w:ascii="Times New Roman" w:hAnsi="Times New Roman" w:cs="Times New Roman"/>
            <w:noProof/>
            <w:webHidden/>
          </w:rPr>
          <w:fldChar w:fldCharType="end"/>
        </w:r>
      </w:hyperlink>
    </w:p>
    <w:p w14:paraId="757374EE" w14:textId="0594B848" w:rsidR="00144590" w:rsidRPr="007575D7" w:rsidRDefault="00B42297">
      <w:pPr>
        <w:pStyle w:val="TableofFigures"/>
        <w:tabs>
          <w:tab w:val="right" w:leader="dot" w:pos="8290"/>
        </w:tabs>
        <w:rPr>
          <w:rFonts w:ascii="Times New Roman" w:hAnsi="Times New Roman" w:cs="Times New Roman"/>
          <w:noProof/>
        </w:rPr>
      </w:pPr>
      <w:hyperlink w:anchor="_Toc520725597" w:history="1">
        <w:r w:rsidR="00144590" w:rsidRPr="00144590">
          <w:rPr>
            <w:rStyle w:val="Hyperlink"/>
            <w:rFonts w:ascii="Times New Roman" w:hAnsi="Times New Roman" w:cs="Times New Roman"/>
            <w:noProof/>
          </w:rPr>
          <w:t>Figure 41: Senegal's share in global exports of groundnuts and groundnut oil</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46</w:t>
        </w:r>
        <w:r w:rsidR="00144590" w:rsidRPr="007575D7">
          <w:rPr>
            <w:rFonts w:ascii="Times New Roman" w:hAnsi="Times New Roman" w:cs="Times New Roman"/>
            <w:noProof/>
            <w:webHidden/>
          </w:rPr>
          <w:fldChar w:fldCharType="end"/>
        </w:r>
      </w:hyperlink>
    </w:p>
    <w:p w14:paraId="6959BD21" w14:textId="6667878C" w:rsidR="00144590" w:rsidRPr="007575D7" w:rsidRDefault="00B42297">
      <w:pPr>
        <w:pStyle w:val="TableofFigures"/>
        <w:tabs>
          <w:tab w:val="right" w:leader="dot" w:pos="8290"/>
        </w:tabs>
        <w:rPr>
          <w:rFonts w:ascii="Times New Roman" w:hAnsi="Times New Roman" w:cs="Times New Roman"/>
          <w:noProof/>
        </w:rPr>
      </w:pPr>
      <w:hyperlink w:anchor="_Toc520725598" w:history="1">
        <w:r w:rsidR="00144590" w:rsidRPr="00144590">
          <w:rPr>
            <w:rStyle w:val="Hyperlink"/>
            <w:rFonts w:ascii="Times New Roman" w:hAnsi="Times New Roman" w:cs="Times New Roman"/>
            <w:noProof/>
          </w:rPr>
          <w:t>Figure 42: Global exports of groundnuts (oil equivalent) and oil (1990-2016)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47</w:t>
        </w:r>
        <w:r w:rsidR="00144590" w:rsidRPr="007575D7">
          <w:rPr>
            <w:rFonts w:ascii="Times New Roman" w:hAnsi="Times New Roman" w:cs="Times New Roman"/>
            <w:noProof/>
            <w:webHidden/>
          </w:rPr>
          <w:fldChar w:fldCharType="end"/>
        </w:r>
      </w:hyperlink>
    </w:p>
    <w:p w14:paraId="32B97FC5" w14:textId="0B3103F4" w:rsidR="00144590" w:rsidRPr="007575D7" w:rsidRDefault="00B42297">
      <w:pPr>
        <w:pStyle w:val="TableofFigures"/>
        <w:tabs>
          <w:tab w:val="right" w:leader="dot" w:pos="8290"/>
        </w:tabs>
        <w:rPr>
          <w:rFonts w:ascii="Times New Roman" w:hAnsi="Times New Roman" w:cs="Times New Roman"/>
          <w:noProof/>
        </w:rPr>
      </w:pPr>
      <w:hyperlink w:anchor="_Toc520725599" w:history="1">
        <w:r w:rsidR="00144590" w:rsidRPr="00144590">
          <w:rPr>
            <w:rStyle w:val="Hyperlink"/>
            <w:rFonts w:ascii="Times New Roman" w:hAnsi="Times New Roman" w:cs="Times New Roman"/>
            <w:noProof/>
          </w:rPr>
          <w:t>Figure 43: Global groundnut exports by current top 5 exporters (1974-2017)</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_Toc520725599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48</w:t>
        </w:r>
        <w:r w:rsidR="00144590" w:rsidRPr="007575D7">
          <w:rPr>
            <w:rFonts w:ascii="Times New Roman" w:hAnsi="Times New Roman" w:cs="Times New Roman"/>
            <w:noProof/>
            <w:webHidden/>
          </w:rPr>
          <w:fldChar w:fldCharType="end"/>
        </w:r>
      </w:hyperlink>
    </w:p>
    <w:p w14:paraId="116767CF" w14:textId="010687FB" w:rsidR="00144590" w:rsidRPr="007575D7" w:rsidRDefault="00B42297">
      <w:pPr>
        <w:pStyle w:val="TableofFigures"/>
        <w:tabs>
          <w:tab w:val="right" w:leader="dot" w:pos="8290"/>
        </w:tabs>
        <w:rPr>
          <w:rFonts w:ascii="Times New Roman" w:hAnsi="Times New Roman" w:cs="Times New Roman"/>
          <w:noProof/>
        </w:rPr>
      </w:pPr>
      <w:hyperlink w:anchor="_Toc520725600" w:history="1">
        <w:r w:rsidR="00144590" w:rsidRPr="007575D7">
          <w:rPr>
            <w:rStyle w:val="Hyperlink"/>
            <w:rFonts w:ascii="Times New Roman" w:hAnsi="Times New Roman" w:cs="Times New Roman"/>
            <w:noProof/>
          </w:rPr>
          <w:t>Figure 44: Overview of Senegalese groundnut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51</w:t>
        </w:r>
        <w:r w:rsidR="00144590" w:rsidRPr="007575D7">
          <w:rPr>
            <w:rFonts w:ascii="Times New Roman" w:hAnsi="Times New Roman" w:cs="Times New Roman"/>
            <w:noProof/>
            <w:webHidden/>
          </w:rPr>
          <w:fldChar w:fldCharType="end"/>
        </w:r>
      </w:hyperlink>
    </w:p>
    <w:p w14:paraId="47062F5D" w14:textId="4CEFF5E1" w:rsidR="00144590" w:rsidRPr="007575D7" w:rsidRDefault="00B42297">
      <w:pPr>
        <w:pStyle w:val="TableofFigures"/>
        <w:tabs>
          <w:tab w:val="right" w:leader="dot" w:pos="8290"/>
        </w:tabs>
        <w:rPr>
          <w:rFonts w:ascii="Times New Roman" w:hAnsi="Times New Roman" w:cs="Times New Roman"/>
          <w:noProof/>
        </w:rPr>
      </w:pPr>
      <w:hyperlink w:anchor="_Toc520725601" w:history="1">
        <w:r w:rsidR="00144590" w:rsidRPr="007575D7">
          <w:rPr>
            <w:rStyle w:val="Hyperlink"/>
            <w:rFonts w:ascii="Times New Roman" w:hAnsi="Times New Roman" w:cs="Times New Roman"/>
            <w:noProof/>
          </w:rPr>
          <w:t>Figure 45: Primary uses of Senegalese raw groundnut production (2015/16 and 2016/17 data)</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51</w:t>
        </w:r>
        <w:r w:rsidR="00144590" w:rsidRPr="007575D7">
          <w:rPr>
            <w:rFonts w:ascii="Times New Roman" w:hAnsi="Times New Roman" w:cs="Times New Roman"/>
            <w:noProof/>
            <w:webHidden/>
          </w:rPr>
          <w:fldChar w:fldCharType="end"/>
        </w:r>
      </w:hyperlink>
    </w:p>
    <w:p w14:paraId="5353E158" w14:textId="3EAB5725" w:rsidR="00144590" w:rsidRPr="007575D7" w:rsidRDefault="00B42297">
      <w:pPr>
        <w:pStyle w:val="TableofFigures"/>
        <w:tabs>
          <w:tab w:val="right" w:leader="dot" w:pos="8290"/>
        </w:tabs>
        <w:rPr>
          <w:rFonts w:ascii="Times New Roman" w:hAnsi="Times New Roman" w:cs="Times New Roman"/>
          <w:noProof/>
        </w:rPr>
      </w:pPr>
      <w:hyperlink w:anchor="_Toc520725602" w:history="1">
        <w:r w:rsidR="00144590" w:rsidRPr="007575D7">
          <w:rPr>
            <w:rStyle w:val="Hyperlink"/>
            <w:rFonts w:ascii="Times New Roman" w:hAnsi="Times New Roman" w:cs="Times New Roman"/>
            <w:noProof/>
          </w:rPr>
          <w:t>Figure 46: A virtuous circle between three key markets in the value chain and their link to the PSE objectives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53</w:t>
        </w:r>
        <w:r w:rsidR="00144590" w:rsidRPr="007575D7">
          <w:rPr>
            <w:rFonts w:ascii="Times New Roman" w:hAnsi="Times New Roman" w:cs="Times New Roman"/>
            <w:noProof/>
            <w:webHidden/>
          </w:rPr>
          <w:fldChar w:fldCharType="end"/>
        </w:r>
      </w:hyperlink>
    </w:p>
    <w:p w14:paraId="53F8CFA6" w14:textId="4AAE82FF" w:rsidR="00144590" w:rsidRPr="007575D7" w:rsidRDefault="00B42297">
      <w:pPr>
        <w:pStyle w:val="TableofFigures"/>
        <w:tabs>
          <w:tab w:val="right" w:leader="dot" w:pos="8290"/>
        </w:tabs>
        <w:rPr>
          <w:rFonts w:ascii="Times New Roman" w:hAnsi="Times New Roman" w:cs="Times New Roman"/>
          <w:noProof/>
        </w:rPr>
      </w:pPr>
      <w:hyperlink w:anchor="_Toc520725603" w:history="1">
        <w:r w:rsidR="00144590" w:rsidRPr="00144590">
          <w:rPr>
            <w:rStyle w:val="Hyperlink"/>
            <w:rFonts w:ascii="Times New Roman" w:hAnsi="Times New Roman" w:cs="Times New Roman"/>
            <w:noProof/>
          </w:rPr>
          <w:t>Figure 47: Overview with examples of direct and indirect Government intervention in the groundnut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54</w:t>
        </w:r>
        <w:r w:rsidR="00144590" w:rsidRPr="007575D7">
          <w:rPr>
            <w:rFonts w:ascii="Times New Roman" w:hAnsi="Times New Roman" w:cs="Times New Roman"/>
            <w:noProof/>
            <w:webHidden/>
          </w:rPr>
          <w:fldChar w:fldCharType="end"/>
        </w:r>
      </w:hyperlink>
    </w:p>
    <w:p w14:paraId="0B42F59D" w14:textId="0A20A3F1" w:rsidR="00144590" w:rsidRPr="007575D7" w:rsidRDefault="00B42297">
      <w:pPr>
        <w:pStyle w:val="TableofFigures"/>
        <w:tabs>
          <w:tab w:val="right" w:leader="dot" w:pos="8290"/>
        </w:tabs>
        <w:rPr>
          <w:rFonts w:ascii="Times New Roman" w:hAnsi="Times New Roman" w:cs="Times New Roman"/>
          <w:noProof/>
        </w:rPr>
      </w:pPr>
      <w:hyperlink w:anchor="_Toc520725604" w:history="1">
        <w:r w:rsidR="00144590" w:rsidRPr="00144590">
          <w:rPr>
            <w:rStyle w:val="Hyperlink"/>
            <w:rFonts w:ascii="Times New Roman" w:hAnsi="Times New Roman" w:cs="Times New Roman"/>
            <w:noProof/>
          </w:rPr>
          <w:t>Figure 48: The seed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55</w:t>
        </w:r>
        <w:r w:rsidR="00144590" w:rsidRPr="007575D7">
          <w:rPr>
            <w:rFonts w:ascii="Times New Roman" w:hAnsi="Times New Roman" w:cs="Times New Roman"/>
            <w:noProof/>
            <w:webHidden/>
          </w:rPr>
          <w:fldChar w:fldCharType="end"/>
        </w:r>
      </w:hyperlink>
    </w:p>
    <w:p w14:paraId="22D54780" w14:textId="63D245B2" w:rsidR="00144590" w:rsidRPr="007575D7" w:rsidRDefault="00B42297">
      <w:pPr>
        <w:pStyle w:val="TableofFigures"/>
        <w:tabs>
          <w:tab w:val="right" w:leader="dot" w:pos="8290"/>
        </w:tabs>
        <w:rPr>
          <w:rFonts w:ascii="Times New Roman" w:hAnsi="Times New Roman" w:cs="Times New Roman"/>
          <w:noProof/>
        </w:rPr>
      </w:pPr>
      <w:hyperlink w:anchor="_Toc520725605" w:history="1">
        <w:r w:rsidR="00144590" w:rsidRPr="00144590">
          <w:rPr>
            <w:rStyle w:val="Hyperlink"/>
            <w:rFonts w:ascii="Times New Roman" w:hAnsi="Times New Roman" w:cs="Times New Roman"/>
            <w:noProof/>
          </w:rPr>
          <w:t>Figure 49: The fertilizer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59</w:t>
        </w:r>
        <w:r w:rsidR="00144590" w:rsidRPr="007575D7">
          <w:rPr>
            <w:rFonts w:ascii="Times New Roman" w:hAnsi="Times New Roman" w:cs="Times New Roman"/>
            <w:noProof/>
            <w:webHidden/>
          </w:rPr>
          <w:fldChar w:fldCharType="end"/>
        </w:r>
      </w:hyperlink>
    </w:p>
    <w:p w14:paraId="6B24CD91" w14:textId="719F1C8C" w:rsidR="00144590" w:rsidRPr="007575D7" w:rsidRDefault="00B42297">
      <w:pPr>
        <w:pStyle w:val="TableofFigures"/>
        <w:tabs>
          <w:tab w:val="right" w:leader="dot" w:pos="8290"/>
        </w:tabs>
        <w:rPr>
          <w:rFonts w:ascii="Times New Roman" w:hAnsi="Times New Roman" w:cs="Times New Roman"/>
          <w:noProof/>
        </w:rPr>
      </w:pPr>
      <w:hyperlink w:anchor="_Toc520725606" w:history="1">
        <w:r w:rsidR="00144590" w:rsidRPr="00144590">
          <w:rPr>
            <w:rStyle w:val="Hyperlink"/>
            <w:rFonts w:ascii="Times New Roman" w:hAnsi="Times New Roman" w:cs="Times New Roman"/>
            <w:noProof/>
          </w:rPr>
          <w:t>Figure 50: Senegalese fertilizer imports and consumption by type (2015)</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60</w:t>
        </w:r>
        <w:r w:rsidR="00144590" w:rsidRPr="007575D7">
          <w:rPr>
            <w:rFonts w:ascii="Times New Roman" w:hAnsi="Times New Roman" w:cs="Times New Roman"/>
            <w:noProof/>
            <w:webHidden/>
          </w:rPr>
          <w:fldChar w:fldCharType="end"/>
        </w:r>
      </w:hyperlink>
    </w:p>
    <w:p w14:paraId="7DEF2C3B" w14:textId="0F099330" w:rsidR="00144590" w:rsidRPr="007575D7" w:rsidRDefault="00B42297">
      <w:pPr>
        <w:pStyle w:val="TableofFigures"/>
        <w:tabs>
          <w:tab w:val="right" w:leader="dot" w:pos="8290"/>
        </w:tabs>
        <w:rPr>
          <w:rFonts w:ascii="Times New Roman" w:hAnsi="Times New Roman" w:cs="Times New Roman"/>
          <w:noProof/>
        </w:rPr>
      </w:pPr>
      <w:hyperlink w:anchor="_Toc520725607" w:history="1">
        <w:r w:rsidR="00144590" w:rsidRPr="00144590">
          <w:rPr>
            <w:rStyle w:val="Hyperlink"/>
            <w:rFonts w:ascii="Times New Roman" w:hAnsi="Times New Roman" w:cs="Times New Roman"/>
            <w:noProof/>
          </w:rPr>
          <w:t>Figure 51: Overview of the market for buying from farmers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65</w:t>
        </w:r>
        <w:r w:rsidR="00144590" w:rsidRPr="007575D7">
          <w:rPr>
            <w:rFonts w:ascii="Times New Roman" w:hAnsi="Times New Roman" w:cs="Times New Roman"/>
            <w:noProof/>
            <w:webHidden/>
          </w:rPr>
          <w:fldChar w:fldCharType="end"/>
        </w:r>
      </w:hyperlink>
    </w:p>
    <w:p w14:paraId="5B80DDAD" w14:textId="75862A37" w:rsidR="00144590" w:rsidRPr="007575D7" w:rsidRDefault="00B42297">
      <w:pPr>
        <w:pStyle w:val="TableofFigures"/>
        <w:tabs>
          <w:tab w:val="right" w:leader="dot" w:pos="8290"/>
        </w:tabs>
        <w:rPr>
          <w:rFonts w:ascii="Times New Roman" w:hAnsi="Times New Roman" w:cs="Times New Roman"/>
          <w:noProof/>
        </w:rPr>
      </w:pPr>
      <w:hyperlink w:anchor="_Toc520725608" w:history="1">
        <w:r w:rsidR="00144590" w:rsidRPr="00144590">
          <w:rPr>
            <w:rStyle w:val="Hyperlink"/>
            <w:rFonts w:ascii="Times New Roman" w:hAnsi="Times New Roman" w:cs="Times New Roman"/>
            <w:noProof/>
          </w:rPr>
          <w:t>Figure 52: Groundnuts collected by industrial processors (in tons) and Government subsidies (F CFA/kg)</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70</w:t>
        </w:r>
        <w:r w:rsidR="00144590" w:rsidRPr="007575D7">
          <w:rPr>
            <w:rFonts w:ascii="Times New Roman" w:hAnsi="Times New Roman" w:cs="Times New Roman"/>
            <w:noProof/>
            <w:webHidden/>
          </w:rPr>
          <w:fldChar w:fldCharType="end"/>
        </w:r>
      </w:hyperlink>
    </w:p>
    <w:p w14:paraId="79C514A1" w14:textId="426F5BC9" w:rsidR="00144590" w:rsidRPr="007575D7" w:rsidRDefault="00B42297">
      <w:pPr>
        <w:pStyle w:val="TableofFigures"/>
        <w:tabs>
          <w:tab w:val="right" w:leader="dot" w:pos="8290"/>
        </w:tabs>
        <w:rPr>
          <w:rFonts w:ascii="Times New Roman" w:hAnsi="Times New Roman" w:cs="Times New Roman"/>
          <w:noProof/>
        </w:rPr>
      </w:pPr>
      <w:hyperlink w:anchor="_Toc520725609" w:history="1">
        <w:r w:rsidR="00144590" w:rsidRPr="00144590">
          <w:rPr>
            <w:rStyle w:val="Hyperlink"/>
            <w:rFonts w:ascii="Times New Roman" w:hAnsi="Times New Roman" w:cs="Times New Roman"/>
            <w:noProof/>
          </w:rPr>
          <w:t>Figure 53: The vegetable oil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_Toc520725609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76</w:t>
        </w:r>
        <w:r w:rsidR="00144590" w:rsidRPr="007575D7">
          <w:rPr>
            <w:rFonts w:ascii="Times New Roman" w:hAnsi="Times New Roman" w:cs="Times New Roman"/>
            <w:noProof/>
            <w:webHidden/>
          </w:rPr>
          <w:fldChar w:fldCharType="end"/>
        </w:r>
      </w:hyperlink>
    </w:p>
    <w:p w14:paraId="18B55C14" w14:textId="21006008" w:rsidR="00144590" w:rsidRPr="007575D7" w:rsidRDefault="00B42297">
      <w:pPr>
        <w:pStyle w:val="TableofFigures"/>
        <w:tabs>
          <w:tab w:val="right" w:leader="dot" w:pos="8290"/>
        </w:tabs>
        <w:rPr>
          <w:rFonts w:ascii="Times New Roman" w:hAnsi="Times New Roman" w:cs="Times New Roman"/>
          <w:noProof/>
        </w:rPr>
      </w:pPr>
      <w:hyperlink w:anchor="_Toc520725610" w:history="1">
        <w:r w:rsidR="00144590" w:rsidRPr="00144590">
          <w:rPr>
            <w:rStyle w:val="Hyperlink"/>
            <w:rFonts w:ascii="Times New Roman" w:hAnsi="Times New Roman" w:cs="Times New Roman"/>
            <w:noProof/>
          </w:rPr>
          <w:t>Figure 54: Nominal Rate of Protection for Senegalese Groundnuts (2006-2014)</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80</w:t>
        </w:r>
        <w:r w:rsidR="00144590" w:rsidRPr="007575D7">
          <w:rPr>
            <w:rFonts w:ascii="Times New Roman" w:hAnsi="Times New Roman" w:cs="Times New Roman"/>
            <w:noProof/>
            <w:webHidden/>
          </w:rPr>
          <w:fldChar w:fldCharType="end"/>
        </w:r>
      </w:hyperlink>
    </w:p>
    <w:p w14:paraId="009A1AD9" w14:textId="54B01323" w:rsidR="00144590" w:rsidRPr="007575D7" w:rsidRDefault="00B42297">
      <w:pPr>
        <w:pStyle w:val="TableofFigures"/>
        <w:tabs>
          <w:tab w:val="right" w:leader="dot" w:pos="8290"/>
        </w:tabs>
        <w:rPr>
          <w:rFonts w:ascii="Times New Roman" w:hAnsi="Times New Roman" w:cs="Times New Roman"/>
          <w:noProof/>
        </w:rPr>
      </w:pPr>
      <w:hyperlink w:anchor="_Toc520725611" w:history="1">
        <w:r w:rsidR="00144590" w:rsidRPr="00144590">
          <w:rPr>
            <w:rStyle w:val="Hyperlink"/>
            <w:rFonts w:ascii="Times New Roman" w:hAnsi="Times New Roman" w:cs="Times New Roman"/>
            <w:noProof/>
          </w:rPr>
          <w:t>Figure 55:</w:t>
        </w:r>
        <w:r w:rsidR="00144590" w:rsidRPr="007575D7">
          <w:rPr>
            <w:rStyle w:val="Hyperlink"/>
            <w:rFonts w:ascii="Times New Roman" w:hAnsi="Times New Roman" w:cs="Times New Roman"/>
            <w:noProof/>
          </w:rPr>
          <w:t xml:space="preserve"> </w:t>
        </w:r>
        <w:r w:rsidR="00144590" w:rsidRPr="00144590">
          <w:rPr>
            <w:rStyle w:val="Hyperlink"/>
            <w:rFonts w:ascii="Times New Roman" w:hAnsi="Times New Roman" w:cs="Times New Roman"/>
            <w:noProof/>
          </w:rPr>
          <w:t>Types of agricultural risk management mechanisms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87</w:t>
        </w:r>
        <w:r w:rsidR="00144590" w:rsidRPr="007575D7">
          <w:rPr>
            <w:rFonts w:ascii="Times New Roman" w:hAnsi="Times New Roman" w:cs="Times New Roman"/>
            <w:noProof/>
            <w:webHidden/>
          </w:rPr>
          <w:fldChar w:fldCharType="end"/>
        </w:r>
      </w:hyperlink>
    </w:p>
    <w:p w14:paraId="3304B76C" w14:textId="49C159CD" w:rsidR="00144590" w:rsidRPr="007575D7" w:rsidRDefault="00B42297">
      <w:pPr>
        <w:pStyle w:val="TableofFigures"/>
        <w:tabs>
          <w:tab w:val="right" w:leader="dot" w:pos="8290"/>
        </w:tabs>
        <w:rPr>
          <w:rFonts w:ascii="Times New Roman" w:hAnsi="Times New Roman" w:cs="Times New Roman"/>
          <w:noProof/>
        </w:rPr>
      </w:pPr>
      <w:hyperlink w:anchor="_Toc520725612" w:history="1">
        <w:r w:rsidR="00144590" w:rsidRPr="00144590">
          <w:rPr>
            <w:rStyle w:val="Hyperlink"/>
            <w:rFonts w:ascii="Times New Roman" w:hAnsi="Times New Roman" w:cs="Times New Roman"/>
            <w:noProof/>
          </w:rPr>
          <w:t>Figure 56: The “middle way”</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90</w:t>
        </w:r>
        <w:r w:rsidR="00144590" w:rsidRPr="007575D7">
          <w:rPr>
            <w:rFonts w:ascii="Times New Roman" w:hAnsi="Times New Roman" w:cs="Times New Roman"/>
            <w:noProof/>
            <w:webHidden/>
          </w:rPr>
          <w:fldChar w:fldCharType="end"/>
        </w:r>
      </w:hyperlink>
    </w:p>
    <w:p w14:paraId="56FD73BD" w14:textId="7FCF343A" w:rsidR="00144590" w:rsidRPr="007575D7" w:rsidRDefault="00B42297">
      <w:pPr>
        <w:pStyle w:val="TableofFigures"/>
        <w:tabs>
          <w:tab w:val="right" w:leader="dot" w:pos="8290"/>
        </w:tabs>
        <w:rPr>
          <w:rFonts w:ascii="Times New Roman" w:hAnsi="Times New Roman" w:cs="Times New Roman"/>
          <w:noProof/>
        </w:rPr>
      </w:pPr>
      <w:hyperlink w:anchor="_Toc520725613" w:history="1">
        <w:r w:rsidR="00144590" w:rsidRPr="007575D7">
          <w:rPr>
            <w:rStyle w:val="Hyperlink"/>
            <w:rFonts w:ascii="Times New Roman" w:hAnsi="Times New Roman" w:cs="Times New Roman"/>
            <w:noProof/>
          </w:rPr>
          <w:t>Figure 57:</w:t>
        </w:r>
        <w:r w:rsidR="00144590" w:rsidRPr="00144590">
          <w:rPr>
            <w:rStyle w:val="Hyperlink"/>
            <w:rFonts w:ascii="Times New Roman" w:hAnsi="Times New Roman" w:cs="Times New Roman"/>
            <w:noProof/>
          </w:rPr>
          <w:t xml:space="preserve"> </w:t>
        </w:r>
        <w:r w:rsidR="00144590" w:rsidRPr="007575D7">
          <w:rPr>
            <w:rStyle w:val="Hyperlink"/>
            <w:rFonts w:ascii="Times New Roman" w:hAnsi="Times New Roman" w:cs="Times New Roman"/>
            <w:noProof/>
          </w:rPr>
          <w:t>Internet Penetration in Senegal vs. Peer Countries: % of People Using the Internet (2010-2016)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92</w:t>
        </w:r>
        <w:r w:rsidR="00144590" w:rsidRPr="007575D7">
          <w:rPr>
            <w:rFonts w:ascii="Times New Roman" w:hAnsi="Times New Roman" w:cs="Times New Roman"/>
            <w:noProof/>
            <w:webHidden/>
          </w:rPr>
          <w:fldChar w:fldCharType="end"/>
        </w:r>
      </w:hyperlink>
    </w:p>
    <w:p w14:paraId="544E0645" w14:textId="4752C732" w:rsidR="00144590" w:rsidRPr="007575D7" w:rsidRDefault="00B42297">
      <w:pPr>
        <w:pStyle w:val="TableofFigures"/>
        <w:tabs>
          <w:tab w:val="right" w:leader="dot" w:pos="8290"/>
        </w:tabs>
        <w:rPr>
          <w:rFonts w:ascii="Times New Roman" w:hAnsi="Times New Roman" w:cs="Times New Roman"/>
          <w:noProof/>
        </w:rPr>
      </w:pPr>
      <w:hyperlink w:anchor="_Toc520725614" w:history="1">
        <w:r w:rsidR="00144590" w:rsidRPr="007575D7">
          <w:rPr>
            <w:rStyle w:val="Hyperlink"/>
            <w:rFonts w:ascii="Times New Roman" w:hAnsi="Times New Roman" w:cs="Times New Roman"/>
            <w:noProof/>
          </w:rPr>
          <w:t>Figure 58: Fixed broadband (USD/month)</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92</w:t>
        </w:r>
        <w:r w:rsidR="00144590" w:rsidRPr="007575D7">
          <w:rPr>
            <w:rFonts w:ascii="Times New Roman" w:hAnsi="Times New Roman" w:cs="Times New Roman"/>
            <w:noProof/>
            <w:webHidden/>
          </w:rPr>
          <w:fldChar w:fldCharType="end"/>
        </w:r>
      </w:hyperlink>
    </w:p>
    <w:p w14:paraId="505356BD" w14:textId="0E167BC5" w:rsidR="00144590" w:rsidRPr="007575D7" w:rsidRDefault="00B42297">
      <w:pPr>
        <w:pStyle w:val="TableofFigures"/>
        <w:tabs>
          <w:tab w:val="right" w:leader="dot" w:pos="8290"/>
        </w:tabs>
        <w:rPr>
          <w:rFonts w:ascii="Times New Roman" w:hAnsi="Times New Roman" w:cs="Times New Roman"/>
          <w:noProof/>
        </w:rPr>
      </w:pPr>
      <w:hyperlink w:anchor="_Toc520725615" w:history="1">
        <w:r w:rsidR="00144590" w:rsidRPr="007575D7">
          <w:rPr>
            <w:rStyle w:val="Hyperlink"/>
            <w:rFonts w:ascii="Times New Roman" w:hAnsi="Times New Roman" w:cs="Times New Roman"/>
            <w:noProof/>
          </w:rPr>
          <w:t>Figure 59: Fixed broadband download speed (Mbps)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92</w:t>
        </w:r>
        <w:r w:rsidR="00144590" w:rsidRPr="007575D7">
          <w:rPr>
            <w:rFonts w:ascii="Times New Roman" w:hAnsi="Times New Roman" w:cs="Times New Roman"/>
            <w:noProof/>
            <w:webHidden/>
          </w:rPr>
          <w:fldChar w:fldCharType="end"/>
        </w:r>
      </w:hyperlink>
    </w:p>
    <w:p w14:paraId="28336A0D" w14:textId="2B36E0D5" w:rsidR="00144590" w:rsidRPr="007575D7" w:rsidRDefault="00B42297">
      <w:pPr>
        <w:pStyle w:val="TableofFigures"/>
        <w:tabs>
          <w:tab w:val="right" w:leader="dot" w:pos="8290"/>
        </w:tabs>
        <w:rPr>
          <w:rFonts w:ascii="Times New Roman" w:hAnsi="Times New Roman" w:cs="Times New Roman"/>
          <w:noProof/>
        </w:rPr>
      </w:pPr>
      <w:hyperlink w:anchor="_Toc520725616" w:history="1">
        <w:r w:rsidR="00144590" w:rsidRPr="00144590">
          <w:rPr>
            <w:rStyle w:val="Hyperlink"/>
            <w:rFonts w:ascii="Times New Roman" w:hAnsi="Times New Roman" w:cs="Times New Roman"/>
            <w:noProof/>
          </w:rPr>
          <w:t>Figure 60: ICT Development Index 2017 Scores for Selected Countries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93</w:t>
        </w:r>
        <w:r w:rsidR="00144590" w:rsidRPr="007575D7">
          <w:rPr>
            <w:rFonts w:ascii="Times New Roman" w:hAnsi="Times New Roman" w:cs="Times New Roman"/>
            <w:noProof/>
            <w:webHidden/>
          </w:rPr>
          <w:fldChar w:fldCharType="end"/>
        </w:r>
      </w:hyperlink>
    </w:p>
    <w:p w14:paraId="577842F2" w14:textId="30CA89FE" w:rsidR="00144590" w:rsidRPr="007575D7" w:rsidRDefault="00B42297">
      <w:pPr>
        <w:pStyle w:val="TableofFigures"/>
        <w:tabs>
          <w:tab w:val="right" w:leader="dot" w:pos="8290"/>
        </w:tabs>
        <w:rPr>
          <w:rFonts w:ascii="Times New Roman" w:hAnsi="Times New Roman" w:cs="Times New Roman"/>
          <w:noProof/>
        </w:rPr>
      </w:pPr>
      <w:hyperlink w:anchor="_Toc520725617" w:history="1">
        <w:r w:rsidR="00144590" w:rsidRPr="00144590">
          <w:rPr>
            <w:rStyle w:val="Hyperlink"/>
            <w:rFonts w:ascii="Times New Roman" w:hAnsi="Times New Roman" w:cs="Times New Roman"/>
            <w:noProof/>
          </w:rPr>
          <w:t>Figure 61: Restrictions in the Telecommunications Sector by Country</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95</w:t>
        </w:r>
        <w:r w:rsidR="00144590" w:rsidRPr="007575D7">
          <w:rPr>
            <w:rFonts w:ascii="Times New Roman" w:hAnsi="Times New Roman" w:cs="Times New Roman"/>
            <w:noProof/>
            <w:webHidden/>
          </w:rPr>
          <w:fldChar w:fldCharType="end"/>
        </w:r>
      </w:hyperlink>
    </w:p>
    <w:p w14:paraId="3BAD3008" w14:textId="155D60E7" w:rsidR="00144590" w:rsidRPr="007575D7" w:rsidRDefault="00B42297">
      <w:pPr>
        <w:pStyle w:val="TableofFigures"/>
        <w:tabs>
          <w:tab w:val="right" w:leader="dot" w:pos="8290"/>
        </w:tabs>
        <w:rPr>
          <w:rFonts w:ascii="Times New Roman" w:hAnsi="Times New Roman" w:cs="Times New Roman"/>
          <w:noProof/>
        </w:rPr>
      </w:pPr>
      <w:hyperlink w:anchor="_Toc520725618" w:history="1">
        <w:r w:rsidR="00144590" w:rsidRPr="00144590">
          <w:rPr>
            <w:rStyle w:val="Hyperlink"/>
            <w:rFonts w:ascii="Times New Roman" w:hAnsi="Times New Roman" w:cs="Times New Roman"/>
            <w:noProof/>
          </w:rPr>
          <w:t>Figure 62: Market Shares of Mobile Operators as of December 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96</w:t>
        </w:r>
        <w:r w:rsidR="00144590" w:rsidRPr="007575D7">
          <w:rPr>
            <w:rFonts w:ascii="Times New Roman" w:hAnsi="Times New Roman" w:cs="Times New Roman"/>
            <w:noProof/>
            <w:webHidden/>
          </w:rPr>
          <w:fldChar w:fldCharType="end"/>
        </w:r>
      </w:hyperlink>
    </w:p>
    <w:p w14:paraId="7E186EE1" w14:textId="5B2BD734" w:rsidR="00144590" w:rsidRPr="007575D7" w:rsidRDefault="00B42297">
      <w:pPr>
        <w:pStyle w:val="TableofFigures"/>
        <w:tabs>
          <w:tab w:val="right" w:leader="dot" w:pos="8290"/>
        </w:tabs>
        <w:rPr>
          <w:rFonts w:ascii="Times New Roman" w:hAnsi="Times New Roman" w:cs="Times New Roman"/>
          <w:noProof/>
        </w:rPr>
      </w:pPr>
      <w:hyperlink w:anchor="_Toc520725619" w:history="1">
        <w:r w:rsidR="00144590" w:rsidRPr="00144590">
          <w:rPr>
            <w:rStyle w:val="Hyperlink"/>
            <w:rFonts w:ascii="Times New Roman" w:hAnsi="Times New Roman" w:cs="Times New Roman"/>
            <w:noProof/>
          </w:rPr>
          <w:t>Figure 63: Market share distribution among operators and market concentration index in the mobile phone market</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_Toc520725619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96</w:t>
        </w:r>
        <w:r w:rsidR="00144590" w:rsidRPr="007575D7">
          <w:rPr>
            <w:rFonts w:ascii="Times New Roman" w:hAnsi="Times New Roman" w:cs="Times New Roman"/>
            <w:noProof/>
            <w:webHidden/>
          </w:rPr>
          <w:fldChar w:fldCharType="end"/>
        </w:r>
      </w:hyperlink>
    </w:p>
    <w:p w14:paraId="0A62B4FD" w14:textId="5DF93CAC" w:rsidR="00144590" w:rsidRPr="007575D7" w:rsidRDefault="00B42297">
      <w:pPr>
        <w:pStyle w:val="TableofFigures"/>
        <w:tabs>
          <w:tab w:val="right" w:leader="dot" w:pos="8290"/>
        </w:tabs>
        <w:rPr>
          <w:rFonts w:ascii="Times New Roman" w:hAnsi="Times New Roman" w:cs="Times New Roman"/>
          <w:noProof/>
        </w:rPr>
      </w:pPr>
      <w:hyperlink w:anchor="_Toc520725620" w:history="1">
        <w:r w:rsidR="00144590" w:rsidRPr="007575D7">
          <w:rPr>
            <w:rStyle w:val="Hyperlink"/>
            <w:rFonts w:ascii="Times New Roman" w:hAnsi="Times New Roman" w:cs="Times New Roman"/>
            <w:noProof/>
          </w:rPr>
          <w:t>Figure 64: Evolution of market concentration (HHI) and ARPU levels in the mobile phone market</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96</w:t>
        </w:r>
        <w:r w:rsidR="00144590" w:rsidRPr="007575D7">
          <w:rPr>
            <w:rFonts w:ascii="Times New Roman" w:hAnsi="Times New Roman" w:cs="Times New Roman"/>
            <w:noProof/>
            <w:webHidden/>
          </w:rPr>
          <w:fldChar w:fldCharType="end"/>
        </w:r>
      </w:hyperlink>
    </w:p>
    <w:p w14:paraId="07C5FC25" w14:textId="45EE0F02" w:rsidR="00144590" w:rsidRPr="007575D7" w:rsidRDefault="00B42297">
      <w:pPr>
        <w:pStyle w:val="TableofFigures"/>
        <w:tabs>
          <w:tab w:val="right" w:leader="dot" w:pos="8290"/>
        </w:tabs>
        <w:rPr>
          <w:rFonts w:ascii="Times New Roman" w:hAnsi="Times New Roman" w:cs="Times New Roman"/>
          <w:noProof/>
        </w:rPr>
      </w:pPr>
      <w:hyperlink w:anchor="_Toc520725621" w:history="1">
        <w:r w:rsidR="00144590" w:rsidRPr="00144590">
          <w:rPr>
            <w:rStyle w:val="Hyperlink"/>
            <w:rFonts w:ascii="Times New Roman" w:hAnsi="Times New Roman" w:cs="Times New Roman"/>
            <w:noProof/>
          </w:rPr>
          <w:t>Figure 65: Mobile market concentration in selected countries (HHI based on subscribers)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97</w:t>
        </w:r>
        <w:r w:rsidR="00144590" w:rsidRPr="007575D7">
          <w:rPr>
            <w:rFonts w:ascii="Times New Roman" w:hAnsi="Times New Roman" w:cs="Times New Roman"/>
            <w:noProof/>
            <w:webHidden/>
          </w:rPr>
          <w:fldChar w:fldCharType="end"/>
        </w:r>
      </w:hyperlink>
    </w:p>
    <w:p w14:paraId="5166CDB0" w14:textId="3D1F9AA0" w:rsidR="00144590" w:rsidRPr="007575D7" w:rsidRDefault="00B42297">
      <w:pPr>
        <w:pStyle w:val="TableofFigures"/>
        <w:tabs>
          <w:tab w:val="right" w:leader="dot" w:pos="8290"/>
        </w:tabs>
        <w:rPr>
          <w:rFonts w:ascii="Times New Roman" w:hAnsi="Times New Roman" w:cs="Times New Roman"/>
          <w:noProof/>
        </w:rPr>
      </w:pPr>
      <w:hyperlink w:anchor="_Toc520725622" w:history="1">
        <w:r w:rsidR="00144590" w:rsidRPr="00144590">
          <w:rPr>
            <w:rStyle w:val="Hyperlink"/>
            <w:rFonts w:ascii="Times New Roman" w:hAnsi="Times New Roman" w:cs="Times New Roman"/>
            <w:noProof/>
          </w:rPr>
          <w:t>Figure 66: Deployment of 4G Networks in Africa (2016)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98</w:t>
        </w:r>
        <w:r w:rsidR="00144590" w:rsidRPr="007575D7">
          <w:rPr>
            <w:rFonts w:ascii="Times New Roman" w:hAnsi="Times New Roman" w:cs="Times New Roman"/>
            <w:noProof/>
            <w:webHidden/>
          </w:rPr>
          <w:fldChar w:fldCharType="end"/>
        </w:r>
      </w:hyperlink>
    </w:p>
    <w:p w14:paraId="6FEDC641" w14:textId="23F6CDFA" w:rsidR="00144590" w:rsidRPr="007575D7" w:rsidRDefault="00B42297">
      <w:pPr>
        <w:pStyle w:val="TableofFigures"/>
        <w:tabs>
          <w:tab w:val="right" w:leader="dot" w:pos="8290"/>
        </w:tabs>
        <w:rPr>
          <w:rFonts w:ascii="Times New Roman" w:hAnsi="Times New Roman" w:cs="Times New Roman"/>
          <w:noProof/>
        </w:rPr>
      </w:pPr>
      <w:hyperlink w:anchor="_Toc520725623" w:history="1">
        <w:r w:rsidR="00144590" w:rsidRPr="00144590">
          <w:rPr>
            <w:rStyle w:val="Hyperlink"/>
            <w:rFonts w:ascii="Times New Roman" w:hAnsi="Times New Roman" w:cs="Times New Roman"/>
            <w:noProof/>
          </w:rPr>
          <w:t>Figure 67: Competition along the Telecom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99</w:t>
        </w:r>
        <w:r w:rsidR="00144590" w:rsidRPr="007575D7">
          <w:rPr>
            <w:rFonts w:ascii="Times New Roman" w:hAnsi="Times New Roman" w:cs="Times New Roman"/>
            <w:noProof/>
            <w:webHidden/>
          </w:rPr>
          <w:fldChar w:fldCharType="end"/>
        </w:r>
      </w:hyperlink>
    </w:p>
    <w:p w14:paraId="0FDBAC58" w14:textId="589E3EE1" w:rsidR="00144590" w:rsidRPr="007575D7" w:rsidRDefault="00B42297">
      <w:pPr>
        <w:pStyle w:val="TableofFigures"/>
        <w:tabs>
          <w:tab w:val="right" w:leader="dot" w:pos="8290"/>
        </w:tabs>
        <w:rPr>
          <w:rFonts w:ascii="Times New Roman" w:hAnsi="Times New Roman" w:cs="Times New Roman"/>
          <w:noProof/>
        </w:rPr>
      </w:pPr>
      <w:hyperlink w:anchor="_Toc520725624" w:history="1">
        <w:r w:rsidR="00144590" w:rsidRPr="00144590">
          <w:rPr>
            <w:rStyle w:val="Hyperlink"/>
            <w:rFonts w:ascii="Times New Roman" w:hAnsi="Times New Roman" w:cs="Times New Roman"/>
            <w:noProof/>
          </w:rPr>
          <w:t>Figure 68: Telecommunications Industry Features and Competition Dynamics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100</w:t>
        </w:r>
        <w:r w:rsidR="00144590" w:rsidRPr="007575D7">
          <w:rPr>
            <w:rFonts w:ascii="Times New Roman" w:hAnsi="Times New Roman" w:cs="Times New Roman"/>
            <w:noProof/>
            <w:webHidden/>
          </w:rPr>
          <w:fldChar w:fldCharType="end"/>
        </w:r>
      </w:hyperlink>
    </w:p>
    <w:p w14:paraId="796F61D7" w14:textId="0F30B396" w:rsidR="00144590" w:rsidRPr="007575D7" w:rsidRDefault="00B42297">
      <w:pPr>
        <w:pStyle w:val="TableofFigures"/>
        <w:tabs>
          <w:tab w:val="right" w:leader="dot" w:pos="8290"/>
        </w:tabs>
        <w:rPr>
          <w:rFonts w:ascii="Times New Roman" w:hAnsi="Times New Roman" w:cs="Times New Roman"/>
          <w:noProof/>
        </w:rPr>
      </w:pPr>
      <w:hyperlink w:anchor="_Toc520725625" w:history="1">
        <w:r w:rsidR="00144590" w:rsidRPr="00144590">
          <w:rPr>
            <w:rStyle w:val="Hyperlink"/>
            <w:rFonts w:ascii="Times New Roman" w:hAnsi="Times New Roman" w:cs="Times New Roman"/>
            <w:noProof/>
          </w:rPr>
          <w:t>Figure 69: Examples of Business Separation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101</w:t>
        </w:r>
        <w:r w:rsidR="00144590" w:rsidRPr="007575D7">
          <w:rPr>
            <w:rFonts w:ascii="Times New Roman" w:hAnsi="Times New Roman" w:cs="Times New Roman"/>
            <w:noProof/>
            <w:webHidden/>
          </w:rPr>
          <w:fldChar w:fldCharType="end"/>
        </w:r>
      </w:hyperlink>
    </w:p>
    <w:p w14:paraId="410965F3" w14:textId="1FBCEC3D" w:rsidR="00144590" w:rsidRPr="007575D7" w:rsidRDefault="00B42297">
      <w:pPr>
        <w:pStyle w:val="TableofFigures"/>
        <w:tabs>
          <w:tab w:val="right" w:leader="dot" w:pos="8290"/>
        </w:tabs>
        <w:rPr>
          <w:rFonts w:ascii="Times New Roman" w:hAnsi="Times New Roman" w:cs="Times New Roman"/>
          <w:noProof/>
        </w:rPr>
      </w:pPr>
      <w:hyperlink w:anchor="_Toc520725626" w:history="1">
        <w:r w:rsidR="00144590" w:rsidRPr="00144590">
          <w:rPr>
            <w:rStyle w:val="Hyperlink"/>
            <w:rFonts w:ascii="Times New Roman" w:hAnsi="Times New Roman" w:cs="Times New Roman"/>
            <w:noProof/>
          </w:rPr>
          <w:t>Figure 70: The three stages of opening telecommunications markets to competition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103</w:t>
        </w:r>
        <w:r w:rsidR="00144590" w:rsidRPr="007575D7">
          <w:rPr>
            <w:rFonts w:ascii="Times New Roman" w:hAnsi="Times New Roman" w:cs="Times New Roman"/>
            <w:noProof/>
            <w:webHidden/>
          </w:rPr>
          <w:fldChar w:fldCharType="end"/>
        </w:r>
      </w:hyperlink>
    </w:p>
    <w:p w14:paraId="2098E409" w14:textId="2DF95310" w:rsidR="00144590" w:rsidRPr="007575D7" w:rsidRDefault="00B42297">
      <w:pPr>
        <w:pStyle w:val="TableofFigures"/>
        <w:tabs>
          <w:tab w:val="right" w:leader="dot" w:pos="8290"/>
        </w:tabs>
        <w:rPr>
          <w:rFonts w:ascii="Times New Roman" w:hAnsi="Times New Roman" w:cs="Times New Roman"/>
          <w:noProof/>
        </w:rPr>
      </w:pPr>
      <w:hyperlink w:anchor="_Toc520725627" w:history="1">
        <w:r w:rsidR="00144590" w:rsidRPr="00144590">
          <w:rPr>
            <w:rStyle w:val="Hyperlink"/>
            <w:rFonts w:ascii="Times New Roman" w:hAnsi="Times New Roman" w:cs="Times New Roman"/>
            <w:noProof/>
          </w:rPr>
          <w:t>Figure 71: Fixed Voice Telecommunications Market Shares as of December 2017</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106</w:t>
        </w:r>
        <w:r w:rsidR="00144590" w:rsidRPr="007575D7">
          <w:rPr>
            <w:rFonts w:ascii="Times New Roman" w:hAnsi="Times New Roman" w:cs="Times New Roman"/>
            <w:noProof/>
            <w:webHidden/>
          </w:rPr>
          <w:fldChar w:fldCharType="end"/>
        </w:r>
      </w:hyperlink>
    </w:p>
    <w:p w14:paraId="2470EF0F" w14:textId="49C29578" w:rsidR="00144590" w:rsidRPr="007575D7" w:rsidRDefault="00B42297">
      <w:pPr>
        <w:pStyle w:val="TableofFigures"/>
        <w:tabs>
          <w:tab w:val="right" w:leader="dot" w:pos="8290"/>
        </w:tabs>
        <w:rPr>
          <w:rFonts w:ascii="Times New Roman" w:hAnsi="Times New Roman" w:cs="Times New Roman"/>
          <w:noProof/>
        </w:rPr>
      </w:pPr>
      <w:hyperlink w:anchor="_Toc520725628" w:history="1">
        <w:r w:rsidR="00144590" w:rsidRPr="00144590">
          <w:rPr>
            <w:rStyle w:val="Hyperlink"/>
            <w:rFonts w:ascii="Times New Roman" w:hAnsi="Times New Roman" w:cs="Times New Roman"/>
            <w:noProof/>
          </w:rPr>
          <w:t>Figure 72: Players along the Senegalese telecommunications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108</w:t>
        </w:r>
        <w:r w:rsidR="00144590" w:rsidRPr="007575D7">
          <w:rPr>
            <w:rFonts w:ascii="Times New Roman" w:hAnsi="Times New Roman" w:cs="Times New Roman"/>
            <w:noProof/>
            <w:webHidden/>
          </w:rPr>
          <w:fldChar w:fldCharType="end"/>
        </w:r>
      </w:hyperlink>
    </w:p>
    <w:p w14:paraId="1B8FD85C" w14:textId="48EA0D23" w:rsidR="00144590" w:rsidRPr="007575D7" w:rsidRDefault="00B42297">
      <w:pPr>
        <w:pStyle w:val="TableofFigures"/>
        <w:tabs>
          <w:tab w:val="right" w:leader="dot" w:pos="8290"/>
        </w:tabs>
        <w:rPr>
          <w:rFonts w:ascii="Times New Roman" w:hAnsi="Times New Roman" w:cs="Times New Roman"/>
          <w:noProof/>
        </w:rPr>
      </w:pPr>
      <w:hyperlink w:anchor="_Toc520725629" w:history="1">
        <w:r w:rsidR="00144590" w:rsidRPr="00144590">
          <w:rPr>
            <w:rStyle w:val="Hyperlink"/>
            <w:rFonts w:ascii="Times New Roman" w:hAnsi="Times New Roman" w:cs="Times New Roman"/>
            <w:noProof/>
          </w:rPr>
          <w:t>Figure 73: Restrictions on service-based competition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_Toc520725629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109</w:t>
        </w:r>
        <w:r w:rsidR="00144590" w:rsidRPr="007575D7">
          <w:rPr>
            <w:rFonts w:ascii="Times New Roman" w:hAnsi="Times New Roman" w:cs="Times New Roman"/>
            <w:noProof/>
            <w:webHidden/>
          </w:rPr>
          <w:fldChar w:fldCharType="end"/>
        </w:r>
      </w:hyperlink>
    </w:p>
    <w:p w14:paraId="786C06F4" w14:textId="60C70D8E" w:rsidR="00144590" w:rsidRPr="007575D7" w:rsidRDefault="00B42297">
      <w:pPr>
        <w:pStyle w:val="TableofFigures"/>
        <w:tabs>
          <w:tab w:val="right" w:leader="dot" w:pos="8290"/>
        </w:tabs>
        <w:rPr>
          <w:rFonts w:ascii="Times New Roman" w:hAnsi="Times New Roman" w:cs="Times New Roman"/>
          <w:noProof/>
        </w:rPr>
      </w:pPr>
      <w:hyperlink w:anchor="_Toc520725630" w:history="1">
        <w:r w:rsidR="00144590" w:rsidRPr="00144590">
          <w:rPr>
            <w:rStyle w:val="Hyperlink"/>
            <w:rFonts w:ascii="Times New Roman" w:hAnsi="Times New Roman" w:cs="Times New Roman"/>
            <w:noProof/>
          </w:rPr>
          <w:t>Figure 74: Restrictions on facilities-based competition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_Toc520725630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116</w:t>
        </w:r>
        <w:r w:rsidR="00144590" w:rsidRPr="007575D7">
          <w:rPr>
            <w:rFonts w:ascii="Times New Roman" w:hAnsi="Times New Roman" w:cs="Times New Roman"/>
            <w:noProof/>
            <w:webHidden/>
          </w:rPr>
          <w:fldChar w:fldCharType="end"/>
        </w:r>
      </w:hyperlink>
    </w:p>
    <w:p w14:paraId="6353AE0F" w14:textId="2E001A1A" w:rsidR="00144590" w:rsidRPr="007575D7" w:rsidRDefault="00B42297">
      <w:pPr>
        <w:pStyle w:val="TableofFigures"/>
        <w:tabs>
          <w:tab w:val="right" w:leader="dot" w:pos="8290"/>
        </w:tabs>
        <w:rPr>
          <w:rFonts w:ascii="Times New Roman" w:hAnsi="Times New Roman" w:cs="Times New Roman"/>
          <w:noProof/>
        </w:rPr>
      </w:pPr>
      <w:hyperlink w:anchor="_Toc520725631" w:history="1">
        <w:r w:rsidR="00144590" w:rsidRPr="00144590">
          <w:rPr>
            <w:rStyle w:val="Hyperlink"/>
            <w:rFonts w:ascii="Times New Roman" w:hAnsi="Times New Roman" w:cs="Times New Roman"/>
            <w:noProof/>
          </w:rPr>
          <w:t>Figure 75: Restrictions on competition between last mile providers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_Toc520725631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121</w:t>
        </w:r>
        <w:r w:rsidR="00144590" w:rsidRPr="007575D7">
          <w:rPr>
            <w:rFonts w:ascii="Times New Roman" w:hAnsi="Times New Roman" w:cs="Times New Roman"/>
            <w:noProof/>
            <w:webHidden/>
          </w:rPr>
          <w:fldChar w:fldCharType="end"/>
        </w:r>
      </w:hyperlink>
    </w:p>
    <w:p w14:paraId="1C495330" w14:textId="0460289A" w:rsidR="00144590" w:rsidRPr="007575D7" w:rsidRDefault="00B42297">
      <w:pPr>
        <w:pStyle w:val="TableofFigures"/>
        <w:tabs>
          <w:tab w:val="right" w:leader="dot" w:pos="8290"/>
        </w:tabs>
        <w:rPr>
          <w:rFonts w:ascii="Times New Roman" w:hAnsi="Times New Roman" w:cs="Times New Roman"/>
          <w:noProof/>
        </w:rPr>
      </w:pPr>
      <w:hyperlink w:anchor="_Toc520725632" w:history="1">
        <w:r w:rsidR="00144590" w:rsidRPr="00144590">
          <w:rPr>
            <w:rStyle w:val="Hyperlink"/>
            <w:rFonts w:ascii="Times New Roman" w:hAnsi="Times New Roman" w:cs="Times New Roman"/>
            <w:noProof/>
          </w:rPr>
          <w:t>Figure 76: Restrictions to competition due to spectrum management</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_Toc520725632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123</w:t>
        </w:r>
        <w:r w:rsidR="00144590" w:rsidRPr="007575D7">
          <w:rPr>
            <w:rFonts w:ascii="Times New Roman" w:hAnsi="Times New Roman" w:cs="Times New Roman"/>
            <w:noProof/>
            <w:webHidden/>
          </w:rPr>
          <w:fldChar w:fldCharType="end"/>
        </w:r>
      </w:hyperlink>
    </w:p>
    <w:p w14:paraId="440914D4" w14:textId="08DC345F" w:rsidR="00144590" w:rsidRPr="007575D7" w:rsidRDefault="00B42297">
      <w:pPr>
        <w:pStyle w:val="TableofFigures"/>
        <w:tabs>
          <w:tab w:val="right" w:leader="dot" w:pos="8290"/>
        </w:tabs>
        <w:rPr>
          <w:rFonts w:ascii="Times New Roman" w:hAnsi="Times New Roman" w:cs="Times New Roman"/>
          <w:noProof/>
        </w:rPr>
      </w:pPr>
      <w:hyperlink w:anchor="_Toc520725633" w:history="1">
        <w:r w:rsidR="00144590" w:rsidRPr="00144590">
          <w:rPr>
            <w:rStyle w:val="Hyperlink"/>
            <w:rFonts w:ascii="Times New Roman" w:hAnsi="Times New Roman" w:cs="Times New Roman"/>
            <w:noProof/>
          </w:rPr>
          <w:t>Figure 77: Product Space of Senegal’s Exports (2016)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_Toc520725633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156</w:t>
        </w:r>
        <w:r w:rsidR="00144590" w:rsidRPr="007575D7">
          <w:rPr>
            <w:rFonts w:ascii="Times New Roman" w:hAnsi="Times New Roman" w:cs="Times New Roman"/>
            <w:noProof/>
            <w:webHidden/>
          </w:rPr>
          <w:fldChar w:fldCharType="end"/>
        </w:r>
      </w:hyperlink>
    </w:p>
    <w:p w14:paraId="2B70F24B" w14:textId="467965B0" w:rsidR="00144590" w:rsidRPr="007575D7" w:rsidRDefault="00B42297">
      <w:pPr>
        <w:pStyle w:val="TableofFigures"/>
        <w:tabs>
          <w:tab w:val="right" w:leader="dot" w:pos="8290"/>
        </w:tabs>
        <w:rPr>
          <w:rFonts w:ascii="Times New Roman" w:hAnsi="Times New Roman" w:cs="Times New Roman"/>
          <w:noProof/>
        </w:rPr>
      </w:pPr>
      <w:hyperlink w:anchor="_Toc520725634" w:history="1">
        <w:r w:rsidR="00144590" w:rsidRPr="00144590">
          <w:rPr>
            <w:rStyle w:val="Hyperlink"/>
            <w:rFonts w:ascii="Times New Roman" w:hAnsi="Times New Roman" w:cs="Times New Roman"/>
            <w:noProof/>
          </w:rPr>
          <w:t>Figure 78: Senegalese Exports by Product (2016)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_Toc520725634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156</w:t>
        </w:r>
        <w:r w:rsidR="00144590" w:rsidRPr="007575D7">
          <w:rPr>
            <w:rFonts w:ascii="Times New Roman" w:hAnsi="Times New Roman" w:cs="Times New Roman"/>
            <w:noProof/>
            <w:webHidden/>
          </w:rPr>
          <w:fldChar w:fldCharType="end"/>
        </w:r>
      </w:hyperlink>
    </w:p>
    <w:p w14:paraId="270BE297" w14:textId="184399AE" w:rsidR="00144590" w:rsidRPr="007575D7" w:rsidRDefault="00B42297">
      <w:pPr>
        <w:pStyle w:val="TableofFigures"/>
        <w:tabs>
          <w:tab w:val="right" w:leader="dot" w:pos="8290"/>
        </w:tabs>
        <w:rPr>
          <w:rFonts w:ascii="Times New Roman" w:hAnsi="Times New Roman" w:cs="Times New Roman"/>
          <w:noProof/>
        </w:rPr>
      </w:pPr>
      <w:hyperlink w:anchor="_Toc520725635" w:history="1">
        <w:r w:rsidR="00144590" w:rsidRPr="00144590">
          <w:rPr>
            <w:rStyle w:val="Hyperlink"/>
            <w:rFonts w:ascii="Times New Roman" w:hAnsi="Times New Roman" w:cs="Times New Roman"/>
            <w:noProof/>
          </w:rPr>
          <w:t>Figure 79: Senegalese Exports by Destination (2016)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_Toc520725635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157</w:t>
        </w:r>
        <w:r w:rsidR="00144590" w:rsidRPr="007575D7">
          <w:rPr>
            <w:rFonts w:ascii="Times New Roman" w:hAnsi="Times New Roman" w:cs="Times New Roman"/>
            <w:noProof/>
            <w:webHidden/>
          </w:rPr>
          <w:fldChar w:fldCharType="end"/>
        </w:r>
      </w:hyperlink>
    </w:p>
    <w:p w14:paraId="0E008F4E" w14:textId="591BB8E8" w:rsidR="00144590" w:rsidRPr="007575D7" w:rsidRDefault="00B42297">
      <w:pPr>
        <w:pStyle w:val="TableofFigures"/>
        <w:tabs>
          <w:tab w:val="right" w:leader="dot" w:pos="8290"/>
        </w:tabs>
        <w:rPr>
          <w:rFonts w:ascii="Times New Roman" w:hAnsi="Times New Roman" w:cs="Times New Roman"/>
          <w:noProof/>
        </w:rPr>
      </w:pPr>
      <w:hyperlink w:anchor="_Toc520725636" w:history="1">
        <w:r w:rsidR="00144590" w:rsidRPr="00144590">
          <w:rPr>
            <w:rStyle w:val="Hyperlink"/>
            <w:rFonts w:ascii="Times New Roman" w:hAnsi="Times New Roman" w:cs="Times New Roman"/>
            <w:noProof/>
          </w:rPr>
          <w:t>Figure 80: Evolution of the Deployment of 4G Networks in Africa (2010-2016)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_Toc520725636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169</w:t>
        </w:r>
        <w:r w:rsidR="00144590" w:rsidRPr="007575D7">
          <w:rPr>
            <w:rFonts w:ascii="Times New Roman" w:hAnsi="Times New Roman" w:cs="Times New Roman"/>
            <w:noProof/>
            <w:webHidden/>
          </w:rPr>
          <w:fldChar w:fldCharType="end"/>
        </w:r>
      </w:hyperlink>
    </w:p>
    <w:p w14:paraId="46864BA6" w14:textId="427E9428" w:rsidR="00144590" w:rsidRPr="007575D7" w:rsidRDefault="00B42297">
      <w:pPr>
        <w:pStyle w:val="TableofFigures"/>
        <w:tabs>
          <w:tab w:val="right" w:leader="dot" w:pos="8290"/>
        </w:tabs>
        <w:rPr>
          <w:rFonts w:ascii="Times New Roman" w:hAnsi="Times New Roman" w:cs="Times New Roman"/>
          <w:noProof/>
        </w:rPr>
      </w:pPr>
      <w:hyperlink w:anchor="_Toc520725637" w:history="1">
        <w:r w:rsidR="00144590" w:rsidRPr="00144590">
          <w:rPr>
            <w:rStyle w:val="Hyperlink"/>
            <w:rFonts w:ascii="Times New Roman" w:hAnsi="Times New Roman" w:cs="Times New Roman"/>
            <w:noProof/>
          </w:rPr>
          <w:t>Figure 81: 2G/3G Coverage Areas by the Different Mobile Operators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_Toc520725637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170</w:t>
        </w:r>
        <w:r w:rsidR="00144590" w:rsidRPr="007575D7">
          <w:rPr>
            <w:rFonts w:ascii="Times New Roman" w:hAnsi="Times New Roman" w:cs="Times New Roman"/>
            <w:noProof/>
            <w:webHidden/>
          </w:rPr>
          <w:fldChar w:fldCharType="end"/>
        </w:r>
      </w:hyperlink>
    </w:p>
    <w:p w14:paraId="5F678AEA" w14:textId="77777777" w:rsidR="00AD53CA" w:rsidRPr="00CC4C0F" w:rsidRDefault="00AD53CA" w:rsidP="00AD53CA">
      <w:pPr>
        <w:rPr>
          <w:rFonts w:ascii="Times New Roman" w:hAnsi="Times New Roman" w:cs="Times New Roman"/>
        </w:rPr>
      </w:pPr>
      <w:r w:rsidRPr="00144590">
        <w:rPr>
          <w:rFonts w:ascii="Times New Roman" w:hAnsi="Times New Roman" w:cs="Times New Roman"/>
        </w:rPr>
        <w:fldChar w:fldCharType="end"/>
      </w:r>
    </w:p>
    <w:p w14:paraId="22490AC0" w14:textId="77777777" w:rsidR="00AD53CA" w:rsidRPr="00CC4C0F" w:rsidRDefault="00AD53CA" w:rsidP="00AD53CA">
      <w:pPr>
        <w:pStyle w:val="Heading2"/>
        <w:rPr>
          <w:rFonts w:ascii="Times New Roman" w:hAnsi="Times New Roman" w:cs="Times New Roman"/>
          <w:b w:val="0"/>
        </w:rPr>
      </w:pPr>
      <w:bookmarkStart w:id="4" w:name="_Toc498114276"/>
      <w:bookmarkStart w:id="5" w:name="_Toc520724092"/>
      <w:r w:rsidRPr="00CC4C0F">
        <w:rPr>
          <w:rFonts w:ascii="Times New Roman" w:hAnsi="Times New Roman" w:cs="Times New Roman"/>
          <w:b w:val="0"/>
        </w:rPr>
        <w:t>List of Tables</w:t>
      </w:r>
      <w:bookmarkEnd w:id="4"/>
      <w:bookmarkEnd w:id="5"/>
    </w:p>
    <w:p w14:paraId="39AB0A50" w14:textId="53A3A36C" w:rsidR="00144590" w:rsidRPr="007575D7" w:rsidRDefault="00AD53CA">
      <w:pPr>
        <w:pStyle w:val="TableofFigures"/>
        <w:tabs>
          <w:tab w:val="right" w:leader="dot" w:pos="8290"/>
        </w:tabs>
        <w:rPr>
          <w:rFonts w:ascii="Times New Roman" w:hAnsi="Times New Roman" w:cs="Times New Roman"/>
          <w:noProof/>
        </w:rPr>
      </w:pPr>
      <w:r w:rsidRPr="00144590">
        <w:rPr>
          <w:rFonts w:ascii="Times New Roman" w:hAnsi="Times New Roman" w:cs="Times New Roman"/>
        </w:rPr>
        <w:fldChar w:fldCharType="begin"/>
      </w:r>
      <w:r w:rsidRPr="00144590">
        <w:rPr>
          <w:rFonts w:ascii="Times New Roman" w:hAnsi="Times New Roman" w:cs="Times New Roman"/>
        </w:rPr>
        <w:instrText xml:space="preserve"> TOC \h \z \c "Table" </w:instrText>
      </w:r>
      <w:r w:rsidRPr="00144590">
        <w:rPr>
          <w:rFonts w:ascii="Times New Roman" w:hAnsi="Times New Roman" w:cs="Times New Roman"/>
        </w:rPr>
        <w:fldChar w:fldCharType="separate"/>
      </w:r>
      <w:hyperlink w:anchor="_Toc520725688" w:history="1">
        <w:r w:rsidR="00144590" w:rsidRPr="00144590">
          <w:rPr>
            <w:rStyle w:val="Hyperlink"/>
            <w:rFonts w:ascii="Times New Roman" w:hAnsi="Times New Roman" w:cs="Times New Roman"/>
            <w:noProof/>
          </w:rPr>
          <w:t>Table 1: Recommendations on market solutions to address key bottlenecks in the groundnut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_Toc520725688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xxx</w:t>
        </w:r>
        <w:r w:rsidR="00144590" w:rsidRPr="007575D7">
          <w:rPr>
            <w:rFonts w:ascii="Times New Roman" w:hAnsi="Times New Roman" w:cs="Times New Roman"/>
            <w:noProof/>
            <w:webHidden/>
          </w:rPr>
          <w:fldChar w:fldCharType="end"/>
        </w:r>
      </w:hyperlink>
    </w:p>
    <w:p w14:paraId="71B77D8B" w14:textId="5C3CA524" w:rsidR="00144590" w:rsidRPr="007575D7" w:rsidRDefault="00B42297">
      <w:pPr>
        <w:pStyle w:val="TableofFigures"/>
        <w:tabs>
          <w:tab w:val="right" w:leader="dot" w:pos="8290"/>
        </w:tabs>
        <w:rPr>
          <w:rFonts w:ascii="Times New Roman" w:hAnsi="Times New Roman" w:cs="Times New Roman"/>
          <w:noProof/>
        </w:rPr>
      </w:pPr>
      <w:hyperlink w:anchor="_Toc520725689" w:history="1">
        <w:r w:rsidR="00144590" w:rsidRPr="00144590">
          <w:rPr>
            <w:rStyle w:val="Hyperlink"/>
            <w:rFonts w:ascii="Times New Roman" w:hAnsi="Times New Roman" w:cs="Times New Roman"/>
            <w:noProof/>
          </w:rPr>
          <w:t>Table 2: Recommendations for the telecommunications sector</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_Toc520725689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xxxiii</w:t>
        </w:r>
        <w:r w:rsidR="00144590" w:rsidRPr="007575D7">
          <w:rPr>
            <w:rFonts w:ascii="Times New Roman" w:hAnsi="Times New Roman" w:cs="Times New Roman"/>
            <w:noProof/>
            <w:webHidden/>
          </w:rPr>
          <w:fldChar w:fldCharType="end"/>
        </w:r>
      </w:hyperlink>
    </w:p>
    <w:p w14:paraId="27583F93" w14:textId="75307C7C" w:rsidR="00144590" w:rsidRPr="007575D7" w:rsidRDefault="00B42297">
      <w:pPr>
        <w:pStyle w:val="TableofFigures"/>
        <w:tabs>
          <w:tab w:val="right" w:leader="dot" w:pos="8290"/>
        </w:tabs>
        <w:rPr>
          <w:rFonts w:ascii="Times New Roman" w:hAnsi="Times New Roman" w:cs="Times New Roman"/>
          <w:noProof/>
        </w:rPr>
      </w:pPr>
      <w:hyperlink w:anchor="_Toc520725690" w:history="1">
        <w:r w:rsidR="00144590" w:rsidRPr="00144590">
          <w:rPr>
            <w:rStyle w:val="Hyperlink"/>
            <w:rFonts w:ascii="Times New Roman" w:hAnsi="Times New Roman" w:cs="Times New Roman"/>
            <w:noProof/>
          </w:rPr>
          <w:t>Table 3: Recommendations to improve pro-competition regulations and the competition policy and legal framework</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xxxvi</w:t>
        </w:r>
        <w:r w:rsidR="00144590" w:rsidRPr="007575D7">
          <w:rPr>
            <w:rFonts w:ascii="Times New Roman" w:hAnsi="Times New Roman" w:cs="Times New Roman"/>
            <w:noProof/>
            <w:webHidden/>
          </w:rPr>
          <w:fldChar w:fldCharType="end"/>
        </w:r>
      </w:hyperlink>
    </w:p>
    <w:p w14:paraId="7F8BAA76" w14:textId="770334BD" w:rsidR="00144590" w:rsidRPr="007575D7" w:rsidRDefault="00B42297">
      <w:pPr>
        <w:pStyle w:val="TableofFigures"/>
        <w:tabs>
          <w:tab w:val="right" w:leader="dot" w:pos="8290"/>
        </w:tabs>
        <w:rPr>
          <w:rFonts w:ascii="Times New Roman" w:hAnsi="Times New Roman" w:cs="Times New Roman"/>
          <w:noProof/>
        </w:rPr>
      </w:pPr>
      <w:hyperlink w:anchor="_Toc520725691" w:history="1">
        <w:r w:rsidR="00144590" w:rsidRPr="00144590">
          <w:rPr>
            <w:rStyle w:val="Hyperlink"/>
            <w:rFonts w:ascii="Times New Roman" w:hAnsi="Times New Roman" w:cs="Times New Roman"/>
            <w:noProof/>
          </w:rPr>
          <w:t>Table 4: Sectors/Markets with SOE Presence</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25</w:t>
        </w:r>
        <w:r w:rsidR="00144590" w:rsidRPr="007575D7">
          <w:rPr>
            <w:rFonts w:ascii="Times New Roman" w:hAnsi="Times New Roman" w:cs="Times New Roman"/>
            <w:noProof/>
            <w:webHidden/>
          </w:rPr>
          <w:fldChar w:fldCharType="end"/>
        </w:r>
      </w:hyperlink>
    </w:p>
    <w:p w14:paraId="2C177CAF" w14:textId="32E914A0" w:rsidR="00144590" w:rsidRPr="007575D7" w:rsidRDefault="00B42297">
      <w:pPr>
        <w:pStyle w:val="TableofFigures"/>
        <w:tabs>
          <w:tab w:val="right" w:leader="dot" w:pos="8290"/>
        </w:tabs>
        <w:rPr>
          <w:rFonts w:ascii="Times New Roman" w:hAnsi="Times New Roman" w:cs="Times New Roman"/>
          <w:noProof/>
        </w:rPr>
      </w:pPr>
      <w:hyperlink w:anchor="_Toc520725692" w:history="1">
        <w:r w:rsidR="00144590" w:rsidRPr="00144590">
          <w:rPr>
            <w:rStyle w:val="Hyperlink"/>
            <w:rFonts w:ascii="Times New Roman" w:hAnsi="Times New Roman" w:cs="Times New Roman"/>
            <w:noProof/>
          </w:rPr>
          <w:t>Table 5: List of Controlled Prices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29</w:t>
        </w:r>
        <w:r w:rsidR="00144590" w:rsidRPr="007575D7">
          <w:rPr>
            <w:rFonts w:ascii="Times New Roman" w:hAnsi="Times New Roman" w:cs="Times New Roman"/>
            <w:noProof/>
            <w:webHidden/>
          </w:rPr>
          <w:fldChar w:fldCharType="end"/>
        </w:r>
      </w:hyperlink>
    </w:p>
    <w:p w14:paraId="1C171D51" w14:textId="6847494A" w:rsidR="00144590" w:rsidRPr="007575D7" w:rsidRDefault="00B42297">
      <w:pPr>
        <w:pStyle w:val="TableofFigures"/>
        <w:tabs>
          <w:tab w:val="right" w:leader="dot" w:pos="8290"/>
        </w:tabs>
        <w:rPr>
          <w:rFonts w:ascii="Times New Roman" w:hAnsi="Times New Roman" w:cs="Times New Roman"/>
          <w:noProof/>
        </w:rPr>
      </w:pPr>
      <w:hyperlink w:anchor="_Toc520725693" w:history="1">
        <w:r w:rsidR="00144590" w:rsidRPr="00144590">
          <w:rPr>
            <w:rStyle w:val="Hyperlink"/>
            <w:rFonts w:ascii="Times New Roman" w:hAnsi="Times New Roman" w:cs="Times New Roman"/>
            <w:noProof/>
          </w:rPr>
          <w:t>Table 6: Summary of changes in poverty and direction of gains given a 10 percent price decrease</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44</w:t>
        </w:r>
        <w:r w:rsidR="00144590" w:rsidRPr="007575D7">
          <w:rPr>
            <w:rFonts w:ascii="Times New Roman" w:hAnsi="Times New Roman" w:cs="Times New Roman"/>
            <w:noProof/>
            <w:webHidden/>
          </w:rPr>
          <w:fldChar w:fldCharType="end"/>
        </w:r>
      </w:hyperlink>
    </w:p>
    <w:p w14:paraId="3DCC7ACD" w14:textId="78CDE693" w:rsidR="00144590" w:rsidRPr="007575D7" w:rsidRDefault="00B42297">
      <w:pPr>
        <w:pStyle w:val="TableofFigures"/>
        <w:tabs>
          <w:tab w:val="right" w:leader="dot" w:pos="8290"/>
        </w:tabs>
        <w:rPr>
          <w:rFonts w:ascii="Times New Roman" w:hAnsi="Times New Roman" w:cs="Times New Roman"/>
          <w:noProof/>
        </w:rPr>
      </w:pPr>
      <w:hyperlink w:anchor="_Toc520725694" w:history="1">
        <w:r w:rsidR="00144590" w:rsidRPr="00144590">
          <w:rPr>
            <w:rStyle w:val="Hyperlink"/>
            <w:rFonts w:ascii="Times New Roman" w:hAnsi="Times New Roman" w:cs="Times New Roman"/>
            <w:noProof/>
          </w:rPr>
          <w:t>Table 7: Capacity utilization rates of largest Senegalese millers (2015-2017)</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49</w:t>
        </w:r>
        <w:r w:rsidR="00144590" w:rsidRPr="007575D7">
          <w:rPr>
            <w:rFonts w:ascii="Times New Roman" w:hAnsi="Times New Roman" w:cs="Times New Roman"/>
            <w:noProof/>
            <w:webHidden/>
          </w:rPr>
          <w:fldChar w:fldCharType="end"/>
        </w:r>
      </w:hyperlink>
    </w:p>
    <w:p w14:paraId="688FE429" w14:textId="1DFAE8AE" w:rsidR="00144590" w:rsidRPr="007575D7" w:rsidRDefault="00B42297">
      <w:pPr>
        <w:pStyle w:val="TableofFigures"/>
        <w:tabs>
          <w:tab w:val="right" w:leader="dot" w:pos="8290"/>
        </w:tabs>
        <w:rPr>
          <w:rFonts w:ascii="Times New Roman" w:hAnsi="Times New Roman" w:cs="Times New Roman"/>
          <w:noProof/>
        </w:rPr>
      </w:pPr>
      <w:hyperlink w:anchor="_Toc520725695" w:history="1">
        <w:r w:rsidR="00144590" w:rsidRPr="00144590">
          <w:rPr>
            <w:rStyle w:val="Hyperlink"/>
            <w:rFonts w:ascii="Times New Roman" w:hAnsi="Times New Roman" w:cs="Times New Roman"/>
            <w:noProof/>
          </w:rPr>
          <w:t>Table 8: Rules that may hinder competition in the market for seed</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58</w:t>
        </w:r>
        <w:r w:rsidR="00144590" w:rsidRPr="007575D7">
          <w:rPr>
            <w:rFonts w:ascii="Times New Roman" w:hAnsi="Times New Roman" w:cs="Times New Roman"/>
            <w:noProof/>
            <w:webHidden/>
          </w:rPr>
          <w:fldChar w:fldCharType="end"/>
        </w:r>
      </w:hyperlink>
    </w:p>
    <w:p w14:paraId="7330E2FD" w14:textId="1A3F5839" w:rsidR="00144590" w:rsidRPr="007575D7" w:rsidRDefault="00B42297">
      <w:pPr>
        <w:pStyle w:val="TableofFigures"/>
        <w:tabs>
          <w:tab w:val="right" w:leader="dot" w:pos="8290"/>
        </w:tabs>
        <w:rPr>
          <w:rFonts w:ascii="Times New Roman" w:hAnsi="Times New Roman" w:cs="Times New Roman"/>
          <w:noProof/>
        </w:rPr>
      </w:pPr>
      <w:hyperlink w:anchor="_Toc520725696" w:history="1">
        <w:r w:rsidR="00144590" w:rsidRPr="00144590">
          <w:rPr>
            <w:rStyle w:val="Hyperlink"/>
            <w:rFonts w:ascii="Times New Roman" w:hAnsi="Times New Roman" w:cs="Times New Roman"/>
            <w:noProof/>
          </w:rPr>
          <w:t>Table 9: Rules that may hinder competition in the market for fertilizer</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63</w:t>
        </w:r>
        <w:r w:rsidR="00144590" w:rsidRPr="007575D7">
          <w:rPr>
            <w:rFonts w:ascii="Times New Roman" w:hAnsi="Times New Roman" w:cs="Times New Roman"/>
            <w:noProof/>
            <w:webHidden/>
          </w:rPr>
          <w:fldChar w:fldCharType="end"/>
        </w:r>
      </w:hyperlink>
    </w:p>
    <w:p w14:paraId="35810BE8" w14:textId="21E14D2B" w:rsidR="00144590" w:rsidRPr="007575D7" w:rsidRDefault="00B42297">
      <w:pPr>
        <w:pStyle w:val="TableofFigures"/>
        <w:tabs>
          <w:tab w:val="right" w:leader="dot" w:pos="8290"/>
        </w:tabs>
        <w:rPr>
          <w:rFonts w:ascii="Times New Roman" w:hAnsi="Times New Roman" w:cs="Times New Roman"/>
          <w:noProof/>
        </w:rPr>
      </w:pPr>
      <w:hyperlink w:anchor="_Toc520725697" w:history="1">
        <w:r w:rsidR="00144590" w:rsidRPr="00144590">
          <w:rPr>
            <w:rStyle w:val="Hyperlink"/>
            <w:rFonts w:ascii="Times New Roman" w:hAnsi="Times New Roman" w:cs="Times New Roman"/>
            <w:noProof/>
          </w:rPr>
          <w:t>Table 10: Rules that may hinder competition in the market for buying from farmers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73</w:t>
        </w:r>
        <w:r w:rsidR="00144590" w:rsidRPr="007575D7">
          <w:rPr>
            <w:rFonts w:ascii="Times New Roman" w:hAnsi="Times New Roman" w:cs="Times New Roman"/>
            <w:noProof/>
            <w:webHidden/>
          </w:rPr>
          <w:fldChar w:fldCharType="end"/>
        </w:r>
      </w:hyperlink>
    </w:p>
    <w:p w14:paraId="32B290D5" w14:textId="2F54E7CF" w:rsidR="00144590" w:rsidRPr="007575D7" w:rsidRDefault="00B42297">
      <w:pPr>
        <w:pStyle w:val="TableofFigures"/>
        <w:tabs>
          <w:tab w:val="right" w:leader="dot" w:pos="8290"/>
        </w:tabs>
        <w:rPr>
          <w:rFonts w:ascii="Times New Roman" w:hAnsi="Times New Roman" w:cs="Times New Roman"/>
          <w:noProof/>
        </w:rPr>
      </w:pPr>
      <w:hyperlink w:anchor="_Toc520725698" w:history="1">
        <w:r w:rsidR="00144590" w:rsidRPr="00144590">
          <w:rPr>
            <w:rStyle w:val="Hyperlink"/>
            <w:rFonts w:ascii="Times New Roman" w:hAnsi="Times New Roman" w:cs="Times New Roman"/>
            <w:noProof/>
          </w:rPr>
          <w:t>Table 11: Unintended consequences of Government policies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83</w:t>
        </w:r>
        <w:r w:rsidR="00144590" w:rsidRPr="007575D7">
          <w:rPr>
            <w:rFonts w:ascii="Times New Roman" w:hAnsi="Times New Roman" w:cs="Times New Roman"/>
            <w:noProof/>
            <w:webHidden/>
          </w:rPr>
          <w:fldChar w:fldCharType="end"/>
        </w:r>
      </w:hyperlink>
    </w:p>
    <w:p w14:paraId="076B1526" w14:textId="2E4413B2" w:rsidR="00144590" w:rsidRPr="007575D7" w:rsidRDefault="00B42297">
      <w:pPr>
        <w:pStyle w:val="TableofFigures"/>
        <w:tabs>
          <w:tab w:val="right" w:leader="dot" w:pos="8290"/>
        </w:tabs>
        <w:rPr>
          <w:rFonts w:ascii="Times New Roman" w:hAnsi="Times New Roman" w:cs="Times New Roman"/>
          <w:noProof/>
        </w:rPr>
      </w:pPr>
      <w:hyperlink w:anchor="_Toc520725699" w:history="1">
        <w:r w:rsidR="00144590" w:rsidRPr="00144590">
          <w:rPr>
            <w:rStyle w:val="Hyperlink"/>
            <w:rFonts w:ascii="Times New Roman" w:hAnsi="Times New Roman" w:cs="Times New Roman"/>
            <w:noProof/>
          </w:rPr>
          <w:t>Table 12: Recommendations on market solutions to address key bottlenecks in the groundnut value chain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_Toc520725699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85</w:t>
        </w:r>
        <w:r w:rsidR="00144590" w:rsidRPr="007575D7">
          <w:rPr>
            <w:rFonts w:ascii="Times New Roman" w:hAnsi="Times New Roman" w:cs="Times New Roman"/>
            <w:noProof/>
            <w:webHidden/>
          </w:rPr>
          <w:fldChar w:fldCharType="end"/>
        </w:r>
      </w:hyperlink>
    </w:p>
    <w:p w14:paraId="3216F725" w14:textId="14E30D31" w:rsidR="00144590" w:rsidRPr="007575D7" w:rsidRDefault="00B42297">
      <w:pPr>
        <w:pStyle w:val="TableofFigures"/>
        <w:tabs>
          <w:tab w:val="right" w:leader="dot" w:pos="8290"/>
        </w:tabs>
        <w:rPr>
          <w:rFonts w:ascii="Times New Roman" w:hAnsi="Times New Roman" w:cs="Times New Roman"/>
          <w:noProof/>
        </w:rPr>
      </w:pPr>
      <w:hyperlink w:anchor="_Toc520725700" w:history="1">
        <w:r w:rsidR="00144590" w:rsidRPr="00144590">
          <w:rPr>
            <w:rStyle w:val="Hyperlink"/>
            <w:rFonts w:ascii="Times New Roman" w:hAnsi="Times New Roman" w:cs="Times New Roman"/>
            <w:noProof/>
          </w:rPr>
          <w:t>Table 13: Outcome of ARTP’s Market Analysis (2016)</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_Toc520725700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110</w:t>
        </w:r>
        <w:r w:rsidR="00144590" w:rsidRPr="007575D7">
          <w:rPr>
            <w:rFonts w:ascii="Times New Roman" w:hAnsi="Times New Roman" w:cs="Times New Roman"/>
            <w:noProof/>
            <w:webHidden/>
          </w:rPr>
          <w:fldChar w:fldCharType="end"/>
        </w:r>
      </w:hyperlink>
    </w:p>
    <w:p w14:paraId="361423F4" w14:textId="24588F8C" w:rsidR="00144590" w:rsidRPr="007575D7" w:rsidRDefault="00B42297">
      <w:pPr>
        <w:pStyle w:val="TableofFigures"/>
        <w:tabs>
          <w:tab w:val="right" w:leader="dot" w:pos="8290"/>
        </w:tabs>
        <w:rPr>
          <w:rFonts w:ascii="Times New Roman" w:hAnsi="Times New Roman" w:cs="Times New Roman"/>
          <w:noProof/>
        </w:rPr>
      </w:pPr>
      <w:hyperlink w:anchor="_Toc520725701" w:history="1">
        <w:r w:rsidR="00144590" w:rsidRPr="00144590">
          <w:rPr>
            <w:rStyle w:val="Hyperlink"/>
            <w:rFonts w:ascii="Times New Roman" w:hAnsi="Times New Roman" w:cs="Times New Roman"/>
            <w:noProof/>
          </w:rPr>
          <w:t>Table 14: Unintended consequences of Government policies in telecoms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_Toc520725701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128</w:t>
        </w:r>
        <w:r w:rsidR="00144590" w:rsidRPr="007575D7">
          <w:rPr>
            <w:rFonts w:ascii="Times New Roman" w:hAnsi="Times New Roman" w:cs="Times New Roman"/>
            <w:noProof/>
            <w:webHidden/>
          </w:rPr>
          <w:fldChar w:fldCharType="end"/>
        </w:r>
      </w:hyperlink>
    </w:p>
    <w:p w14:paraId="3DB4157E" w14:textId="127BCF76" w:rsidR="00144590" w:rsidRPr="007575D7" w:rsidRDefault="00B42297">
      <w:pPr>
        <w:pStyle w:val="TableofFigures"/>
        <w:tabs>
          <w:tab w:val="right" w:leader="dot" w:pos="8290"/>
        </w:tabs>
        <w:rPr>
          <w:rFonts w:ascii="Times New Roman" w:hAnsi="Times New Roman" w:cs="Times New Roman"/>
          <w:noProof/>
        </w:rPr>
      </w:pPr>
      <w:hyperlink w:anchor="_Toc520725702" w:history="1">
        <w:r w:rsidR="00144590" w:rsidRPr="00144590">
          <w:rPr>
            <w:rStyle w:val="Hyperlink"/>
            <w:rFonts w:ascii="Times New Roman" w:hAnsi="Times New Roman" w:cs="Times New Roman"/>
            <w:noProof/>
          </w:rPr>
          <w:t>Table 15: Recommendations for the telecommunications sector</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_Toc520725702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131</w:t>
        </w:r>
        <w:r w:rsidR="00144590" w:rsidRPr="007575D7">
          <w:rPr>
            <w:rFonts w:ascii="Times New Roman" w:hAnsi="Times New Roman" w:cs="Times New Roman"/>
            <w:noProof/>
            <w:webHidden/>
          </w:rPr>
          <w:fldChar w:fldCharType="end"/>
        </w:r>
      </w:hyperlink>
    </w:p>
    <w:p w14:paraId="40A9520C" w14:textId="536D6601" w:rsidR="00144590" w:rsidRPr="007575D7" w:rsidRDefault="00B42297">
      <w:pPr>
        <w:pStyle w:val="TableofFigures"/>
        <w:tabs>
          <w:tab w:val="right" w:leader="dot" w:pos="8290"/>
        </w:tabs>
        <w:rPr>
          <w:rFonts w:ascii="Times New Roman" w:hAnsi="Times New Roman" w:cs="Times New Roman"/>
          <w:noProof/>
        </w:rPr>
      </w:pPr>
      <w:hyperlink w:anchor="_Toc520725703" w:history="1">
        <w:r w:rsidR="00144590" w:rsidRPr="00144590">
          <w:rPr>
            <w:rStyle w:val="Hyperlink"/>
            <w:rFonts w:ascii="Times New Roman" w:hAnsi="Times New Roman" w:cs="Times New Roman"/>
            <w:noProof/>
          </w:rPr>
          <w:t>Table 16: Recommendations to improve the competition legal framework</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_Toc520725703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144</w:t>
        </w:r>
        <w:r w:rsidR="00144590" w:rsidRPr="007575D7">
          <w:rPr>
            <w:rFonts w:ascii="Times New Roman" w:hAnsi="Times New Roman" w:cs="Times New Roman"/>
            <w:noProof/>
            <w:webHidden/>
          </w:rPr>
          <w:fldChar w:fldCharType="end"/>
        </w:r>
      </w:hyperlink>
    </w:p>
    <w:p w14:paraId="3ABD76F1" w14:textId="3ABEC10C" w:rsidR="00144590" w:rsidRPr="007575D7" w:rsidRDefault="00B42297">
      <w:pPr>
        <w:pStyle w:val="TableofFigures"/>
        <w:tabs>
          <w:tab w:val="right" w:leader="dot" w:pos="8290"/>
        </w:tabs>
        <w:rPr>
          <w:rFonts w:ascii="Times New Roman" w:hAnsi="Times New Roman" w:cs="Times New Roman"/>
          <w:noProof/>
        </w:rPr>
      </w:pPr>
      <w:hyperlink w:anchor="_Toc520725704" w:history="1">
        <w:r w:rsidR="00144590" w:rsidRPr="00144590">
          <w:rPr>
            <w:rStyle w:val="Hyperlink"/>
            <w:rFonts w:ascii="Times New Roman" w:hAnsi="Times New Roman" w:cs="Times New Roman"/>
            <w:noProof/>
          </w:rPr>
          <w:t>Table 17: Sectors with SOE presence in Senegal</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_Toc520725704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159</w:t>
        </w:r>
        <w:r w:rsidR="00144590" w:rsidRPr="007575D7">
          <w:rPr>
            <w:rFonts w:ascii="Times New Roman" w:hAnsi="Times New Roman" w:cs="Times New Roman"/>
            <w:noProof/>
            <w:webHidden/>
          </w:rPr>
          <w:fldChar w:fldCharType="end"/>
        </w:r>
      </w:hyperlink>
    </w:p>
    <w:p w14:paraId="1188DA90" w14:textId="0F6A0BE9" w:rsidR="00144590" w:rsidRPr="007575D7" w:rsidRDefault="00B42297">
      <w:pPr>
        <w:pStyle w:val="TableofFigures"/>
        <w:tabs>
          <w:tab w:val="right" w:leader="dot" w:pos="8290"/>
        </w:tabs>
        <w:rPr>
          <w:rFonts w:ascii="Times New Roman" w:hAnsi="Times New Roman" w:cs="Times New Roman"/>
          <w:noProof/>
        </w:rPr>
      </w:pPr>
      <w:hyperlink w:anchor="_Toc520725705" w:history="1">
        <w:r w:rsidR="00144590" w:rsidRPr="00144590">
          <w:rPr>
            <w:rStyle w:val="Hyperlink"/>
            <w:rFonts w:ascii="Times New Roman" w:hAnsi="Times New Roman" w:cs="Times New Roman"/>
            <w:noProof/>
          </w:rPr>
          <w:t>Table 18: Simulated effect of improvements in PMR scores on value added and GDP growth</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_Toc520725705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161</w:t>
        </w:r>
        <w:r w:rsidR="00144590" w:rsidRPr="007575D7">
          <w:rPr>
            <w:rFonts w:ascii="Times New Roman" w:hAnsi="Times New Roman" w:cs="Times New Roman"/>
            <w:noProof/>
            <w:webHidden/>
          </w:rPr>
          <w:fldChar w:fldCharType="end"/>
        </w:r>
      </w:hyperlink>
    </w:p>
    <w:p w14:paraId="4A358614" w14:textId="25B505A0" w:rsidR="00144590" w:rsidRPr="007575D7" w:rsidRDefault="00B42297">
      <w:pPr>
        <w:pStyle w:val="TableofFigures"/>
        <w:tabs>
          <w:tab w:val="right" w:leader="dot" w:pos="8290"/>
        </w:tabs>
        <w:rPr>
          <w:rFonts w:ascii="Times New Roman" w:hAnsi="Times New Roman" w:cs="Times New Roman"/>
          <w:noProof/>
        </w:rPr>
      </w:pPr>
      <w:hyperlink w:anchor="_Toc520725706" w:history="1">
        <w:r w:rsidR="00144590" w:rsidRPr="00144590">
          <w:rPr>
            <w:rStyle w:val="Hyperlink"/>
            <w:rFonts w:ascii="Times New Roman" w:hAnsi="Times New Roman" w:cs="Times New Roman"/>
            <w:noProof/>
          </w:rPr>
          <w:t>Table 19: Sector prioritization matrix</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_Toc520725706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162</w:t>
        </w:r>
        <w:r w:rsidR="00144590" w:rsidRPr="007575D7">
          <w:rPr>
            <w:rFonts w:ascii="Times New Roman" w:hAnsi="Times New Roman" w:cs="Times New Roman"/>
            <w:noProof/>
            <w:webHidden/>
          </w:rPr>
          <w:fldChar w:fldCharType="end"/>
        </w:r>
      </w:hyperlink>
    </w:p>
    <w:p w14:paraId="026576D9" w14:textId="68187C06" w:rsidR="00144590" w:rsidRPr="007575D7" w:rsidRDefault="00B42297">
      <w:pPr>
        <w:pStyle w:val="TableofFigures"/>
        <w:tabs>
          <w:tab w:val="right" w:leader="dot" w:pos="8290"/>
        </w:tabs>
        <w:rPr>
          <w:rFonts w:ascii="Times New Roman" w:hAnsi="Times New Roman" w:cs="Times New Roman"/>
          <w:noProof/>
        </w:rPr>
      </w:pPr>
      <w:hyperlink w:anchor="_Toc520725707" w:history="1">
        <w:r w:rsidR="00144590" w:rsidRPr="00144590">
          <w:rPr>
            <w:rStyle w:val="Hyperlink"/>
            <w:rFonts w:ascii="Times New Roman" w:hAnsi="Times New Roman" w:cs="Times New Roman"/>
            <w:noProof/>
          </w:rPr>
          <w:t>Table 20: Price Comparison by Mobile Basket (OECD Mobile Basket Definition, 2010: Monthly Call Distribution, Minutes and SMS) (in US$)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_Toc520725707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168</w:t>
        </w:r>
        <w:r w:rsidR="00144590" w:rsidRPr="007575D7">
          <w:rPr>
            <w:rFonts w:ascii="Times New Roman" w:hAnsi="Times New Roman" w:cs="Times New Roman"/>
            <w:noProof/>
            <w:webHidden/>
          </w:rPr>
          <w:fldChar w:fldCharType="end"/>
        </w:r>
      </w:hyperlink>
    </w:p>
    <w:p w14:paraId="703271F4" w14:textId="77777777" w:rsidR="00AD53CA" w:rsidRPr="00144590" w:rsidRDefault="00AD53CA" w:rsidP="00AD53CA">
      <w:pPr>
        <w:rPr>
          <w:rFonts w:ascii="Times New Roman" w:hAnsi="Times New Roman" w:cs="Times New Roman"/>
        </w:rPr>
      </w:pPr>
      <w:r w:rsidRPr="00144590">
        <w:rPr>
          <w:rFonts w:ascii="Times New Roman" w:hAnsi="Times New Roman" w:cs="Times New Roman"/>
        </w:rPr>
        <w:fldChar w:fldCharType="end"/>
      </w:r>
    </w:p>
    <w:p w14:paraId="5A4A9B4B" w14:textId="77777777" w:rsidR="00AD53CA" w:rsidRPr="00CC4C0F" w:rsidRDefault="00AD53CA" w:rsidP="00AD53CA">
      <w:pPr>
        <w:pStyle w:val="Heading2"/>
        <w:rPr>
          <w:rFonts w:ascii="Times New Roman" w:hAnsi="Times New Roman" w:cs="Times New Roman"/>
          <w:b w:val="0"/>
        </w:rPr>
      </w:pPr>
      <w:bookmarkStart w:id="6" w:name="_Toc498114277"/>
      <w:bookmarkStart w:id="7" w:name="_Toc520724093"/>
      <w:r w:rsidRPr="00CC4C0F">
        <w:rPr>
          <w:rFonts w:ascii="Times New Roman" w:hAnsi="Times New Roman" w:cs="Times New Roman"/>
          <w:b w:val="0"/>
        </w:rPr>
        <w:t>List of Boxes</w:t>
      </w:r>
      <w:bookmarkEnd w:id="6"/>
      <w:bookmarkEnd w:id="7"/>
    </w:p>
    <w:p w14:paraId="573CC191" w14:textId="4EF24F3A" w:rsidR="00144590" w:rsidRPr="007575D7" w:rsidRDefault="00AD53CA">
      <w:pPr>
        <w:pStyle w:val="TableofFigures"/>
        <w:tabs>
          <w:tab w:val="right" w:leader="dot" w:pos="8290"/>
        </w:tabs>
        <w:rPr>
          <w:rFonts w:ascii="Times New Roman" w:hAnsi="Times New Roman" w:cs="Times New Roman"/>
          <w:noProof/>
        </w:rPr>
      </w:pPr>
      <w:r w:rsidRPr="00144590">
        <w:rPr>
          <w:rFonts w:ascii="Times New Roman" w:hAnsi="Times New Roman" w:cs="Times New Roman"/>
          <w:sz w:val="22"/>
          <w:szCs w:val="22"/>
        </w:rPr>
        <w:fldChar w:fldCharType="begin"/>
      </w:r>
      <w:r w:rsidRPr="00144590">
        <w:rPr>
          <w:rFonts w:ascii="Times New Roman" w:hAnsi="Times New Roman" w:cs="Times New Roman"/>
          <w:sz w:val="22"/>
          <w:szCs w:val="22"/>
        </w:rPr>
        <w:instrText xml:space="preserve"> TOC \h \z \c "Box" </w:instrText>
      </w:r>
      <w:r w:rsidRPr="00144590">
        <w:rPr>
          <w:rFonts w:ascii="Times New Roman" w:hAnsi="Times New Roman" w:cs="Times New Roman"/>
          <w:sz w:val="22"/>
          <w:szCs w:val="22"/>
        </w:rPr>
        <w:fldChar w:fldCharType="separate"/>
      </w:r>
      <w:hyperlink w:anchor="_Toc520725789" w:history="1">
        <w:r w:rsidR="00144590" w:rsidRPr="00144590">
          <w:rPr>
            <w:rStyle w:val="Hyperlink"/>
            <w:rFonts w:ascii="Times New Roman" w:hAnsi="Times New Roman" w:cs="Times New Roman"/>
            <w:noProof/>
          </w:rPr>
          <w:t>Box 1: The World Bank Market and Competition Policy Assessment Tool (MCPAT)</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_Toc520725789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xii</w:t>
        </w:r>
        <w:r w:rsidR="00144590" w:rsidRPr="007575D7">
          <w:rPr>
            <w:rFonts w:ascii="Times New Roman" w:hAnsi="Times New Roman" w:cs="Times New Roman"/>
            <w:noProof/>
            <w:webHidden/>
          </w:rPr>
          <w:fldChar w:fldCharType="end"/>
        </w:r>
      </w:hyperlink>
    </w:p>
    <w:p w14:paraId="50DAB9E8" w14:textId="75376F24" w:rsidR="00144590" w:rsidRPr="007575D7" w:rsidRDefault="00B42297">
      <w:pPr>
        <w:pStyle w:val="TableofFigures"/>
        <w:tabs>
          <w:tab w:val="right" w:leader="dot" w:pos="8290"/>
        </w:tabs>
        <w:rPr>
          <w:rFonts w:ascii="Times New Roman" w:hAnsi="Times New Roman" w:cs="Times New Roman"/>
          <w:noProof/>
        </w:rPr>
      </w:pPr>
      <w:hyperlink w:anchor="_Toc520725790" w:history="1">
        <w:r w:rsidR="00144590" w:rsidRPr="00144590">
          <w:rPr>
            <w:rStyle w:val="Hyperlink"/>
            <w:rFonts w:ascii="Times New Roman" w:hAnsi="Times New Roman" w:cs="Times New Roman"/>
            <w:noProof/>
          </w:rPr>
          <w:t>Box 2: PMR Methodology: Economy-Wide Score</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xiii</w:t>
        </w:r>
        <w:r w:rsidR="00144590" w:rsidRPr="007575D7">
          <w:rPr>
            <w:rFonts w:ascii="Times New Roman" w:hAnsi="Times New Roman" w:cs="Times New Roman"/>
            <w:noProof/>
            <w:webHidden/>
          </w:rPr>
          <w:fldChar w:fldCharType="end"/>
        </w:r>
      </w:hyperlink>
    </w:p>
    <w:p w14:paraId="721AD823" w14:textId="731DA9D0" w:rsidR="00144590" w:rsidRPr="007575D7" w:rsidRDefault="00B42297">
      <w:pPr>
        <w:pStyle w:val="TableofFigures"/>
        <w:tabs>
          <w:tab w:val="right" w:leader="dot" w:pos="8290"/>
        </w:tabs>
        <w:rPr>
          <w:rFonts w:ascii="Times New Roman" w:hAnsi="Times New Roman" w:cs="Times New Roman"/>
          <w:noProof/>
        </w:rPr>
      </w:pPr>
      <w:hyperlink w:anchor="_Toc520725791" w:history="1">
        <w:r w:rsidR="00144590" w:rsidRPr="00144590">
          <w:rPr>
            <w:rStyle w:val="Hyperlink"/>
            <w:rFonts w:ascii="Times New Roman" w:hAnsi="Times New Roman" w:cs="Times New Roman"/>
            <w:noProof/>
          </w:rPr>
          <w:t>Box 3: The Impact of Competition on Growth, Productivity and Job Creation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8</w:t>
        </w:r>
        <w:r w:rsidR="00144590" w:rsidRPr="007575D7">
          <w:rPr>
            <w:rFonts w:ascii="Times New Roman" w:hAnsi="Times New Roman" w:cs="Times New Roman"/>
            <w:noProof/>
            <w:webHidden/>
          </w:rPr>
          <w:fldChar w:fldCharType="end"/>
        </w:r>
      </w:hyperlink>
    </w:p>
    <w:p w14:paraId="0AE2B546" w14:textId="6672EEB6" w:rsidR="00144590" w:rsidRPr="007575D7" w:rsidRDefault="00B42297">
      <w:pPr>
        <w:pStyle w:val="TableofFigures"/>
        <w:tabs>
          <w:tab w:val="right" w:leader="dot" w:pos="8290"/>
        </w:tabs>
        <w:rPr>
          <w:rFonts w:ascii="Times New Roman" w:hAnsi="Times New Roman" w:cs="Times New Roman"/>
          <w:noProof/>
        </w:rPr>
      </w:pPr>
      <w:hyperlink w:anchor="_Toc520725792" w:history="1">
        <w:r w:rsidR="00144590" w:rsidRPr="00144590">
          <w:rPr>
            <w:rStyle w:val="Hyperlink"/>
            <w:rFonts w:ascii="Times New Roman" w:hAnsi="Times New Roman" w:cs="Times New Roman"/>
            <w:noProof/>
          </w:rPr>
          <w:t>Box 4: The World Bank Market and Competition Policy Assessment Tool (MCPAT)</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11</w:t>
        </w:r>
        <w:r w:rsidR="00144590" w:rsidRPr="007575D7">
          <w:rPr>
            <w:rFonts w:ascii="Times New Roman" w:hAnsi="Times New Roman" w:cs="Times New Roman"/>
            <w:noProof/>
            <w:webHidden/>
          </w:rPr>
          <w:fldChar w:fldCharType="end"/>
        </w:r>
      </w:hyperlink>
    </w:p>
    <w:p w14:paraId="3650E9F7" w14:textId="4C17A9BB" w:rsidR="00144590" w:rsidRPr="007575D7" w:rsidRDefault="00B42297">
      <w:pPr>
        <w:pStyle w:val="TableofFigures"/>
        <w:tabs>
          <w:tab w:val="right" w:leader="dot" w:pos="8290"/>
        </w:tabs>
        <w:rPr>
          <w:rFonts w:ascii="Times New Roman" w:hAnsi="Times New Roman" w:cs="Times New Roman"/>
          <w:noProof/>
        </w:rPr>
      </w:pPr>
      <w:hyperlink w:anchor="_Toc520725793" w:history="1">
        <w:r w:rsidR="00144590" w:rsidRPr="00144590">
          <w:rPr>
            <w:rStyle w:val="Hyperlink"/>
            <w:rFonts w:ascii="Times New Roman" w:hAnsi="Times New Roman" w:cs="Times New Roman"/>
            <w:noProof/>
          </w:rPr>
          <w:t>Box 5: PMR Methodology: Economy-Wide Score</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15</w:t>
        </w:r>
        <w:r w:rsidR="00144590" w:rsidRPr="007575D7">
          <w:rPr>
            <w:rFonts w:ascii="Times New Roman" w:hAnsi="Times New Roman" w:cs="Times New Roman"/>
            <w:noProof/>
            <w:webHidden/>
          </w:rPr>
          <w:fldChar w:fldCharType="end"/>
        </w:r>
      </w:hyperlink>
    </w:p>
    <w:p w14:paraId="592C70A9" w14:textId="5A13F378" w:rsidR="00144590" w:rsidRPr="007575D7" w:rsidRDefault="00B42297">
      <w:pPr>
        <w:pStyle w:val="TableofFigures"/>
        <w:tabs>
          <w:tab w:val="right" w:leader="dot" w:pos="8290"/>
        </w:tabs>
        <w:rPr>
          <w:rFonts w:ascii="Times New Roman" w:hAnsi="Times New Roman" w:cs="Times New Roman"/>
          <w:noProof/>
        </w:rPr>
      </w:pPr>
      <w:hyperlink w:anchor="_Toc520725794" w:history="1">
        <w:r w:rsidR="00144590" w:rsidRPr="00144590">
          <w:rPr>
            <w:rStyle w:val="Hyperlink"/>
            <w:rFonts w:ascii="Times New Roman" w:hAnsi="Times New Roman" w:cs="Times New Roman"/>
            <w:noProof/>
          </w:rPr>
          <w:t>Box 6: Competition and Poverty Reduction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40</w:t>
        </w:r>
        <w:r w:rsidR="00144590" w:rsidRPr="007575D7">
          <w:rPr>
            <w:rFonts w:ascii="Times New Roman" w:hAnsi="Times New Roman" w:cs="Times New Roman"/>
            <w:noProof/>
            <w:webHidden/>
          </w:rPr>
          <w:fldChar w:fldCharType="end"/>
        </w:r>
      </w:hyperlink>
    </w:p>
    <w:p w14:paraId="18EAEB9F" w14:textId="49C342B6" w:rsidR="00144590" w:rsidRPr="007575D7" w:rsidRDefault="00B42297">
      <w:pPr>
        <w:pStyle w:val="TableofFigures"/>
        <w:tabs>
          <w:tab w:val="right" w:leader="dot" w:pos="8290"/>
        </w:tabs>
        <w:rPr>
          <w:rFonts w:ascii="Times New Roman" w:hAnsi="Times New Roman" w:cs="Times New Roman"/>
          <w:noProof/>
        </w:rPr>
      </w:pPr>
      <w:hyperlink w:anchor="_Toc520725795" w:history="1">
        <w:r w:rsidR="00144590" w:rsidRPr="00144590">
          <w:rPr>
            <w:rStyle w:val="Hyperlink"/>
            <w:rFonts w:ascii="Times New Roman" w:hAnsi="Times New Roman" w:cs="Times New Roman"/>
            <w:noProof/>
          </w:rPr>
          <w:t>Box 7:</w:t>
        </w:r>
        <w:r w:rsidR="00144590" w:rsidRPr="007575D7">
          <w:rPr>
            <w:rStyle w:val="Hyperlink"/>
            <w:rFonts w:ascii="Times New Roman" w:hAnsi="Times New Roman" w:cs="Times New Roman"/>
            <w:noProof/>
          </w:rPr>
          <w:t xml:space="preserve"> </w:t>
        </w:r>
        <w:r w:rsidR="00144590" w:rsidRPr="00144590">
          <w:rPr>
            <w:rStyle w:val="Hyperlink"/>
            <w:rFonts w:ascii="Times New Roman" w:hAnsi="Times New Roman" w:cs="Times New Roman"/>
            <w:noProof/>
          </w:rPr>
          <w:t>Overview of the groundnuts sector trends and profitability</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49</w:t>
        </w:r>
        <w:r w:rsidR="00144590" w:rsidRPr="007575D7">
          <w:rPr>
            <w:rFonts w:ascii="Times New Roman" w:hAnsi="Times New Roman" w:cs="Times New Roman"/>
            <w:noProof/>
            <w:webHidden/>
          </w:rPr>
          <w:fldChar w:fldCharType="end"/>
        </w:r>
      </w:hyperlink>
    </w:p>
    <w:p w14:paraId="075DFFA4" w14:textId="3ECEED83" w:rsidR="00144590" w:rsidRPr="007575D7" w:rsidRDefault="00B42297">
      <w:pPr>
        <w:pStyle w:val="TableofFigures"/>
        <w:tabs>
          <w:tab w:val="right" w:leader="dot" w:pos="8290"/>
        </w:tabs>
        <w:rPr>
          <w:rFonts w:ascii="Times New Roman" w:hAnsi="Times New Roman" w:cs="Times New Roman"/>
          <w:noProof/>
        </w:rPr>
      </w:pPr>
      <w:hyperlink w:anchor="_Toc520725796" w:history="1">
        <w:r w:rsidR="00144590" w:rsidRPr="00144590">
          <w:rPr>
            <w:rStyle w:val="Hyperlink"/>
            <w:rFonts w:ascii="Times New Roman" w:hAnsi="Times New Roman" w:cs="Times New Roman"/>
            <w:noProof/>
          </w:rPr>
          <w:t>Box 8: Why domestic market competition matters for export competitiveness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53</w:t>
        </w:r>
        <w:r w:rsidR="00144590" w:rsidRPr="007575D7">
          <w:rPr>
            <w:rFonts w:ascii="Times New Roman" w:hAnsi="Times New Roman" w:cs="Times New Roman"/>
            <w:noProof/>
            <w:webHidden/>
          </w:rPr>
          <w:fldChar w:fldCharType="end"/>
        </w:r>
      </w:hyperlink>
    </w:p>
    <w:p w14:paraId="3C24F7FE" w14:textId="2E164EBC" w:rsidR="00144590" w:rsidRPr="007575D7" w:rsidRDefault="00B42297">
      <w:pPr>
        <w:pStyle w:val="TableofFigures"/>
        <w:tabs>
          <w:tab w:val="right" w:leader="dot" w:pos="8290"/>
        </w:tabs>
        <w:rPr>
          <w:rFonts w:ascii="Times New Roman" w:hAnsi="Times New Roman" w:cs="Times New Roman"/>
          <w:noProof/>
        </w:rPr>
      </w:pPr>
      <w:hyperlink w:anchor="_Toc520725797" w:history="1">
        <w:r w:rsidR="00144590" w:rsidRPr="00144590">
          <w:rPr>
            <w:rStyle w:val="Hyperlink"/>
            <w:rFonts w:ascii="Times New Roman" w:hAnsi="Times New Roman" w:cs="Times New Roman"/>
            <w:noProof/>
          </w:rPr>
          <w:t>Box 9: International experience: Development of the groundnut confectionery industry</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65</w:t>
        </w:r>
        <w:r w:rsidR="00144590" w:rsidRPr="007575D7">
          <w:rPr>
            <w:rFonts w:ascii="Times New Roman" w:hAnsi="Times New Roman" w:cs="Times New Roman"/>
            <w:noProof/>
            <w:webHidden/>
          </w:rPr>
          <w:fldChar w:fldCharType="end"/>
        </w:r>
      </w:hyperlink>
    </w:p>
    <w:p w14:paraId="714A94B3" w14:textId="641F9420" w:rsidR="00144590" w:rsidRPr="007575D7" w:rsidRDefault="00B42297">
      <w:pPr>
        <w:pStyle w:val="TableofFigures"/>
        <w:tabs>
          <w:tab w:val="right" w:leader="dot" w:pos="8290"/>
        </w:tabs>
        <w:rPr>
          <w:rFonts w:ascii="Times New Roman" w:hAnsi="Times New Roman" w:cs="Times New Roman"/>
          <w:noProof/>
        </w:rPr>
      </w:pPr>
      <w:hyperlink w:anchor="_Toc520725798" w:history="1">
        <w:r w:rsidR="00144590" w:rsidRPr="00144590">
          <w:rPr>
            <w:rStyle w:val="Hyperlink"/>
            <w:rFonts w:ascii="Times New Roman" w:hAnsi="Times New Roman" w:cs="Times New Roman"/>
            <w:noProof/>
          </w:rPr>
          <w:t>Box 10: International Experience: Standards in the groundnut industry</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67</w:t>
        </w:r>
        <w:r w:rsidR="00144590" w:rsidRPr="007575D7">
          <w:rPr>
            <w:rFonts w:ascii="Times New Roman" w:hAnsi="Times New Roman" w:cs="Times New Roman"/>
            <w:noProof/>
            <w:webHidden/>
          </w:rPr>
          <w:fldChar w:fldCharType="end"/>
        </w:r>
      </w:hyperlink>
    </w:p>
    <w:p w14:paraId="55379787" w14:textId="69BB58E4" w:rsidR="00144590" w:rsidRPr="007575D7" w:rsidRDefault="00B42297">
      <w:pPr>
        <w:pStyle w:val="TableofFigures"/>
        <w:tabs>
          <w:tab w:val="right" w:leader="dot" w:pos="8290"/>
        </w:tabs>
        <w:rPr>
          <w:rFonts w:ascii="Times New Roman" w:hAnsi="Times New Roman" w:cs="Times New Roman"/>
          <w:noProof/>
        </w:rPr>
      </w:pPr>
      <w:hyperlink w:anchor="_Toc520725799" w:history="1">
        <w:r w:rsidR="00144590" w:rsidRPr="00144590">
          <w:rPr>
            <w:rStyle w:val="Hyperlink"/>
            <w:rFonts w:ascii="Times New Roman" w:hAnsi="Times New Roman" w:cs="Times New Roman"/>
            <w:noProof/>
          </w:rPr>
          <w:t>Box 11: Groundnut value chain management by the CNIA</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_Toc520725799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68</w:t>
        </w:r>
        <w:r w:rsidR="00144590" w:rsidRPr="007575D7">
          <w:rPr>
            <w:rFonts w:ascii="Times New Roman" w:hAnsi="Times New Roman" w:cs="Times New Roman"/>
            <w:noProof/>
            <w:webHidden/>
          </w:rPr>
          <w:fldChar w:fldCharType="end"/>
        </w:r>
      </w:hyperlink>
    </w:p>
    <w:p w14:paraId="50BD03AA" w14:textId="730550BA" w:rsidR="00144590" w:rsidRPr="007575D7" w:rsidRDefault="00B42297">
      <w:pPr>
        <w:pStyle w:val="TableofFigures"/>
        <w:tabs>
          <w:tab w:val="right" w:leader="dot" w:pos="8290"/>
        </w:tabs>
        <w:rPr>
          <w:rFonts w:ascii="Times New Roman" w:hAnsi="Times New Roman" w:cs="Times New Roman"/>
          <w:noProof/>
        </w:rPr>
      </w:pPr>
      <w:hyperlink w:anchor="_Toc520725800" w:history="1">
        <w:r w:rsidR="00144590" w:rsidRPr="00144590">
          <w:rPr>
            <w:rStyle w:val="Hyperlink"/>
            <w:rFonts w:ascii="Times New Roman" w:hAnsi="Times New Roman" w:cs="Times New Roman"/>
            <w:noProof/>
          </w:rPr>
          <w:t>Box 12: Designing industry support programs: lessons from the Gabon export ban on timber</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81</w:t>
        </w:r>
        <w:r w:rsidR="00144590" w:rsidRPr="007575D7">
          <w:rPr>
            <w:rFonts w:ascii="Times New Roman" w:hAnsi="Times New Roman" w:cs="Times New Roman"/>
            <w:noProof/>
            <w:webHidden/>
          </w:rPr>
          <w:fldChar w:fldCharType="end"/>
        </w:r>
      </w:hyperlink>
    </w:p>
    <w:p w14:paraId="7E4260A1" w14:textId="76256791" w:rsidR="00144590" w:rsidRPr="007575D7" w:rsidRDefault="00B42297">
      <w:pPr>
        <w:pStyle w:val="TableofFigures"/>
        <w:tabs>
          <w:tab w:val="right" w:leader="dot" w:pos="8290"/>
        </w:tabs>
        <w:rPr>
          <w:rFonts w:ascii="Times New Roman" w:hAnsi="Times New Roman" w:cs="Times New Roman"/>
          <w:noProof/>
        </w:rPr>
      </w:pPr>
      <w:hyperlink w:anchor="_Toc520725801" w:history="1">
        <w:r w:rsidR="00144590" w:rsidRPr="00144590">
          <w:rPr>
            <w:rStyle w:val="Hyperlink"/>
            <w:rFonts w:ascii="Times New Roman" w:hAnsi="Times New Roman" w:cs="Times New Roman"/>
            <w:noProof/>
          </w:rPr>
          <w:t>Box 13</w:t>
        </w:r>
        <w:r w:rsidR="00144590" w:rsidRPr="007575D7">
          <w:rPr>
            <w:rStyle w:val="Hyperlink"/>
            <w:rFonts w:ascii="Times New Roman" w:hAnsi="Times New Roman" w:cs="Times New Roman"/>
            <w:noProof/>
          </w:rPr>
          <w:t xml:space="preserve">: </w:t>
        </w:r>
        <w:r w:rsidR="00144590" w:rsidRPr="00144590">
          <w:rPr>
            <w:rStyle w:val="Hyperlink"/>
            <w:rFonts w:ascii="Times New Roman" w:hAnsi="Times New Roman" w:cs="Times New Roman"/>
            <w:noProof/>
          </w:rPr>
          <w:t>International experience: Digital economy in Agriculture</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82</w:t>
        </w:r>
        <w:r w:rsidR="00144590" w:rsidRPr="007575D7">
          <w:rPr>
            <w:rFonts w:ascii="Times New Roman" w:hAnsi="Times New Roman" w:cs="Times New Roman"/>
            <w:noProof/>
            <w:webHidden/>
          </w:rPr>
          <w:fldChar w:fldCharType="end"/>
        </w:r>
      </w:hyperlink>
    </w:p>
    <w:p w14:paraId="5381F274" w14:textId="563BACCB" w:rsidR="00144590" w:rsidRPr="007575D7" w:rsidRDefault="00B42297">
      <w:pPr>
        <w:pStyle w:val="TableofFigures"/>
        <w:tabs>
          <w:tab w:val="right" w:leader="dot" w:pos="8290"/>
        </w:tabs>
        <w:rPr>
          <w:rFonts w:ascii="Times New Roman" w:hAnsi="Times New Roman" w:cs="Times New Roman"/>
          <w:noProof/>
        </w:rPr>
      </w:pPr>
      <w:hyperlink w:anchor="_Toc520725802" w:history="1">
        <w:r w:rsidR="00144590" w:rsidRPr="00144590">
          <w:rPr>
            <w:rStyle w:val="Hyperlink"/>
            <w:rFonts w:ascii="Times New Roman" w:hAnsi="Times New Roman" w:cs="Times New Roman"/>
            <w:noProof/>
          </w:rPr>
          <w:t>Box 14:</w:t>
        </w:r>
        <w:r w:rsidR="00144590" w:rsidRPr="007575D7">
          <w:rPr>
            <w:rStyle w:val="Hyperlink"/>
            <w:rFonts w:ascii="Times New Roman" w:hAnsi="Times New Roman" w:cs="Times New Roman"/>
            <w:noProof/>
          </w:rPr>
          <w:t xml:space="preserve"> </w:t>
        </w:r>
        <w:r w:rsidR="00144590" w:rsidRPr="00144590">
          <w:rPr>
            <w:rStyle w:val="Hyperlink"/>
            <w:rFonts w:ascii="Times New Roman" w:hAnsi="Times New Roman" w:cs="Times New Roman"/>
            <w:noProof/>
          </w:rPr>
          <w:t>International experience in agricultural risk management</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87</w:t>
        </w:r>
        <w:r w:rsidR="00144590" w:rsidRPr="007575D7">
          <w:rPr>
            <w:rFonts w:ascii="Times New Roman" w:hAnsi="Times New Roman" w:cs="Times New Roman"/>
            <w:noProof/>
            <w:webHidden/>
          </w:rPr>
          <w:fldChar w:fldCharType="end"/>
        </w:r>
      </w:hyperlink>
    </w:p>
    <w:p w14:paraId="3B3F309F" w14:textId="7FCC682F" w:rsidR="00144590" w:rsidRPr="007575D7" w:rsidRDefault="00B42297">
      <w:pPr>
        <w:pStyle w:val="TableofFigures"/>
        <w:tabs>
          <w:tab w:val="right" w:leader="dot" w:pos="8290"/>
        </w:tabs>
        <w:rPr>
          <w:rFonts w:ascii="Times New Roman" w:hAnsi="Times New Roman" w:cs="Times New Roman"/>
          <w:noProof/>
        </w:rPr>
      </w:pPr>
      <w:hyperlink w:anchor="_Toc520725803" w:history="1">
        <w:r w:rsidR="00144590" w:rsidRPr="00144590">
          <w:rPr>
            <w:rStyle w:val="Hyperlink"/>
            <w:rFonts w:ascii="Times New Roman" w:hAnsi="Times New Roman" w:cs="Times New Roman"/>
            <w:noProof/>
          </w:rPr>
          <w:t>Box 15: Implementing a subset of these recommendations can lead to significant gains for Senegal</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89</w:t>
        </w:r>
        <w:r w:rsidR="00144590" w:rsidRPr="007575D7">
          <w:rPr>
            <w:rFonts w:ascii="Times New Roman" w:hAnsi="Times New Roman" w:cs="Times New Roman"/>
            <w:noProof/>
            <w:webHidden/>
          </w:rPr>
          <w:fldChar w:fldCharType="end"/>
        </w:r>
      </w:hyperlink>
    </w:p>
    <w:p w14:paraId="02390D7F" w14:textId="40F4173C" w:rsidR="00144590" w:rsidRPr="007575D7" w:rsidRDefault="00B42297">
      <w:pPr>
        <w:pStyle w:val="TableofFigures"/>
        <w:tabs>
          <w:tab w:val="right" w:leader="dot" w:pos="8290"/>
        </w:tabs>
        <w:rPr>
          <w:rFonts w:ascii="Times New Roman" w:hAnsi="Times New Roman" w:cs="Times New Roman"/>
          <w:noProof/>
        </w:rPr>
      </w:pPr>
      <w:hyperlink w:anchor="_Toc520725804" w:history="1">
        <w:r w:rsidR="00144590" w:rsidRPr="00144590">
          <w:rPr>
            <w:rStyle w:val="Hyperlink"/>
            <w:rFonts w:ascii="Times New Roman" w:hAnsi="Times New Roman" w:cs="Times New Roman"/>
            <w:noProof/>
            <w:lang w:val="fr-FR"/>
          </w:rPr>
          <w:t>Box 16:</w:t>
        </w:r>
        <w:r w:rsidR="00144590" w:rsidRPr="007575D7">
          <w:rPr>
            <w:rStyle w:val="Hyperlink"/>
            <w:rFonts w:ascii="Times New Roman" w:hAnsi="Times New Roman" w:cs="Times New Roman"/>
            <w:noProof/>
            <w:lang w:val="fr-FR"/>
          </w:rPr>
          <w:t xml:space="preserve"> </w:t>
        </w:r>
        <w:r w:rsidR="00144590" w:rsidRPr="00144590">
          <w:rPr>
            <w:rStyle w:val="Hyperlink"/>
            <w:rFonts w:ascii="Times New Roman" w:hAnsi="Times New Roman" w:cs="Times New Roman"/>
            <w:noProof/>
            <w:lang w:val="fr-FR"/>
          </w:rPr>
          <w:t>Stratégie Sénégal Numérique 2025</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93</w:t>
        </w:r>
        <w:r w:rsidR="00144590" w:rsidRPr="007575D7">
          <w:rPr>
            <w:rFonts w:ascii="Times New Roman" w:hAnsi="Times New Roman" w:cs="Times New Roman"/>
            <w:noProof/>
            <w:webHidden/>
          </w:rPr>
          <w:fldChar w:fldCharType="end"/>
        </w:r>
      </w:hyperlink>
    </w:p>
    <w:p w14:paraId="61C76A6C" w14:textId="0EE9FA04" w:rsidR="00144590" w:rsidRPr="007575D7" w:rsidRDefault="00B42297">
      <w:pPr>
        <w:pStyle w:val="TableofFigures"/>
        <w:tabs>
          <w:tab w:val="right" w:leader="dot" w:pos="8290"/>
        </w:tabs>
        <w:rPr>
          <w:rFonts w:ascii="Times New Roman" w:hAnsi="Times New Roman" w:cs="Times New Roman"/>
          <w:noProof/>
        </w:rPr>
      </w:pPr>
      <w:hyperlink w:anchor="_Toc520725805" w:history="1">
        <w:r w:rsidR="00144590" w:rsidRPr="00144590">
          <w:rPr>
            <w:rStyle w:val="Hyperlink"/>
            <w:rFonts w:ascii="Times New Roman" w:hAnsi="Times New Roman" w:cs="Times New Roman"/>
            <w:noProof/>
          </w:rPr>
          <w:t>Box 17: Setting the right combination of ex ante regulation and ex post competition enforcement</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_Toc520725805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102</w:t>
        </w:r>
        <w:r w:rsidR="00144590" w:rsidRPr="007575D7">
          <w:rPr>
            <w:rFonts w:ascii="Times New Roman" w:hAnsi="Times New Roman" w:cs="Times New Roman"/>
            <w:noProof/>
            <w:webHidden/>
          </w:rPr>
          <w:fldChar w:fldCharType="end"/>
        </w:r>
      </w:hyperlink>
    </w:p>
    <w:p w14:paraId="3A4A8E4C" w14:textId="653D77F8" w:rsidR="00144590" w:rsidRPr="007575D7" w:rsidRDefault="00B42297">
      <w:pPr>
        <w:pStyle w:val="TableofFigures"/>
        <w:tabs>
          <w:tab w:val="right" w:leader="dot" w:pos="8290"/>
        </w:tabs>
        <w:rPr>
          <w:rFonts w:ascii="Times New Roman" w:hAnsi="Times New Roman" w:cs="Times New Roman"/>
          <w:noProof/>
        </w:rPr>
      </w:pPr>
      <w:hyperlink w:anchor="_Toc520725806" w:history="1">
        <w:r w:rsidR="00144590" w:rsidRPr="00144590">
          <w:rPr>
            <w:rStyle w:val="Hyperlink"/>
            <w:rFonts w:ascii="Times New Roman" w:hAnsi="Times New Roman" w:cs="Times New Roman"/>
            <w:noProof/>
          </w:rPr>
          <w:t>Box 18: Telecommunications Code Rules on Competition</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_Toc520725806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104</w:t>
        </w:r>
        <w:r w:rsidR="00144590" w:rsidRPr="007575D7">
          <w:rPr>
            <w:rFonts w:ascii="Times New Roman" w:hAnsi="Times New Roman" w:cs="Times New Roman"/>
            <w:noProof/>
            <w:webHidden/>
          </w:rPr>
          <w:fldChar w:fldCharType="end"/>
        </w:r>
      </w:hyperlink>
    </w:p>
    <w:p w14:paraId="5941DB04" w14:textId="157CE85A" w:rsidR="00144590" w:rsidRPr="007575D7" w:rsidRDefault="00B42297">
      <w:pPr>
        <w:pStyle w:val="TableofFigures"/>
        <w:tabs>
          <w:tab w:val="right" w:leader="dot" w:pos="8290"/>
        </w:tabs>
        <w:rPr>
          <w:rFonts w:ascii="Times New Roman" w:hAnsi="Times New Roman" w:cs="Times New Roman"/>
          <w:noProof/>
        </w:rPr>
      </w:pPr>
      <w:hyperlink w:anchor="_Toc520725807" w:history="1">
        <w:r w:rsidR="00144590" w:rsidRPr="00144590">
          <w:rPr>
            <w:rStyle w:val="Hyperlink"/>
            <w:rFonts w:ascii="Times New Roman" w:hAnsi="Times New Roman" w:cs="Times New Roman"/>
            <w:noProof/>
          </w:rPr>
          <w:t>Box 19: The Governance of ARTP</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_Toc520725807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104</w:t>
        </w:r>
        <w:r w:rsidR="00144590" w:rsidRPr="007575D7">
          <w:rPr>
            <w:rFonts w:ascii="Times New Roman" w:hAnsi="Times New Roman" w:cs="Times New Roman"/>
            <w:noProof/>
            <w:webHidden/>
          </w:rPr>
          <w:fldChar w:fldCharType="end"/>
        </w:r>
      </w:hyperlink>
    </w:p>
    <w:p w14:paraId="4E7C0763" w14:textId="0921A9D9" w:rsidR="00144590" w:rsidRPr="007575D7" w:rsidRDefault="00B42297">
      <w:pPr>
        <w:pStyle w:val="TableofFigures"/>
        <w:tabs>
          <w:tab w:val="right" w:leader="dot" w:pos="8290"/>
        </w:tabs>
        <w:rPr>
          <w:rFonts w:ascii="Times New Roman" w:hAnsi="Times New Roman" w:cs="Times New Roman"/>
          <w:noProof/>
        </w:rPr>
      </w:pPr>
      <w:hyperlink w:anchor="_Toc520725808" w:history="1">
        <w:r w:rsidR="00144590" w:rsidRPr="00144590">
          <w:rPr>
            <w:rStyle w:val="Hyperlink"/>
            <w:rFonts w:ascii="Times New Roman" w:hAnsi="Times New Roman" w:cs="Times New Roman"/>
            <w:noProof/>
          </w:rPr>
          <w:t>Box 20: Guidelines on the application of Competition law to mobile network / infrastructure sharing agreements in Romania</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_Toc520725808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118</w:t>
        </w:r>
        <w:r w:rsidR="00144590" w:rsidRPr="007575D7">
          <w:rPr>
            <w:rFonts w:ascii="Times New Roman" w:hAnsi="Times New Roman" w:cs="Times New Roman"/>
            <w:noProof/>
            <w:webHidden/>
          </w:rPr>
          <w:fldChar w:fldCharType="end"/>
        </w:r>
      </w:hyperlink>
    </w:p>
    <w:p w14:paraId="07344021" w14:textId="4C453A2A" w:rsidR="00144590" w:rsidRPr="007575D7" w:rsidRDefault="00B42297">
      <w:pPr>
        <w:pStyle w:val="TableofFigures"/>
        <w:tabs>
          <w:tab w:val="right" w:leader="dot" w:pos="8290"/>
        </w:tabs>
        <w:rPr>
          <w:rFonts w:ascii="Times New Roman" w:hAnsi="Times New Roman" w:cs="Times New Roman"/>
          <w:noProof/>
        </w:rPr>
      </w:pPr>
      <w:hyperlink w:anchor="_Toc520725809" w:history="1">
        <w:r w:rsidR="00144590" w:rsidRPr="00144590">
          <w:rPr>
            <w:rStyle w:val="Hyperlink"/>
            <w:rFonts w:ascii="Times New Roman" w:hAnsi="Times New Roman" w:cs="Times New Roman"/>
            <w:noProof/>
          </w:rPr>
          <w:t>Box 21: Public support for broadband networks infrastructure deployment in Romania</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_Toc520725809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120</w:t>
        </w:r>
        <w:r w:rsidR="00144590" w:rsidRPr="007575D7">
          <w:rPr>
            <w:rFonts w:ascii="Times New Roman" w:hAnsi="Times New Roman" w:cs="Times New Roman"/>
            <w:noProof/>
            <w:webHidden/>
          </w:rPr>
          <w:fldChar w:fldCharType="end"/>
        </w:r>
      </w:hyperlink>
    </w:p>
    <w:p w14:paraId="7A8CD953" w14:textId="0E64781A" w:rsidR="00144590" w:rsidRPr="007575D7" w:rsidRDefault="00B42297">
      <w:pPr>
        <w:pStyle w:val="TableofFigures"/>
        <w:tabs>
          <w:tab w:val="right" w:leader="dot" w:pos="8290"/>
        </w:tabs>
        <w:rPr>
          <w:rFonts w:ascii="Times New Roman" w:hAnsi="Times New Roman" w:cs="Times New Roman"/>
          <w:noProof/>
        </w:rPr>
      </w:pPr>
      <w:hyperlink w:anchor="_Toc520725810" w:history="1">
        <w:r w:rsidR="00144590" w:rsidRPr="00144590">
          <w:rPr>
            <w:rStyle w:val="Hyperlink"/>
            <w:rFonts w:ascii="Times New Roman" w:hAnsi="Times New Roman" w:cs="Times New Roman"/>
            <w:noProof/>
          </w:rPr>
          <w:t>Box 22: Preliminary Analysis of the Draft Amendments to the Telecommunications Code and Draft Implementation Decrees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_Toc520725810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126</w:t>
        </w:r>
        <w:r w:rsidR="00144590" w:rsidRPr="007575D7">
          <w:rPr>
            <w:rFonts w:ascii="Times New Roman" w:hAnsi="Times New Roman" w:cs="Times New Roman"/>
            <w:noProof/>
            <w:webHidden/>
          </w:rPr>
          <w:fldChar w:fldCharType="end"/>
        </w:r>
      </w:hyperlink>
    </w:p>
    <w:p w14:paraId="087A2CDB" w14:textId="664D75E8" w:rsidR="00144590" w:rsidRPr="007575D7" w:rsidRDefault="00B42297">
      <w:pPr>
        <w:pStyle w:val="TableofFigures"/>
        <w:tabs>
          <w:tab w:val="right" w:leader="dot" w:pos="8290"/>
        </w:tabs>
        <w:rPr>
          <w:rFonts w:ascii="Times New Roman" w:hAnsi="Times New Roman" w:cs="Times New Roman"/>
          <w:noProof/>
        </w:rPr>
      </w:pPr>
      <w:hyperlink w:anchor="_Toc520725811" w:history="1">
        <w:r w:rsidR="00144590" w:rsidRPr="00144590">
          <w:rPr>
            <w:rStyle w:val="Hyperlink"/>
            <w:rFonts w:ascii="Times New Roman" w:hAnsi="Times New Roman" w:cs="Times New Roman"/>
            <w:noProof/>
          </w:rPr>
          <w:t>Box 23: ECOWAS’ and WAEMU’s competition law frameworks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_Toc520725811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134</w:t>
        </w:r>
        <w:r w:rsidR="00144590" w:rsidRPr="007575D7">
          <w:rPr>
            <w:rFonts w:ascii="Times New Roman" w:hAnsi="Times New Roman" w:cs="Times New Roman"/>
            <w:noProof/>
            <w:webHidden/>
          </w:rPr>
          <w:fldChar w:fldCharType="end"/>
        </w:r>
      </w:hyperlink>
    </w:p>
    <w:p w14:paraId="52179005" w14:textId="5DEC0CED" w:rsidR="00144590" w:rsidRPr="007575D7" w:rsidRDefault="00B42297">
      <w:pPr>
        <w:pStyle w:val="TableofFigures"/>
        <w:tabs>
          <w:tab w:val="right" w:leader="dot" w:pos="8290"/>
        </w:tabs>
        <w:rPr>
          <w:rFonts w:ascii="Times New Roman" w:hAnsi="Times New Roman" w:cs="Times New Roman"/>
          <w:noProof/>
        </w:rPr>
      </w:pPr>
      <w:hyperlink w:anchor="_Toc520725812" w:history="1">
        <w:r w:rsidR="00144590" w:rsidRPr="00144590">
          <w:rPr>
            <w:rStyle w:val="Hyperlink"/>
            <w:rFonts w:ascii="Times New Roman" w:hAnsi="Times New Roman" w:cs="Times New Roman"/>
            <w:noProof/>
          </w:rPr>
          <w:t>Box 24: Competition powers of sector-specific regulators are set forth in Law No. 2002-23</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_Toc520725812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135</w:t>
        </w:r>
        <w:r w:rsidR="00144590" w:rsidRPr="007575D7">
          <w:rPr>
            <w:rFonts w:ascii="Times New Roman" w:hAnsi="Times New Roman" w:cs="Times New Roman"/>
            <w:noProof/>
            <w:webHidden/>
          </w:rPr>
          <w:fldChar w:fldCharType="end"/>
        </w:r>
      </w:hyperlink>
    </w:p>
    <w:p w14:paraId="6CFCEE13" w14:textId="243D15C5" w:rsidR="00144590" w:rsidRPr="007575D7" w:rsidRDefault="00B42297">
      <w:pPr>
        <w:pStyle w:val="TableofFigures"/>
        <w:tabs>
          <w:tab w:val="right" w:leader="dot" w:pos="8290"/>
        </w:tabs>
        <w:rPr>
          <w:rFonts w:ascii="Times New Roman" w:hAnsi="Times New Roman" w:cs="Times New Roman"/>
          <w:noProof/>
        </w:rPr>
      </w:pPr>
      <w:hyperlink w:anchor="_Toc520725813" w:history="1">
        <w:r w:rsidR="00144590" w:rsidRPr="00144590">
          <w:rPr>
            <w:rStyle w:val="Hyperlink"/>
            <w:rFonts w:ascii="Times New Roman" w:hAnsi="Times New Roman" w:cs="Times New Roman"/>
            <w:noProof/>
          </w:rPr>
          <w:t>Box 25: State Aid Rules in WAEMU</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_Toc520725813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140</w:t>
        </w:r>
        <w:r w:rsidR="00144590" w:rsidRPr="007575D7">
          <w:rPr>
            <w:rFonts w:ascii="Times New Roman" w:hAnsi="Times New Roman" w:cs="Times New Roman"/>
            <w:noProof/>
            <w:webHidden/>
          </w:rPr>
          <w:fldChar w:fldCharType="end"/>
        </w:r>
      </w:hyperlink>
    </w:p>
    <w:p w14:paraId="3E463C13" w14:textId="79457C24" w:rsidR="00144590" w:rsidRPr="007575D7" w:rsidRDefault="00B42297">
      <w:pPr>
        <w:pStyle w:val="TableofFigures"/>
        <w:tabs>
          <w:tab w:val="right" w:leader="dot" w:pos="8290"/>
        </w:tabs>
        <w:rPr>
          <w:rFonts w:ascii="Times New Roman" w:hAnsi="Times New Roman" w:cs="Times New Roman"/>
          <w:noProof/>
        </w:rPr>
      </w:pPr>
      <w:hyperlink w:anchor="_Toc520725814" w:history="1">
        <w:r w:rsidR="00144590" w:rsidRPr="00144590">
          <w:rPr>
            <w:rStyle w:val="Hyperlink"/>
            <w:rFonts w:ascii="Times New Roman" w:hAnsi="Times New Roman" w:cs="Times New Roman"/>
            <w:noProof/>
          </w:rPr>
          <w:t>Box 26: The Low-Level PMR Indicators</w:t>
        </w:r>
        <w:r w:rsidR="00144590" w:rsidRPr="007575D7">
          <w:rPr>
            <w:rFonts w:ascii="Times New Roman" w:hAnsi="Times New Roman" w:cs="Times New Roman"/>
            <w:noProof/>
            <w:webHidden/>
          </w:rPr>
          <w:tab/>
        </w:r>
        <w:r w:rsidR="00144590" w:rsidRPr="007575D7">
          <w:rPr>
            <w:rFonts w:ascii="Times New Roman" w:hAnsi="Times New Roman" w:cs="Times New Roman"/>
            <w:noProof/>
            <w:webHidden/>
          </w:rPr>
          <w:fldChar w:fldCharType="begin"/>
        </w:r>
        <w:r w:rsidR="00144590" w:rsidRPr="007575D7">
          <w:rPr>
            <w:rFonts w:ascii="Times New Roman" w:hAnsi="Times New Roman" w:cs="Times New Roman"/>
            <w:noProof/>
            <w:webHidden/>
          </w:rPr>
          <w:instrText xml:space="preserve"> PAGEREF _Toc520725814 \h </w:instrText>
        </w:r>
        <w:r w:rsidR="00144590" w:rsidRPr="007575D7">
          <w:rPr>
            <w:rFonts w:ascii="Times New Roman" w:hAnsi="Times New Roman" w:cs="Times New Roman"/>
            <w:noProof/>
            <w:webHidden/>
          </w:rPr>
        </w:r>
        <w:r w:rsidR="00144590" w:rsidRPr="007575D7">
          <w:rPr>
            <w:rFonts w:ascii="Times New Roman" w:hAnsi="Times New Roman" w:cs="Times New Roman"/>
            <w:noProof/>
            <w:webHidden/>
          </w:rPr>
          <w:fldChar w:fldCharType="separate"/>
        </w:r>
        <w:r w:rsidR="008261B2">
          <w:rPr>
            <w:rFonts w:ascii="Times New Roman" w:hAnsi="Times New Roman" w:cs="Times New Roman"/>
            <w:noProof/>
            <w:webHidden/>
          </w:rPr>
          <w:t>158</w:t>
        </w:r>
        <w:r w:rsidR="00144590" w:rsidRPr="007575D7">
          <w:rPr>
            <w:rFonts w:ascii="Times New Roman" w:hAnsi="Times New Roman" w:cs="Times New Roman"/>
            <w:noProof/>
            <w:webHidden/>
          </w:rPr>
          <w:fldChar w:fldCharType="end"/>
        </w:r>
      </w:hyperlink>
    </w:p>
    <w:p w14:paraId="1027142F" w14:textId="77777777" w:rsidR="006829D8" w:rsidRPr="00CC4C0F" w:rsidRDefault="00AD53CA" w:rsidP="006829D8">
      <w:pPr>
        <w:rPr>
          <w:rFonts w:ascii="Times New Roman" w:hAnsi="Times New Roman" w:cs="Times New Roman"/>
        </w:rPr>
      </w:pPr>
      <w:r w:rsidRPr="00144590">
        <w:rPr>
          <w:rFonts w:ascii="Times New Roman" w:hAnsi="Times New Roman" w:cs="Times New Roman"/>
          <w:sz w:val="22"/>
          <w:szCs w:val="22"/>
        </w:rPr>
        <w:fldChar w:fldCharType="end"/>
      </w:r>
      <w:r w:rsidR="006829D8" w:rsidRPr="00CC4C0F">
        <w:rPr>
          <w:rFonts w:ascii="Times New Roman" w:hAnsi="Times New Roman" w:cs="Times New Roman"/>
        </w:rPr>
        <w:br w:type="page"/>
      </w:r>
    </w:p>
    <w:p w14:paraId="463E0E8A" w14:textId="77777777" w:rsidR="00550EE2" w:rsidRPr="00C91EA2" w:rsidRDefault="001A5EBD" w:rsidP="00550EE2">
      <w:pPr>
        <w:pStyle w:val="Heading1"/>
        <w:rPr>
          <w:rFonts w:ascii="Times New Roman" w:hAnsi="Times New Roman" w:cs="Times New Roman"/>
        </w:rPr>
      </w:pPr>
      <w:bookmarkStart w:id="8" w:name="_Toc520724094"/>
      <w:r w:rsidRPr="00C91EA2">
        <w:rPr>
          <w:rFonts w:ascii="Times New Roman" w:hAnsi="Times New Roman" w:cs="Times New Roman"/>
        </w:rPr>
        <w:t>List of A</w:t>
      </w:r>
      <w:r w:rsidR="006829D8" w:rsidRPr="00C91EA2">
        <w:rPr>
          <w:rFonts w:ascii="Times New Roman" w:hAnsi="Times New Roman" w:cs="Times New Roman"/>
        </w:rPr>
        <w:t>cronyms</w:t>
      </w:r>
      <w:bookmarkEnd w:id="8"/>
    </w:p>
    <w:tbl>
      <w:tblPr>
        <w:tblW w:w="5000" w:type="pct"/>
        <w:tblCellMar>
          <w:left w:w="0" w:type="dxa"/>
          <w:right w:w="0" w:type="dxa"/>
        </w:tblCellMar>
        <w:tblLook w:val="04A0" w:firstRow="1" w:lastRow="0" w:firstColumn="1" w:lastColumn="0" w:noHBand="0" w:noVBand="1"/>
      </w:tblPr>
      <w:tblGrid>
        <w:gridCol w:w="1684"/>
        <w:gridCol w:w="6616"/>
      </w:tblGrid>
      <w:tr w:rsidR="0090269F" w:rsidRPr="001164DA" w14:paraId="6D4A90CB"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tcPr>
          <w:p w14:paraId="55C09834" w14:textId="77777777" w:rsidR="0090269F" w:rsidRPr="00C91EA2" w:rsidRDefault="0090269F">
            <w:pPr>
              <w:rPr>
                <w:rFonts w:ascii="Times New Roman" w:hAnsi="Times New Roman" w:cs="Times New Roman"/>
                <w:color w:val="000000"/>
              </w:rPr>
            </w:pPr>
            <w:r>
              <w:rPr>
                <w:rFonts w:ascii="Times New Roman" w:hAnsi="Times New Roman" w:cs="Times New Roman"/>
                <w:color w:val="000000"/>
              </w:rPr>
              <w:t>ADIE</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tcPr>
          <w:p w14:paraId="589BD516" w14:textId="39450023" w:rsidR="0090269F" w:rsidRPr="007575D7" w:rsidRDefault="0090269F">
            <w:pPr>
              <w:rPr>
                <w:rFonts w:ascii="Times New Roman" w:hAnsi="Times New Roman" w:cs="Times New Roman"/>
                <w:color w:val="000000"/>
                <w:lang w:val="fr-FR"/>
              </w:rPr>
            </w:pPr>
            <w:r w:rsidRPr="007575D7">
              <w:rPr>
                <w:rFonts w:ascii="Times New Roman" w:hAnsi="Times New Roman" w:cs="Times New Roman"/>
                <w:color w:val="000000"/>
                <w:lang w:val="fr-FR"/>
              </w:rPr>
              <w:t>Agence de l’Informatique de l’</w:t>
            </w:r>
            <w:r w:rsidR="00B27B3B" w:rsidRPr="00B27B3B">
              <w:rPr>
                <w:rFonts w:ascii="Times New Roman" w:hAnsi="Times New Roman" w:cs="Times New Roman"/>
                <w:color w:val="000000"/>
                <w:lang w:val="fr-FR"/>
              </w:rPr>
              <w:t>État</w:t>
            </w:r>
          </w:p>
        </w:tc>
      </w:tr>
      <w:tr w:rsidR="00DE4758" w:rsidRPr="001164DA" w14:paraId="062FD09A"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0A1B9D9"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ARMP</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3763AEA5"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Autorité de Régulation des Marchés Publics</w:t>
            </w:r>
          </w:p>
        </w:tc>
      </w:tr>
      <w:tr w:rsidR="002F4367" w:rsidRPr="00D818F3" w14:paraId="26B8EEF6"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tcPr>
          <w:p w14:paraId="7362638E" w14:textId="77777777" w:rsidR="002F4367" w:rsidRPr="00C91EA2" w:rsidRDefault="002F4367">
            <w:pPr>
              <w:rPr>
                <w:rFonts w:ascii="Times New Roman" w:hAnsi="Times New Roman" w:cs="Times New Roman"/>
                <w:color w:val="000000"/>
              </w:rPr>
            </w:pPr>
            <w:r>
              <w:rPr>
                <w:rFonts w:ascii="Times New Roman" w:hAnsi="Times New Roman" w:cs="Times New Roman"/>
                <w:color w:val="000000"/>
              </w:rPr>
              <w:t>ARPU</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tcPr>
          <w:p w14:paraId="209246F5" w14:textId="77777777" w:rsidR="002F4367" w:rsidRPr="002F4367" w:rsidRDefault="002F4367">
            <w:pPr>
              <w:rPr>
                <w:rFonts w:ascii="Times New Roman" w:hAnsi="Times New Roman" w:cs="Times New Roman"/>
                <w:color w:val="000000"/>
                <w:lang w:val="fr-FR"/>
              </w:rPr>
            </w:pPr>
            <w:proofErr w:type="spellStart"/>
            <w:r>
              <w:rPr>
                <w:rFonts w:ascii="Times New Roman" w:hAnsi="Times New Roman" w:cs="Times New Roman"/>
                <w:color w:val="000000"/>
                <w:lang w:val="fr-FR"/>
              </w:rPr>
              <w:t>Average</w:t>
            </w:r>
            <w:proofErr w:type="spellEnd"/>
            <w:r>
              <w:rPr>
                <w:rFonts w:ascii="Times New Roman" w:hAnsi="Times New Roman" w:cs="Times New Roman"/>
                <w:color w:val="000000"/>
                <w:lang w:val="fr-FR"/>
              </w:rPr>
              <w:t xml:space="preserve"> Revenue Per User</w:t>
            </w:r>
          </w:p>
        </w:tc>
      </w:tr>
      <w:tr w:rsidR="00DE4758" w:rsidRPr="001164DA" w14:paraId="0FB88AD6"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FB4118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ARTP</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A126BA5" w14:textId="77777777" w:rsidR="00DE4758" w:rsidRPr="00FA09FE" w:rsidRDefault="00DE4758">
            <w:pPr>
              <w:rPr>
                <w:rFonts w:ascii="Times New Roman" w:hAnsi="Times New Roman" w:cs="Times New Roman"/>
                <w:color w:val="000000"/>
                <w:lang w:val="de-DE"/>
              </w:rPr>
            </w:pPr>
            <w:r w:rsidRPr="00FA09FE">
              <w:rPr>
                <w:rFonts w:ascii="Times New Roman" w:hAnsi="Times New Roman" w:cs="Times New Roman"/>
                <w:color w:val="000000"/>
                <w:lang w:val="de-DE"/>
              </w:rPr>
              <w:t>Autorité de Régulation des Télécommunications et des Postes</w:t>
            </w:r>
          </w:p>
        </w:tc>
      </w:tr>
      <w:tr w:rsidR="00DE4758" w:rsidRPr="00C91EA2" w14:paraId="5BFC4A98"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35B2EAD1" w14:textId="77777777" w:rsidR="00DE4758" w:rsidRPr="00C91EA2" w:rsidRDefault="00DE4758">
            <w:pPr>
              <w:rPr>
                <w:rFonts w:ascii="Times New Roman" w:hAnsi="Times New Roman" w:cs="Times New Roman"/>
                <w:color w:val="000000"/>
              </w:rPr>
            </w:pPr>
            <w:proofErr w:type="spellStart"/>
            <w:r w:rsidRPr="00C91EA2">
              <w:rPr>
                <w:rFonts w:ascii="Times New Roman" w:hAnsi="Times New Roman" w:cs="Times New Roman"/>
                <w:color w:val="000000"/>
              </w:rPr>
              <w:t>BoP</w:t>
            </w:r>
            <w:proofErr w:type="spellEnd"/>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BE71AC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Balance of Payments</w:t>
            </w:r>
          </w:p>
        </w:tc>
      </w:tr>
      <w:tr w:rsidR="00DE4758" w:rsidRPr="00C91EA2" w14:paraId="6905AF6E"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78C6896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BTE</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392FD20"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Barriers to Entry and Rivalry</w:t>
            </w:r>
          </w:p>
        </w:tc>
      </w:tr>
      <w:tr w:rsidR="00DE4758" w:rsidRPr="00C91EA2" w14:paraId="541B3F08"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A280414"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BTI</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0C312313"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Barriers to Trade and Investment</w:t>
            </w:r>
          </w:p>
        </w:tc>
      </w:tr>
      <w:tr w:rsidR="00DE4758" w:rsidRPr="001164DA" w14:paraId="1D0228BD"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344DF969"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CAIT</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E661360"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 xml:space="preserve">Complexe Agro-Industriel de Touba </w:t>
            </w:r>
          </w:p>
        </w:tc>
      </w:tr>
      <w:tr w:rsidR="00DE4758" w:rsidRPr="001164DA" w14:paraId="73ECE3C2"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76E18C7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CNIA</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45D7693B"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 xml:space="preserve">Comité National Interprofessionnel de l'Arachide </w:t>
            </w:r>
          </w:p>
        </w:tc>
      </w:tr>
      <w:tr w:rsidR="00DE4758" w:rsidRPr="00C91EA2" w14:paraId="56943F35"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1EA75D2"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COMESA</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AB6EC4D"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Common Market for Eastern and Southern Africa</w:t>
            </w:r>
          </w:p>
        </w:tc>
      </w:tr>
      <w:tr w:rsidR="00DE4758" w:rsidRPr="00C91EA2" w14:paraId="7AD07366"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049AA33"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COPEOL</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513271D"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 xml:space="preserve">Compagnie </w:t>
            </w:r>
            <w:proofErr w:type="spellStart"/>
            <w:r w:rsidRPr="00C91EA2">
              <w:rPr>
                <w:rFonts w:ascii="Times New Roman" w:hAnsi="Times New Roman" w:cs="Times New Roman"/>
                <w:color w:val="000000"/>
              </w:rPr>
              <w:t>d’Exploitation</w:t>
            </w:r>
            <w:proofErr w:type="spellEnd"/>
            <w:r w:rsidRPr="00C91EA2">
              <w:rPr>
                <w:rFonts w:ascii="Times New Roman" w:hAnsi="Times New Roman" w:cs="Times New Roman"/>
                <w:color w:val="000000"/>
              </w:rPr>
              <w:t xml:space="preserve"> des </w:t>
            </w:r>
            <w:proofErr w:type="spellStart"/>
            <w:r w:rsidRPr="00C91EA2">
              <w:rPr>
                <w:rFonts w:ascii="Times New Roman" w:hAnsi="Times New Roman" w:cs="Times New Roman"/>
                <w:color w:val="000000"/>
              </w:rPr>
              <w:t>Oléagineux</w:t>
            </w:r>
            <w:proofErr w:type="spellEnd"/>
          </w:p>
        </w:tc>
      </w:tr>
      <w:tr w:rsidR="00DE4758" w:rsidRPr="001164DA" w14:paraId="333F73DA"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9E8179A"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CRSE</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47DE390D" w14:textId="27230BF8"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Commission de Régulation au Secteur de l'</w:t>
            </w:r>
            <w:r w:rsidR="00B27B3B" w:rsidRPr="00B27B3B">
              <w:rPr>
                <w:rFonts w:ascii="Times New Roman" w:hAnsi="Times New Roman" w:cs="Times New Roman"/>
                <w:color w:val="000000"/>
                <w:lang w:val="fr-FR"/>
              </w:rPr>
              <w:t>Électricité</w:t>
            </w:r>
          </w:p>
        </w:tc>
      </w:tr>
      <w:tr w:rsidR="00DE4758" w:rsidRPr="00C91EA2" w14:paraId="21C5EE4F"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44C3AA7"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DISEM</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1B72E4F3"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 xml:space="preserve">Division des </w:t>
            </w:r>
            <w:proofErr w:type="spellStart"/>
            <w:r w:rsidRPr="00C91EA2">
              <w:rPr>
                <w:rFonts w:ascii="Times New Roman" w:hAnsi="Times New Roman" w:cs="Times New Roman"/>
                <w:color w:val="000000"/>
              </w:rPr>
              <w:t>Semences</w:t>
            </w:r>
            <w:proofErr w:type="spellEnd"/>
          </w:p>
        </w:tc>
      </w:tr>
      <w:tr w:rsidR="00DE4758" w:rsidRPr="001164DA" w14:paraId="5A46530B"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415410B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DRDR</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112D370"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Directions Régionales de Développement Rural</w:t>
            </w:r>
          </w:p>
        </w:tc>
      </w:tr>
      <w:tr w:rsidR="00DE4758" w:rsidRPr="00C91EA2" w14:paraId="141EECFE"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56ECA14A"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DTIS</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4EF47AF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Diagnostic Trade Integration Study</w:t>
            </w:r>
          </w:p>
        </w:tc>
      </w:tr>
      <w:tr w:rsidR="00DE4758" w:rsidRPr="00C91EA2" w14:paraId="6EDC3A0B"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01767EC7"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ECOWAS</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39EA5C1B"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 xml:space="preserve">Economic Community of West African States </w:t>
            </w:r>
          </w:p>
        </w:tc>
      </w:tr>
      <w:tr w:rsidR="00DE4758" w:rsidRPr="00C91EA2" w14:paraId="0D451D3F"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1ABB32E"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EU</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0305B6DE"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European Union</w:t>
            </w:r>
          </w:p>
        </w:tc>
      </w:tr>
      <w:tr w:rsidR="002F4367" w:rsidRPr="00C91EA2" w14:paraId="0AF389D0"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tcPr>
          <w:p w14:paraId="2F7FAF04" w14:textId="77777777" w:rsidR="002F4367" w:rsidRDefault="002F4367">
            <w:pPr>
              <w:rPr>
                <w:rFonts w:ascii="Times New Roman" w:hAnsi="Times New Roman" w:cs="Times New Roman"/>
                <w:color w:val="000000"/>
              </w:rPr>
            </w:pPr>
            <w:r>
              <w:rPr>
                <w:rFonts w:ascii="Times New Roman" w:hAnsi="Times New Roman" w:cs="Times New Roman"/>
                <w:color w:val="000000"/>
              </w:rPr>
              <w:t>FCC</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tcPr>
          <w:p w14:paraId="5069EE9B" w14:textId="77777777" w:rsidR="002F4367" w:rsidRPr="00C91EA2" w:rsidRDefault="002F4367">
            <w:pPr>
              <w:rPr>
                <w:rFonts w:ascii="Times New Roman" w:hAnsi="Times New Roman" w:cs="Times New Roman"/>
                <w:color w:val="000000"/>
              </w:rPr>
            </w:pPr>
            <w:r>
              <w:rPr>
                <w:rFonts w:ascii="Times New Roman" w:hAnsi="Times New Roman" w:cs="Times New Roman"/>
                <w:color w:val="000000"/>
              </w:rPr>
              <w:t>Federal Communications Commission</w:t>
            </w:r>
          </w:p>
        </w:tc>
      </w:tr>
      <w:tr w:rsidR="00DE4758" w:rsidRPr="00C91EA2" w14:paraId="5E7A6A60"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3BFAB619" w14:textId="77777777" w:rsidR="00DE4758" w:rsidRPr="00C91EA2" w:rsidRDefault="00975449">
            <w:pPr>
              <w:rPr>
                <w:rFonts w:ascii="Times New Roman" w:hAnsi="Times New Roman" w:cs="Times New Roman"/>
                <w:color w:val="000000"/>
              </w:rPr>
            </w:pPr>
            <w:r>
              <w:rPr>
                <w:rFonts w:ascii="Times New Roman" w:hAnsi="Times New Roman" w:cs="Times New Roman"/>
                <w:color w:val="000000"/>
              </w:rPr>
              <w:t>F</w:t>
            </w:r>
            <w:r w:rsidR="00DE4758" w:rsidRPr="00C91EA2">
              <w:rPr>
                <w:rFonts w:ascii="Times New Roman" w:hAnsi="Times New Roman" w:cs="Times New Roman"/>
                <w:color w:val="000000"/>
              </w:rPr>
              <w:t>CFA</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1C28A624"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Franc CFA</w:t>
            </w:r>
          </w:p>
        </w:tc>
      </w:tr>
      <w:tr w:rsidR="00DE4758" w:rsidRPr="00C91EA2" w14:paraId="25EE26B7"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94FC0AA"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FAO</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39F00CB"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Food and Agriculture Organization of the United Nations</w:t>
            </w:r>
          </w:p>
        </w:tc>
      </w:tr>
      <w:tr w:rsidR="00DE4758" w:rsidRPr="00C91EA2" w14:paraId="4E02B3FD"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3C501272"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FDI</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66E082B1"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Foreign Direct Investment</w:t>
            </w:r>
          </w:p>
        </w:tc>
      </w:tr>
      <w:tr w:rsidR="00DE4758" w:rsidRPr="001164DA" w14:paraId="122A7443"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58BFDC22"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FNOPS/T</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36CDB6B" w14:textId="77777777" w:rsidR="00DE4758" w:rsidRPr="00FA09FE" w:rsidRDefault="00DE4758">
            <w:pPr>
              <w:rPr>
                <w:rFonts w:ascii="Times New Roman" w:hAnsi="Times New Roman" w:cs="Times New Roman"/>
                <w:color w:val="000000"/>
                <w:lang w:val="de-DE"/>
              </w:rPr>
            </w:pPr>
            <w:r w:rsidRPr="00FA09FE">
              <w:rPr>
                <w:rFonts w:ascii="Times New Roman" w:hAnsi="Times New Roman" w:cs="Times New Roman"/>
                <w:color w:val="000000"/>
                <w:lang w:val="de-DE"/>
              </w:rPr>
              <w:t xml:space="preserve">Fédération des Opérateurs Privés Stockeurs et Transporteurs </w:t>
            </w:r>
          </w:p>
        </w:tc>
      </w:tr>
      <w:tr w:rsidR="00DE4758" w:rsidRPr="00C91EA2" w14:paraId="0AFC4B0E"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01BAE065"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FOREX</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93F430D"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Foreign Exchange</w:t>
            </w:r>
          </w:p>
        </w:tc>
      </w:tr>
      <w:tr w:rsidR="00DE4758" w:rsidRPr="00C91EA2" w14:paraId="0F62EE99"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0BD80FE9"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GCR</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AE71D7B"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Global Competitiveness Report</w:t>
            </w:r>
          </w:p>
        </w:tc>
      </w:tr>
      <w:tr w:rsidR="00DE4758" w:rsidRPr="00C91EA2" w14:paraId="3E2DFBC8"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168213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GDP</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2D05A88"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Gross Domestic Product</w:t>
            </w:r>
          </w:p>
        </w:tc>
      </w:tr>
      <w:tr w:rsidR="00DE4758" w:rsidRPr="00C91EA2" w14:paraId="5B74470E"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0521028C" w14:textId="77777777" w:rsidR="00DE4758" w:rsidRPr="00C91EA2" w:rsidRDefault="00DE4758">
            <w:pPr>
              <w:rPr>
                <w:rFonts w:ascii="Times New Roman" w:hAnsi="Times New Roman" w:cs="Times New Roman"/>
                <w:color w:val="000000"/>
              </w:rPr>
            </w:pPr>
            <w:proofErr w:type="spellStart"/>
            <w:r w:rsidRPr="00C91EA2">
              <w:rPr>
                <w:rFonts w:ascii="Times New Roman" w:hAnsi="Times New Roman" w:cs="Times New Roman"/>
                <w:color w:val="000000"/>
              </w:rPr>
              <w:t>GoS</w:t>
            </w:r>
            <w:proofErr w:type="spellEnd"/>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E6B74FF" w14:textId="33402CBC" w:rsidR="00DE4758" w:rsidRPr="00C91EA2" w:rsidRDefault="003B24ED">
            <w:pPr>
              <w:rPr>
                <w:rFonts w:ascii="Times New Roman" w:hAnsi="Times New Roman" w:cs="Times New Roman"/>
                <w:color w:val="000000"/>
              </w:rPr>
            </w:pPr>
            <w:r>
              <w:rPr>
                <w:rFonts w:ascii="Times New Roman" w:hAnsi="Times New Roman" w:cs="Times New Roman"/>
                <w:color w:val="000000"/>
              </w:rPr>
              <w:t>Government</w:t>
            </w:r>
            <w:r w:rsidR="001A549E">
              <w:rPr>
                <w:rFonts w:ascii="Times New Roman" w:hAnsi="Times New Roman" w:cs="Times New Roman"/>
                <w:color w:val="000000"/>
              </w:rPr>
              <w:t xml:space="preserve"> </w:t>
            </w:r>
            <w:r w:rsidR="00DE4758" w:rsidRPr="00C91EA2">
              <w:rPr>
                <w:rFonts w:ascii="Times New Roman" w:hAnsi="Times New Roman" w:cs="Times New Roman"/>
                <w:color w:val="000000"/>
              </w:rPr>
              <w:t>of Senegal</w:t>
            </w:r>
          </w:p>
        </w:tc>
      </w:tr>
      <w:tr w:rsidR="00DE4758" w:rsidRPr="00C91EA2" w14:paraId="12ED4446"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6D6DDE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GVA</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4C0C678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Gross Value Added</w:t>
            </w:r>
          </w:p>
        </w:tc>
      </w:tr>
      <w:tr w:rsidR="00DE4758" w:rsidRPr="00C91EA2" w14:paraId="3C4B6E77"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3360DFD0"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GVC</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676F2C0"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Global Value Chain</w:t>
            </w:r>
          </w:p>
        </w:tc>
      </w:tr>
      <w:tr w:rsidR="00DE4758" w:rsidRPr="00C91EA2" w14:paraId="58B07A26"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34D9A658"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HA</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1CCF5304"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Hectare</w:t>
            </w:r>
          </w:p>
        </w:tc>
      </w:tr>
      <w:tr w:rsidR="002E740E" w:rsidRPr="00C91EA2" w14:paraId="33197014"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tcPr>
          <w:p w14:paraId="054AD867" w14:textId="77777777" w:rsidR="002E740E" w:rsidRPr="00D91CF5" w:rsidRDefault="002E740E">
            <w:pPr>
              <w:rPr>
                <w:rFonts w:ascii="Times New Roman" w:hAnsi="Times New Roman" w:cs="Times New Roman"/>
                <w:color w:val="000000"/>
              </w:rPr>
            </w:pPr>
            <w:r>
              <w:rPr>
                <w:rFonts w:ascii="Times New Roman" w:hAnsi="Times New Roman" w:cs="Times New Roman"/>
                <w:color w:val="000000"/>
              </w:rPr>
              <w:t>HHI</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tcPr>
          <w:p w14:paraId="235C9DAB" w14:textId="0CD65257" w:rsidR="002E740E" w:rsidRPr="00D91CF5" w:rsidRDefault="002E740E">
            <w:pPr>
              <w:rPr>
                <w:rFonts w:ascii="Times New Roman" w:hAnsi="Times New Roman" w:cs="Times New Roman"/>
                <w:color w:val="000000"/>
              </w:rPr>
            </w:pPr>
            <w:r w:rsidRPr="002E740E">
              <w:rPr>
                <w:rFonts w:ascii="Times New Roman" w:hAnsi="Times New Roman" w:cs="Times New Roman"/>
                <w:color w:val="000000"/>
              </w:rPr>
              <w:t>Herfindahl-Hirschman Ind</w:t>
            </w:r>
            <w:r w:rsidR="00B27B3B">
              <w:rPr>
                <w:rFonts w:ascii="Times New Roman" w:hAnsi="Times New Roman" w:cs="Times New Roman"/>
                <w:color w:val="000000"/>
              </w:rPr>
              <w:t>ex</w:t>
            </w:r>
          </w:p>
        </w:tc>
      </w:tr>
      <w:tr w:rsidR="00DE4758" w:rsidRPr="00C91EA2" w14:paraId="7DA00761"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71ED89A0"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ICS</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40C5C193"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 xml:space="preserve">Industries </w:t>
            </w:r>
            <w:proofErr w:type="spellStart"/>
            <w:r w:rsidRPr="00D91CF5">
              <w:rPr>
                <w:rFonts w:ascii="Times New Roman" w:hAnsi="Times New Roman" w:cs="Times New Roman"/>
                <w:color w:val="000000"/>
              </w:rPr>
              <w:t>Chimiques</w:t>
            </w:r>
            <w:proofErr w:type="spellEnd"/>
            <w:r w:rsidRPr="00D91CF5">
              <w:rPr>
                <w:rFonts w:ascii="Times New Roman" w:hAnsi="Times New Roman" w:cs="Times New Roman"/>
                <w:color w:val="000000"/>
              </w:rPr>
              <w:t xml:space="preserve"> du </w:t>
            </w:r>
            <w:proofErr w:type="spellStart"/>
            <w:r w:rsidRPr="00D91CF5">
              <w:rPr>
                <w:rFonts w:ascii="Times New Roman" w:hAnsi="Times New Roman" w:cs="Times New Roman"/>
                <w:color w:val="000000"/>
              </w:rPr>
              <w:t>Sénégal</w:t>
            </w:r>
            <w:proofErr w:type="spellEnd"/>
            <w:r w:rsidRPr="00D91CF5">
              <w:rPr>
                <w:rFonts w:ascii="Times New Roman" w:hAnsi="Times New Roman" w:cs="Times New Roman"/>
                <w:color w:val="000000"/>
              </w:rPr>
              <w:t xml:space="preserve"> </w:t>
            </w:r>
          </w:p>
        </w:tc>
      </w:tr>
      <w:tr w:rsidR="00DE4758" w:rsidRPr="00C91EA2" w14:paraId="5065DB9F"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7F48126A"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ICT</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0AF76838"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Information and Communications Technology</w:t>
            </w:r>
          </w:p>
        </w:tc>
      </w:tr>
      <w:tr w:rsidR="00D91CF5" w:rsidRPr="00C91EA2" w14:paraId="186B1F6D"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tcPr>
          <w:p w14:paraId="6EA75433" w14:textId="77777777" w:rsidR="00D91CF5" w:rsidRPr="00D91CF5" w:rsidRDefault="00D91CF5">
            <w:pPr>
              <w:rPr>
                <w:rFonts w:ascii="Times New Roman" w:hAnsi="Times New Roman" w:cs="Times New Roman"/>
                <w:color w:val="000000"/>
              </w:rPr>
            </w:pPr>
            <w:r w:rsidRPr="00D91CF5">
              <w:rPr>
                <w:rFonts w:ascii="Times New Roman" w:hAnsi="Times New Roman" w:cs="Times New Roman"/>
                <w:color w:val="000000"/>
              </w:rPr>
              <w:t>IDC</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tcPr>
          <w:p w14:paraId="245628E2" w14:textId="77777777" w:rsidR="00D91CF5" w:rsidRPr="00D91CF5" w:rsidRDefault="00D91CF5">
            <w:pPr>
              <w:rPr>
                <w:rFonts w:ascii="Times New Roman" w:hAnsi="Times New Roman" w:cs="Times New Roman"/>
                <w:color w:val="000000"/>
              </w:rPr>
            </w:pPr>
            <w:r w:rsidRPr="00D91CF5">
              <w:rPr>
                <w:rFonts w:ascii="Times New Roman" w:hAnsi="Times New Roman" w:cs="Times New Roman"/>
                <w:color w:val="000000"/>
              </w:rPr>
              <w:t>Islamic Development Bank</w:t>
            </w:r>
          </w:p>
        </w:tc>
      </w:tr>
      <w:tr w:rsidR="00DE4758" w:rsidRPr="00C91EA2" w14:paraId="027CCB50"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0A14A59"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IFPRI</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6AE298D"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 xml:space="preserve">International Food Policy Research Institute </w:t>
            </w:r>
          </w:p>
        </w:tc>
      </w:tr>
      <w:tr w:rsidR="00DE4758" w:rsidRPr="00C91EA2" w14:paraId="4D476ABD"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08905B50"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IMF</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50BB5BA" w14:textId="77777777" w:rsidR="00DE4758" w:rsidRPr="00D91CF5" w:rsidRDefault="00DE4758">
            <w:pPr>
              <w:rPr>
                <w:rFonts w:ascii="Times New Roman" w:hAnsi="Times New Roman" w:cs="Times New Roman"/>
                <w:color w:val="000000"/>
              </w:rPr>
            </w:pPr>
            <w:r w:rsidRPr="00D91CF5">
              <w:rPr>
                <w:rFonts w:ascii="Times New Roman" w:hAnsi="Times New Roman" w:cs="Times New Roman"/>
                <w:color w:val="000000"/>
              </w:rPr>
              <w:t>International Monetary Fund</w:t>
            </w:r>
          </w:p>
        </w:tc>
      </w:tr>
      <w:tr w:rsidR="00DE4758" w:rsidRPr="001164DA" w14:paraId="0CD0008D"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47D6BED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ISRA</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146549E1"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Institut Sénégalais de Recherches Agricoles</w:t>
            </w:r>
          </w:p>
        </w:tc>
      </w:tr>
      <w:tr w:rsidR="00DE4758" w:rsidRPr="00C91EA2" w14:paraId="6A3930E0"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2B1E376"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IT</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1D6FEF39"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Information Technology</w:t>
            </w:r>
          </w:p>
        </w:tc>
      </w:tr>
      <w:tr w:rsidR="00DE4758" w:rsidRPr="00C91EA2" w14:paraId="4F8CCF4A"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F14F30B"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ITFC</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1BCB587"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International Islamic Trade Finance Corporation</w:t>
            </w:r>
          </w:p>
        </w:tc>
      </w:tr>
      <w:tr w:rsidR="00DE4758" w:rsidRPr="00C91EA2" w14:paraId="2A10672C"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7F91C27"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LRAIC</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AB9EEF1"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Long-Run Average Incremental Cost</w:t>
            </w:r>
          </w:p>
        </w:tc>
      </w:tr>
      <w:tr w:rsidR="00DE4758" w:rsidRPr="001164DA" w14:paraId="45A37DB9"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5252D1B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MAER</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4E44EF77"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Ministère de l'Agriculture et de l'Équipement Rural</w:t>
            </w:r>
          </w:p>
        </w:tc>
      </w:tr>
      <w:tr w:rsidR="00DE4758" w:rsidRPr="00C91EA2" w14:paraId="3D88AA31"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C1B05B7"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MCC</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3B6F95A"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Millennium Challenge Corporation</w:t>
            </w:r>
          </w:p>
        </w:tc>
      </w:tr>
      <w:tr w:rsidR="00DE4758" w:rsidRPr="00C91EA2" w14:paraId="5B1FD30B"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3EF5F1FE"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MoU</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C516F17"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Memorandum of Understanding</w:t>
            </w:r>
          </w:p>
        </w:tc>
      </w:tr>
      <w:tr w:rsidR="002B1C44" w:rsidRPr="00C91EA2" w14:paraId="38EF9DEF"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tcPr>
          <w:p w14:paraId="6EF0396A" w14:textId="77777777" w:rsidR="002B1C44" w:rsidRPr="00C91EA2" w:rsidRDefault="002B1C44">
            <w:pPr>
              <w:rPr>
                <w:rFonts w:ascii="Times New Roman" w:hAnsi="Times New Roman" w:cs="Times New Roman"/>
                <w:color w:val="000000"/>
              </w:rPr>
            </w:pPr>
            <w:r>
              <w:rPr>
                <w:rFonts w:ascii="Times New Roman" w:hAnsi="Times New Roman" w:cs="Times New Roman"/>
                <w:color w:val="000000"/>
              </w:rPr>
              <w:t>MNO</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tcPr>
          <w:p w14:paraId="10D79158" w14:textId="77777777" w:rsidR="002B1C44" w:rsidRPr="00C91EA2" w:rsidRDefault="002B1C44">
            <w:pPr>
              <w:rPr>
                <w:rFonts w:ascii="Times New Roman" w:hAnsi="Times New Roman" w:cs="Times New Roman"/>
                <w:color w:val="000000"/>
              </w:rPr>
            </w:pPr>
            <w:r>
              <w:rPr>
                <w:rFonts w:ascii="Times New Roman" w:hAnsi="Times New Roman" w:cs="Times New Roman"/>
                <w:color w:val="000000"/>
              </w:rPr>
              <w:t>Mobile Network Operator</w:t>
            </w:r>
          </w:p>
        </w:tc>
      </w:tr>
      <w:tr w:rsidR="00DE4758" w:rsidRPr="00C91EA2" w14:paraId="53528253"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5B8A9FCE"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MPT</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02194B3"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Ministry of Post and Telecommunications</w:t>
            </w:r>
          </w:p>
        </w:tc>
      </w:tr>
      <w:tr w:rsidR="00DE4758" w:rsidRPr="00C91EA2" w14:paraId="4E65DF2E"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F5E8831"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MT</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089B71B5"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Metric Ton</w:t>
            </w:r>
          </w:p>
        </w:tc>
      </w:tr>
      <w:tr w:rsidR="00DE4758" w:rsidRPr="00C91EA2" w14:paraId="5BCD51EA"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352FCAEB"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MVNO</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05885FB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Mobile Virtual Network Operator </w:t>
            </w:r>
          </w:p>
        </w:tc>
      </w:tr>
      <w:tr w:rsidR="00DE4758" w:rsidRPr="00C91EA2" w14:paraId="617A5BD8"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ECC54B3"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NCA</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FDA36F0"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National Competition Authority</w:t>
            </w:r>
          </w:p>
        </w:tc>
      </w:tr>
      <w:tr w:rsidR="00DE4758" w:rsidRPr="00C91EA2" w14:paraId="6EC3AAD3"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E225253"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NCC</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5BD005B"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National Competition Commission</w:t>
            </w:r>
          </w:p>
        </w:tc>
      </w:tr>
      <w:tr w:rsidR="00DE4758" w:rsidRPr="00C91EA2" w14:paraId="58E34842"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37D65F3"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NGA</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CBCFA83"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Next Generation Access</w:t>
            </w:r>
          </w:p>
        </w:tc>
      </w:tr>
      <w:tr w:rsidR="00DE4758" w:rsidRPr="00C91EA2" w14:paraId="3D3410C2"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257EF8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NIS</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28E03CA"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Nuts in Shell</w:t>
            </w:r>
          </w:p>
        </w:tc>
      </w:tr>
      <w:tr w:rsidR="00DE4758" w:rsidRPr="00C91EA2" w14:paraId="3E7D2D55"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173BB0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OECD</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1FDB634C" w14:textId="77777777" w:rsidR="00DE4758" w:rsidRPr="00C91EA2" w:rsidRDefault="00DE4758">
            <w:pPr>
              <w:rPr>
                <w:rFonts w:ascii="Times New Roman" w:hAnsi="Times New Roman" w:cs="Times New Roman"/>
                <w:color w:val="000000"/>
              </w:rPr>
            </w:pPr>
            <w:proofErr w:type="spellStart"/>
            <w:r w:rsidRPr="00C91EA2">
              <w:rPr>
                <w:rFonts w:ascii="Times New Roman" w:hAnsi="Times New Roman" w:cs="Times New Roman"/>
                <w:color w:val="000000"/>
              </w:rPr>
              <w:t>Organisation</w:t>
            </w:r>
            <w:proofErr w:type="spellEnd"/>
            <w:r w:rsidRPr="00C91EA2">
              <w:rPr>
                <w:rFonts w:ascii="Times New Roman" w:hAnsi="Times New Roman" w:cs="Times New Roman"/>
                <w:color w:val="000000"/>
              </w:rPr>
              <w:t xml:space="preserve"> for Economic Co-operation and Development</w:t>
            </w:r>
          </w:p>
        </w:tc>
      </w:tr>
      <w:tr w:rsidR="00DE4758" w:rsidRPr="00C91EA2" w14:paraId="45105695"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340DDBC"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OER</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4A87568E"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Oil Extraction Rate</w:t>
            </w:r>
          </w:p>
        </w:tc>
      </w:tr>
      <w:tr w:rsidR="00DE4758" w:rsidRPr="00C91EA2" w14:paraId="37B648CE"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ED67988"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OPS</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501235C" w14:textId="77777777" w:rsidR="00DE4758" w:rsidRPr="00C91EA2" w:rsidRDefault="00DE4758">
            <w:pPr>
              <w:rPr>
                <w:rFonts w:ascii="Times New Roman" w:hAnsi="Times New Roman" w:cs="Times New Roman"/>
                <w:color w:val="000000"/>
              </w:rPr>
            </w:pPr>
            <w:proofErr w:type="spellStart"/>
            <w:r w:rsidRPr="00C91EA2">
              <w:rPr>
                <w:rFonts w:ascii="Times New Roman" w:hAnsi="Times New Roman" w:cs="Times New Roman"/>
                <w:color w:val="000000"/>
              </w:rPr>
              <w:t>Opérateurs</w:t>
            </w:r>
            <w:proofErr w:type="spellEnd"/>
            <w:r w:rsidRPr="00C91EA2">
              <w:rPr>
                <w:rFonts w:ascii="Times New Roman" w:hAnsi="Times New Roman" w:cs="Times New Roman"/>
                <w:color w:val="000000"/>
              </w:rPr>
              <w:t xml:space="preserve"> </w:t>
            </w:r>
            <w:proofErr w:type="spellStart"/>
            <w:r w:rsidRPr="00C91EA2">
              <w:rPr>
                <w:rFonts w:ascii="Times New Roman" w:hAnsi="Times New Roman" w:cs="Times New Roman"/>
                <w:color w:val="000000"/>
              </w:rPr>
              <w:t>Privés</w:t>
            </w:r>
            <w:proofErr w:type="spellEnd"/>
            <w:r w:rsidRPr="00C91EA2">
              <w:rPr>
                <w:rFonts w:ascii="Times New Roman" w:hAnsi="Times New Roman" w:cs="Times New Roman"/>
                <w:color w:val="000000"/>
              </w:rPr>
              <w:t xml:space="preserve"> </w:t>
            </w:r>
            <w:proofErr w:type="spellStart"/>
            <w:r w:rsidRPr="00C91EA2">
              <w:rPr>
                <w:rFonts w:ascii="Times New Roman" w:hAnsi="Times New Roman" w:cs="Times New Roman"/>
                <w:color w:val="000000"/>
              </w:rPr>
              <w:t>Stockeurs</w:t>
            </w:r>
            <w:proofErr w:type="spellEnd"/>
          </w:p>
        </w:tc>
      </w:tr>
      <w:tr w:rsidR="00DE4758" w:rsidRPr="00C91EA2" w14:paraId="6C0557A9"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713CC24"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PMR</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D8B81F4"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Product Market Regulation</w:t>
            </w:r>
          </w:p>
        </w:tc>
      </w:tr>
      <w:tr w:rsidR="00DE4758" w:rsidRPr="00C91EA2" w14:paraId="772DAE8F"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400EF7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PSE</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2F0B3C7"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 xml:space="preserve">Plan </w:t>
            </w:r>
            <w:proofErr w:type="spellStart"/>
            <w:r w:rsidRPr="00C91EA2">
              <w:rPr>
                <w:rFonts w:ascii="Times New Roman" w:hAnsi="Times New Roman" w:cs="Times New Roman"/>
                <w:color w:val="000000"/>
              </w:rPr>
              <w:t>Sénégal</w:t>
            </w:r>
            <w:proofErr w:type="spellEnd"/>
            <w:r w:rsidRPr="00C91EA2">
              <w:rPr>
                <w:rFonts w:ascii="Times New Roman" w:hAnsi="Times New Roman" w:cs="Times New Roman"/>
                <w:color w:val="000000"/>
              </w:rPr>
              <w:t xml:space="preserve"> Emergent</w:t>
            </w:r>
          </w:p>
        </w:tc>
      </w:tr>
      <w:tr w:rsidR="00DE4758" w:rsidRPr="001164DA" w14:paraId="51DE0EC4"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E8E98EA"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SEDAB</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2F8D1151"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Société Sahélienne d’Entreprises de Distribution et d’Agro-Business</w:t>
            </w:r>
          </w:p>
        </w:tc>
      </w:tr>
      <w:tr w:rsidR="00DE4758" w:rsidRPr="001164DA" w14:paraId="4C2E3483"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4EE953D6"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SENELEC</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68422264" w14:textId="4001044F"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Société National d'</w:t>
            </w:r>
            <w:r w:rsidR="00B27B3B" w:rsidRPr="00B27B3B">
              <w:rPr>
                <w:rFonts w:ascii="Times New Roman" w:hAnsi="Times New Roman" w:cs="Times New Roman"/>
                <w:color w:val="000000"/>
                <w:lang w:val="fr-FR"/>
              </w:rPr>
              <w:t>Électricité</w:t>
            </w:r>
            <w:r w:rsidRPr="007575D7">
              <w:rPr>
                <w:rFonts w:ascii="Times New Roman" w:hAnsi="Times New Roman" w:cs="Times New Roman"/>
                <w:color w:val="000000"/>
                <w:lang w:val="fr-FR"/>
              </w:rPr>
              <w:t xml:space="preserve"> du Sénégal</w:t>
            </w:r>
          </w:p>
        </w:tc>
      </w:tr>
      <w:tr w:rsidR="00DE4758" w:rsidRPr="001164DA" w14:paraId="5F70F033"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3A16BCB"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SERPM</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02B11B4C"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Société d'études et de Réalisation des Phosphates de Matam</w:t>
            </w:r>
          </w:p>
        </w:tc>
      </w:tr>
      <w:tr w:rsidR="0024653A" w:rsidRPr="00287C82" w14:paraId="53F5ADB3"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tcPr>
          <w:p w14:paraId="0ABBBA36" w14:textId="77777777" w:rsidR="0024653A" w:rsidRPr="00C91EA2" w:rsidRDefault="0024653A">
            <w:pPr>
              <w:rPr>
                <w:rFonts w:ascii="Times New Roman" w:hAnsi="Times New Roman" w:cs="Times New Roman"/>
                <w:color w:val="000000"/>
              </w:rPr>
            </w:pPr>
            <w:r>
              <w:rPr>
                <w:rFonts w:ascii="Times New Roman" w:hAnsi="Times New Roman" w:cs="Times New Roman"/>
                <w:color w:val="000000"/>
              </w:rPr>
              <w:t>SIM</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tcPr>
          <w:p w14:paraId="5EE36063" w14:textId="77777777" w:rsidR="0024653A" w:rsidRPr="00FA09FE" w:rsidRDefault="0024653A">
            <w:pPr>
              <w:rPr>
                <w:rFonts w:ascii="Times New Roman" w:hAnsi="Times New Roman" w:cs="Times New Roman"/>
                <w:color w:val="000000"/>
                <w:lang w:val="es-419"/>
              </w:rPr>
            </w:pPr>
            <w:proofErr w:type="spellStart"/>
            <w:r>
              <w:rPr>
                <w:rFonts w:ascii="Times New Roman" w:hAnsi="Times New Roman" w:cs="Times New Roman"/>
                <w:color w:val="000000"/>
                <w:lang w:val="es-419"/>
              </w:rPr>
              <w:t>Subscriber</w:t>
            </w:r>
            <w:proofErr w:type="spellEnd"/>
            <w:r>
              <w:rPr>
                <w:rFonts w:ascii="Times New Roman" w:hAnsi="Times New Roman" w:cs="Times New Roman"/>
                <w:color w:val="000000"/>
                <w:lang w:val="es-419"/>
              </w:rPr>
              <w:t xml:space="preserve"> </w:t>
            </w:r>
            <w:proofErr w:type="spellStart"/>
            <w:r>
              <w:rPr>
                <w:rFonts w:ascii="Times New Roman" w:hAnsi="Times New Roman" w:cs="Times New Roman"/>
                <w:color w:val="000000"/>
                <w:lang w:val="es-419"/>
              </w:rPr>
              <w:t>Identification</w:t>
            </w:r>
            <w:proofErr w:type="spellEnd"/>
            <w:r>
              <w:rPr>
                <w:rFonts w:ascii="Times New Roman" w:hAnsi="Times New Roman" w:cs="Times New Roman"/>
                <w:color w:val="000000"/>
                <w:lang w:val="es-419"/>
              </w:rPr>
              <w:t xml:space="preserve"> M</w:t>
            </w:r>
            <w:r w:rsidRPr="0024653A">
              <w:rPr>
                <w:rFonts w:ascii="Times New Roman" w:hAnsi="Times New Roman" w:cs="Times New Roman"/>
                <w:color w:val="000000"/>
                <w:lang w:val="es-419"/>
              </w:rPr>
              <w:t>odule</w:t>
            </w:r>
          </w:p>
        </w:tc>
      </w:tr>
      <w:tr w:rsidR="0090269F" w:rsidRPr="00C91EA2" w14:paraId="250CFB88"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tcPr>
          <w:p w14:paraId="13158FE9" w14:textId="77777777" w:rsidR="0090269F" w:rsidRPr="00C91EA2" w:rsidRDefault="0090269F">
            <w:pPr>
              <w:rPr>
                <w:rFonts w:ascii="Times New Roman" w:hAnsi="Times New Roman" w:cs="Times New Roman"/>
                <w:color w:val="000000"/>
              </w:rPr>
            </w:pPr>
            <w:r>
              <w:rPr>
                <w:rFonts w:ascii="Times New Roman" w:hAnsi="Times New Roman" w:cs="Times New Roman"/>
                <w:color w:val="000000"/>
              </w:rPr>
              <w:t>SMP</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tcPr>
          <w:p w14:paraId="3D3E95FE" w14:textId="77777777" w:rsidR="0090269F" w:rsidRPr="00C91EA2" w:rsidRDefault="0090269F">
            <w:pPr>
              <w:rPr>
                <w:rFonts w:ascii="Times New Roman" w:hAnsi="Times New Roman" w:cs="Times New Roman"/>
                <w:color w:val="000000"/>
              </w:rPr>
            </w:pPr>
            <w:r>
              <w:rPr>
                <w:rFonts w:ascii="Times New Roman" w:hAnsi="Times New Roman" w:cs="Times New Roman"/>
                <w:color w:val="000000"/>
              </w:rPr>
              <w:t>Significant Market Power</w:t>
            </w:r>
          </w:p>
        </w:tc>
      </w:tr>
      <w:tr w:rsidR="00DE4758" w:rsidRPr="00C91EA2" w14:paraId="1702F112"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7E1A441A"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SN 2025</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0B3A662" w14:textId="77777777" w:rsidR="00DE4758" w:rsidRPr="00C91EA2" w:rsidRDefault="00422CEA">
            <w:pPr>
              <w:rPr>
                <w:rFonts w:ascii="Times New Roman" w:hAnsi="Times New Roman" w:cs="Times New Roman"/>
                <w:color w:val="000000"/>
              </w:rPr>
            </w:pPr>
            <w:proofErr w:type="spellStart"/>
            <w:r w:rsidRPr="00C91EA2">
              <w:rPr>
                <w:rFonts w:ascii="Times New Roman" w:hAnsi="Times New Roman" w:cs="Times New Roman"/>
                <w:color w:val="000000"/>
              </w:rPr>
              <w:t>Sénégal</w:t>
            </w:r>
            <w:proofErr w:type="spellEnd"/>
            <w:r w:rsidRPr="00C91EA2">
              <w:rPr>
                <w:rFonts w:ascii="Times New Roman" w:hAnsi="Times New Roman" w:cs="Times New Roman"/>
                <w:color w:val="000000"/>
              </w:rPr>
              <w:t xml:space="preserve"> </w:t>
            </w:r>
            <w:proofErr w:type="spellStart"/>
            <w:r w:rsidRPr="00C91EA2">
              <w:rPr>
                <w:rFonts w:ascii="Times New Roman" w:hAnsi="Times New Roman" w:cs="Times New Roman"/>
                <w:color w:val="000000"/>
              </w:rPr>
              <w:t>Numérique</w:t>
            </w:r>
            <w:proofErr w:type="spellEnd"/>
            <w:r w:rsidR="00DE4758" w:rsidRPr="00C91EA2">
              <w:rPr>
                <w:rFonts w:ascii="Times New Roman" w:hAnsi="Times New Roman" w:cs="Times New Roman"/>
                <w:color w:val="000000"/>
              </w:rPr>
              <w:t xml:space="preserve"> 2016-2025</w:t>
            </w:r>
          </w:p>
        </w:tc>
      </w:tr>
      <w:tr w:rsidR="00DE4758" w:rsidRPr="00C91EA2" w14:paraId="47A1DE27"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6E6EF7E"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SOE</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447E9834"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State-Owned Enterprise</w:t>
            </w:r>
          </w:p>
        </w:tc>
      </w:tr>
      <w:tr w:rsidR="00DE4758" w:rsidRPr="001164DA" w14:paraId="2193971B"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27D46126"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SONACOS</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199FC6A0"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 xml:space="preserve">Société Nationale de Commercialisation des Oléagineux du Sénégal </w:t>
            </w:r>
          </w:p>
        </w:tc>
      </w:tr>
      <w:tr w:rsidR="00DE4758" w:rsidRPr="001164DA" w14:paraId="01AAC972"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3618BC61"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SPV</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6DFF9958"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 xml:space="preserve">Service de la Protection des Végétaux </w:t>
            </w:r>
          </w:p>
        </w:tc>
      </w:tr>
      <w:tr w:rsidR="00DE4758" w:rsidRPr="00C91EA2" w14:paraId="17CF6806"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0FFED34A"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TFP</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3DFC6C31"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Total Factor Productivity</w:t>
            </w:r>
          </w:p>
        </w:tc>
      </w:tr>
      <w:tr w:rsidR="00DE4758" w:rsidRPr="001164DA" w14:paraId="71B30098"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0AD667F4"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UNAOPSE</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E5EB0D7"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 xml:space="preserve">Union Nationale des Opérateurs Privés Semenciers du Sénégal </w:t>
            </w:r>
          </w:p>
        </w:tc>
      </w:tr>
      <w:tr w:rsidR="00DE4758" w:rsidRPr="001164DA" w14:paraId="1F49B1C1"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7B2AB4E9"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UNCAS</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306B4BDA" w14:textId="77777777" w:rsidR="00DE4758" w:rsidRPr="007575D7" w:rsidRDefault="00DE4758">
            <w:pPr>
              <w:rPr>
                <w:rFonts w:ascii="Times New Roman" w:hAnsi="Times New Roman" w:cs="Times New Roman"/>
                <w:color w:val="000000"/>
                <w:lang w:val="fr-FR"/>
              </w:rPr>
            </w:pPr>
            <w:r w:rsidRPr="007575D7">
              <w:rPr>
                <w:rFonts w:ascii="Times New Roman" w:hAnsi="Times New Roman" w:cs="Times New Roman"/>
                <w:color w:val="000000"/>
                <w:lang w:val="fr-FR"/>
              </w:rPr>
              <w:t xml:space="preserve">Union Nationale des Coopératives Agricoles </w:t>
            </w:r>
          </w:p>
        </w:tc>
      </w:tr>
      <w:tr w:rsidR="00DE4758" w:rsidRPr="00C91EA2" w14:paraId="6E73A64C"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934FE7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US</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31142F9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United States</w:t>
            </w:r>
          </w:p>
        </w:tc>
      </w:tr>
      <w:tr w:rsidR="00DE4758" w:rsidRPr="00C91EA2" w14:paraId="5E37374E"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65BFB302"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USD</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0643483E"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US Dollars</w:t>
            </w:r>
          </w:p>
        </w:tc>
      </w:tr>
      <w:tr w:rsidR="00DE4758" w:rsidRPr="00C91EA2" w14:paraId="0ECD5871"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0751A1CD"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USDA</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61B8EF9E"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United States Department of Agriculture</w:t>
            </w:r>
          </w:p>
        </w:tc>
      </w:tr>
      <w:tr w:rsidR="00DE4758" w:rsidRPr="00C91EA2" w14:paraId="7BCF21FF"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76C6AAE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WAEMU</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3E988265"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 xml:space="preserve">West African Economic and Monetary Union </w:t>
            </w:r>
          </w:p>
        </w:tc>
      </w:tr>
      <w:tr w:rsidR="00DE4758" w:rsidRPr="00C91EA2" w14:paraId="6E3DB4B2"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54583483"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WAO</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56E36F9D"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 xml:space="preserve">West African Oils </w:t>
            </w:r>
          </w:p>
        </w:tc>
      </w:tr>
      <w:tr w:rsidR="00DE4758" w:rsidRPr="00C91EA2" w14:paraId="17D31114"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504A08A0"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WBG</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4339B49F"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World Bank Group</w:t>
            </w:r>
          </w:p>
        </w:tc>
      </w:tr>
      <w:tr w:rsidR="00DE4758" w:rsidRPr="00C91EA2" w14:paraId="55E4B230" w14:textId="77777777" w:rsidTr="00D91CF5">
        <w:trPr>
          <w:trHeight w:val="300"/>
        </w:trPr>
        <w:tc>
          <w:tcPr>
            <w:tcW w:w="1894" w:type="pct"/>
            <w:tcBorders>
              <w:top w:val="nil"/>
              <w:left w:val="nil"/>
              <w:bottom w:val="nil"/>
              <w:right w:val="nil"/>
            </w:tcBorders>
            <w:shd w:val="clear" w:color="auto" w:fill="auto"/>
            <w:noWrap/>
            <w:tcMar>
              <w:top w:w="15" w:type="dxa"/>
              <w:left w:w="15" w:type="dxa"/>
              <w:bottom w:w="0" w:type="dxa"/>
              <w:right w:w="15" w:type="dxa"/>
            </w:tcMar>
            <w:vAlign w:val="bottom"/>
            <w:hideMark/>
          </w:tcPr>
          <w:p w14:paraId="1742F386"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WEF</w:t>
            </w:r>
          </w:p>
        </w:tc>
        <w:tc>
          <w:tcPr>
            <w:tcW w:w="3106" w:type="pct"/>
            <w:tcBorders>
              <w:top w:val="nil"/>
              <w:left w:val="nil"/>
              <w:bottom w:val="nil"/>
              <w:right w:val="nil"/>
            </w:tcBorders>
            <w:shd w:val="clear" w:color="auto" w:fill="auto"/>
            <w:noWrap/>
            <w:tcMar>
              <w:top w:w="15" w:type="dxa"/>
              <w:left w:w="15" w:type="dxa"/>
              <w:bottom w:w="0" w:type="dxa"/>
              <w:right w:w="15" w:type="dxa"/>
            </w:tcMar>
            <w:vAlign w:val="bottom"/>
            <w:hideMark/>
          </w:tcPr>
          <w:p w14:paraId="7E852B8D" w14:textId="77777777" w:rsidR="00DE4758" w:rsidRPr="00C91EA2" w:rsidRDefault="00DE4758">
            <w:pPr>
              <w:rPr>
                <w:rFonts w:ascii="Times New Roman" w:hAnsi="Times New Roman" w:cs="Times New Roman"/>
                <w:color w:val="000000"/>
              </w:rPr>
            </w:pPr>
            <w:r w:rsidRPr="00C91EA2">
              <w:rPr>
                <w:rFonts w:ascii="Times New Roman" w:hAnsi="Times New Roman" w:cs="Times New Roman"/>
                <w:color w:val="000000"/>
              </w:rPr>
              <w:t>World Economic Forum</w:t>
            </w:r>
          </w:p>
        </w:tc>
      </w:tr>
    </w:tbl>
    <w:p w14:paraId="4194BFEB" w14:textId="77777777" w:rsidR="00545490" w:rsidRPr="00C91EA2" w:rsidRDefault="00DE4758" w:rsidP="00550EE2">
      <w:pPr>
        <w:rPr>
          <w:rFonts w:ascii="Times New Roman" w:hAnsi="Times New Roman" w:cs="Times New Roman"/>
        </w:rPr>
      </w:pPr>
      <w:r w:rsidRPr="00C91EA2">
        <w:rPr>
          <w:rFonts w:ascii="Times New Roman" w:hAnsi="Times New Roman" w:cs="Times New Roman"/>
        </w:rPr>
        <w:t xml:space="preserve"> </w:t>
      </w:r>
      <w:r w:rsidR="00545490" w:rsidRPr="00C91EA2">
        <w:rPr>
          <w:rFonts w:ascii="Times New Roman" w:hAnsi="Times New Roman" w:cs="Times New Roman"/>
        </w:rPr>
        <w:br w:type="page"/>
      </w:r>
    </w:p>
    <w:p w14:paraId="0293641B" w14:textId="77777777" w:rsidR="00374632" w:rsidRPr="00C91EA2" w:rsidRDefault="00374632" w:rsidP="008A75D3">
      <w:pPr>
        <w:pStyle w:val="Heading1"/>
        <w:rPr>
          <w:rFonts w:ascii="Times New Roman" w:hAnsi="Times New Roman" w:cs="Times New Roman"/>
        </w:rPr>
      </w:pPr>
      <w:bookmarkStart w:id="9" w:name="_Toc520724095"/>
      <w:r w:rsidRPr="00C91EA2">
        <w:rPr>
          <w:rFonts w:ascii="Times New Roman" w:hAnsi="Times New Roman" w:cs="Times New Roman"/>
        </w:rPr>
        <w:t>Acknowledgements</w:t>
      </w:r>
      <w:bookmarkEnd w:id="9"/>
    </w:p>
    <w:p w14:paraId="6B740917" w14:textId="77777777" w:rsidR="00374632" w:rsidRPr="00C91EA2" w:rsidRDefault="00374632" w:rsidP="00374632">
      <w:pPr>
        <w:rPr>
          <w:rFonts w:ascii="Times New Roman" w:hAnsi="Times New Roman" w:cs="Times New Roman"/>
        </w:rPr>
      </w:pPr>
    </w:p>
    <w:p w14:paraId="5D8DBAC8" w14:textId="77777777" w:rsidR="004226F6" w:rsidRPr="00C91EA2" w:rsidRDefault="00716770" w:rsidP="004226F6">
      <w:pPr>
        <w:jc w:val="both"/>
        <w:rPr>
          <w:rFonts w:ascii="Times New Roman" w:hAnsi="Times New Roman" w:cs="Times New Roman"/>
          <w:lang w:val="en"/>
        </w:rPr>
      </w:pPr>
      <w:r>
        <w:rPr>
          <w:rFonts w:ascii="Times New Roman" w:hAnsi="Times New Roman" w:cs="Times New Roman"/>
        </w:rPr>
        <w:t>The report</w:t>
      </w:r>
      <w:r w:rsidR="004226F6" w:rsidRPr="00C91EA2">
        <w:rPr>
          <w:rFonts w:ascii="Times New Roman" w:hAnsi="Times New Roman" w:cs="Times New Roman"/>
        </w:rPr>
        <w:t xml:space="preserve"> preparation was led by Georgiana Pop (Senior Economist and Competition Policy Specialist, </w:t>
      </w:r>
      <w:r w:rsidR="007F70DE">
        <w:rPr>
          <w:rFonts w:ascii="Times New Roman" w:hAnsi="Times New Roman" w:cs="Times New Roman"/>
        </w:rPr>
        <w:t xml:space="preserve">Markets and </w:t>
      </w:r>
      <w:r w:rsidR="004226F6" w:rsidRPr="00C91EA2">
        <w:rPr>
          <w:rFonts w:ascii="Times New Roman" w:hAnsi="Times New Roman" w:cs="Times New Roman"/>
        </w:rPr>
        <w:t xml:space="preserve">Competition </w:t>
      </w:r>
      <w:r w:rsidR="00B121BB">
        <w:rPr>
          <w:rFonts w:ascii="Times New Roman" w:hAnsi="Times New Roman" w:cs="Times New Roman"/>
        </w:rPr>
        <w:t xml:space="preserve">Policy </w:t>
      </w:r>
      <w:r w:rsidR="004226F6" w:rsidRPr="00C91EA2">
        <w:rPr>
          <w:rFonts w:ascii="Times New Roman" w:hAnsi="Times New Roman" w:cs="Times New Roman"/>
        </w:rPr>
        <w:t xml:space="preserve">Team; Task Team Leader) and Laurent Corthay (Senior Private Sector Development Specialist; Task Team Leader). </w:t>
      </w:r>
      <w:r w:rsidR="001E2C2A">
        <w:rPr>
          <w:rFonts w:ascii="Times New Roman" w:hAnsi="Times New Roman" w:cs="Times New Roman"/>
        </w:rPr>
        <w:t>The principal authors are</w:t>
      </w:r>
      <w:r w:rsidR="004226F6" w:rsidRPr="00C91EA2">
        <w:rPr>
          <w:rFonts w:ascii="Times New Roman" w:hAnsi="Times New Roman" w:cs="Times New Roman"/>
        </w:rPr>
        <w:t xml:space="preserve"> Georgiana Pop, Sara Nyman (Economist, </w:t>
      </w:r>
      <w:r w:rsidR="007F70DE">
        <w:rPr>
          <w:rFonts w:ascii="Times New Roman" w:hAnsi="Times New Roman" w:cs="Times New Roman"/>
        </w:rPr>
        <w:t xml:space="preserve">Markets and </w:t>
      </w:r>
      <w:r w:rsidR="004226F6" w:rsidRPr="00C91EA2">
        <w:rPr>
          <w:rFonts w:ascii="Times New Roman" w:hAnsi="Times New Roman" w:cs="Times New Roman"/>
        </w:rPr>
        <w:t xml:space="preserve">Competition </w:t>
      </w:r>
      <w:r w:rsidR="00B121BB">
        <w:rPr>
          <w:rFonts w:ascii="Times New Roman" w:hAnsi="Times New Roman" w:cs="Times New Roman"/>
        </w:rPr>
        <w:t xml:space="preserve">Policy </w:t>
      </w:r>
      <w:r w:rsidR="004226F6" w:rsidRPr="00C91EA2">
        <w:rPr>
          <w:rFonts w:ascii="Times New Roman" w:hAnsi="Times New Roman" w:cs="Times New Roman"/>
        </w:rPr>
        <w:t>Team), Gon</w:t>
      </w:r>
      <w:r w:rsidR="00294F5F">
        <w:rPr>
          <w:rFonts w:ascii="Times New Roman" w:hAnsi="Times New Roman" w:cs="Times New Roman"/>
        </w:rPr>
        <w:t>ç</w:t>
      </w:r>
      <w:r w:rsidR="004226F6" w:rsidRPr="00C91EA2">
        <w:rPr>
          <w:rFonts w:ascii="Times New Roman" w:hAnsi="Times New Roman" w:cs="Times New Roman"/>
        </w:rPr>
        <w:t xml:space="preserve">alo Coelho (Consultant, </w:t>
      </w:r>
      <w:r w:rsidR="007F70DE">
        <w:rPr>
          <w:rFonts w:ascii="Times New Roman" w:hAnsi="Times New Roman" w:cs="Times New Roman"/>
        </w:rPr>
        <w:t xml:space="preserve">Markets and </w:t>
      </w:r>
      <w:r w:rsidR="004226F6" w:rsidRPr="00C91EA2">
        <w:rPr>
          <w:rFonts w:ascii="Times New Roman" w:hAnsi="Times New Roman" w:cs="Times New Roman"/>
        </w:rPr>
        <w:t>Competition</w:t>
      </w:r>
      <w:r w:rsidR="00B121BB">
        <w:rPr>
          <w:rFonts w:ascii="Times New Roman" w:hAnsi="Times New Roman" w:cs="Times New Roman"/>
        </w:rPr>
        <w:t xml:space="preserve"> Policy</w:t>
      </w:r>
      <w:r w:rsidR="004226F6" w:rsidRPr="00C91EA2">
        <w:rPr>
          <w:rFonts w:ascii="Times New Roman" w:hAnsi="Times New Roman" w:cs="Times New Roman"/>
        </w:rPr>
        <w:t xml:space="preserve"> Team) and Julian Koschorke (Consultant, </w:t>
      </w:r>
      <w:r w:rsidR="007F70DE">
        <w:rPr>
          <w:rFonts w:ascii="Times New Roman" w:hAnsi="Times New Roman" w:cs="Times New Roman"/>
        </w:rPr>
        <w:t xml:space="preserve">Markets and </w:t>
      </w:r>
      <w:r w:rsidR="004226F6" w:rsidRPr="00C91EA2">
        <w:rPr>
          <w:rFonts w:ascii="Times New Roman" w:hAnsi="Times New Roman" w:cs="Times New Roman"/>
        </w:rPr>
        <w:t xml:space="preserve">Competition </w:t>
      </w:r>
      <w:r w:rsidR="00B121BB">
        <w:rPr>
          <w:rFonts w:ascii="Times New Roman" w:hAnsi="Times New Roman" w:cs="Times New Roman"/>
        </w:rPr>
        <w:t xml:space="preserve">Policy </w:t>
      </w:r>
      <w:r w:rsidR="004226F6" w:rsidRPr="00C91EA2">
        <w:rPr>
          <w:rFonts w:ascii="Times New Roman" w:hAnsi="Times New Roman" w:cs="Times New Roman"/>
        </w:rPr>
        <w:t xml:space="preserve">Team). </w:t>
      </w:r>
      <w:r w:rsidR="00475ED6">
        <w:rPr>
          <w:rFonts w:ascii="Times New Roman" w:hAnsi="Times New Roman" w:cs="Times New Roman"/>
        </w:rPr>
        <w:t xml:space="preserve">Olivier Cattaneo (former Senior Trade Economist), </w:t>
      </w:r>
      <w:r w:rsidR="004226F6" w:rsidRPr="00C91EA2">
        <w:rPr>
          <w:rFonts w:ascii="Times New Roman" w:hAnsi="Times New Roman" w:cs="Times New Roman"/>
        </w:rPr>
        <w:t xml:space="preserve">Amadou Abdoulaye Fall (Consultant, </w:t>
      </w:r>
      <w:r w:rsidR="007F70DE">
        <w:rPr>
          <w:rFonts w:ascii="Times New Roman" w:hAnsi="Times New Roman" w:cs="Times New Roman"/>
        </w:rPr>
        <w:t xml:space="preserve">Markets and </w:t>
      </w:r>
      <w:r w:rsidR="004226F6" w:rsidRPr="00C91EA2">
        <w:rPr>
          <w:rFonts w:ascii="Times New Roman" w:hAnsi="Times New Roman" w:cs="Times New Roman"/>
        </w:rPr>
        <w:t xml:space="preserve">Competition Policy Team), </w:t>
      </w:r>
      <w:r w:rsidR="004226F6" w:rsidRPr="00C91EA2">
        <w:rPr>
          <w:rFonts w:ascii="Times New Roman" w:hAnsi="Times New Roman" w:cs="Times New Roman"/>
          <w:lang w:val="en"/>
        </w:rPr>
        <w:t xml:space="preserve">Liz Diana </w:t>
      </w:r>
      <w:proofErr w:type="spellStart"/>
      <w:r w:rsidR="004226F6" w:rsidRPr="00C91EA2">
        <w:rPr>
          <w:rFonts w:ascii="Times New Roman" w:hAnsi="Times New Roman" w:cs="Times New Roman"/>
          <w:lang w:val="en"/>
        </w:rPr>
        <w:t>Nyamoita</w:t>
      </w:r>
      <w:proofErr w:type="spellEnd"/>
      <w:r w:rsidR="004226F6" w:rsidRPr="00C91EA2">
        <w:rPr>
          <w:rFonts w:ascii="Times New Roman" w:hAnsi="Times New Roman" w:cs="Times New Roman"/>
          <w:lang w:val="en"/>
        </w:rPr>
        <w:t xml:space="preserve"> </w:t>
      </w:r>
      <w:proofErr w:type="spellStart"/>
      <w:r w:rsidR="004226F6" w:rsidRPr="00C91EA2">
        <w:rPr>
          <w:rFonts w:ascii="Times New Roman" w:hAnsi="Times New Roman" w:cs="Times New Roman"/>
          <w:lang w:val="en"/>
        </w:rPr>
        <w:t>Nyachieo</w:t>
      </w:r>
      <w:proofErr w:type="spellEnd"/>
      <w:r w:rsidR="004226F6" w:rsidRPr="00C91EA2">
        <w:rPr>
          <w:rFonts w:ascii="Times New Roman" w:hAnsi="Times New Roman" w:cs="Times New Roman"/>
          <w:lang w:val="en"/>
        </w:rPr>
        <w:t xml:space="preserve"> (Consultant, </w:t>
      </w:r>
      <w:r w:rsidR="007F70DE">
        <w:rPr>
          <w:rFonts w:ascii="Times New Roman" w:hAnsi="Times New Roman" w:cs="Times New Roman"/>
          <w:lang w:val="en"/>
        </w:rPr>
        <w:t xml:space="preserve">Markets and </w:t>
      </w:r>
      <w:r w:rsidR="009A18A8" w:rsidRPr="000C22CF">
        <w:rPr>
          <w:rFonts w:ascii="Times New Roman" w:hAnsi="Times New Roman" w:cs="Times New Roman"/>
        </w:rPr>
        <w:t>Competition Policy Team</w:t>
      </w:r>
      <w:r w:rsidR="004226F6" w:rsidRPr="000C22CF">
        <w:rPr>
          <w:rFonts w:ascii="Times New Roman" w:hAnsi="Times New Roman" w:cs="Times New Roman"/>
          <w:lang w:val="en"/>
        </w:rPr>
        <w:t xml:space="preserve">), </w:t>
      </w:r>
      <w:proofErr w:type="spellStart"/>
      <w:r w:rsidR="004226F6" w:rsidRPr="000C22CF">
        <w:rPr>
          <w:rFonts w:ascii="Times New Roman" w:hAnsi="Times New Roman" w:cs="Times New Roman"/>
          <w:lang w:val="en"/>
        </w:rPr>
        <w:t>Morgane</w:t>
      </w:r>
      <w:proofErr w:type="spellEnd"/>
      <w:r w:rsidR="004226F6" w:rsidRPr="000C22CF">
        <w:rPr>
          <w:rFonts w:ascii="Times New Roman" w:hAnsi="Times New Roman" w:cs="Times New Roman"/>
          <w:lang w:val="en"/>
        </w:rPr>
        <w:t xml:space="preserve"> Elise Fouche (Consultant, </w:t>
      </w:r>
      <w:r w:rsidR="007F70DE">
        <w:rPr>
          <w:rFonts w:ascii="Times New Roman" w:hAnsi="Times New Roman" w:cs="Times New Roman"/>
          <w:lang w:val="en"/>
        </w:rPr>
        <w:t xml:space="preserve">Markets and </w:t>
      </w:r>
      <w:r w:rsidR="004226F6" w:rsidRPr="000C22CF">
        <w:rPr>
          <w:rFonts w:ascii="Times New Roman" w:hAnsi="Times New Roman" w:cs="Times New Roman"/>
          <w:lang w:val="en"/>
        </w:rPr>
        <w:t>Competition Policy Team) and Laurent Benzoni (</w:t>
      </w:r>
      <w:r w:rsidR="004226F6" w:rsidRPr="00D131C6">
        <w:rPr>
          <w:rFonts w:ascii="Times New Roman" w:hAnsi="Times New Roman" w:cs="Times New Roman"/>
          <w:lang w:val="en"/>
        </w:rPr>
        <w:t>External Consultant</w:t>
      </w:r>
      <w:r w:rsidR="000B152C" w:rsidRPr="000C22CF">
        <w:rPr>
          <w:rFonts w:ascii="Times New Roman" w:hAnsi="Times New Roman" w:cs="Times New Roman"/>
          <w:lang w:val="en"/>
        </w:rPr>
        <w:t>,</w:t>
      </w:r>
      <w:r w:rsidR="000B152C">
        <w:rPr>
          <w:rFonts w:ascii="Times New Roman" w:hAnsi="Times New Roman" w:cs="Times New Roman"/>
          <w:lang w:val="en"/>
        </w:rPr>
        <w:t xml:space="preserve"> </w:t>
      </w:r>
      <w:r w:rsidR="009A18A8">
        <w:rPr>
          <w:rFonts w:ascii="Times New Roman" w:hAnsi="Times New Roman" w:cs="Times New Roman"/>
          <w:lang w:val="en"/>
        </w:rPr>
        <w:t xml:space="preserve">President of </w:t>
      </w:r>
      <w:r w:rsidR="000B152C">
        <w:rPr>
          <w:rFonts w:ascii="Times New Roman" w:hAnsi="Times New Roman" w:cs="Times New Roman"/>
          <w:lang w:val="en"/>
        </w:rPr>
        <w:t>Tera Consultants</w:t>
      </w:r>
      <w:r w:rsidR="004226F6" w:rsidRPr="00C91EA2">
        <w:rPr>
          <w:rFonts w:ascii="Times New Roman" w:hAnsi="Times New Roman" w:cs="Times New Roman"/>
          <w:lang w:val="en"/>
        </w:rPr>
        <w:t xml:space="preserve">) provided </w:t>
      </w:r>
      <w:r w:rsidR="002661C4">
        <w:rPr>
          <w:rFonts w:ascii="Times New Roman" w:hAnsi="Times New Roman" w:cs="Times New Roman"/>
          <w:lang w:val="en"/>
        </w:rPr>
        <w:t xml:space="preserve">specific </w:t>
      </w:r>
      <w:r w:rsidR="004226F6" w:rsidRPr="00C91EA2">
        <w:rPr>
          <w:rFonts w:ascii="Times New Roman" w:hAnsi="Times New Roman" w:cs="Times New Roman"/>
          <w:lang w:val="en"/>
        </w:rPr>
        <w:t>inputs.</w:t>
      </w:r>
      <w:r w:rsidR="00105615">
        <w:rPr>
          <w:rFonts w:ascii="Times New Roman" w:hAnsi="Times New Roman" w:cs="Times New Roman"/>
          <w:lang w:val="en"/>
        </w:rPr>
        <w:t xml:space="preserve"> </w:t>
      </w:r>
    </w:p>
    <w:p w14:paraId="21436C24" w14:textId="77777777" w:rsidR="00AA74DC" w:rsidRPr="00EE67C0" w:rsidRDefault="00AA74DC" w:rsidP="00AA74DC">
      <w:pPr>
        <w:jc w:val="both"/>
        <w:rPr>
          <w:rFonts w:ascii="Times New Roman" w:hAnsi="Times New Roman" w:cs="Times New Roman"/>
        </w:rPr>
      </w:pPr>
    </w:p>
    <w:p w14:paraId="3298609E" w14:textId="77777777" w:rsidR="00AA74DC" w:rsidRPr="001F781D" w:rsidRDefault="00AA74DC" w:rsidP="00AA74DC">
      <w:pPr>
        <w:jc w:val="both"/>
        <w:rPr>
          <w:rFonts w:ascii="Times New Roman" w:hAnsi="Times New Roman" w:cs="Times New Roman"/>
        </w:rPr>
      </w:pPr>
      <w:r w:rsidRPr="00EE67C0">
        <w:rPr>
          <w:rFonts w:ascii="Times New Roman" w:hAnsi="Times New Roman" w:cs="Times New Roman"/>
        </w:rPr>
        <w:t xml:space="preserve">Martha Martinez Licetti, Lead Economist and Global Lead of the </w:t>
      </w:r>
      <w:r>
        <w:rPr>
          <w:rFonts w:ascii="Times New Roman" w:hAnsi="Times New Roman" w:cs="Times New Roman"/>
        </w:rPr>
        <w:t xml:space="preserve">Markets and </w:t>
      </w:r>
      <w:r w:rsidRPr="00EE67C0">
        <w:rPr>
          <w:rFonts w:ascii="Times New Roman" w:hAnsi="Times New Roman" w:cs="Times New Roman"/>
        </w:rPr>
        <w:t xml:space="preserve">Competition Team provided overall strategic </w:t>
      </w:r>
      <w:r>
        <w:rPr>
          <w:rFonts w:ascii="Times New Roman" w:hAnsi="Times New Roman" w:cs="Times New Roman"/>
        </w:rPr>
        <w:t>advice</w:t>
      </w:r>
      <w:r w:rsidRPr="00EE67C0">
        <w:rPr>
          <w:rFonts w:ascii="Times New Roman" w:hAnsi="Times New Roman" w:cs="Times New Roman"/>
        </w:rPr>
        <w:t xml:space="preserve"> which follows the World </w:t>
      </w:r>
      <w:r w:rsidRPr="001F781D">
        <w:rPr>
          <w:rFonts w:ascii="Times New Roman" w:hAnsi="Times New Roman" w:cs="Times New Roman"/>
        </w:rPr>
        <w:t xml:space="preserve">Bank Group’s Market and Competition Policy Assessment Tool (MCPAT). </w:t>
      </w:r>
    </w:p>
    <w:p w14:paraId="1ABF6870" w14:textId="77777777" w:rsidR="00F001F9" w:rsidRPr="00103B44" w:rsidRDefault="00F001F9" w:rsidP="00AA74DC">
      <w:pPr>
        <w:jc w:val="both"/>
        <w:rPr>
          <w:rFonts w:ascii="Times New Roman" w:hAnsi="Times New Roman" w:cs="Times New Roman"/>
        </w:rPr>
      </w:pPr>
    </w:p>
    <w:p w14:paraId="3C165EC3" w14:textId="77777777" w:rsidR="00F001F9" w:rsidRPr="00A735D4" w:rsidRDefault="00F001F9" w:rsidP="00AA74DC">
      <w:pPr>
        <w:jc w:val="both"/>
        <w:rPr>
          <w:rFonts w:ascii="Times New Roman" w:hAnsi="Times New Roman" w:cs="Times New Roman"/>
          <w:lang w:val="en"/>
        </w:rPr>
      </w:pPr>
      <w:r w:rsidRPr="00C538DB">
        <w:rPr>
          <w:rFonts w:ascii="Times New Roman" w:hAnsi="Times New Roman" w:cs="Times New Roman"/>
          <w:lang w:val="en"/>
        </w:rPr>
        <w:t xml:space="preserve">The report has benefited greatly from comments, advice, guidance, and technical discussions with Tania Begazo (Senior Economist and Competition Policy Specialist), </w:t>
      </w:r>
      <w:r w:rsidR="00A735D4" w:rsidRPr="00C538DB">
        <w:rPr>
          <w:rFonts w:ascii="Times New Roman" w:hAnsi="Times New Roman" w:cs="Times New Roman"/>
          <w:lang w:val="en"/>
        </w:rPr>
        <w:t xml:space="preserve">Raju Singh (Program Leader), </w:t>
      </w:r>
      <w:r w:rsidRPr="00C538DB">
        <w:rPr>
          <w:rFonts w:ascii="Times New Roman" w:hAnsi="Times New Roman" w:cs="Times New Roman"/>
          <w:lang w:val="en"/>
        </w:rPr>
        <w:t>El Hadj Adama Toure (Lead Agricultural Economist), Jerome Bezzina (Senior Regulatory Economist),</w:t>
      </w:r>
      <w:r w:rsidR="00A735D4" w:rsidRPr="00C538DB">
        <w:rPr>
          <w:rFonts w:ascii="Times New Roman" w:hAnsi="Times New Roman" w:cs="Times New Roman"/>
          <w:lang w:val="en"/>
        </w:rPr>
        <w:t xml:space="preserve"> Arthur Foch (Senior</w:t>
      </w:r>
      <w:r w:rsidRPr="00C538DB">
        <w:rPr>
          <w:rFonts w:ascii="Times New Roman" w:hAnsi="Times New Roman" w:cs="Times New Roman"/>
          <w:lang w:val="en"/>
        </w:rPr>
        <w:t xml:space="preserve"> ICT Policy Specialist</w:t>
      </w:r>
      <w:r w:rsidR="00A735D4" w:rsidRPr="00C538DB">
        <w:rPr>
          <w:rFonts w:ascii="Times New Roman" w:hAnsi="Times New Roman" w:cs="Times New Roman"/>
          <w:lang w:val="en"/>
        </w:rPr>
        <w:t>), Aifa Fatimata Niane Ndoye (Senior Agriculture Economist) and Julio Loayza (Senior Economist).</w:t>
      </w:r>
      <w:r w:rsidR="005E0EB7">
        <w:rPr>
          <w:rFonts w:ascii="Times New Roman" w:hAnsi="Times New Roman" w:cs="Times New Roman"/>
          <w:lang w:val="en"/>
        </w:rPr>
        <w:t xml:space="preserve"> </w:t>
      </w:r>
      <w:bookmarkStart w:id="10" w:name="_Hlk511205952"/>
      <w:r w:rsidR="005E0EB7">
        <w:rPr>
          <w:rFonts w:ascii="Times New Roman" w:hAnsi="Times New Roman" w:cs="Times New Roman"/>
          <w:lang w:val="en"/>
        </w:rPr>
        <w:t>Adam Winship (Consultant) provided editorial support.</w:t>
      </w:r>
      <w:bookmarkEnd w:id="10"/>
    </w:p>
    <w:p w14:paraId="413E4305" w14:textId="77777777" w:rsidR="00AA74DC" w:rsidRDefault="00AA74DC" w:rsidP="00AA74DC">
      <w:pPr>
        <w:jc w:val="both"/>
        <w:rPr>
          <w:rFonts w:ascii="Times New Roman" w:hAnsi="Times New Roman" w:cs="Times New Roman"/>
        </w:rPr>
      </w:pPr>
    </w:p>
    <w:p w14:paraId="0C9DEB0A" w14:textId="3991E39A" w:rsidR="00AA74DC" w:rsidRPr="00C0641B" w:rsidRDefault="00AA74DC" w:rsidP="00AA74DC">
      <w:pPr>
        <w:jc w:val="both"/>
        <w:rPr>
          <w:rFonts w:ascii="Times New Roman" w:hAnsi="Times New Roman" w:cs="Times New Roman"/>
        </w:rPr>
      </w:pPr>
      <w:r>
        <w:rPr>
          <w:rFonts w:ascii="Times New Roman" w:hAnsi="Times New Roman" w:cs="Times New Roman"/>
        </w:rPr>
        <w:t>The report was prepared under the guidance of Louise Cord (Country Director</w:t>
      </w:r>
      <w:r w:rsidRPr="00C0641B">
        <w:rPr>
          <w:rFonts w:ascii="Times New Roman" w:hAnsi="Times New Roman" w:cs="Times New Roman"/>
        </w:rPr>
        <w:t>, Cabo-Verde, The Gambia, Guinea-Bissau, Mauritania, Senegal</w:t>
      </w:r>
      <w:r>
        <w:rPr>
          <w:rFonts w:ascii="Times New Roman" w:hAnsi="Times New Roman" w:cs="Times New Roman"/>
        </w:rPr>
        <w:t xml:space="preserve">), Paolo Zacchia (Program Leader), </w:t>
      </w:r>
      <w:r w:rsidR="00B42297">
        <w:rPr>
          <w:rFonts w:ascii="Times New Roman" w:hAnsi="Times New Roman" w:cs="Times New Roman"/>
        </w:rPr>
        <w:t>Lars Moller (Practice M</w:t>
      </w:r>
      <w:r w:rsidR="00356B90">
        <w:rPr>
          <w:rFonts w:ascii="Times New Roman" w:hAnsi="Times New Roman" w:cs="Times New Roman"/>
        </w:rPr>
        <w:t xml:space="preserve">anager), </w:t>
      </w:r>
      <w:r>
        <w:rPr>
          <w:rFonts w:ascii="Times New Roman" w:hAnsi="Times New Roman" w:cs="Times New Roman"/>
        </w:rPr>
        <w:t xml:space="preserve">Jose Guilherme Reis (Practice Manager) and </w:t>
      </w:r>
      <w:r w:rsidRPr="00EE67C0">
        <w:rPr>
          <w:rFonts w:ascii="Times New Roman" w:hAnsi="Times New Roman" w:cs="Times New Roman"/>
        </w:rPr>
        <w:t>Rashmi Shankar (Practice Manager).</w:t>
      </w:r>
    </w:p>
    <w:p w14:paraId="214E9868" w14:textId="77777777" w:rsidR="00D36E29" w:rsidRDefault="00D36E29" w:rsidP="004226F6">
      <w:pPr>
        <w:jc w:val="both"/>
        <w:rPr>
          <w:rFonts w:ascii="Times New Roman" w:hAnsi="Times New Roman" w:cs="Times New Roman"/>
        </w:rPr>
      </w:pPr>
    </w:p>
    <w:p w14:paraId="5F3982FB" w14:textId="0C27D787" w:rsidR="004226F6" w:rsidRPr="00C91EA2" w:rsidRDefault="00F41986" w:rsidP="004226F6">
      <w:pPr>
        <w:jc w:val="both"/>
        <w:rPr>
          <w:rFonts w:ascii="Times New Roman" w:hAnsi="Times New Roman" w:cs="Times New Roman"/>
        </w:rPr>
      </w:pPr>
      <w:r>
        <w:rPr>
          <w:rFonts w:ascii="Times New Roman" w:hAnsi="Times New Roman" w:cs="Times New Roman"/>
        </w:rPr>
        <w:t xml:space="preserve">The team is grateful for the fruitful discussions with the representatives of the Prime Minister’s Office, the Ministry of Agriculture, the Ministry of </w:t>
      </w:r>
      <w:r w:rsidR="001A5142">
        <w:rPr>
          <w:rFonts w:ascii="Times New Roman" w:hAnsi="Times New Roman" w:cs="Times New Roman"/>
        </w:rPr>
        <w:t xml:space="preserve">Economy and </w:t>
      </w:r>
      <w:r>
        <w:rPr>
          <w:rFonts w:ascii="Times New Roman" w:hAnsi="Times New Roman" w:cs="Times New Roman"/>
        </w:rPr>
        <w:t>Finance, Ministry of Commerce, Ministry of Telecommunications and Post, the Telecommunications Regulatory Agency, the civil society and private sector who participate</w:t>
      </w:r>
      <w:r w:rsidR="00ED3C0F">
        <w:rPr>
          <w:rFonts w:ascii="Times New Roman" w:hAnsi="Times New Roman" w:cs="Times New Roman"/>
        </w:rPr>
        <w:t>d</w:t>
      </w:r>
      <w:r>
        <w:rPr>
          <w:rFonts w:ascii="Times New Roman" w:hAnsi="Times New Roman" w:cs="Times New Roman"/>
        </w:rPr>
        <w:t xml:space="preserve"> in a two-day workshop on June 25-26, 2018.</w:t>
      </w:r>
      <w:r w:rsidR="004226F6" w:rsidRPr="00C91EA2">
        <w:rPr>
          <w:rFonts w:ascii="Times New Roman" w:hAnsi="Times New Roman" w:cs="Times New Roman"/>
        </w:rPr>
        <w:br w:type="page"/>
      </w:r>
    </w:p>
    <w:p w14:paraId="3C62AFAD" w14:textId="77777777" w:rsidR="002D1818" w:rsidRPr="000C4A63" w:rsidRDefault="002D1818" w:rsidP="002D1818">
      <w:pPr>
        <w:pStyle w:val="Heading1"/>
        <w:rPr>
          <w:rFonts w:ascii="Times New Roman" w:hAnsi="Times New Roman" w:cs="Times New Roman"/>
        </w:rPr>
      </w:pPr>
      <w:bookmarkStart w:id="11" w:name="_Toc498020465"/>
      <w:bookmarkStart w:id="12" w:name="_Toc520724096"/>
      <w:bookmarkStart w:id="13" w:name="_Toc390198801"/>
      <w:r w:rsidRPr="000C4A63">
        <w:rPr>
          <w:rFonts w:ascii="Times New Roman" w:hAnsi="Times New Roman" w:cs="Times New Roman"/>
        </w:rPr>
        <w:t>Executive Summary</w:t>
      </w:r>
      <w:bookmarkEnd w:id="11"/>
      <w:bookmarkEnd w:id="12"/>
    </w:p>
    <w:p w14:paraId="30FA472E" w14:textId="77777777" w:rsidR="002D1818" w:rsidRPr="000C4A63" w:rsidRDefault="002D1818" w:rsidP="002D1818">
      <w:pPr>
        <w:jc w:val="both"/>
        <w:rPr>
          <w:rFonts w:ascii="Times New Roman" w:hAnsi="Times New Roman" w:cs="Times New Roman"/>
          <w:b/>
          <w:sz w:val="22"/>
          <w:szCs w:val="22"/>
        </w:rPr>
      </w:pPr>
    </w:p>
    <w:p w14:paraId="12FBBD12" w14:textId="77777777" w:rsidR="00B10030" w:rsidRDefault="00B10030" w:rsidP="00103B44">
      <w:pPr>
        <w:jc w:val="both"/>
        <w:rPr>
          <w:rFonts w:ascii="Times New Roman" w:hAnsi="Times New Roman" w:cs="Times New Roman"/>
        </w:rPr>
      </w:pPr>
      <w:r w:rsidRPr="006A1D4E">
        <w:rPr>
          <w:rFonts w:ascii="Times New Roman" w:hAnsi="Times New Roman" w:cs="Times New Roman"/>
          <w:b/>
          <w:bCs/>
        </w:rPr>
        <w:t>Economic growth in Senegal has surged over 6 percent since 2015 – and the trend is expected to continue in 201</w:t>
      </w:r>
      <w:r w:rsidRPr="002B62DC">
        <w:rPr>
          <w:rFonts w:ascii="Times New Roman" w:hAnsi="Times New Roman" w:cs="Times New Roman"/>
          <w:b/>
          <w:bCs/>
        </w:rPr>
        <w:t>8 and beyond.</w:t>
      </w:r>
      <w:r w:rsidRPr="002B62DC">
        <w:rPr>
          <w:rFonts w:ascii="Times New Roman" w:hAnsi="Times New Roman" w:cs="Times New Roman"/>
        </w:rPr>
        <w:t xml:space="preserve"> Growth reached 6.2</w:t>
      </w:r>
      <w:r w:rsidRPr="006A1D4E">
        <w:rPr>
          <w:rFonts w:ascii="Times New Roman" w:hAnsi="Times New Roman" w:cs="Times New Roman"/>
        </w:rPr>
        <w:t xml:space="preserve"> percent in </w:t>
      </w:r>
      <w:r w:rsidRPr="002B62DC">
        <w:rPr>
          <w:rFonts w:ascii="Times New Roman" w:hAnsi="Times New Roman" w:cs="Times New Roman"/>
        </w:rPr>
        <w:t>2016</w:t>
      </w:r>
      <w:r w:rsidRPr="006A1D4E">
        <w:rPr>
          <w:rFonts w:ascii="Times New Roman" w:hAnsi="Times New Roman" w:cs="Times New Roman"/>
        </w:rPr>
        <w:t xml:space="preserve"> and </w:t>
      </w:r>
      <w:r w:rsidRPr="002B62DC">
        <w:rPr>
          <w:rFonts w:ascii="Times New Roman" w:hAnsi="Times New Roman" w:cs="Times New Roman"/>
        </w:rPr>
        <w:t>7.2</w:t>
      </w:r>
      <w:r w:rsidRPr="006A1D4E">
        <w:rPr>
          <w:rFonts w:ascii="Times New Roman" w:hAnsi="Times New Roman" w:cs="Times New Roman"/>
        </w:rPr>
        <w:t xml:space="preserve"> percent in </w:t>
      </w:r>
      <w:r w:rsidRPr="002B62DC">
        <w:rPr>
          <w:rFonts w:ascii="Times New Roman" w:hAnsi="Times New Roman" w:cs="Times New Roman"/>
        </w:rPr>
        <w:t>2017,</w:t>
      </w:r>
      <w:r w:rsidRPr="002B62DC">
        <w:rPr>
          <w:rStyle w:val="FootnoteReference"/>
          <w:rFonts w:ascii="Times New Roman" w:hAnsi="Times New Roman" w:cs="Times New Roman"/>
        </w:rPr>
        <w:footnoteReference w:id="1"/>
      </w:r>
      <w:r>
        <w:rPr>
          <w:rFonts w:ascii="Times New Roman" w:hAnsi="Times New Roman" w:cs="Times New Roman"/>
        </w:rPr>
        <w:t xml:space="preserve"> </w:t>
      </w:r>
      <w:r w:rsidRPr="006A1D4E">
        <w:rPr>
          <w:rFonts w:ascii="Times New Roman" w:hAnsi="Times New Roman" w:cs="Times New Roman"/>
        </w:rPr>
        <w:t xml:space="preserve">led by the primary sector with around </w:t>
      </w:r>
      <w:r w:rsidRPr="002B62DC">
        <w:rPr>
          <w:rFonts w:ascii="Times New Roman" w:hAnsi="Times New Roman" w:cs="Times New Roman"/>
        </w:rPr>
        <w:t>13</w:t>
      </w:r>
      <w:r w:rsidRPr="006A1D4E">
        <w:rPr>
          <w:rFonts w:ascii="Times New Roman" w:hAnsi="Times New Roman" w:cs="Times New Roman"/>
        </w:rPr>
        <w:t xml:space="preserve"> percent of growth, boosted by fishing and agriculture. The secondary sector also grew rapidly at </w:t>
      </w:r>
      <w:r w:rsidRPr="002B62DC">
        <w:rPr>
          <w:rFonts w:ascii="Times New Roman" w:hAnsi="Times New Roman" w:cs="Times New Roman"/>
        </w:rPr>
        <w:t>4.5</w:t>
      </w:r>
      <w:r w:rsidRPr="006A1D4E">
        <w:rPr>
          <w:rFonts w:ascii="Times New Roman" w:hAnsi="Times New Roman" w:cs="Times New Roman"/>
        </w:rPr>
        <w:t xml:space="preserve"> percent supported by food; chemicals and extractives (phosphates and gold). Services grew at </w:t>
      </w:r>
      <w:r w:rsidRPr="002B62DC">
        <w:rPr>
          <w:rFonts w:ascii="Times New Roman" w:hAnsi="Times New Roman" w:cs="Times New Roman"/>
        </w:rPr>
        <w:t>6.6</w:t>
      </w:r>
      <w:r w:rsidRPr="006A1D4E">
        <w:rPr>
          <w:rFonts w:ascii="Times New Roman" w:hAnsi="Times New Roman" w:cs="Times New Roman"/>
        </w:rPr>
        <w:t xml:space="preserve"> percent thanks to transport and financial and intermediation services. </w:t>
      </w:r>
      <w:r w:rsidRPr="002B62DC">
        <w:rPr>
          <w:rFonts w:ascii="Times New Roman" w:hAnsi="Times New Roman" w:cs="Times New Roman"/>
        </w:rPr>
        <w:t xml:space="preserve">Ongoing reforms, higher total investment, and adequate climate conditions help explain this performance. Downside risks include rising oil and food import prices. </w:t>
      </w:r>
    </w:p>
    <w:p w14:paraId="5F91D35B" w14:textId="77777777" w:rsidR="002D1818" w:rsidRPr="00C91EA2" w:rsidRDefault="002D1818" w:rsidP="002D1818">
      <w:pPr>
        <w:autoSpaceDE w:val="0"/>
        <w:autoSpaceDN w:val="0"/>
        <w:adjustRightInd w:val="0"/>
        <w:jc w:val="both"/>
        <w:rPr>
          <w:rFonts w:ascii="Times New Roman" w:eastAsia="Times New Roman" w:hAnsi="Times New Roman" w:cs="Times New Roman"/>
        </w:rPr>
      </w:pPr>
    </w:p>
    <w:p w14:paraId="78662A57" w14:textId="5F1D2CA0" w:rsidR="002D1818" w:rsidRPr="003E51C0" w:rsidRDefault="002D1818" w:rsidP="002D1818">
      <w:pPr>
        <w:jc w:val="both"/>
        <w:rPr>
          <w:rFonts w:ascii="Times New Roman" w:eastAsia="Times New Roman" w:hAnsi="Times New Roman" w:cs="Times New Roman"/>
        </w:rPr>
      </w:pPr>
      <w:r w:rsidRPr="00C91EA2">
        <w:rPr>
          <w:rFonts w:ascii="Times New Roman" w:hAnsi="Times New Roman" w:cs="Times New Roman"/>
          <w:b/>
        </w:rPr>
        <w:t>Addressing Senegal’s challenges at the macroeconomic level, notably sustaining high growth</w:t>
      </w:r>
      <w:r w:rsidR="00C2286A">
        <w:rPr>
          <w:rFonts w:ascii="Times New Roman" w:hAnsi="Times New Roman" w:cs="Times New Roman"/>
          <w:b/>
        </w:rPr>
        <w:t>,</w:t>
      </w:r>
      <w:r w:rsidRPr="00C91EA2">
        <w:rPr>
          <w:rFonts w:ascii="Times New Roman" w:hAnsi="Times New Roman" w:cs="Times New Roman"/>
          <w:b/>
        </w:rPr>
        <w:t xml:space="preserve"> elicit</w:t>
      </w:r>
      <w:r w:rsidR="00650B01">
        <w:rPr>
          <w:rFonts w:ascii="Times New Roman" w:hAnsi="Times New Roman" w:cs="Times New Roman"/>
          <w:b/>
        </w:rPr>
        <w:t>s</w:t>
      </w:r>
      <w:r w:rsidRPr="00C91EA2">
        <w:rPr>
          <w:rFonts w:ascii="Times New Roman" w:hAnsi="Times New Roman" w:cs="Times New Roman"/>
          <w:b/>
        </w:rPr>
        <w:t xml:space="preserve"> a deeper understanding of the microeconomic constraints affecting key sectors. </w:t>
      </w:r>
      <w:r w:rsidRPr="00C91EA2">
        <w:rPr>
          <w:rFonts w:ascii="Times New Roman" w:eastAsia="Times New Roman" w:hAnsi="Times New Roman" w:cs="Times New Roman"/>
        </w:rPr>
        <w:t>Macro-fiscal policies have support</w:t>
      </w:r>
      <w:r w:rsidR="00E42174">
        <w:rPr>
          <w:rFonts w:ascii="Times New Roman" w:eastAsia="Times New Roman" w:hAnsi="Times New Roman" w:cs="Times New Roman"/>
        </w:rPr>
        <w:t>ed</w:t>
      </w:r>
      <w:r w:rsidRPr="00C91EA2">
        <w:rPr>
          <w:rFonts w:ascii="Times New Roman" w:eastAsia="Times New Roman" w:hAnsi="Times New Roman" w:cs="Times New Roman"/>
        </w:rPr>
        <w:t xml:space="preserve"> growth</w:t>
      </w:r>
      <w:r w:rsidR="00E42174">
        <w:rPr>
          <w:rFonts w:ascii="Times New Roman" w:eastAsia="Times New Roman" w:hAnsi="Times New Roman" w:cs="Times New Roman"/>
        </w:rPr>
        <w:t>,</w:t>
      </w:r>
      <w:r w:rsidRPr="00C91EA2">
        <w:rPr>
          <w:rFonts w:ascii="Times New Roman" w:eastAsia="Times New Roman" w:hAnsi="Times New Roman" w:cs="Times New Roman"/>
        </w:rPr>
        <w:t xml:space="preserve"> and Senegal benefits from other factors</w:t>
      </w:r>
      <w:r>
        <w:rPr>
          <w:rFonts w:ascii="Times New Roman" w:eastAsia="Times New Roman" w:hAnsi="Times New Roman" w:cs="Times New Roman"/>
        </w:rPr>
        <w:t>,</w:t>
      </w:r>
      <w:r w:rsidRPr="00C91EA2">
        <w:rPr>
          <w:rFonts w:ascii="Times New Roman" w:eastAsia="Times New Roman" w:hAnsi="Times New Roman" w:cs="Times New Roman"/>
        </w:rPr>
        <w:t xml:space="preserve"> such as its coastal location and its 1</w:t>
      </w:r>
      <w:r w:rsidR="006673C0">
        <w:rPr>
          <w:rFonts w:ascii="Times New Roman" w:eastAsia="Times New Roman" w:hAnsi="Times New Roman" w:cs="Times New Roman"/>
        </w:rPr>
        <w:t>,</w:t>
      </w:r>
      <w:r w:rsidRPr="00C91EA2">
        <w:rPr>
          <w:rFonts w:ascii="Times New Roman" w:eastAsia="Times New Roman" w:hAnsi="Times New Roman" w:cs="Times New Roman"/>
        </w:rPr>
        <w:t xml:space="preserve">500 km of optic fiber network. However, structural constraints undermine the efficiency of investment and sustained growth. </w:t>
      </w:r>
      <w:r w:rsidR="00EF6D96">
        <w:rPr>
          <w:rFonts w:ascii="Times New Roman" w:eastAsia="Times New Roman" w:hAnsi="Times New Roman" w:cs="Times New Roman"/>
        </w:rPr>
        <w:t>D</w:t>
      </w:r>
      <w:r w:rsidR="00C126FD">
        <w:rPr>
          <w:rFonts w:ascii="Times New Roman" w:eastAsia="Times New Roman" w:hAnsi="Times New Roman" w:cs="Times New Roman"/>
        </w:rPr>
        <w:t xml:space="preserve">espite recent </w:t>
      </w:r>
      <w:r w:rsidR="00F13C6B">
        <w:rPr>
          <w:rFonts w:ascii="Times New Roman" w:eastAsia="Times New Roman" w:hAnsi="Times New Roman" w:cs="Times New Roman"/>
        </w:rPr>
        <w:t xml:space="preserve">positive trends, </w:t>
      </w:r>
      <w:r w:rsidRPr="00C91EA2">
        <w:rPr>
          <w:rFonts w:ascii="Times New Roman" w:eastAsia="Times New Roman" w:hAnsi="Times New Roman" w:cs="Times New Roman"/>
        </w:rPr>
        <w:t>growth in agriculture has been volatile, and productivity gains scarce, despite the high potential of the sector and its important share of jobs. Furthermore, the country does not take full advantage of existing infrastructure. This is the case</w:t>
      </w:r>
      <w:r>
        <w:rPr>
          <w:rFonts w:ascii="Times New Roman" w:eastAsia="Times New Roman" w:hAnsi="Times New Roman" w:cs="Times New Roman"/>
        </w:rPr>
        <w:t xml:space="preserve"> </w:t>
      </w:r>
      <w:r w:rsidRPr="00C91EA2">
        <w:rPr>
          <w:rFonts w:ascii="Times New Roman" w:eastAsia="Times New Roman" w:hAnsi="Times New Roman" w:cs="Times New Roman"/>
        </w:rPr>
        <w:t xml:space="preserve">of the </w:t>
      </w:r>
      <w:r w:rsidR="0026120A">
        <w:rPr>
          <w:rFonts w:ascii="Times New Roman" w:eastAsia="Times New Roman" w:hAnsi="Times New Roman" w:cs="Times New Roman"/>
        </w:rPr>
        <w:t>information and communications technology (</w:t>
      </w:r>
      <w:r w:rsidRPr="00C91EA2">
        <w:rPr>
          <w:rFonts w:ascii="Times New Roman" w:eastAsia="Times New Roman" w:hAnsi="Times New Roman" w:cs="Times New Roman"/>
        </w:rPr>
        <w:t>ICT</w:t>
      </w:r>
      <w:r w:rsidR="0026120A">
        <w:rPr>
          <w:rFonts w:ascii="Times New Roman" w:eastAsia="Times New Roman" w:hAnsi="Times New Roman" w:cs="Times New Roman"/>
        </w:rPr>
        <w:t>)</w:t>
      </w:r>
      <w:r w:rsidRPr="00C91EA2">
        <w:rPr>
          <w:rFonts w:ascii="Times New Roman" w:eastAsia="Times New Roman" w:hAnsi="Times New Roman" w:cs="Times New Roman"/>
        </w:rPr>
        <w:t xml:space="preserve"> infrastructure, including the optic fiber network. </w:t>
      </w:r>
      <w:r>
        <w:rPr>
          <w:rFonts w:ascii="Times New Roman" w:eastAsia="Times New Roman" w:hAnsi="Times New Roman" w:cs="Times New Roman"/>
        </w:rPr>
        <w:t>A</w:t>
      </w:r>
      <w:r w:rsidRPr="00C91EA2">
        <w:rPr>
          <w:rFonts w:ascii="Times New Roman" w:eastAsia="Times New Roman" w:hAnsi="Times New Roman" w:cs="Times New Roman"/>
        </w:rPr>
        <w:t xml:space="preserve"> key challenge for Senegal is to</w:t>
      </w:r>
      <w:r w:rsidRPr="00C91EA2">
        <w:rPr>
          <w:rFonts w:ascii="Times New Roman" w:eastAsia="Times New Roman" w:hAnsi="Times New Roman" w:cs="Times New Roman"/>
          <w:b/>
        </w:rPr>
        <w:t xml:space="preserve"> </w:t>
      </w:r>
      <w:r w:rsidRPr="00C91EA2">
        <w:rPr>
          <w:rFonts w:ascii="Times New Roman" w:eastAsia="Times New Roman" w:hAnsi="Times New Roman" w:cs="Times New Roman"/>
        </w:rPr>
        <w:t>undertake</w:t>
      </w:r>
      <w:r w:rsidRPr="00C91EA2">
        <w:rPr>
          <w:rFonts w:ascii="Times New Roman" w:eastAsia="Times New Roman" w:hAnsi="Times New Roman" w:cs="Times New Roman"/>
          <w:b/>
        </w:rPr>
        <w:t xml:space="preserve"> </w:t>
      </w:r>
      <w:r w:rsidRPr="00C91EA2">
        <w:rPr>
          <w:rFonts w:ascii="Times New Roman" w:eastAsia="Times New Roman" w:hAnsi="Times New Roman" w:cs="Times New Roman"/>
        </w:rPr>
        <w:t xml:space="preserve">structural reforms to reduce its vulnerability to exogenous shocks, foster economic diversification, </w:t>
      </w:r>
      <w:r w:rsidR="00AF6BF1">
        <w:rPr>
          <w:rFonts w:ascii="Times New Roman" w:eastAsia="Times New Roman" w:hAnsi="Times New Roman" w:cs="Times New Roman"/>
        </w:rPr>
        <w:t xml:space="preserve">and </w:t>
      </w:r>
      <w:r w:rsidRPr="00C91EA2">
        <w:rPr>
          <w:rFonts w:ascii="Times New Roman" w:eastAsia="Times New Roman" w:hAnsi="Times New Roman" w:cs="Times New Roman"/>
        </w:rPr>
        <w:t>translate sustained economic growth into job creation and a reduction in extreme poverty.</w:t>
      </w:r>
      <w:r w:rsidRPr="00C91EA2">
        <w:rPr>
          <w:rStyle w:val="FootnoteReference"/>
          <w:rFonts w:ascii="Times New Roman" w:eastAsia="Times New Roman" w:hAnsi="Times New Roman" w:cs="Times New Roman"/>
        </w:rPr>
        <w:footnoteReference w:id="2"/>
      </w:r>
      <w:r>
        <w:rPr>
          <w:rFonts w:ascii="Times New Roman" w:eastAsia="Times New Roman" w:hAnsi="Times New Roman" w:cs="Times New Roman"/>
        </w:rPr>
        <w:t xml:space="preserve"> </w:t>
      </w:r>
      <w:r w:rsidRPr="00C91EA2">
        <w:rPr>
          <w:rFonts w:ascii="Times New Roman" w:hAnsi="Times New Roman" w:cs="Times New Roman"/>
        </w:rPr>
        <w:t>In a recent growth diagnostic,</w:t>
      </w:r>
      <w:r w:rsidRPr="00C91EA2">
        <w:rPr>
          <w:rStyle w:val="FootnoteReference"/>
          <w:rFonts w:ascii="Times New Roman" w:hAnsi="Times New Roman" w:cs="Times New Roman"/>
        </w:rPr>
        <w:footnoteReference w:id="3"/>
      </w:r>
      <w:r w:rsidRPr="00C91EA2">
        <w:rPr>
          <w:rFonts w:ascii="Times New Roman" w:hAnsi="Times New Roman" w:cs="Times New Roman"/>
        </w:rPr>
        <w:t xml:space="preserve"> the Millennium Challenge Corporation (MCC) identified micro</w:t>
      </w:r>
      <w:r>
        <w:rPr>
          <w:rFonts w:ascii="Times New Roman" w:hAnsi="Times New Roman" w:cs="Times New Roman"/>
        </w:rPr>
        <w:t>economic</w:t>
      </w:r>
      <w:r w:rsidRPr="00C91EA2">
        <w:rPr>
          <w:rFonts w:ascii="Times New Roman" w:hAnsi="Times New Roman" w:cs="Times New Roman"/>
        </w:rPr>
        <w:t xml:space="preserve"> risks, </w:t>
      </w:r>
      <w:r>
        <w:rPr>
          <w:rFonts w:ascii="Times New Roman" w:hAnsi="Times New Roman" w:cs="Times New Roman"/>
        </w:rPr>
        <w:t>such as</w:t>
      </w:r>
      <w:r w:rsidRPr="00C91EA2">
        <w:rPr>
          <w:rFonts w:ascii="Times New Roman" w:hAnsi="Times New Roman" w:cs="Times New Roman"/>
        </w:rPr>
        <w:t xml:space="preserve"> unpredictable and inefficient regulatory environment, </w:t>
      </w:r>
      <w:r>
        <w:rPr>
          <w:rFonts w:ascii="Times New Roman" w:hAnsi="Times New Roman" w:cs="Times New Roman"/>
        </w:rPr>
        <w:t xml:space="preserve">among other </w:t>
      </w:r>
      <w:r w:rsidRPr="00C91EA2">
        <w:rPr>
          <w:rFonts w:ascii="Times New Roman" w:hAnsi="Times New Roman" w:cs="Times New Roman"/>
        </w:rPr>
        <w:t>constraints to growth.</w:t>
      </w:r>
      <w:r w:rsidRPr="00C91EA2">
        <w:rPr>
          <w:rStyle w:val="FootnoteReference"/>
          <w:rFonts w:ascii="Times New Roman" w:hAnsi="Times New Roman" w:cs="Times New Roman"/>
        </w:rPr>
        <w:footnoteReference w:id="4"/>
      </w:r>
      <w:r w:rsidRPr="00C91EA2">
        <w:rPr>
          <w:rFonts w:ascii="Times New Roman" w:hAnsi="Times New Roman" w:cs="Times New Roman"/>
        </w:rPr>
        <w:t xml:space="preserve"> In its article IV review, the IMF warned that “for growth to be sustained, further reforms are needed to improve the business environment and create economic space for private domestic and foreign investment.”</w:t>
      </w:r>
      <w:r w:rsidRPr="00C91EA2">
        <w:rPr>
          <w:rStyle w:val="FootnoteReference"/>
          <w:rFonts w:ascii="Times New Roman" w:hAnsi="Times New Roman" w:cs="Times New Roman"/>
        </w:rPr>
        <w:footnoteReference w:id="5"/>
      </w:r>
      <w:r w:rsidRPr="00C91EA2">
        <w:rPr>
          <w:rFonts w:ascii="Times New Roman" w:hAnsi="Times New Roman" w:cs="Times New Roman"/>
        </w:rPr>
        <w:t xml:space="preserve"> </w:t>
      </w:r>
    </w:p>
    <w:p w14:paraId="18C91D0F" w14:textId="338D06E1" w:rsidR="008E2734" w:rsidRDefault="008E2734" w:rsidP="002D1818">
      <w:pPr>
        <w:jc w:val="both"/>
        <w:rPr>
          <w:rFonts w:ascii="Times New Roman" w:hAnsi="Times New Roman" w:cs="Times New Roman"/>
        </w:rPr>
      </w:pPr>
    </w:p>
    <w:p w14:paraId="766C9088" w14:textId="557B0258" w:rsidR="002D1818" w:rsidRPr="00A350A5" w:rsidRDefault="002D1818" w:rsidP="007575D7">
      <w:pPr>
        <w:pStyle w:val="ListParagraph"/>
        <w:ind w:left="0"/>
        <w:jc w:val="both"/>
        <w:rPr>
          <w:rFonts w:ascii="Times New Roman" w:hAnsi="Times New Roman" w:cs="Times New Roman"/>
          <w:bCs/>
        </w:rPr>
      </w:pPr>
      <w:r w:rsidRPr="003E51C0">
        <w:rPr>
          <w:rFonts w:ascii="Times New Roman" w:hAnsi="Times New Roman" w:cs="Times New Roman"/>
          <w:b/>
        </w:rPr>
        <w:t>Guided by the World Bank</w:t>
      </w:r>
      <w:r w:rsidR="00DD4EF3">
        <w:rPr>
          <w:rFonts w:ascii="Times New Roman" w:hAnsi="Times New Roman" w:cs="Times New Roman"/>
          <w:b/>
        </w:rPr>
        <w:t xml:space="preserve"> Group</w:t>
      </w:r>
      <w:r w:rsidRPr="003E51C0">
        <w:rPr>
          <w:rFonts w:ascii="Times New Roman" w:hAnsi="Times New Roman" w:cs="Times New Roman"/>
          <w:b/>
        </w:rPr>
        <w:t>’s Markets and Competition Policy Assessment Toolkit (</w:t>
      </w:r>
      <w:r w:rsidRPr="002926ED">
        <w:rPr>
          <w:rFonts w:ascii="Times New Roman" w:hAnsi="Times New Roman" w:cs="Times New Roman"/>
          <w:b/>
        </w:rPr>
        <w:t>MCPAT)</w:t>
      </w:r>
      <w:r w:rsidR="00310FBE" w:rsidRPr="002926ED">
        <w:rPr>
          <w:rFonts w:ascii="Times New Roman" w:hAnsi="Times New Roman" w:cs="Times New Roman"/>
          <w:b/>
        </w:rPr>
        <w:t xml:space="preserve"> (Box 1)</w:t>
      </w:r>
      <w:r w:rsidR="00236562" w:rsidRPr="002926ED">
        <w:rPr>
          <w:rFonts w:ascii="Times New Roman" w:hAnsi="Times New Roman" w:cs="Times New Roman"/>
          <w:b/>
        </w:rPr>
        <w:t>,</w:t>
      </w:r>
      <w:r w:rsidRPr="002926ED">
        <w:rPr>
          <w:rFonts w:ascii="Times New Roman" w:hAnsi="Times New Roman" w:cs="Times New Roman"/>
          <w:b/>
        </w:rPr>
        <w:t xml:space="preserve"> this assessment aims </w:t>
      </w:r>
      <w:r w:rsidR="00E56269" w:rsidRPr="005538DD">
        <w:rPr>
          <w:rFonts w:ascii="Times New Roman" w:hAnsi="Times New Roman" w:cs="Times New Roman"/>
          <w:b/>
        </w:rPr>
        <w:t>to respond</w:t>
      </w:r>
      <w:r w:rsidRPr="005538DD">
        <w:rPr>
          <w:rFonts w:ascii="Times New Roman" w:hAnsi="Times New Roman" w:cs="Times New Roman"/>
          <w:b/>
        </w:rPr>
        <w:t xml:space="preserve"> to the country’s </w:t>
      </w:r>
      <w:r w:rsidR="00695682" w:rsidRPr="00C71560">
        <w:rPr>
          <w:rFonts w:ascii="Times New Roman" w:hAnsi="Times New Roman" w:cs="Times New Roman"/>
          <w:b/>
        </w:rPr>
        <w:t xml:space="preserve">microeconomic </w:t>
      </w:r>
      <w:r w:rsidRPr="00C71560">
        <w:rPr>
          <w:rFonts w:ascii="Times New Roman" w:hAnsi="Times New Roman" w:cs="Times New Roman"/>
          <w:b/>
        </w:rPr>
        <w:t>reform needs</w:t>
      </w:r>
      <w:r w:rsidRPr="00C71560">
        <w:rPr>
          <w:rFonts w:ascii="Times New Roman" w:hAnsi="Times New Roman" w:cs="Times New Roman"/>
        </w:rPr>
        <w:t xml:space="preserve"> </w:t>
      </w:r>
      <w:r w:rsidRPr="007575D7">
        <w:rPr>
          <w:rFonts w:ascii="Times New Roman" w:hAnsi="Times New Roman" w:cs="Times New Roman"/>
          <w:b/>
        </w:rPr>
        <w:t xml:space="preserve">and </w:t>
      </w:r>
      <w:r w:rsidR="00FA09FE" w:rsidRPr="007575D7">
        <w:rPr>
          <w:rFonts w:ascii="Times New Roman" w:hAnsi="Times New Roman" w:cs="Times New Roman"/>
          <w:b/>
        </w:rPr>
        <w:t>to i</w:t>
      </w:r>
      <w:r w:rsidR="00E56269" w:rsidRPr="007575D7">
        <w:rPr>
          <w:rFonts w:ascii="Times New Roman" w:hAnsi="Times New Roman" w:cs="Times New Roman"/>
          <w:b/>
        </w:rPr>
        <w:t xml:space="preserve">dentify </w:t>
      </w:r>
      <w:r w:rsidRPr="007575D7">
        <w:rPr>
          <w:rFonts w:ascii="Times New Roman" w:hAnsi="Times New Roman" w:cs="Times New Roman"/>
          <w:b/>
        </w:rPr>
        <w:t>actionable pro-competition solutions to enhanc</w:t>
      </w:r>
      <w:r w:rsidR="00E56269" w:rsidRPr="007575D7">
        <w:rPr>
          <w:rFonts w:ascii="Times New Roman" w:hAnsi="Times New Roman" w:cs="Times New Roman"/>
          <w:b/>
        </w:rPr>
        <w:t>e</w:t>
      </w:r>
      <w:r w:rsidRPr="007575D7">
        <w:rPr>
          <w:rFonts w:ascii="Times New Roman" w:hAnsi="Times New Roman" w:cs="Times New Roman"/>
          <w:b/>
        </w:rPr>
        <w:t xml:space="preserve"> </w:t>
      </w:r>
      <w:r w:rsidR="00E56269" w:rsidRPr="007575D7">
        <w:rPr>
          <w:rFonts w:ascii="Times New Roman" w:hAnsi="Times New Roman" w:cs="Times New Roman"/>
          <w:b/>
        </w:rPr>
        <w:t xml:space="preserve">the </w:t>
      </w:r>
      <w:r w:rsidRPr="007575D7">
        <w:rPr>
          <w:rFonts w:ascii="Times New Roman" w:hAnsi="Times New Roman" w:cs="Times New Roman"/>
          <w:b/>
        </w:rPr>
        <w:t xml:space="preserve">results of ongoing </w:t>
      </w:r>
      <w:r w:rsidR="003B24ED" w:rsidRPr="007575D7">
        <w:rPr>
          <w:rFonts w:ascii="Times New Roman" w:hAnsi="Times New Roman" w:cs="Times New Roman"/>
          <w:b/>
        </w:rPr>
        <w:t>Government</w:t>
      </w:r>
      <w:r w:rsidR="001A549E" w:rsidRPr="007575D7">
        <w:rPr>
          <w:rFonts w:ascii="Times New Roman" w:hAnsi="Times New Roman" w:cs="Times New Roman"/>
          <w:b/>
        </w:rPr>
        <w:t xml:space="preserve"> </w:t>
      </w:r>
      <w:r w:rsidRPr="007575D7">
        <w:rPr>
          <w:rFonts w:ascii="Times New Roman" w:hAnsi="Times New Roman" w:cs="Times New Roman"/>
          <w:b/>
        </w:rPr>
        <w:t>initiatives</w:t>
      </w:r>
      <w:r w:rsidRPr="002926ED">
        <w:rPr>
          <w:rFonts w:ascii="Times New Roman" w:hAnsi="Times New Roman" w:cs="Times New Roman"/>
        </w:rPr>
        <w:t xml:space="preserve">. </w:t>
      </w:r>
      <w:proofErr w:type="gramStart"/>
      <w:r w:rsidR="00BC5E69" w:rsidRPr="002926ED">
        <w:rPr>
          <w:rFonts w:ascii="Times New Roman" w:hAnsi="Times New Roman" w:cs="Times New Roman"/>
        </w:rPr>
        <w:t xml:space="preserve">In particular, </w:t>
      </w:r>
      <w:r w:rsidR="00BC5E69" w:rsidRPr="002926ED">
        <w:rPr>
          <w:rFonts w:ascii="Times New Roman" w:hAnsi="Times New Roman" w:cs="Times New Roman"/>
          <w:bCs/>
        </w:rPr>
        <w:t>t</w:t>
      </w:r>
      <w:r w:rsidR="00A350A5" w:rsidRPr="007575D7">
        <w:rPr>
          <w:rFonts w:ascii="Times New Roman" w:hAnsi="Times New Roman" w:cs="Times New Roman"/>
          <w:bCs/>
        </w:rPr>
        <w:t>his</w:t>
      </w:r>
      <w:proofErr w:type="gramEnd"/>
      <w:r w:rsidR="00A350A5" w:rsidRPr="007575D7">
        <w:rPr>
          <w:rFonts w:ascii="Times New Roman" w:hAnsi="Times New Roman" w:cs="Times New Roman"/>
          <w:bCs/>
        </w:rPr>
        <w:t xml:space="preserve"> report reviews the status of competition policies and their effectiveness in promoting functioning markets and </w:t>
      </w:r>
      <w:r w:rsidR="00290D57">
        <w:rPr>
          <w:rFonts w:ascii="Times New Roman" w:hAnsi="Times New Roman" w:cs="Times New Roman"/>
          <w:bCs/>
        </w:rPr>
        <w:t xml:space="preserve">a </w:t>
      </w:r>
      <w:r w:rsidR="00A350A5" w:rsidRPr="007575D7">
        <w:rPr>
          <w:rFonts w:ascii="Times New Roman" w:hAnsi="Times New Roman" w:cs="Times New Roman"/>
          <w:bCs/>
        </w:rPr>
        <w:t>more efficient resource allocation in Senegal</w:t>
      </w:r>
      <w:r w:rsidR="00A350A5" w:rsidRPr="00CF0B9A">
        <w:rPr>
          <w:rFonts w:ascii="Times New Roman" w:hAnsi="Times New Roman" w:cs="Times New Roman"/>
          <w:bCs/>
        </w:rPr>
        <w:t xml:space="preserve">. It provides insights into the restrictiveness of Government regulations and policies that affect product markets across the economy and in two selected sectors </w:t>
      </w:r>
      <w:r w:rsidR="00A350A5">
        <w:rPr>
          <w:rFonts w:ascii="Times New Roman" w:hAnsi="Times New Roman" w:cs="Times New Roman"/>
          <w:bCs/>
        </w:rPr>
        <w:t xml:space="preserve">- </w:t>
      </w:r>
      <w:r w:rsidR="00A350A5" w:rsidRPr="00CF0B9A">
        <w:rPr>
          <w:rFonts w:ascii="Times New Roman" w:hAnsi="Times New Roman" w:cs="Times New Roman"/>
          <w:bCs/>
        </w:rPr>
        <w:t>groundnut and telecommunications sectors</w:t>
      </w:r>
      <w:r w:rsidR="00A350A5">
        <w:rPr>
          <w:rFonts w:ascii="Times New Roman" w:hAnsi="Times New Roman" w:cs="Times New Roman"/>
          <w:bCs/>
        </w:rPr>
        <w:t xml:space="preserve"> -</w:t>
      </w:r>
      <w:r w:rsidR="00A350A5" w:rsidRPr="00CF0B9A">
        <w:rPr>
          <w:rFonts w:ascii="Times New Roman" w:hAnsi="Times New Roman" w:cs="Times New Roman"/>
          <w:bCs/>
        </w:rPr>
        <w:t xml:space="preserve"> </w:t>
      </w:r>
      <w:r w:rsidR="00EF6D96" w:rsidRPr="00CF0B9A">
        <w:rPr>
          <w:rFonts w:ascii="Times New Roman" w:hAnsi="Times New Roman" w:cs="Times New Roman"/>
          <w:bCs/>
        </w:rPr>
        <w:t>and</w:t>
      </w:r>
      <w:r w:rsidR="00A350A5" w:rsidRPr="00CF0B9A">
        <w:rPr>
          <w:rFonts w:ascii="Times New Roman" w:hAnsi="Times New Roman" w:cs="Times New Roman"/>
          <w:bCs/>
        </w:rPr>
        <w:t xml:space="preserve"> into the effectiveness of the competition and antitrust framework. </w:t>
      </w:r>
      <w:r w:rsidR="00A350A5" w:rsidRPr="00C91EA2">
        <w:rPr>
          <w:rFonts w:ascii="Times New Roman" w:eastAsia="Times New Roman" w:hAnsi="Times New Roman" w:cs="Times New Roman"/>
          <w:bCs/>
          <w:lang w:val="en-GB"/>
        </w:rPr>
        <w:t xml:space="preserve">Greater competition </w:t>
      </w:r>
      <w:r w:rsidR="00A350A5">
        <w:rPr>
          <w:rFonts w:ascii="Times New Roman" w:eastAsia="Times New Roman" w:hAnsi="Times New Roman" w:cs="Times New Roman"/>
          <w:bCs/>
          <w:lang w:val="en-GB"/>
        </w:rPr>
        <w:t xml:space="preserve">can be </w:t>
      </w:r>
      <w:r w:rsidR="00A350A5" w:rsidRPr="00C91EA2">
        <w:rPr>
          <w:rFonts w:ascii="Times New Roman" w:eastAsia="Times New Roman" w:hAnsi="Times New Roman" w:cs="Times New Roman"/>
          <w:bCs/>
          <w:lang w:val="en-GB"/>
        </w:rPr>
        <w:t xml:space="preserve">enabled through a comprehensive competition policy framework that includes a set of policies and laws ensuring </w:t>
      </w:r>
      <w:r w:rsidR="00A350A5">
        <w:rPr>
          <w:rFonts w:ascii="Times New Roman" w:eastAsia="Times New Roman" w:hAnsi="Times New Roman" w:cs="Times New Roman"/>
          <w:bCs/>
          <w:lang w:val="en-GB"/>
        </w:rPr>
        <w:t xml:space="preserve">that </w:t>
      </w:r>
      <w:r w:rsidR="00A350A5" w:rsidRPr="00C91EA2">
        <w:rPr>
          <w:rFonts w:ascii="Times New Roman" w:eastAsia="Times New Roman" w:hAnsi="Times New Roman" w:cs="Times New Roman"/>
          <w:bCs/>
          <w:lang w:val="en-GB"/>
        </w:rPr>
        <w:t>competition in the marketplace is not restricted in such a way as to reduce economic welfare.</w:t>
      </w:r>
      <w:r w:rsidR="00A350A5" w:rsidRPr="00C91EA2">
        <w:rPr>
          <w:rFonts w:ascii="Times New Roman" w:eastAsia="Times New Roman" w:hAnsi="Times New Roman" w:cs="Times New Roman"/>
          <w:bCs/>
          <w:vertAlign w:val="superscript"/>
          <w:lang w:val="en-GB"/>
        </w:rPr>
        <w:footnoteReference w:id="6"/>
      </w:r>
    </w:p>
    <w:p w14:paraId="3DF19835" w14:textId="77777777" w:rsidR="00D87561" w:rsidRDefault="00D87561" w:rsidP="002D1818">
      <w:pPr>
        <w:jc w:val="both"/>
        <w:rPr>
          <w:rFonts w:ascii="Times New Roman" w:hAnsi="Times New Roman" w:cs="Times New Roman"/>
        </w:rPr>
      </w:pPr>
    </w:p>
    <w:p w14:paraId="6A0925E0" w14:textId="4F045FED" w:rsidR="009547FF" w:rsidRPr="007575D7" w:rsidRDefault="009547FF" w:rsidP="007575D7">
      <w:pPr>
        <w:pStyle w:val="Caption"/>
        <w:keepNext/>
        <w:rPr>
          <w:rFonts w:ascii="Times New Roman" w:hAnsi="Times New Roman"/>
        </w:rPr>
      </w:pPr>
      <w:bookmarkStart w:id="14" w:name="_Toc520725789"/>
      <w:r w:rsidRPr="007575D7">
        <w:rPr>
          <w:rFonts w:ascii="Times New Roman" w:hAnsi="Times New Roman"/>
        </w:rPr>
        <w:t xml:space="preserve">Box </w:t>
      </w:r>
      <w:r w:rsidRPr="007575D7">
        <w:rPr>
          <w:rFonts w:ascii="Times New Roman" w:hAnsi="Times New Roman"/>
        </w:rPr>
        <w:fldChar w:fldCharType="begin"/>
      </w:r>
      <w:r w:rsidRPr="007575D7">
        <w:rPr>
          <w:rFonts w:ascii="Times New Roman" w:hAnsi="Times New Roman"/>
        </w:rPr>
        <w:instrText xml:space="preserve"> SEQ Box \* ARABIC </w:instrText>
      </w:r>
      <w:r w:rsidRPr="007575D7">
        <w:rPr>
          <w:rFonts w:ascii="Times New Roman" w:hAnsi="Times New Roman"/>
        </w:rPr>
        <w:fldChar w:fldCharType="separate"/>
      </w:r>
      <w:r w:rsidR="008261B2">
        <w:rPr>
          <w:rFonts w:ascii="Times New Roman" w:hAnsi="Times New Roman"/>
          <w:noProof/>
        </w:rPr>
        <w:t>1</w:t>
      </w:r>
      <w:r w:rsidRPr="007575D7">
        <w:rPr>
          <w:rFonts w:ascii="Times New Roman" w:hAnsi="Times New Roman"/>
        </w:rPr>
        <w:fldChar w:fldCharType="end"/>
      </w:r>
      <w:r w:rsidRPr="007575D7">
        <w:rPr>
          <w:rFonts w:ascii="Times New Roman" w:hAnsi="Times New Roman"/>
        </w:rPr>
        <w:t xml:space="preserve">: </w:t>
      </w:r>
      <w:r w:rsidRPr="00290D57">
        <w:rPr>
          <w:rFonts w:ascii="Times New Roman" w:hAnsi="Times New Roman"/>
        </w:rPr>
        <w:t>The World Bank Market and Competition Policy Assessment Tool (MCPAT)</w:t>
      </w:r>
      <w:bookmarkEnd w:id="14"/>
    </w:p>
    <w:tbl>
      <w:tblPr>
        <w:tblStyle w:val="TableGrid"/>
        <w:tblW w:w="5000" w:type="pct"/>
        <w:shd w:val="clear" w:color="auto" w:fill="F2F2F2" w:themeFill="background1" w:themeFillShade="F2"/>
        <w:tblLook w:val="04A0" w:firstRow="1" w:lastRow="0" w:firstColumn="1" w:lastColumn="0" w:noHBand="0" w:noVBand="1"/>
      </w:tblPr>
      <w:tblGrid>
        <w:gridCol w:w="8290"/>
      </w:tblGrid>
      <w:tr w:rsidR="00D87561" w:rsidRPr="00C91EA2" w14:paraId="533547FD" w14:textId="77777777" w:rsidTr="007575D7">
        <w:trPr>
          <w:trHeight w:val="710"/>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DEF36C" w14:textId="3CCCC177" w:rsidR="00D87561" w:rsidRPr="00C91EA2" w:rsidRDefault="00D87561" w:rsidP="00FC35F9">
            <w:pPr>
              <w:jc w:val="both"/>
              <w:rPr>
                <w:rFonts w:ascii="Times New Roman" w:hAnsi="Times New Roman" w:cs="Times New Roman"/>
                <w:sz w:val="20"/>
              </w:rPr>
            </w:pPr>
            <w:r w:rsidRPr="00C91EA2">
              <w:rPr>
                <w:rFonts w:ascii="Times New Roman" w:hAnsi="Times New Roman" w:cs="Times New Roman"/>
                <w:sz w:val="20"/>
              </w:rPr>
              <w:t>The MCPAT is a methodological instrument of analysis developed by the W</w:t>
            </w:r>
            <w:r w:rsidR="00310FBE">
              <w:rPr>
                <w:rFonts w:ascii="Times New Roman" w:hAnsi="Times New Roman" w:cs="Times New Roman"/>
                <w:sz w:val="20"/>
              </w:rPr>
              <w:t xml:space="preserve">orld Bank Group (WBG) Markets and </w:t>
            </w:r>
            <w:r w:rsidRPr="00C91EA2">
              <w:rPr>
                <w:rFonts w:ascii="Times New Roman" w:hAnsi="Times New Roman" w:cs="Times New Roman"/>
                <w:sz w:val="20"/>
              </w:rPr>
              <w:t xml:space="preserve">Competition Policy </w:t>
            </w:r>
            <w:r w:rsidR="00310FBE">
              <w:rPr>
                <w:rFonts w:ascii="Times New Roman" w:hAnsi="Times New Roman" w:cs="Times New Roman"/>
                <w:sz w:val="20"/>
              </w:rPr>
              <w:t>team</w:t>
            </w:r>
            <w:r w:rsidR="00310FBE" w:rsidRPr="00C91EA2">
              <w:rPr>
                <w:rFonts w:ascii="Times New Roman" w:hAnsi="Times New Roman" w:cs="Times New Roman"/>
                <w:sz w:val="20"/>
              </w:rPr>
              <w:t xml:space="preserve"> </w:t>
            </w:r>
            <w:r w:rsidRPr="00C91EA2">
              <w:rPr>
                <w:rFonts w:ascii="Times New Roman" w:hAnsi="Times New Roman" w:cs="Times New Roman"/>
                <w:sz w:val="20"/>
              </w:rPr>
              <w:t xml:space="preserve">to identify specific problems at the market level and prioritize competition tools accordingly—markets to be prioritized as well as the tools vary by country – and in some cases, complement each other. Having a practical nature and a focus on implementation, this methodology has been developed based primarily on the experience of the WBG </w:t>
            </w:r>
            <w:r w:rsidR="00310FBE">
              <w:rPr>
                <w:rFonts w:ascii="Times New Roman" w:hAnsi="Times New Roman" w:cs="Times New Roman"/>
                <w:sz w:val="20"/>
              </w:rPr>
              <w:t xml:space="preserve">Markets and </w:t>
            </w:r>
            <w:r w:rsidRPr="00C91EA2">
              <w:rPr>
                <w:rFonts w:ascii="Times New Roman" w:hAnsi="Times New Roman" w:cs="Times New Roman"/>
                <w:sz w:val="20"/>
              </w:rPr>
              <w:t xml:space="preserve">Competition Policy </w:t>
            </w:r>
            <w:r w:rsidR="00310FBE">
              <w:rPr>
                <w:rFonts w:ascii="Times New Roman" w:hAnsi="Times New Roman" w:cs="Times New Roman"/>
                <w:sz w:val="20"/>
              </w:rPr>
              <w:t>team</w:t>
            </w:r>
            <w:r w:rsidR="00310FBE" w:rsidRPr="00C91EA2">
              <w:rPr>
                <w:rFonts w:ascii="Times New Roman" w:hAnsi="Times New Roman" w:cs="Times New Roman"/>
                <w:sz w:val="20"/>
              </w:rPr>
              <w:t xml:space="preserve"> </w:t>
            </w:r>
            <w:r w:rsidRPr="00C91EA2">
              <w:rPr>
                <w:rFonts w:ascii="Times New Roman" w:hAnsi="Times New Roman" w:cs="Times New Roman"/>
                <w:sz w:val="20"/>
              </w:rPr>
              <w:t xml:space="preserve">implementing pro-competitive reforms in more than 45 developing countries. Therefore, The MCPAT provides a standardized and comprehensive tool with which to understand i) competition dynamics created by market feature (including supply-side characteristics and buyer characteristics) and ii) identify and assess the potential anticompetitive effects of government intervention in markets. The interaction between these two elements can then be analyzed to determine the risk of anticompetitive behavior, both in terms of collusion and exclusionary abuse of dominance. </w:t>
            </w:r>
          </w:p>
          <w:p w14:paraId="342D5F0F" w14:textId="77777777" w:rsidR="00D87561" w:rsidRPr="00C91EA2" w:rsidRDefault="00D87561" w:rsidP="00FC35F9">
            <w:pPr>
              <w:jc w:val="both"/>
              <w:rPr>
                <w:rFonts w:ascii="Times New Roman" w:hAnsi="Times New Roman" w:cs="Times New Roman"/>
                <w:sz w:val="20"/>
              </w:rPr>
            </w:pPr>
          </w:p>
          <w:p w14:paraId="4BA4A0C9" w14:textId="77777777" w:rsidR="00D87561" w:rsidRPr="00C91EA2" w:rsidRDefault="00D87561" w:rsidP="00FC35F9">
            <w:pPr>
              <w:jc w:val="both"/>
              <w:rPr>
                <w:rFonts w:ascii="Times New Roman" w:hAnsi="Times New Roman" w:cs="Times New Roman"/>
                <w:sz w:val="20"/>
              </w:rPr>
            </w:pPr>
            <w:r w:rsidRPr="00C91EA2">
              <w:rPr>
                <w:rFonts w:ascii="Times New Roman" w:hAnsi="Times New Roman" w:cs="Times New Roman"/>
                <w:sz w:val="20"/>
              </w:rPr>
              <w:t>This assessment can then inform the development and prioritization of effective strategies to promote competition through changes in policies, regulations, and rules.</w:t>
            </w:r>
          </w:p>
          <w:p w14:paraId="05B90CCD" w14:textId="77777777" w:rsidR="00D87561" w:rsidRPr="00C91EA2" w:rsidRDefault="00D87561" w:rsidP="00FC35F9">
            <w:pPr>
              <w:rPr>
                <w:rFonts w:ascii="Times New Roman" w:hAnsi="Times New Roman" w:cs="Times New Roman"/>
                <w:sz w:val="20"/>
              </w:rPr>
            </w:pPr>
          </w:p>
          <w:p w14:paraId="272CB66B" w14:textId="3A760C4E" w:rsidR="00D87561" w:rsidRPr="00C91EA2" w:rsidRDefault="00D87561" w:rsidP="00FC35F9">
            <w:pPr>
              <w:pStyle w:val="Caption"/>
              <w:jc w:val="center"/>
              <w:rPr>
                <w:rFonts w:ascii="Times New Roman" w:hAnsi="Times New Roman"/>
              </w:rPr>
            </w:pPr>
            <w:bookmarkStart w:id="15" w:name="_Toc520725557"/>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w:t>
            </w:r>
            <w:r w:rsidR="00D91B27">
              <w:rPr>
                <w:rFonts w:ascii="Times New Roman" w:hAnsi="Times New Roman"/>
              </w:rPr>
              <w:fldChar w:fldCharType="end"/>
            </w:r>
            <w:r w:rsidRPr="00C91EA2">
              <w:rPr>
                <w:rFonts w:ascii="Times New Roman" w:hAnsi="Times New Roman"/>
              </w:rPr>
              <w:t>: High level overview of the MCPAT approach</w:t>
            </w:r>
            <w:bookmarkEnd w:id="15"/>
          </w:p>
          <w:p w14:paraId="795EE535" w14:textId="77777777" w:rsidR="00D87561" w:rsidRPr="00C91EA2" w:rsidRDefault="00D87561" w:rsidP="00FC35F9">
            <w:pPr>
              <w:jc w:val="center"/>
              <w:rPr>
                <w:rFonts w:ascii="Times New Roman" w:hAnsi="Times New Roman" w:cs="Times New Roman"/>
                <w:sz w:val="20"/>
              </w:rPr>
            </w:pPr>
            <w:r w:rsidRPr="00C91EA2">
              <w:rPr>
                <w:rFonts w:ascii="Times New Roman" w:hAnsi="Times New Roman" w:cs="Times New Roman"/>
                <w:noProof/>
              </w:rPr>
              <w:drawing>
                <wp:inline distT="0" distB="0" distL="0" distR="0" wp14:anchorId="6CBD477A" wp14:editId="346C00B7">
                  <wp:extent cx="4667250" cy="3114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114675"/>
                          </a:xfrm>
                          <a:prstGeom prst="rect">
                            <a:avLst/>
                          </a:prstGeom>
                          <a:noFill/>
                          <a:ln>
                            <a:noFill/>
                          </a:ln>
                        </pic:spPr>
                      </pic:pic>
                    </a:graphicData>
                  </a:graphic>
                </wp:inline>
              </w:drawing>
            </w:r>
          </w:p>
          <w:p w14:paraId="488C2740" w14:textId="77777777" w:rsidR="00D87561" w:rsidRPr="00C91EA2" w:rsidRDefault="00D87561" w:rsidP="00FC35F9">
            <w:pPr>
              <w:jc w:val="center"/>
              <w:rPr>
                <w:rFonts w:ascii="Times New Roman" w:hAnsi="Times New Roman" w:cs="Times New Roman"/>
                <w:sz w:val="20"/>
              </w:rPr>
            </w:pPr>
          </w:p>
          <w:p w14:paraId="43CAABF9" w14:textId="286062EB" w:rsidR="00D87561" w:rsidRPr="00C91EA2" w:rsidRDefault="00D87561" w:rsidP="00FC35F9">
            <w:pPr>
              <w:jc w:val="both"/>
              <w:rPr>
                <w:rFonts w:ascii="Times New Roman" w:hAnsi="Times New Roman" w:cs="Times New Roman"/>
                <w:sz w:val="20"/>
              </w:rPr>
            </w:pPr>
            <w:r>
              <w:rPr>
                <w:rFonts w:ascii="Times New Roman" w:hAnsi="Times New Roman" w:cs="Times New Roman"/>
                <w:sz w:val="20"/>
              </w:rPr>
              <w:t>The</w:t>
            </w:r>
            <w:r w:rsidRPr="00C91EA2">
              <w:rPr>
                <w:rFonts w:ascii="Times New Roman" w:hAnsi="Times New Roman" w:cs="Times New Roman"/>
                <w:sz w:val="20"/>
              </w:rPr>
              <w:t xml:space="preserve"> MCPAT builds on the identification of those rules and regulations that may have anticompetitive effects </w:t>
            </w:r>
            <w:proofErr w:type="gramStart"/>
            <w:r w:rsidRPr="00C91EA2">
              <w:rPr>
                <w:rFonts w:ascii="Times New Roman" w:hAnsi="Times New Roman" w:cs="Times New Roman"/>
                <w:sz w:val="20"/>
              </w:rPr>
              <w:t>on the basis of</w:t>
            </w:r>
            <w:proofErr w:type="gramEnd"/>
            <w:r w:rsidRPr="00C91EA2">
              <w:rPr>
                <w:rFonts w:ascii="Times New Roman" w:hAnsi="Times New Roman" w:cs="Times New Roman"/>
                <w:sz w:val="20"/>
              </w:rPr>
              <w:t xml:space="preserve"> the following typology: </w:t>
            </w:r>
          </w:p>
          <w:p w14:paraId="5134549C" w14:textId="77777777" w:rsidR="00D87561" w:rsidRPr="00C91EA2" w:rsidRDefault="00D87561" w:rsidP="00FC35F9">
            <w:pPr>
              <w:jc w:val="both"/>
              <w:rPr>
                <w:rFonts w:ascii="Times New Roman" w:hAnsi="Times New Roman" w:cs="Times New Roman"/>
                <w:sz w:val="20"/>
              </w:rPr>
            </w:pPr>
            <w:r w:rsidRPr="00C91EA2">
              <w:rPr>
                <w:rFonts w:ascii="Times New Roman" w:hAnsi="Times New Roman" w:cs="Times New Roman"/>
                <w:sz w:val="20"/>
              </w:rPr>
              <w:t xml:space="preserve">(1) Rules that reinforce dominance or limit entry; </w:t>
            </w:r>
          </w:p>
          <w:p w14:paraId="5F9EC6C0" w14:textId="77777777" w:rsidR="00D87561" w:rsidRPr="00C91EA2" w:rsidRDefault="00D87561" w:rsidP="00FC35F9">
            <w:pPr>
              <w:jc w:val="both"/>
              <w:rPr>
                <w:rFonts w:ascii="Times New Roman" w:hAnsi="Times New Roman" w:cs="Times New Roman"/>
                <w:sz w:val="20"/>
              </w:rPr>
            </w:pPr>
            <w:r w:rsidRPr="00C91EA2">
              <w:rPr>
                <w:rFonts w:ascii="Times New Roman" w:hAnsi="Times New Roman" w:cs="Times New Roman"/>
                <w:sz w:val="20"/>
              </w:rPr>
              <w:t xml:space="preserve">(2) Rules that are conducive to collusive outcomes or increase costs to compete in the market; </w:t>
            </w:r>
          </w:p>
          <w:p w14:paraId="693BAB09" w14:textId="77777777" w:rsidR="00D87561" w:rsidRPr="00C91EA2" w:rsidRDefault="00D87561" w:rsidP="00FC35F9">
            <w:pPr>
              <w:jc w:val="both"/>
              <w:rPr>
                <w:rFonts w:ascii="Times New Roman" w:hAnsi="Times New Roman" w:cs="Times New Roman"/>
                <w:sz w:val="20"/>
              </w:rPr>
            </w:pPr>
            <w:r w:rsidRPr="00C91EA2">
              <w:rPr>
                <w:rFonts w:ascii="Times New Roman" w:hAnsi="Times New Roman" w:cs="Times New Roman"/>
                <w:sz w:val="20"/>
              </w:rPr>
              <w:t xml:space="preserve">(3) Rules that discriminate and protect vested interests. </w:t>
            </w:r>
          </w:p>
          <w:p w14:paraId="311D58B4" w14:textId="14BF89DF" w:rsidR="00D87561" w:rsidRPr="00C91EA2" w:rsidRDefault="00D87561" w:rsidP="00FC35F9">
            <w:pPr>
              <w:jc w:val="both"/>
              <w:rPr>
                <w:rFonts w:ascii="Times New Roman" w:hAnsi="Times New Roman" w:cs="Times New Roman"/>
                <w:sz w:val="20"/>
              </w:rPr>
            </w:pPr>
            <w:r w:rsidRPr="00C91EA2">
              <w:rPr>
                <w:rFonts w:ascii="Times New Roman" w:hAnsi="Times New Roman" w:cs="Times New Roman"/>
                <w:sz w:val="20"/>
              </w:rPr>
              <w:t>This typology feeds into a holistic step-by-step methodology to promote competition reforms.</w:t>
            </w:r>
          </w:p>
          <w:p w14:paraId="4DE0C276" w14:textId="77777777" w:rsidR="00D87561" w:rsidRDefault="00D87561" w:rsidP="00FC35F9"/>
          <w:p w14:paraId="4291173D" w14:textId="77777777" w:rsidR="00D87561" w:rsidRPr="00C91EA2" w:rsidRDefault="00D87561" w:rsidP="007575D7">
            <w:pPr>
              <w:keepNext/>
              <w:rPr>
                <w:rFonts w:ascii="Times New Roman" w:hAnsi="Times New Roman" w:cs="Times New Roman"/>
                <w:sz w:val="20"/>
              </w:rPr>
            </w:pPr>
            <w:r w:rsidRPr="00C91EA2">
              <w:rPr>
                <w:rFonts w:ascii="Times New Roman" w:hAnsi="Times New Roman" w:cs="Times New Roman"/>
                <w:i/>
                <w:sz w:val="20"/>
              </w:rPr>
              <w:t xml:space="preserve">Source: </w:t>
            </w:r>
            <w:r w:rsidRPr="00D55B7D">
              <w:rPr>
                <w:rFonts w:ascii="Times New Roman" w:hAnsi="Times New Roman" w:cs="Times New Roman"/>
                <w:i/>
                <w:sz w:val="20"/>
              </w:rPr>
              <w:t>World Bank Group’s Market and Competition Policy Assessment Toolkit</w:t>
            </w:r>
            <w:r w:rsidRPr="00C91EA2">
              <w:rPr>
                <w:rFonts w:ascii="Times New Roman" w:hAnsi="Times New Roman" w:cs="Times New Roman"/>
                <w:sz w:val="20"/>
              </w:rPr>
              <w:t xml:space="preserve"> </w:t>
            </w:r>
          </w:p>
        </w:tc>
      </w:tr>
    </w:tbl>
    <w:p w14:paraId="4511FEF0" w14:textId="77777777" w:rsidR="002D1818" w:rsidRDefault="002D1818" w:rsidP="002D1818">
      <w:pPr>
        <w:jc w:val="both"/>
        <w:rPr>
          <w:rFonts w:ascii="Times New Roman" w:hAnsi="Times New Roman" w:cs="Times New Roman"/>
          <w:b/>
        </w:rPr>
      </w:pPr>
    </w:p>
    <w:p w14:paraId="3DF2562F" w14:textId="77777777" w:rsidR="002D1818" w:rsidRPr="00C91EA2" w:rsidRDefault="002D1818" w:rsidP="002D1818">
      <w:pPr>
        <w:jc w:val="both"/>
        <w:rPr>
          <w:rFonts w:ascii="Times New Roman" w:hAnsi="Times New Roman" w:cs="Times New Roman"/>
        </w:rPr>
      </w:pPr>
    </w:p>
    <w:p w14:paraId="431C79C2" w14:textId="197D206B" w:rsidR="002D1818" w:rsidRPr="00C91EA2" w:rsidRDefault="002D1818" w:rsidP="007575D7">
      <w:pPr>
        <w:jc w:val="both"/>
        <w:rPr>
          <w:rFonts w:ascii="Times New Roman" w:hAnsi="Times New Roman" w:cs="Times New Roman"/>
        </w:rPr>
      </w:pPr>
    </w:p>
    <w:p w14:paraId="3677DF71" w14:textId="77777777" w:rsidR="002D1818" w:rsidRPr="00C91EA2" w:rsidRDefault="002D1818" w:rsidP="002D1818">
      <w:pPr>
        <w:pStyle w:val="ListParagraph"/>
        <w:autoSpaceDE w:val="0"/>
        <w:autoSpaceDN w:val="0"/>
        <w:spacing w:before="120" w:after="120"/>
        <w:ind w:left="0"/>
        <w:jc w:val="both"/>
        <w:rPr>
          <w:rFonts w:ascii="Times New Roman" w:hAnsi="Times New Roman" w:cs="Times New Roman"/>
        </w:rPr>
      </w:pPr>
    </w:p>
    <w:p w14:paraId="2FC3D555" w14:textId="77777777" w:rsidR="002D1818" w:rsidRPr="00473D61" w:rsidRDefault="00473D61" w:rsidP="002D1818">
      <w:pPr>
        <w:pStyle w:val="ListParagraph"/>
        <w:autoSpaceDE w:val="0"/>
        <w:autoSpaceDN w:val="0"/>
        <w:spacing w:before="120" w:after="120"/>
        <w:ind w:left="0"/>
        <w:jc w:val="both"/>
        <w:rPr>
          <w:rFonts w:ascii="Times New Roman" w:hAnsi="Times New Roman" w:cs="Times New Roman"/>
          <w:b/>
          <w:color w:val="548DD4" w:themeColor="text2" w:themeTint="99"/>
        </w:rPr>
      </w:pPr>
      <w:r>
        <w:rPr>
          <w:rFonts w:ascii="Times New Roman" w:hAnsi="Times New Roman" w:cs="Times New Roman"/>
          <w:b/>
          <w:color w:val="548DD4" w:themeColor="text2" w:themeTint="99"/>
        </w:rPr>
        <w:t>Senegal can benefit from tackling regulatory restriction</w:t>
      </w:r>
      <w:r w:rsidR="00331645">
        <w:rPr>
          <w:rFonts w:ascii="Times New Roman" w:hAnsi="Times New Roman" w:cs="Times New Roman"/>
          <w:b/>
          <w:color w:val="548DD4" w:themeColor="text2" w:themeTint="99"/>
        </w:rPr>
        <w:t>s</w:t>
      </w:r>
      <w:r>
        <w:rPr>
          <w:rFonts w:ascii="Times New Roman" w:hAnsi="Times New Roman" w:cs="Times New Roman"/>
          <w:b/>
          <w:color w:val="548DD4" w:themeColor="text2" w:themeTint="99"/>
        </w:rPr>
        <w:t xml:space="preserve"> to competition </w:t>
      </w:r>
    </w:p>
    <w:p w14:paraId="06DBEB35" w14:textId="77777777" w:rsidR="002D1818" w:rsidRDefault="002D1818" w:rsidP="002D1818">
      <w:pPr>
        <w:pStyle w:val="ListParagraph"/>
        <w:autoSpaceDE w:val="0"/>
        <w:autoSpaceDN w:val="0"/>
        <w:spacing w:before="120" w:after="120"/>
        <w:ind w:left="0"/>
        <w:jc w:val="both"/>
        <w:rPr>
          <w:rFonts w:ascii="Times New Roman" w:hAnsi="Times New Roman" w:cs="Times New Roman"/>
          <w:b/>
        </w:rPr>
      </w:pPr>
    </w:p>
    <w:p w14:paraId="3DDB151D" w14:textId="664F8DAC" w:rsidR="002D1818" w:rsidRDefault="002D1818" w:rsidP="002D1818">
      <w:pPr>
        <w:pStyle w:val="ListParagraph"/>
        <w:autoSpaceDE w:val="0"/>
        <w:autoSpaceDN w:val="0"/>
        <w:spacing w:before="120" w:after="120"/>
        <w:ind w:left="0"/>
        <w:jc w:val="both"/>
        <w:rPr>
          <w:rFonts w:ascii="Times New Roman" w:hAnsi="Times New Roman" w:cs="Times New Roman"/>
          <w:bCs/>
        </w:rPr>
      </w:pPr>
      <w:r>
        <w:rPr>
          <w:rFonts w:ascii="Times New Roman" w:hAnsi="Times New Roman" w:cs="Times New Roman"/>
          <w:b/>
        </w:rPr>
        <w:t xml:space="preserve">Newly </w:t>
      </w:r>
      <w:r w:rsidRPr="002926ED">
        <w:rPr>
          <w:rFonts w:ascii="Times New Roman" w:hAnsi="Times New Roman" w:cs="Times New Roman"/>
          <w:b/>
        </w:rPr>
        <w:t xml:space="preserve">collected data </w:t>
      </w:r>
      <w:r w:rsidR="00473D61" w:rsidRPr="002926ED">
        <w:rPr>
          <w:rFonts w:ascii="Times New Roman" w:hAnsi="Times New Roman" w:cs="Times New Roman"/>
          <w:b/>
        </w:rPr>
        <w:t xml:space="preserve">on the status of regulatory restrictiveness </w:t>
      </w:r>
      <w:r w:rsidR="00473D61" w:rsidRPr="002926ED">
        <w:rPr>
          <w:rFonts w:ascii="Times New Roman" w:hAnsi="Times New Roman" w:cs="Times New Roman"/>
          <w:b/>
          <w:bCs/>
        </w:rPr>
        <w:t>suggest</w:t>
      </w:r>
      <w:r w:rsidRPr="002926ED">
        <w:rPr>
          <w:rFonts w:ascii="Times New Roman" w:hAnsi="Times New Roman" w:cs="Times New Roman"/>
          <w:b/>
          <w:bCs/>
        </w:rPr>
        <w:t xml:space="preserve"> that significant constraints might be limiting competition in Senegal</w:t>
      </w:r>
      <w:r w:rsidRPr="005538DD">
        <w:rPr>
          <w:rFonts w:ascii="Times New Roman" w:hAnsi="Times New Roman" w:cs="Times New Roman"/>
          <w:bCs/>
        </w:rPr>
        <w:t xml:space="preserve">. </w:t>
      </w:r>
      <w:r w:rsidR="00473D61" w:rsidRPr="00C71560">
        <w:rPr>
          <w:rFonts w:ascii="Times New Roman" w:hAnsi="Times New Roman" w:cs="Times New Roman"/>
          <w:bCs/>
        </w:rPr>
        <w:t>Product Market Regulation (PMR)</w:t>
      </w:r>
      <w:r w:rsidR="00341AB0" w:rsidRPr="00D91B27">
        <w:rPr>
          <w:rFonts w:ascii="Times New Roman" w:hAnsi="Times New Roman" w:cs="Times New Roman"/>
          <w:bCs/>
        </w:rPr>
        <w:t xml:space="preserve"> methodology</w:t>
      </w:r>
      <w:r w:rsidR="0020661F" w:rsidRPr="00D91B27">
        <w:rPr>
          <w:rFonts w:ascii="Times New Roman" w:hAnsi="Times New Roman" w:cs="Times New Roman"/>
          <w:bCs/>
        </w:rPr>
        <w:t xml:space="preserve"> </w:t>
      </w:r>
      <w:r w:rsidR="00310FBE" w:rsidRPr="002926ED">
        <w:rPr>
          <w:rFonts w:ascii="Times New Roman" w:hAnsi="Times New Roman" w:cs="Times New Roman"/>
          <w:bCs/>
        </w:rPr>
        <w:t xml:space="preserve">(Box 2) </w:t>
      </w:r>
      <w:r w:rsidR="00341AB0" w:rsidRPr="002926ED">
        <w:rPr>
          <w:rFonts w:ascii="Times New Roman" w:hAnsi="Times New Roman" w:cs="Times New Roman"/>
          <w:bCs/>
        </w:rPr>
        <w:t>was</w:t>
      </w:r>
      <w:r w:rsidR="00341AB0">
        <w:rPr>
          <w:rFonts w:ascii="Times New Roman" w:hAnsi="Times New Roman" w:cs="Times New Roman"/>
          <w:bCs/>
        </w:rPr>
        <w:t xml:space="preserve"> used to collect data and information on those regulations</w:t>
      </w:r>
      <w:r w:rsidR="00473D61">
        <w:rPr>
          <w:rFonts w:ascii="Times New Roman" w:hAnsi="Times New Roman" w:cs="Times New Roman"/>
          <w:bCs/>
        </w:rPr>
        <w:t xml:space="preserve"> </w:t>
      </w:r>
      <w:r w:rsidR="00341AB0">
        <w:rPr>
          <w:rFonts w:ascii="Times New Roman" w:hAnsi="Times New Roman" w:cs="Times New Roman"/>
          <w:bCs/>
        </w:rPr>
        <w:t>and</w:t>
      </w:r>
      <w:r w:rsidRPr="00CA1F9C">
        <w:rPr>
          <w:rFonts w:ascii="Times New Roman" w:hAnsi="Times New Roman" w:cs="Times New Roman"/>
          <w:bCs/>
        </w:rPr>
        <w:t xml:space="preserve"> policies </w:t>
      </w:r>
      <w:r w:rsidR="00341AB0">
        <w:rPr>
          <w:rFonts w:ascii="Times New Roman" w:hAnsi="Times New Roman" w:cs="Times New Roman"/>
          <w:bCs/>
        </w:rPr>
        <w:t>that can</w:t>
      </w:r>
      <w:r w:rsidRPr="00CA1F9C">
        <w:rPr>
          <w:rFonts w:ascii="Times New Roman" w:hAnsi="Times New Roman" w:cs="Times New Roman"/>
          <w:bCs/>
        </w:rPr>
        <w:t xml:space="preserve"> inhibit competition in areas of the product market where competition is viable</w:t>
      </w:r>
      <w:r>
        <w:rPr>
          <w:rFonts w:ascii="Times New Roman" w:hAnsi="Times New Roman" w:cs="Times New Roman"/>
          <w:bCs/>
        </w:rPr>
        <w:t xml:space="preserve">. </w:t>
      </w:r>
      <w:r w:rsidR="00341AB0">
        <w:rPr>
          <w:rFonts w:ascii="Times New Roman" w:hAnsi="Times New Roman" w:cs="Times New Roman"/>
          <w:bCs/>
        </w:rPr>
        <w:t>PMR</w:t>
      </w:r>
      <w:r>
        <w:rPr>
          <w:rFonts w:ascii="Times New Roman" w:hAnsi="Times New Roman" w:cs="Times New Roman"/>
          <w:bCs/>
        </w:rPr>
        <w:t xml:space="preserve"> reviews such policies in relation to state control, barriers to entry and rivalry, and barriers to trade and investment. On the aggregate PMR indicator, Senegal receives a score of 2.56, which places the country </w:t>
      </w:r>
      <w:r w:rsidR="002723B0">
        <w:rPr>
          <w:rFonts w:ascii="Times New Roman" w:hAnsi="Times New Roman" w:cs="Times New Roman"/>
          <w:bCs/>
        </w:rPr>
        <w:t>18</w:t>
      </w:r>
      <w:r w:rsidR="00224AAE" w:rsidRPr="00C538DB">
        <w:rPr>
          <w:rFonts w:ascii="Times New Roman" w:hAnsi="Times New Roman" w:cs="Times New Roman"/>
          <w:bCs/>
          <w:vertAlign w:val="superscript"/>
        </w:rPr>
        <w:t>th</w:t>
      </w:r>
      <w:r w:rsidR="00224AAE">
        <w:rPr>
          <w:rFonts w:ascii="Times New Roman" w:hAnsi="Times New Roman" w:cs="Times New Roman"/>
          <w:bCs/>
        </w:rPr>
        <w:t xml:space="preserve"> ou</w:t>
      </w:r>
      <w:r w:rsidR="00286674">
        <w:rPr>
          <w:rFonts w:ascii="Times New Roman" w:hAnsi="Times New Roman" w:cs="Times New Roman"/>
          <w:bCs/>
        </w:rPr>
        <w:t>t</w:t>
      </w:r>
      <w:r w:rsidR="002723B0">
        <w:rPr>
          <w:rFonts w:ascii="Times New Roman" w:hAnsi="Times New Roman" w:cs="Times New Roman"/>
          <w:bCs/>
        </w:rPr>
        <w:t xml:space="preserve"> of </w:t>
      </w:r>
      <w:r w:rsidR="00E75272">
        <w:rPr>
          <w:rFonts w:ascii="Times New Roman" w:hAnsi="Times New Roman" w:cs="Times New Roman"/>
          <w:bCs/>
        </w:rPr>
        <w:t xml:space="preserve">23 </w:t>
      </w:r>
      <w:r w:rsidR="00EB45C6">
        <w:rPr>
          <w:rFonts w:ascii="Times New Roman" w:hAnsi="Times New Roman" w:cs="Times New Roman"/>
          <w:bCs/>
        </w:rPr>
        <w:t xml:space="preserve">non-OECD and selected OECD </w:t>
      </w:r>
      <w:r w:rsidR="00032B61">
        <w:rPr>
          <w:rFonts w:ascii="Times New Roman" w:hAnsi="Times New Roman" w:cs="Times New Roman"/>
          <w:bCs/>
        </w:rPr>
        <w:t xml:space="preserve">comparator </w:t>
      </w:r>
      <w:r w:rsidR="00224AAE">
        <w:rPr>
          <w:rFonts w:ascii="Times New Roman" w:hAnsi="Times New Roman" w:cs="Times New Roman"/>
          <w:bCs/>
        </w:rPr>
        <w:t>countries</w:t>
      </w:r>
      <w:r>
        <w:rPr>
          <w:rFonts w:ascii="Times New Roman" w:hAnsi="Times New Roman" w:cs="Times New Roman"/>
          <w:bCs/>
        </w:rPr>
        <w:t>.</w:t>
      </w:r>
      <w:r>
        <w:rPr>
          <w:rStyle w:val="FootnoteReference"/>
          <w:rFonts w:ascii="Times New Roman" w:hAnsi="Times New Roman" w:cs="Times New Roman"/>
          <w:bCs/>
        </w:rPr>
        <w:footnoteReference w:id="7"/>
      </w:r>
      <w:r>
        <w:rPr>
          <w:rFonts w:ascii="Times New Roman" w:hAnsi="Times New Roman" w:cs="Times New Roman"/>
          <w:bCs/>
        </w:rPr>
        <w:t xml:space="preserve"> State control and barriers to trade and investment are the most important drivers of Senegal’s ranking.</w:t>
      </w:r>
    </w:p>
    <w:p w14:paraId="20E11B26" w14:textId="09091E77" w:rsidR="009547FF" w:rsidRPr="007575D7" w:rsidRDefault="009547FF" w:rsidP="007575D7">
      <w:pPr>
        <w:pStyle w:val="Caption"/>
        <w:keepNext/>
        <w:rPr>
          <w:rFonts w:ascii="Times New Roman" w:hAnsi="Times New Roman"/>
        </w:rPr>
      </w:pPr>
      <w:bookmarkStart w:id="16" w:name="_Toc520725790"/>
      <w:r w:rsidRPr="007575D7">
        <w:rPr>
          <w:rFonts w:ascii="Times New Roman" w:hAnsi="Times New Roman"/>
        </w:rPr>
        <w:t xml:space="preserve">Box </w:t>
      </w:r>
      <w:r w:rsidRPr="007575D7">
        <w:rPr>
          <w:rFonts w:ascii="Times New Roman" w:hAnsi="Times New Roman"/>
        </w:rPr>
        <w:fldChar w:fldCharType="begin"/>
      </w:r>
      <w:r w:rsidRPr="007575D7">
        <w:rPr>
          <w:rFonts w:ascii="Times New Roman" w:hAnsi="Times New Roman"/>
        </w:rPr>
        <w:instrText xml:space="preserve"> SEQ Box \* ARABIC </w:instrText>
      </w:r>
      <w:r w:rsidRPr="007575D7">
        <w:rPr>
          <w:rFonts w:ascii="Times New Roman" w:hAnsi="Times New Roman"/>
        </w:rPr>
        <w:fldChar w:fldCharType="separate"/>
      </w:r>
      <w:r w:rsidR="008261B2">
        <w:rPr>
          <w:rFonts w:ascii="Times New Roman" w:hAnsi="Times New Roman"/>
          <w:noProof/>
        </w:rPr>
        <w:t>2</w:t>
      </w:r>
      <w:r w:rsidRPr="007575D7">
        <w:rPr>
          <w:rFonts w:ascii="Times New Roman" w:hAnsi="Times New Roman"/>
        </w:rPr>
        <w:fldChar w:fldCharType="end"/>
      </w:r>
      <w:r w:rsidRPr="007575D7">
        <w:rPr>
          <w:rFonts w:ascii="Times New Roman" w:hAnsi="Times New Roman"/>
        </w:rPr>
        <w:t xml:space="preserve">: </w:t>
      </w:r>
      <w:r w:rsidRPr="00C91EA2">
        <w:rPr>
          <w:rFonts w:ascii="Times New Roman" w:hAnsi="Times New Roman"/>
        </w:rPr>
        <w:t>PMR Methodology: Economy-Wide Score</w:t>
      </w:r>
      <w:bookmarkEnd w:id="16"/>
    </w:p>
    <w:tbl>
      <w:tblPr>
        <w:tblStyle w:val="TableGrid"/>
        <w:tblW w:w="0" w:type="auto"/>
        <w:shd w:val="clear" w:color="auto" w:fill="F2F2F2" w:themeFill="background1" w:themeFillShade="F2"/>
        <w:tblLook w:val="04A0" w:firstRow="1" w:lastRow="0" w:firstColumn="1" w:lastColumn="0" w:noHBand="0" w:noVBand="1"/>
      </w:tblPr>
      <w:tblGrid>
        <w:gridCol w:w="8290"/>
      </w:tblGrid>
      <w:tr w:rsidR="00310FBE" w:rsidRPr="00C91EA2" w14:paraId="52F93FDE" w14:textId="77777777" w:rsidTr="00421227">
        <w:tc>
          <w:tcPr>
            <w:tcW w:w="8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A8154B" w14:textId="77777777" w:rsidR="00310FBE" w:rsidRPr="00C91EA2" w:rsidRDefault="00310FBE" w:rsidP="00FC35F9">
            <w:pPr>
              <w:pStyle w:val="L-Box-body"/>
              <w:ind w:left="0"/>
              <w:rPr>
                <w:sz w:val="20"/>
                <w:szCs w:val="20"/>
              </w:rPr>
            </w:pPr>
            <w:r w:rsidRPr="00C91EA2">
              <w:rPr>
                <w:sz w:val="20"/>
                <w:szCs w:val="20"/>
              </w:rPr>
              <w:t xml:space="preserve">Product Market Regulation (PMR) indicators form a comprehensive and internationally-comparable set of indicators that measure the degree to which policies promote or inhibit competition in areas of the product market where competition is viable. PMR indicators are useful to monitor the regulatory achievements of monitored countries and to evaluate the effectiveness of policies introduced throughout the years. Moreover, PMR indicators have been widely used to help policy-makers to draw a clear picture of regulations in different countries, with the objective of identifying gaps in regulations and/or room for improvements. </w:t>
            </w:r>
          </w:p>
          <w:p w14:paraId="1D45C4FA" w14:textId="4F5C8D7E" w:rsidR="00310FBE" w:rsidRPr="00C91EA2" w:rsidRDefault="00310FBE" w:rsidP="00FC35F9">
            <w:pPr>
              <w:pStyle w:val="L-Box-body"/>
              <w:ind w:left="0"/>
              <w:rPr>
                <w:sz w:val="20"/>
                <w:szCs w:val="20"/>
              </w:rPr>
            </w:pPr>
            <w:r w:rsidRPr="00C91EA2">
              <w:rPr>
                <w:sz w:val="20"/>
                <w:szCs w:val="20"/>
              </w:rPr>
              <w:t xml:space="preserve">The PMR indicators rely on information collected through the OECD regulatory indicators questionnaires. </w:t>
            </w:r>
            <w:r w:rsidR="00800CC5" w:rsidRPr="00310FBE">
              <w:rPr>
                <w:sz w:val="20"/>
                <w:szCs w:val="20"/>
              </w:rPr>
              <w:fldChar w:fldCharType="begin"/>
            </w:r>
            <w:r w:rsidR="00800CC5" w:rsidRPr="00CF0B9A">
              <w:rPr>
                <w:sz w:val="20"/>
                <w:szCs w:val="20"/>
              </w:rPr>
              <w:instrText xml:space="preserve"> REF _Ref497139408 \h  \* MERGEFORMAT </w:instrText>
            </w:r>
            <w:r w:rsidR="00800CC5" w:rsidRPr="00310FBE">
              <w:rPr>
                <w:sz w:val="20"/>
                <w:szCs w:val="20"/>
              </w:rPr>
            </w:r>
            <w:r w:rsidR="00800CC5" w:rsidRPr="00310FBE">
              <w:rPr>
                <w:sz w:val="20"/>
                <w:szCs w:val="20"/>
              </w:rPr>
              <w:fldChar w:fldCharType="separate"/>
            </w:r>
            <w:r w:rsidR="008261B2" w:rsidRPr="008261B2">
              <w:rPr>
                <w:sz w:val="20"/>
                <w:szCs w:val="20"/>
              </w:rPr>
              <w:t xml:space="preserve">Figure </w:t>
            </w:r>
            <w:r w:rsidR="008261B2" w:rsidRPr="008261B2">
              <w:rPr>
                <w:noProof/>
                <w:sz w:val="20"/>
                <w:szCs w:val="20"/>
              </w:rPr>
              <w:t>16</w:t>
            </w:r>
            <w:r w:rsidR="00800CC5" w:rsidRPr="00310FBE">
              <w:rPr>
                <w:sz w:val="20"/>
                <w:szCs w:val="20"/>
              </w:rPr>
              <w:fldChar w:fldCharType="end"/>
            </w:r>
            <w:r w:rsidR="00800CC5" w:rsidRPr="00310FBE">
              <w:rPr>
                <w:sz w:val="20"/>
                <w:szCs w:val="20"/>
              </w:rPr>
              <w:t xml:space="preserve"> </w:t>
            </w:r>
            <w:r w:rsidRPr="00310FBE">
              <w:rPr>
                <w:sz w:val="20"/>
                <w:szCs w:val="20"/>
              </w:rPr>
              <w:t>below</w:t>
            </w:r>
            <w:r w:rsidRPr="00C91EA2">
              <w:rPr>
                <w:sz w:val="20"/>
                <w:szCs w:val="20"/>
              </w:rPr>
              <w:t xml:space="preserve"> summarizes how the economy-wide score is calculated (number</w:t>
            </w:r>
            <w:r>
              <w:rPr>
                <w:sz w:val="20"/>
                <w:szCs w:val="20"/>
              </w:rPr>
              <w:t>s</w:t>
            </w:r>
            <w:r w:rsidRPr="00C91EA2">
              <w:rPr>
                <w:sz w:val="20"/>
                <w:szCs w:val="20"/>
              </w:rPr>
              <w:t xml:space="preserve"> in parentheses represent weights). First, the answers of the questionnaire are coded into objective information (scores range from 0 to 6, 6 = worst). Second, scores of individual regulations are aggregated into subsequently broader regulatory areas starting with “Lower-level indicators” (18 areas), then “Intermediate indicators” (7 areas), then the three “</w:t>
            </w:r>
            <w:r>
              <w:rPr>
                <w:sz w:val="20"/>
                <w:szCs w:val="20"/>
              </w:rPr>
              <w:t>s</w:t>
            </w:r>
            <w:r w:rsidRPr="00C91EA2">
              <w:rPr>
                <w:sz w:val="20"/>
                <w:szCs w:val="20"/>
              </w:rPr>
              <w:t>ub-indicator</w:t>
            </w:r>
            <w:r>
              <w:rPr>
                <w:sz w:val="20"/>
                <w:szCs w:val="20"/>
              </w:rPr>
              <w:t>s</w:t>
            </w:r>
            <w:r w:rsidRPr="00C91EA2">
              <w:rPr>
                <w:sz w:val="20"/>
                <w:szCs w:val="20"/>
              </w:rPr>
              <w:t>”. Finally, the three sub-indicators are averaged to calculate the overall PMR score (</w:t>
            </w:r>
            <w:r w:rsidR="00C71560" w:rsidRPr="00C91EA2">
              <w:rPr>
                <w:sz w:val="20"/>
                <w:szCs w:val="20"/>
              </w:rPr>
              <w:fldChar w:fldCharType="begin"/>
            </w:r>
            <w:r w:rsidR="00C71560" w:rsidRPr="00C91EA2">
              <w:rPr>
                <w:sz w:val="20"/>
                <w:szCs w:val="20"/>
              </w:rPr>
              <w:instrText xml:space="preserve"> REF _Ref497139629 \h  \* MERGEFORMAT </w:instrText>
            </w:r>
            <w:r w:rsidR="00C71560" w:rsidRPr="00C91EA2">
              <w:rPr>
                <w:sz w:val="20"/>
                <w:szCs w:val="20"/>
              </w:rPr>
            </w:r>
            <w:r w:rsidR="00C71560" w:rsidRPr="00C91EA2">
              <w:rPr>
                <w:sz w:val="20"/>
                <w:szCs w:val="20"/>
              </w:rPr>
              <w:fldChar w:fldCharType="separate"/>
            </w:r>
            <w:r w:rsidR="008261B2" w:rsidRPr="008261B2">
              <w:rPr>
                <w:sz w:val="20"/>
                <w:szCs w:val="20"/>
              </w:rPr>
              <w:t xml:space="preserve">Box </w:t>
            </w:r>
            <w:r w:rsidR="008261B2" w:rsidRPr="008261B2">
              <w:rPr>
                <w:noProof/>
                <w:sz w:val="20"/>
                <w:szCs w:val="20"/>
              </w:rPr>
              <w:t>26</w:t>
            </w:r>
            <w:r w:rsidR="00C71560" w:rsidRPr="00C91EA2">
              <w:rPr>
                <w:sz w:val="20"/>
                <w:szCs w:val="20"/>
              </w:rPr>
              <w:fldChar w:fldCharType="end"/>
            </w:r>
            <w:r w:rsidR="00C71560" w:rsidRPr="00C91EA2">
              <w:rPr>
                <w:sz w:val="20"/>
                <w:szCs w:val="20"/>
              </w:rPr>
              <w:t xml:space="preserve"> </w:t>
            </w:r>
            <w:r w:rsidRPr="00C91EA2">
              <w:rPr>
                <w:sz w:val="20"/>
                <w:szCs w:val="20"/>
              </w:rPr>
              <w:t xml:space="preserve">in </w:t>
            </w:r>
            <w:r>
              <w:rPr>
                <w:sz w:val="20"/>
                <w:szCs w:val="20"/>
              </w:rPr>
              <w:t>Annex</w:t>
            </w:r>
            <w:r w:rsidRPr="00C91EA2">
              <w:rPr>
                <w:sz w:val="20"/>
                <w:szCs w:val="20"/>
              </w:rPr>
              <w:t xml:space="preserve"> 2 provides a description of the low-level indicators).</w:t>
            </w:r>
          </w:p>
          <w:p w14:paraId="18A25F7F" w14:textId="5367DB42" w:rsidR="00310FBE" w:rsidRPr="00C91EA2" w:rsidRDefault="00310FBE" w:rsidP="00FC35F9">
            <w:pPr>
              <w:pStyle w:val="Caption"/>
              <w:keepNext/>
              <w:jc w:val="both"/>
              <w:rPr>
                <w:rFonts w:ascii="Times New Roman" w:hAnsi="Times New Roman"/>
              </w:rPr>
            </w:pPr>
            <w:bookmarkStart w:id="17" w:name="_Toc520725558"/>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w:t>
            </w:r>
            <w:r w:rsidR="00D91B27">
              <w:rPr>
                <w:rFonts w:ascii="Times New Roman" w:hAnsi="Times New Roman"/>
              </w:rPr>
              <w:fldChar w:fldCharType="end"/>
            </w:r>
            <w:r w:rsidRPr="00C91EA2">
              <w:rPr>
                <w:rFonts w:ascii="Times New Roman" w:hAnsi="Times New Roman"/>
              </w:rPr>
              <w:t>: Economy-Wide PMR Methodology</w:t>
            </w:r>
            <w:bookmarkEnd w:id="17"/>
          </w:p>
          <w:p w14:paraId="28365937" w14:textId="77777777" w:rsidR="00310FBE" w:rsidRPr="00C91EA2" w:rsidRDefault="00310FBE" w:rsidP="00FC35F9">
            <w:pPr>
              <w:jc w:val="both"/>
              <w:rPr>
                <w:rFonts w:ascii="Times New Roman" w:hAnsi="Times New Roman" w:cs="Times New Roman"/>
              </w:rPr>
            </w:pPr>
            <w:r w:rsidRPr="00AC4A08">
              <w:rPr>
                <w:rFonts w:ascii="Times New Roman" w:hAnsi="Times New Roman" w:cs="Times New Roman"/>
                <w:noProof/>
              </w:rPr>
              <mc:AlternateContent>
                <mc:Choice Requires="wpg">
                  <w:drawing>
                    <wp:inline distT="0" distB="0" distL="0" distR="0" wp14:anchorId="2E644DD0" wp14:editId="5909FC87">
                      <wp:extent cx="5126983" cy="3298182"/>
                      <wp:effectExtent l="0" t="0" r="17145" b="17145"/>
                      <wp:docPr id="40" name="Grup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83" cy="3298182"/>
                                <a:chOff x="0" y="0"/>
                                <a:chExt cx="60607" cy="37197"/>
                              </a:xfrm>
                            </wpg:grpSpPr>
                            <pic:pic xmlns:pic="http://schemas.openxmlformats.org/drawingml/2006/picture">
                              <pic:nvPicPr>
                                <pic:cNvPr id="41" name="Picture 24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 cy="34333"/>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7"/>
                              <wpg:cNvGrpSpPr>
                                <a:grpSpLocks/>
                              </wpg:cNvGrpSpPr>
                              <wpg:grpSpPr bwMode="auto">
                                <a:xfrm>
                                  <a:off x="51844" y="431"/>
                                  <a:ext cx="8763" cy="36766"/>
                                  <a:chOff x="0" y="0"/>
                                  <a:chExt cx="5665" cy="70020"/>
                                </a:xfrm>
                              </wpg:grpSpPr>
                              <wps:wsp>
                                <wps:cNvPr id="43" name="Elbow Connector 10"/>
                                <wps:cNvCnPr>
                                  <a:cxnSpLocks noChangeShapeType="1"/>
                                </wps:cNvCnPr>
                                <wps:spPr bwMode="auto">
                                  <a:xfrm rot="16200000" flipH="1">
                                    <a:off x="1518" y="14948"/>
                                    <a:ext cx="2626" cy="0"/>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g:grpSp>
                                <wpg:cNvPr id="44" name="Group 11"/>
                                <wpg:cNvGrpSpPr>
                                  <a:grpSpLocks/>
                                </wpg:cNvGrpSpPr>
                                <wpg:grpSpPr bwMode="auto">
                                  <a:xfrm>
                                    <a:off x="0" y="0"/>
                                    <a:ext cx="5665" cy="70020"/>
                                    <a:chOff x="0" y="0"/>
                                    <a:chExt cx="5665" cy="70020"/>
                                  </a:xfrm>
                                </wpg:grpSpPr>
                                <wpg:grpSp>
                                  <wpg:cNvPr id="45" name="Group 12"/>
                                  <wpg:cNvGrpSpPr>
                                    <a:grpSpLocks/>
                                  </wpg:cNvGrpSpPr>
                                  <wpg:grpSpPr bwMode="auto">
                                    <a:xfrm>
                                      <a:off x="0" y="0"/>
                                      <a:ext cx="5663" cy="13635"/>
                                      <a:chOff x="0" y="0"/>
                                      <a:chExt cx="5663" cy="13635"/>
                                    </a:xfrm>
                                  </wpg:grpSpPr>
                                  <wps:wsp>
                                    <wps:cNvPr id="46" name="AutoShape 4"/>
                                    <wps:cNvSpPr>
                                      <a:spLocks noChangeArrowheads="1"/>
                                    </wps:cNvSpPr>
                                    <wps:spPr bwMode="auto">
                                      <a:xfrm>
                                        <a:off x="0" y="0"/>
                                        <a:ext cx="5663" cy="4928"/>
                                      </a:xfrm>
                                      <a:prstGeom prst="flowChartAlternateProcess">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A8FEB"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Main Indicator</w:t>
                                          </w:r>
                                        </w:p>
                                      </w:txbxContent>
                                    </wps:txbx>
                                    <wps:bodyPr rot="0" vert="horz" wrap="square" lIns="54000" tIns="45720" rIns="54000" bIns="45720" anchor="ctr" anchorCtr="0" upright="1">
                                      <a:noAutofit/>
                                    </wps:bodyPr>
                                  </wps:wsp>
                                  <wps:wsp>
                                    <wps:cNvPr id="47" name="AutoShape 57"/>
                                    <wps:cNvSpPr>
                                      <a:spLocks noChangeArrowheads="1"/>
                                    </wps:cNvSpPr>
                                    <wps:spPr bwMode="auto">
                                      <a:xfrm>
                                        <a:off x="0" y="7884"/>
                                        <a:ext cx="5663" cy="5751"/>
                                      </a:xfrm>
                                      <a:prstGeom prst="flowChartAlternateProcess">
                                        <a:avLst/>
                                      </a:prstGeom>
                                      <a:solidFill>
                                        <a:srgbClr val="0E3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6FCE7"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F0480F">
                                            <w:rPr>
                                              <w:rFonts w:asciiTheme="majorHAnsi" w:eastAsia="SimSun" w:hAnsiTheme="majorHAnsi" w:cstheme="minorBidi"/>
                                              <w:b/>
                                              <w:bCs/>
                                              <w:color w:val="FFFFFF"/>
                                              <w:sz w:val="16"/>
                                              <w:szCs w:val="16"/>
                                            </w:rPr>
                                            <w:t>Sub-indicator</w:t>
                                          </w:r>
                                        </w:p>
                                      </w:txbxContent>
                                    </wps:txbx>
                                    <wps:bodyPr rot="0" vert="horz" wrap="square" lIns="54000" tIns="45720" rIns="54000" bIns="45720" anchor="ctr" anchorCtr="0" upright="1">
                                      <a:noAutofit/>
                                    </wps:bodyPr>
                                  </wps:wsp>
                                  <wps:wsp>
                                    <wps:cNvPr id="51" name="Shape 107"/>
                                    <wps:cNvCnPr>
                                      <a:cxnSpLocks noChangeShapeType="1"/>
                                    </wps:cNvCnPr>
                                    <wps:spPr bwMode="auto">
                                      <a:xfrm rot="5400000">
                                        <a:off x="1353" y="6406"/>
                                        <a:ext cx="2956" cy="0"/>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g:grpSp>
                                <wpg:grpSp>
                                  <wpg:cNvPr id="52" name="Group 13"/>
                                  <wpg:cNvGrpSpPr>
                                    <a:grpSpLocks/>
                                  </wpg:cNvGrpSpPr>
                                  <wpg:grpSpPr bwMode="auto">
                                    <a:xfrm>
                                      <a:off x="0" y="16261"/>
                                      <a:ext cx="5665" cy="53759"/>
                                      <a:chOff x="0" y="16261"/>
                                      <a:chExt cx="5665" cy="53758"/>
                                    </a:xfrm>
                                  </wpg:grpSpPr>
                                  <wps:wsp>
                                    <wps:cNvPr id="53" name="AutoShape 25"/>
                                    <wps:cNvSpPr>
                                      <a:spLocks noChangeArrowheads="1"/>
                                    </wps:cNvSpPr>
                                    <wps:spPr bwMode="auto">
                                      <a:xfrm>
                                        <a:off x="2" y="39422"/>
                                        <a:ext cx="5663" cy="7563"/>
                                      </a:xfrm>
                                      <a:prstGeom prst="flowChartAlternateProcess">
                                        <a:avLst/>
                                      </a:prstGeom>
                                      <a:solidFill>
                                        <a:srgbClr val="B9CDE5"/>
                                      </a:solidFill>
                                      <a:ln w="9525">
                                        <a:solidFill>
                                          <a:srgbClr val="B0D4EC"/>
                                        </a:solidFill>
                                        <a:miter lim="800000"/>
                                        <a:headEnd/>
                                        <a:tailEnd/>
                                      </a:ln>
                                    </wps:spPr>
                                    <wps:txbx>
                                      <w:txbxContent>
                                        <w:p w14:paraId="20615123"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Lower-level Indicator</w:t>
                                          </w:r>
                                        </w:p>
                                        <w:p w14:paraId="507268C8"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proofErr w:type="spellStart"/>
                                          <w:r w:rsidRPr="000F1CC6">
                                            <w:rPr>
                                              <w:rFonts w:asciiTheme="majorHAnsi" w:eastAsia="SimSun" w:hAnsiTheme="majorHAnsi" w:cstheme="minorBidi"/>
                                              <w:b/>
                                              <w:bCs/>
                                              <w:color w:val="030302"/>
                                              <w:sz w:val="16"/>
                                              <w:szCs w:val="16"/>
                                            </w:rPr>
                                            <w:t>vel</w:t>
                                          </w:r>
                                          <w:proofErr w:type="spellEnd"/>
                                          <w:r w:rsidRPr="000F1CC6">
                                            <w:rPr>
                                              <w:rFonts w:asciiTheme="majorHAnsi" w:eastAsia="SimSun" w:hAnsiTheme="majorHAnsi" w:cstheme="minorBidi"/>
                                              <w:b/>
                                              <w:bCs/>
                                              <w:color w:val="030302"/>
                                              <w:sz w:val="16"/>
                                              <w:szCs w:val="16"/>
                                            </w:rPr>
                                            <w:t xml:space="preserve"> indicator</w:t>
                                          </w:r>
                                        </w:p>
                                      </w:txbxContent>
                                    </wps:txbx>
                                    <wps:bodyPr rot="0" vert="horz" wrap="square" lIns="0" tIns="45720" rIns="0" bIns="45720" anchor="ctr" anchorCtr="0" upright="1">
                                      <a:noAutofit/>
                                    </wps:bodyPr>
                                  </wps:wsp>
                                  <wps:wsp>
                                    <wps:cNvPr id="54" name="AutoShape 26"/>
                                    <wps:cNvSpPr>
                                      <a:spLocks noChangeArrowheads="1"/>
                                    </wps:cNvSpPr>
                                    <wps:spPr bwMode="auto">
                                      <a:xfrm>
                                        <a:off x="2" y="61943"/>
                                        <a:ext cx="5663" cy="8077"/>
                                      </a:xfrm>
                                      <a:prstGeom prst="flowChartAlternateProcess">
                                        <a:avLst/>
                                      </a:prstGeom>
                                      <a:solidFill>
                                        <a:srgbClr val="4BACC6">
                                          <a:lumMod val="20000"/>
                                          <a:lumOff val="80000"/>
                                        </a:srgbClr>
                                      </a:solidFill>
                                      <a:ln w="9525">
                                        <a:solidFill>
                                          <a:srgbClr val="4BACC6">
                                            <a:lumMod val="20000"/>
                                            <a:lumOff val="80000"/>
                                          </a:srgbClr>
                                        </a:solidFill>
                                        <a:miter lim="800000"/>
                                        <a:headEnd/>
                                        <a:tailEnd/>
                                      </a:ln>
                                    </wps:spPr>
                                    <wps:txbx>
                                      <w:txbxContent>
                                        <w:p w14:paraId="0DAC695B"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Individual Questions</w:t>
                                          </w:r>
                                        </w:p>
                                      </w:txbxContent>
                                    </wps:txbx>
                                    <wps:bodyPr rot="0" vert="horz" wrap="square" lIns="0" tIns="45720" rIns="0" bIns="45720" anchor="ctr" anchorCtr="0" upright="1">
                                      <a:noAutofit/>
                                    </wps:bodyPr>
                                  </wps:wsp>
                                  <wps:wsp>
                                    <wps:cNvPr id="55" name="AutoShape 10"/>
                                    <wps:cNvSpPr>
                                      <a:spLocks noChangeArrowheads="1"/>
                                    </wps:cNvSpPr>
                                    <wps:spPr bwMode="auto">
                                      <a:xfrm>
                                        <a:off x="0" y="16261"/>
                                        <a:ext cx="5663" cy="11832"/>
                                      </a:xfrm>
                                      <a:prstGeom prst="flowChartAlternateProcess">
                                        <a:avLst/>
                                      </a:prstGeom>
                                      <a:solidFill>
                                        <a:srgbClr val="558ED5"/>
                                      </a:solidFill>
                                      <a:ln w="9525">
                                        <a:solidFill>
                                          <a:srgbClr val="4F81BD"/>
                                        </a:solidFill>
                                        <a:miter lim="800000"/>
                                        <a:headEnd/>
                                        <a:tailEnd/>
                                      </a:ln>
                                    </wps:spPr>
                                    <wps:txbx>
                                      <w:txbxContent>
                                        <w:p w14:paraId="390C6BEF"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F0480F">
                                            <w:rPr>
                                              <w:rFonts w:asciiTheme="majorHAnsi" w:eastAsia="SimSun" w:hAnsiTheme="majorHAnsi" w:cstheme="minorBidi"/>
                                              <w:b/>
                                              <w:bCs/>
                                              <w:color w:val="FFFFFF"/>
                                              <w:sz w:val="16"/>
                                              <w:szCs w:val="16"/>
                                            </w:rPr>
                                            <w:t>Intermediate Indicators</w:t>
                                          </w:r>
                                        </w:p>
                                      </w:txbxContent>
                                    </wps:txbx>
                                    <wps:bodyPr rot="0" vert="horz" wrap="square" lIns="54000" tIns="45720" rIns="54000" bIns="45720" anchor="ctr" anchorCtr="0" upright="1">
                                      <a:noAutofit/>
                                    </wps:bodyPr>
                                  </wps:wsp>
                                  <wps:wsp>
                                    <wps:cNvPr id="56" name="Straight Connector 17"/>
                                    <wps:cNvCnPr>
                                      <a:cxnSpLocks noChangeShapeType="1"/>
                                    </wps:cNvCnPr>
                                    <wps:spPr bwMode="auto">
                                      <a:xfrm>
                                        <a:off x="2834" y="46977"/>
                                        <a:ext cx="0" cy="15386"/>
                                      </a:xfrm>
                                      <a:prstGeom prst="line">
                                        <a:avLst/>
                                      </a:prstGeom>
                                      <a:noFill/>
                                      <a:ln w="15875">
                                        <a:solidFill>
                                          <a:srgbClr val="000000"/>
                                        </a:solidFill>
                                        <a:round/>
                                        <a:headEnd type="triangle" w="med" len="med"/>
                                        <a:tailEnd type="none" w="lg" len="lg"/>
                                      </a:ln>
                                      <a:extLst>
                                        <a:ext uri="{909E8E84-426E-40DD-AFC4-6F175D3DCCD1}">
                                          <a14:hiddenFill xmlns:a14="http://schemas.microsoft.com/office/drawing/2010/main">
                                            <a:noFill/>
                                          </a14:hiddenFill>
                                        </a:ext>
                                      </a:extLst>
                                    </wps:spPr>
                                    <wps:bodyPr/>
                                  </wps:wsp>
                                  <wps:wsp>
                                    <wps:cNvPr id="57" name="Straight Connector 18"/>
                                    <wps:cNvCnPr>
                                      <a:cxnSpLocks noChangeShapeType="1"/>
                                    </wps:cNvCnPr>
                                    <wps:spPr bwMode="auto">
                                      <a:xfrm flipH="1" flipV="1">
                                        <a:off x="2831" y="28093"/>
                                        <a:ext cx="3" cy="11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w14:anchorId="2E644DD0" id="Gruppo 112" o:spid="_x0000_s1026" style="width:403.7pt;height:259.7pt;mso-position-horizontal-relative:char;mso-position-vertical-relative:line" coordsize="60607,37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EN&#10;EnPdAAAABQ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7" type="#_x0000_t75" style="position:absolute;width:52793;height:3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">
                        <v:imagedata r:id="rId11" o:title=""/>
                      </v:shape>
                      <v:group id="Group 7" o:spid="_x0000_s1028" style="position:absolute;left:51844;top:431;width:8763;height:36766" coordsize="566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9" type="#_x0000_t34" style="position:absolute;left:1518;top:14948;width:262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">
                          <v:stroke startarrow="block"/>
                        </v:shape>
                        <v:group id="Group 11" o:spid="_x0000_s1030" style="position:absolute;width:5665;height:70020" coordsize="566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12" o:spid="_x0000_s1031" style="position:absolute;width:5663;height:13635" coordsize="5663,1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32" type="#_x0000_t176" style="position:absolute;width:5663;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" fillcolor="#92d050" stroked="f">
                              <v:textbox inset="1.5mm,,1.5mm">
                                <w:txbxContent>
                                  <w:p w14:paraId="274A8FEB"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Main Indicator</w:t>
                                    </w:r>
                                  </w:p>
                                </w:txbxContent>
                              </v:textbox>
                            </v:shape>
                            <v:shape id="AutoShape 57" o:spid="_x0000_s1033" type="#_x0000_t176" style="position:absolute;top:7884;width:5663;height:5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" fillcolor="#0e387c" stroked="f">
                              <v:textbox inset="1.5mm,,1.5mm">
                                <w:txbxContent>
                                  <w:p w14:paraId="3436FCE7"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F0480F">
                                      <w:rPr>
                                        <w:rFonts w:asciiTheme="majorHAnsi" w:eastAsia="SimSun" w:hAnsiTheme="majorHAnsi" w:cstheme="minorBidi"/>
                                        <w:b/>
                                        <w:bCs/>
                                        <w:color w:val="FFFFFF"/>
                                        <w:sz w:val="16"/>
                                        <w:szCs w:val="16"/>
                                      </w:rPr>
                                      <w:t>Sub-indicator</w:t>
                                    </w:r>
                                  </w:p>
                                </w:txbxContent>
                              </v:textbox>
                            </v:shape>
                            <v:shape id="Shape 107" o:spid="_x0000_s1034" type="#_x0000_t34" style="position:absolute;left:1353;top:6406;width:295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">
                              <v:stroke startarrow="block"/>
                            </v:shape>
                          </v:group>
                          <v:group id="Group 13" o:spid="_x0000_s1035" style="position:absolute;top:16261;width:5665;height:53759" coordorigin=",16261" coordsize="5665,5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utoShape 25" o:spid="_x0000_s1036" type="#_x0000_t176" style="position:absolute;left:2;top:39422;width:5663;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" fillcolor="#b9cde5" strokecolor="#b0d4ec">
                              <v:textbox inset="0,,0">
                                <w:txbxContent>
                                  <w:p w14:paraId="20615123"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Lower-level Indicator</w:t>
                                    </w:r>
                                  </w:p>
                                  <w:p w14:paraId="507268C8"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proofErr w:type="spellStart"/>
                                    <w:r w:rsidRPr="000F1CC6">
                                      <w:rPr>
                                        <w:rFonts w:asciiTheme="majorHAnsi" w:eastAsia="SimSun" w:hAnsiTheme="majorHAnsi" w:cstheme="minorBidi"/>
                                        <w:b/>
                                        <w:bCs/>
                                        <w:color w:val="030302"/>
                                        <w:sz w:val="16"/>
                                        <w:szCs w:val="16"/>
                                      </w:rPr>
                                      <w:t>vel</w:t>
                                    </w:r>
                                    <w:proofErr w:type="spellEnd"/>
                                    <w:r w:rsidRPr="000F1CC6">
                                      <w:rPr>
                                        <w:rFonts w:asciiTheme="majorHAnsi" w:eastAsia="SimSun" w:hAnsiTheme="majorHAnsi" w:cstheme="minorBidi"/>
                                        <w:b/>
                                        <w:bCs/>
                                        <w:color w:val="030302"/>
                                        <w:sz w:val="16"/>
                                        <w:szCs w:val="16"/>
                                      </w:rPr>
                                      <w:t xml:space="preserve"> indicator</w:t>
                                    </w:r>
                                  </w:p>
                                </w:txbxContent>
                              </v:textbox>
                            </v:shape>
                            <v:shape id="AutoShape 26" o:spid="_x0000_s1037" type="#_x0000_t176" style="position:absolute;left:2;top:61943;width:5663;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" fillcolor="#dbeef4" strokecolor="#dbeef4">
                              <v:textbox inset="0,,0">
                                <w:txbxContent>
                                  <w:p w14:paraId="0DAC695B"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Individual Questions</w:t>
                                    </w:r>
                                  </w:p>
                                </w:txbxContent>
                              </v:textbox>
                            </v:shape>
                            <v:shape id="AutoShape 10" o:spid="_x0000_s1038" type="#_x0000_t176" style="position:absolute;top:16261;width:5663;height:1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" fillcolor="#558ed5" strokecolor="#4f81bd">
                              <v:textbox inset="1.5mm,,1.5mm">
                                <w:txbxContent>
                                  <w:p w14:paraId="390C6BEF" w14:textId="77777777" w:rsidR="00B42297" w:rsidRPr="00F0480F" w:rsidRDefault="00B42297" w:rsidP="00310FBE">
                                    <w:pPr>
                                      <w:pStyle w:val="NormalWeb"/>
                                      <w:spacing w:before="0" w:beforeAutospacing="0" w:after="0" w:afterAutospacing="0"/>
                                      <w:jc w:val="center"/>
                                      <w:textAlignment w:val="baseline"/>
                                      <w:rPr>
                                        <w:rFonts w:asciiTheme="majorHAnsi" w:hAnsiTheme="majorHAnsi"/>
                                        <w:sz w:val="16"/>
                                        <w:szCs w:val="16"/>
                                      </w:rPr>
                                    </w:pPr>
                                    <w:r w:rsidRPr="00F0480F">
                                      <w:rPr>
                                        <w:rFonts w:asciiTheme="majorHAnsi" w:eastAsia="SimSun" w:hAnsiTheme="majorHAnsi" w:cstheme="minorBidi"/>
                                        <w:b/>
                                        <w:bCs/>
                                        <w:color w:val="FFFFFF"/>
                                        <w:sz w:val="16"/>
                                        <w:szCs w:val="16"/>
                                      </w:rPr>
                                      <w:t>Intermediate Indicators</w:t>
                                    </w:r>
                                  </w:p>
                                </w:txbxContent>
                              </v:textbox>
                            </v:shape>
                            <v:line id="Straight Connector 17" o:spid="_x0000_s1039" style="position:absolute;visibility:visible;mso-wrap-style:square" from="2834,46977" to="2834,6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" strokeweight="1.25pt">
                              <v:stroke startarrow="block" endarrowwidth="wide" endarrowlength="long"/>
                            </v:line>
                            <v:line id="Straight Connector 18" o:spid="_x0000_s1040" style="position:absolute;flip:x y;visibility:visible;mso-wrap-style:square" from="2831,28093" to="2834,3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">
                              <v:stroke endarrow="block"/>
                            </v:line>
                          </v:group>
                        </v:group>
                      </v:group>
                      <w10:anchorlock/>
                    </v:group>
                  </w:pict>
                </mc:Fallback>
              </mc:AlternateContent>
            </w:r>
          </w:p>
          <w:p w14:paraId="480950CC" w14:textId="77777777" w:rsidR="00310FBE" w:rsidRPr="00C91EA2" w:rsidRDefault="00310FBE" w:rsidP="00FC35F9">
            <w:pPr>
              <w:pStyle w:val="L-Box-body"/>
              <w:ind w:left="0"/>
              <w:rPr>
                <w:sz w:val="20"/>
                <w:szCs w:val="20"/>
              </w:rPr>
            </w:pPr>
            <w:r w:rsidRPr="00C91EA2">
              <w:rPr>
                <w:sz w:val="20"/>
                <w:szCs w:val="20"/>
              </w:rPr>
              <w:t xml:space="preserve">Initially built by the OECD for their members and the OECD plus countries (47 countries total), in partnership with the WBG, the dataset has been extended to </w:t>
            </w:r>
            <w:r>
              <w:rPr>
                <w:sz w:val="20"/>
                <w:szCs w:val="20"/>
              </w:rPr>
              <w:t>22</w:t>
            </w:r>
            <w:r w:rsidRPr="00C91EA2">
              <w:rPr>
                <w:sz w:val="20"/>
                <w:szCs w:val="20"/>
              </w:rPr>
              <w:t xml:space="preserve"> additional countries, including Senegal. </w:t>
            </w:r>
          </w:p>
          <w:p w14:paraId="286D7655" w14:textId="77777777" w:rsidR="00310FBE" w:rsidRPr="00C91EA2" w:rsidRDefault="00310FBE" w:rsidP="00FC35F9">
            <w:pPr>
              <w:pStyle w:val="L-Box-body"/>
              <w:ind w:left="0"/>
              <w:rPr>
                <w:sz w:val="20"/>
                <w:szCs w:val="20"/>
              </w:rPr>
            </w:pPr>
            <w:r w:rsidRPr="00C91EA2">
              <w:rPr>
                <w:sz w:val="20"/>
                <w:szCs w:val="20"/>
              </w:rPr>
              <w:t xml:space="preserve">The PMR indicators are designed to reflect regulations that have the potential to restrict competition in areas where competition is viable. By construction, they have </w:t>
            </w:r>
            <w:proofErr w:type="gramStart"/>
            <w:r w:rsidRPr="00C91EA2">
              <w:rPr>
                <w:sz w:val="20"/>
                <w:szCs w:val="20"/>
              </w:rPr>
              <w:t>a number of</w:t>
            </w:r>
            <w:proofErr w:type="gramEnd"/>
            <w:r w:rsidRPr="00C91EA2">
              <w:rPr>
                <w:sz w:val="20"/>
                <w:szCs w:val="20"/>
              </w:rPr>
              <w:t xml:space="preserve"> features which make them useful not only for analysis, but, more importantly, for policy advice, since they pinpoint specific policies that hamper competition in product markets. The PMR indicators are focused on enacted policies and not on outcomes, </w:t>
            </w:r>
            <w:r>
              <w:rPr>
                <w:sz w:val="20"/>
                <w:szCs w:val="20"/>
              </w:rPr>
              <w:t>and thus</w:t>
            </w:r>
            <w:r w:rsidRPr="00C91EA2">
              <w:rPr>
                <w:sz w:val="20"/>
                <w:szCs w:val="20"/>
              </w:rPr>
              <w:t xml:space="preserve"> are ‘objective’, in that they are not based on opinion surveys. Finally, PMR indicators focus on regulatory measures that affect the economy at large and can therefore be considered as comprehensive measures of regulatory restrictiveness. Their advantages notwithstanding, PMR indicators are not designed to capture informal regulatory </w:t>
            </w:r>
            <w:proofErr w:type="gramStart"/>
            <w:r w:rsidRPr="00C91EA2">
              <w:rPr>
                <w:sz w:val="20"/>
                <w:szCs w:val="20"/>
              </w:rPr>
              <w:t xml:space="preserve">practices </w:t>
            </w:r>
            <w:r>
              <w:rPr>
                <w:sz w:val="20"/>
                <w:szCs w:val="20"/>
              </w:rPr>
              <w:t xml:space="preserve"> </w:t>
            </w:r>
            <w:r w:rsidRPr="00C91EA2">
              <w:rPr>
                <w:sz w:val="20"/>
                <w:szCs w:val="20"/>
              </w:rPr>
              <w:t>or</w:t>
            </w:r>
            <w:proofErr w:type="gramEnd"/>
            <w:r w:rsidRPr="00C91EA2">
              <w:rPr>
                <w:sz w:val="20"/>
                <w:szCs w:val="20"/>
              </w:rPr>
              <w:t xml:space="preserve"> the effective enforcement of regulations, since they are only concerned with formal compliance with a number of criteria.</w:t>
            </w:r>
          </w:p>
          <w:p w14:paraId="0A6154A7" w14:textId="77777777" w:rsidR="00310FBE" w:rsidRPr="00C91EA2" w:rsidRDefault="00310FBE" w:rsidP="00FC35F9">
            <w:pPr>
              <w:jc w:val="both"/>
              <w:rPr>
                <w:rFonts w:ascii="Times New Roman" w:hAnsi="Times New Roman" w:cs="Times New Roman"/>
                <w:sz w:val="20"/>
                <w:szCs w:val="20"/>
              </w:rPr>
            </w:pPr>
            <w:r w:rsidRPr="00C91EA2">
              <w:rPr>
                <w:rFonts w:ascii="Times New Roman" w:hAnsi="Times New Roman" w:cs="Times New Roman"/>
                <w:sz w:val="20"/>
                <w:szCs w:val="20"/>
              </w:rPr>
              <w:t xml:space="preserve">Source: OECD 2013 Schemata and </w:t>
            </w:r>
            <w:r w:rsidRPr="00C91EA2">
              <w:rPr>
                <w:rFonts w:ascii="Times New Roman" w:hAnsi="Times New Roman" w:cs="Times New Roman"/>
                <w:sz w:val="20"/>
                <w:szCs w:val="20"/>
              </w:rPr>
              <w:fldChar w:fldCharType="begin"/>
            </w:r>
            <w:r w:rsidRPr="00C91EA2">
              <w:rPr>
                <w:rFonts w:ascii="Times New Roman" w:hAnsi="Times New Roman" w:cs="Times New Roman"/>
                <w:sz w:val="20"/>
                <w:szCs w:val="20"/>
              </w:rPr>
              <w:instrText xml:space="preserve"> ADDIN ZOTERO_ITEM CSL_CITATION {"citationID":"fvDtHZue","properties":{"formattedCitation":"(Koske et al., 2015)","plainCitation":"(Koske et al., 2015)"},"citationItems":[{"id":7299,"uris":["http://zotero.org/groups/42265/items/3X2X2RVU"],"uri":["http://zotero.org/groups/42265/items/3X2X2RVU"],"itemData":{"id":7299,"type":"report","title":"The 2013 update of the OECD's database on product market regulation: policy insights for OECD and non-OECD countries","publisher":"Organisation for Economic Co-operation and Development","publisher-place":"Paris","genre":"OECD Economics Department Working Papers","source":"OECD","event-place":"Paris","abstract":"This paper investigates patterns in product market regulation across 34 OECD and 21 non-OECD countries, using an updated and revised version of the OECD&amp;#8217;s indicators of product market regulation (PMR). The analysis shows that liberalisation of product markets has further slowed over the past five years. However, even though there was little progress on average in the OECD over this period, a number of OECD countries implemented sizable reforms, often in an attempt to boost economic growth in wake of the economic crisis. On average across the OECD, countries have made particular progress in abolishing price controls or improving their design, streamlining administrative procedures for start-ups, simplifying rules and procedures or improving access to information about regulations. Room for further improvements is the largest in the areas of public ownership and the governance of state-owned enterprises as well as with respect to barriers to competition in network and services sectors.","URL":"http://www.oecd-ilibrary.org/content/workingpaper/5js3f5d3n2vl-en","language":"en","author":[{"family":"Koske","given":"Isabell"},{"family":"Wanner","given":"Isabelle"},{"family":"Bitetti","given":"Rosamaria"},{"family":"Barbiero","given":"Omar"}],"issued":{"date-parts":[["2015",3,31]]}}}],"schema":"https://github.com/citation-style-language/schema/raw/master/csl-citation.json"} </w:instrText>
            </w:r>
            <w:r w:rsidRPr="00C91EA2">
              <w:rPr>
                <w:rFonts w:ascii="Times New Roman" w:hAnsi="Times New Roman" w:cs="Times New Roman"/>
                <w:sz w:val="20"/>
                <w:szCs w:val="20"/>
              </w:rPr>
              <w:fldChar w:fldCharType="separate"/>
            </w:r>
            <w:r w:rsidRPr="00C91EA2">
              <w:rPr>
                <w:rFonts w:ascii="Times New Roman" w:hAnsi="Times New Roman" w:cs="Times New Roman"/>
                <w:sz w:val="20"/>
                <w:szCs w:val="20"/>
              </w:rPr>
              <w:t>Koske et al. (2015)</w:t>
            </w:r>
            <w:r w:rsidRPr="00C91EA2">
              <w:rPr>
                <w:rFonts w:ascii="Times New Roman" w:hAnsi="Times New Roman" w:cs="Times New Roman"/>
                <w:sz w:val="20"/>
                <w:szCs w:val="20"/>
              </w:rPr>
              <w:fldChar w:fldCharType="end"/>
            </w:r>
          </w:p>
        </w:tc>
      </w:tr>
    </w:tbl>
    <w:p w14:paraId="7D562C68" w14:textId="05BDE517" w:rsidR="00EE162B" w:rsidRDefault="002D1818" w:rsidP="002D1818">
      <w:pPr>
        <w:pStyle w:val="NormalNumbered"/>
        <w:tabs>
          <w:tab w:val="left" w:pos="0"/>
        </w:tabs>
      </w:pPr>
      <w:r w:rsidRPr="001A3BDA">
        <w:rPr>
          <w:b/>
          <w:bCs/>
        </w:rPr>
        <w:t xml:space="preserve">SOE presence in otherwise contested markets (e.g. fertilizer production, groundnut processing) and network sectors, coupled with restrictive </w:t>
      </w:r>
      <w:r w:rsidR="003B24ED">
        <w:rPr>
          <w:b/>
          <w:bCs/>
        </w:rPr>
        <w:t>Government</w:t>
      </w:r>
      <w:r w:rsidRPr="001A3BDA">
        <w:rPr>
          <w:b/>
          <w:bCs/>
        </w:rPr>
        <w:t xml:space="preserve"> regulation appear to inhibit private sector entry to markets</w:t>
      </w:r>
      <w:r w:rsidRPr="001A3BDA">
        <w:rPr>
          <w:bCs/>
        </w:rPr>
        <w:t>.</w:t>
      </w:r>
      <w:r w:rsidR="00473D61">
        <w:rPr>
          <w:bCs/>
        </w:rPr>
        <w:t xml:space="preserve"> </w:t>
      </w:r>
      <w:r w:rsidR="00B66A98">
        <w:rPr>
          <w:bCs/>
        </w:rPr>
        <w:t xml:space="preserve">According to the PMR, </w:t>
      </w:r>
      <w:r w:rsidR="003D56AE">
        <w:rPr>
          <w:bCs/>
        </w:rPr>
        <w:t xml:space="preserve">there are 13 sectors in which </w:t>
      </w:r>
      <w:r w:rsidR="00B66A98">
        <w:rPr>
          <w:bCs/>
        </w:rPr>
        <w:t>a</w:t>
      </w:r>
      <w:r w:rsidR="00473D61">
        <w:rPr>
          <w:bCs/>
        </w:rPr>
        <w:t>t least one</w:t>
      </w:r>
      <w:r w:rsidR="00B66A98">
        <w:rPr>
          <w:bCs/>
        </w:rPr>
        <w:t xml:space="preserve"> SOE</w:t>
      </w:r>
      <w:r w:rsidRPr="000576CF">
        <w:rPr>
          <w:bCs/>
        </w:rPr>
        <w:t xml:space="preserve"> </w:t>
      </w:r>
      <w:r w:rsidR="00473D61">
        <w:rPr>
          <w:bCs/>
        </w:rPr>
        <w:t>is present</w:t>
      </w:r>
      <w:r w:rsidRPr="000576CF">
        <w:rPr>
          <w:bCs/>
        </w:rPr>
        <w:t xml:space="preserve">. Although this is in line with the OECD average, </w:t>
      </w:r>
      <w:r w:rsidR="00E719AF">
        <w:rPr>
          <w:bCs/>
        </w:rPr>
        <w:t>it may be worth reconsidering the direct state involvement through SOEs</w:t>
      </w:r>
      <w:r w:rsidR="00B66A98" w:rsidRPr="00B66A98">
        <w:rPr>
          <w:bCs/>
        </w:rPr>
        <w:t xml:space="preserve"> </w:t>
      </w:r>
      <w:r w:rsidR="00B66A98">
        <w:rPr>
          <w:bCs/>
        </w:rPr>
        <w:t xml:space="preserve">in </w:t>
      </w:r>
      <w:r w:rsidR="00B66A98" w:rsidRPr="000576CF">
        <w:t>several Senegalese markets</w:t>
      </w:r>
      <w:r w:rsidRPr="000576CF">
        <w:t xml:space="preserve">. Groundnut processing or fertilizer </w:t>
      </w:r>
      <w:r w:rsidR="00ED740B">
        <w:t>production</w:t>
      </w:r>
      <w:r w:rsidRPr="000576CF">
        <w:t xml:space="preserve">, for example, feature private sector players and are traditionally economic activities that can be carried out by the private sector more efficiently than by SOEs. </w:t>
      </w:r>
      <w:r>
        <w:t>Ensuring competitive neutrality in these markets is therefore crucial</w:t>
      </w:r>
      <w:r w:rsidR="007B7D1A">
        <w:t xml:space="preserve"> </w:t>
      </w:r>
      <w:r w:rsidR="00286674">
        <w:t>for these value chains.</w:t>
      </w:r>
      <w:r>
        <w:t xml:space="preserve"> </w:t>
      </w:r>
    </w:p>
    <w:p w14:paraId="6DF28EFC" w14:textId="4263D423" w:rsidR="002D1818" w:rsidRPr="00DF5E3A" w:rsidRDefault="002D1818" w:rsidP="002D1818">
      <w:pPr>
        <w:pStyle w:val="NormalNumbered"/>
        <w:tabs>
          <w:tab w:val="left" w:pos="0"/>
        </w:tabs>
      </w:pPr>
      <w:r w:rsidRPr="005171FE">
        <w:rPr>
          <w:b/>
          <w:bCs/>
        </w:rPr>
        <w:t xml:space="preserve">Furthermore, the </w:t>
      </w:r>
      <w:r w:rsidR="003B24ED">
        <w:rPr>
          <w:b/>
          <w:bCs/>
        </w:rPr>
        <w:t>Government</w:t>
      </w:r>
      <w:r w:rsidRPr="005171FE">
        <w:rPr>
          <w:b/>
          <w:bCs/>
        </w:rPr>
        <w:t xml:space="preserve"> intervenes in th</w:t>
      </w:r>
      <w:r w:rsidR="00385BA0" w:rsidRPr="005171FE">
        <w:rPr>
          <w:b/>
          <w:bCs/>
        </w:rPr>
        <w:t>e economy through regulation</w:t>
      </w:r>
      <w:r w:rsidR="00E872D2">
        <w:rPr>
          <w:b/>
          <w:bCs/>
        </w:rPr>
        <w:t xml:space="preserve"> of prices</w:t>
      </w:r>
      <w:r w:rsidR="00385BA0" w:rsidRPr="005171FE">
        <w:rPr>
          <w:b/>
          <w:bCs/>
        </w:rPr>
        <w:t xml:space="preserve"> to end consumers</w:t>
      </w:r>
      <w:r w:rsidRPr="005171FE">
        <w:rPr>
          <w:b/>
          <w:bCs/>
        </w:rPr>
        <w:t>.</w:t>
      </w:r>
      <w:r w:rsidRPr="005171FE">
        <w:rPr>
          <w:rFonts w:eastAsia="Calibri"/>
        </w:rPr>
        <w:t xml:space="preserve"> While</w:t>
      </w:r>
      <w:r w:rsidRPr="005171FE">
        <w:rPr>
          <w:rFonts w:eastAsia="Calibri"/>
          <w:b/>
        </w:rPr>
        <w:t xml:space="preserve"> </w:t>
      </w:r>
      <w:r w:rsidR="003B24ED">
        <w:rPr>
          <w:rFonts w:eastAsia="Calibri"/>
        </w:rPr>
        <w:t>Government</w:t>
      </w:r>
      <w:r w:rsidRPr="005171FE">
        <w:rPr>
          <w:rFonts w:eastAsia="Calibri"/>
        </w:rPr>
        <w:t>s may seek different objectives by controlling prices,</w:t>
      </w:r>
      <w:r w:rsidR="00BB6B74">
        <w:rPr>
          <w:rStyle w:val="FootnoteReference"/>
          <w:rFonts w:eastAsia="Calibri"/>
        </w:rPr>
        <w:footnoteReference w:id="8"/>
      </w:r>
      <w:r w:rsidRPr="005171FE">
        <w:rPr>
          <w:rFonts w:eastAsia="Calibri"/>
        </w:rPr>
        <w:t xml:space="preserve"> such as protecting consumers from increasing prices or protecting the incomes of small producers, price controls can </w:t>
      </w:r>
      <w:r w:rsidR="00D954C1" w:rsidRPr="005171FE">
        <w:rPr>
          <w:rFonts w:eastAsia="Calibri"/>
        </w:rPr>
        <w:t>distort</w:t>
      </w:r>
      <w:r w:rsidRPr="005171FE">
        <w:rPr>
          <w:rFonts w:eastAsia="Calibri"/>
        </w:rPr>
        <w:t xml:space="preserve"> markets with more players, </w:t>
      </w:r>
      <w:r w:rsidR="00D954C1" w:rsidRPr="005171FE">
        <w:rPr>
          <w:rFonts w:eastAsia="Calibri"/>
        </w:rPr>
        <w:t xml:space="preserve">by </w:t>
      </w:r>
      <w:r w:rsidRPr="005171FE">
        <w:rPr>
          <w:rFonts w:eastAsia="Calibri"/>
        </w:rPr>
        <w:t>facilitating collusion</w:t>
      </w:r>
      <w:r w:rsidR="00D954C1" w:rsidRPr="005171FE">
        <w:rPr>
          <w:rFonts w:eastAsia="Calibri"/>
        </w:rPr>
        <w:t>, for example,</w:t>
      </w:r>
      <w:r w:rsidRPr="005171FE">
        <w:rPr>
          <w:rFonts w:eastAsia="Calibri"/>
        </w:rPr>
        <w:t xml:space="preserve"> or dampening incentives to invest. In Senegal,</w:t>
      </w:r>
      <w:r w:rsidRPr="005171FE">
        <w:rPr>
          <w:bCs/>
        </w:rPr>
        <w:t xml:space="preserve"> </w:t>
      </w:r>
      <w:r w:rsidR="00D954C1" w:rsidRPr="005171FE">
        <w:rPr>
          <w:bCs/>
        </w:rPr>
        <w:t xml:space="preserve">the state regulates the prices of </w:t>
      </w:r>
      <w:r w:rsidRPr="005171FE">
        <w:rPr>
          <w:bCs/>
        </w:rPr>
        <w:t xml:space="preserve">at least 15 goods and services, including </w:t>
      </w:r>
      <w:r w:rsidRPr="005171FE">
        <w:t xml:space="preserve">staples such as rice and bread, other food products like soy bean oil, sugar and wheat flour, agricultural products </w:t>
      </w:r>
      <w:r w:rsidR="00B756F6">
        <w:t>(</w:t>
      </w:r>
      <w:r w:rsidRPr="005171FE">
        <w:t>like fertilizer, seed and machinery</w:t>
      </w:r>
      <w:r w:rsidR="00B756F6">
        <w:t>)</w:t>
      </w:r>
      <w:r w:rsidR="0065748E">
        <w:t>, electricity, gas</w:t>
      </w:r>
      <w:r w:rsidRPr="005171FE">
        <w:t xml:space="preserve"> </w:t>
      </w:r>
      <w:r w:rsidR="008E48A8">
        <w:t xml:space="preserve">(where the sectors present natural monopoly characteristics) </w:t>
      </w:r>
      <w:r w:rsidRPr="005171FE">
        <w:t xml:space="preserve">and a variety of other products including </w:t>
      </w:r>
      <w:r w:rsidR="007534CE">
        <w:t>cargo</w:t>
      </w:r>
      <w:r w:rsidRPr="005171FE">
        <w:t>, fuels,</w:t>
      </w:r>
      <w:r w:rsidR="0065748E">
        <w:t xml:space="preserve"> </w:t>
      </w:r>
      <w:r w:rsidRPr="005171FE">
        <w:t>and pharmaceuticals</w:t>
      </w:r>
      <w:r w:rsidRPr="005171FE">
        <w:rPr>
          <w:bCs/>
        </w:rPr>
        <w:t>.</w:t>
      </w:r>
      <w:r w:rsidR="00A26FC0" w:rsidRPr="005171FE">
        <w:t xml:space="preserve"> </w:t>
      </w:r>
      <w:r w:rsidR="00A26FC0" w:rsidRPr="005171FE">
        <w:rPr>
          <w:bCs/>
        </w:rPr>
        <w:t xml:space="preserve">The methodology for selecting these products and for setting or assessing the level of prices is not clear. The prices are decided by a committee with representatives from different ministries, producers, private sector associations and consumer bodies. Regional committees of the Ministry of Commerce are responsible for monitoring these prices. For example, in </w:t>
      </w:r>
      <w:r w:rsidR="00145265" w:rsidRPr="005171FE">
        <w:rPr>
          <w:bCs/>
        </w:rPr>
        <w:t xml:space="preserve">the </w:t>
      </w:r>
      <w:r w:rsidR="00A26FC0" w:rsidRPr="005171FE">
        <w:rPr>
          <w:bCs/>
        </w:rPr>
        <w:t xml:space="preserve">transport of cargo, </w:t>
      </w:r>
      <w:r w:rsidR="00EE162B" w:rsidRPr="005171FE">
        <w:rPr>
          <w:bCs/>
        </w:rPr>
        <w:t xml:space="preserve">the </w:t>
      </w:r>
      <w:r w:rsidR="003B24ED">
        <w:rPr>
          <w:bCs/>
        </w:rPr>
        <w:t>Government</w:t>
      </w:r>
      <w:r w:rsidR="00EE162B" w:rsidRPr="005171FE">
        <w:rPr>
          <w:bCs/>
        </w:rPr>
        <w:t xml:space="preserve"> </w:t>
      </w:r>
      <w:proofErr w:type="gramStart"/>
      <w:r w:rsidR="00EE162B" w:rsidRPr="005171FE">
        <w:rPr>
          <w:bCs/>
        </w:rPr>
        <w:t>provides</w:t>
      </w:r>
      <w:proofErr w:type="gramEnd"/>
      <w:r w:rsidR="00EE162B" w:rsidRPr="005171FE">
        <w:rPr>
          <w:bCs/>
        </w:rPr>
        <w:t xml:space="preserve"> and monitors </w:t>
      </w:r>
      <w:r w:rsidR="0006172A">
        <w:rPr>
          <w:bCs/>
        </w:rPr>
        <w:t>rate ranges</w:t>
      </w:r>
      <w:r w:rsidR="00A26FC0" w:rsidRPr="005171FE">
        <w:rPr>
          <w:bCs/>
        </w:rPr>
        <w:t xml:space="preserve"> </w:t>
      </w:r>
      <w:r w:rsidR="0006172A">
        <w:rPr>
          <w:bCs/>
        </w:rPr>
        <w:t>and sets</w:t>
      </w:r>
      <w:r w:rsidR="00A26FC0" w:rsidRPr="005171FE">
        <w:rPr>
          <w:bCs/>
        </w:rPr>
        <w:t xml:space="preserve"> retail price caps for petrol and fuel oil.</w:t>
      </w:r>
      <w:r w:rsidR="005171FE" w:rsidRPr="005171FE">
        <w:rPr>
          <w:bCs/>
        </w:rPr>
        <w:t xml:space="preserve"> </w:t>
      </w:r>
      <w:r w:rsidR="005171FE" w:rsidRPr="005171FE">
        <w:t xml:space="preserve">In the medium term, </w:t>
      </w:r>
      <w:r w:rsidR="005171FE" w:rsidRPr="005171FE">
        <w:rPr>
          <w:bCs/>
        </w:rPr>
        <w:t xml:space="preserve">extensive price controls may lead to inefficiencies and </w:t>
      </w:r>
      <w:r w:rsidR="005171FE" w:rsidRPr="005171FE">
        <w:t>discourage increases in productivity or quality of supplied products.</w:t>
      </w:r>
    </w:p>
    <w:p w14:paraId="0D644778" w14:textId="6DBABF76" w:rsidR="002D1818" w:rsidRDefault="003B24ED" w:rsidP="002D1818">
      <w:pPr>
        <w:jc w:val="both"/>
        <w:rPr>
          <w:rFonts w:ascii="Times New Roman" w:hAnsi="Times New Roman" w:cs="Times New Roman"/>
        </w:rPr>
      </w:pPr>
      <w:r>
        <w:rPr>
          <w:rFonts w:ascii="Times New Roman" w:hAnsi="Times New Roman" w:cs="Times New Roman"/>
          <w:b/>
        </w:rPr>
        <w:t>Government</w:t>
      </w:r>
      <w:r w:rsidR="00A0057D">
        <w:rPr>
          <w:rFonts w:ascii="Times New Roman" w:hAnsi="Times New Roman" w:cs="Times New Roman"/>
          <w:b/>
        </w:rPr>
        <w:t xml:space="preserve"> participation in and </w:t>
      </w:r>
      <w:r w:rsidR="0026792F">
        <w:rPr>
          <w:rFonts w:ascii="Times New Roman" w:hAnsi="Times New Roman" w:cs="Times New Roman"/>
          <w:b/>
        </w:rPr>
        <w:t>the lack of pro-competition regulation</w:t>
      </w:r>
      <w:r w:rsidR="00A0057D">
        <w:rPr>
          <w:rFonts w:ascii="Times New Roman" w:hAnsi="Times New Roman" w:cs="Times New Roman"/>
          <w:b/>
        </w:rPr>
        <w:t xml:space="preserve"> of the</w:t>
      </w:r>
      <w:r w:rsidR="002D1818">
        <w:rPr>
          <w:rFonts w:ascii="Times New Roman" w:hAnsi="Times New Roman" w:cs="Times New Roman"/>
          <w:b/>
        </w:rPr>
        <w:t xml:space="preserve"> network industries</w:t>
      </w:r>
      <w:r w:rsidR="00286674">
        <w:rPr>
          <w:rFonts w:ascii="Times New Roman" w:hAnsi="Times New Roman" w:cs="Times New Roman"/>
          <w:b/>
        </w:rPr>
        <w:t xml:space="preserve"> </w:t>
      </w:r>
      <w:r w:rsidR="005D383D">
        <w:rPr>
          <w:rFonts w:ascii="Times New Roman" w:hAnsi="Times New Roman" w:cs="Times New Roman"/>
          <w:b/>
        </w:rPr>
        <w:t>(such as electricity, gas</w:t>
      </w:r>
      <w:r w:rsidR="009B64ED">
        <w:rPr>
          <w:rFonts w:ascii="Times New Roman" w:hAnsi="Times New Roman" w:cs="Times New Roman"/>
          <w:b/>
        </w:rPr>
        <w:t xml:space="preserve"> and telecommunications</w:t>
      </w:r>
      <w:r w:rsidR="005D383D">
        <w:rPr>
          <w:rFonts w:ascii="Times New Roman" w:hAnsi="Times New Roman" w:cs="Times New Roman"/>
          <w:b/>
        </w:rPr>
        <w:t xml:space="preserve">) </w:t>
      </w:r>
      <w:r w:rsidR="00286674">
        <w:rPr>
          <w:rFonts w:ascii="Times New Roman" w:hAnsi="Times New Roman" w:cs="Times New Roman"/>
          <w:b/>
        </w:rPr>
        <w:t xml:space="preserve">may </w:t>
      </w:r>
      <w:r w:rsidR="002D1818" w:rsidRPr="00C91EA2">
        <w:rPr>
          <w:rFonts w:ascii="Times New Roman" w:hAnsi="Times New Roman" w:cs="Times New Roman"/>
          <w:b/>
        </w:rPr>
        <w:t xml:space="preserve">inhibit the efficient functioning of these </w:t>
      </w:r>
      <w:r w:rsidR="005B57AF">
        <w:rPr>
          <w:rFonts w:ascii="Times New Roman" w:hAnsi="Times New Roman" w:cs="Times New Roman"/>
          <w:b/>
        </w:rPr>
        <w:t>industries</w:t>
      </w:r>
      <w:r w:rsidR="002D1818" w:rsidRPr="00C91EA2">
        <w:rPr>
          <w:rFonts w:ascii="Times New Roman" w:hAnsi="Times New Roman" w:cs="Times New Roman"/>
          <w:b/>
        </w:rPr>
        <w:t xml:space="preserve">. </w:t>
      </w:r>
      <w:r w:rsidR="002D1818" w:rsidRPr="00F97909">
        <w:rPr>
          <w:rFonts w:ascii="Times New Roman" w:hAnsi="Times New Roman" w:cs="Times New Roman"/>
        </w:rPr>
        <w:t xml:space="preserve">While the liberalization of network industries has been critical to improve the overall competitive environment across countries, the </w:t>
      </w:r>
      <w:r>
        <w:rPr>
          <w:rFonts w:ascii="Times New Roman" w:hAnsi="Times New Roman" w:cs="Times New Roman"/>
        </w:rPr>
        <w:t>Government</w:t>
      </w:r>
      <w:r w:rsidR="002D1818" w:rsidRPr="00F97909">
        <w:rPr>
          <w:rFonts w:ascii="Times New Roman" w:hAnsi="Times New Roman" w:cs="Times New Roman"/>
        </w:rPr>
        <w:t xml:space="preserve"> of Senegal maintains a dominant role </w:t>
      </w:r>
      <w:r w:rsidR="00B97F8B">
        <w:rPr>
          <w:rFonts w:ascii="Times New Roman" w:hAnsi="Times New Roman" w:cs="Times New Roman"/>
        </w:rPr>
        <w:t>along the vertical supply</w:t>
      </w:r>
      <w:r w:rsidR="005D383D">
        <w:rPr>
          <w:rFonts w:ascii="Times New Roman" w:hAnsi="Times New Roman" w:cs="Times New Roman"/>
        </w:rPr>
        <w:t xml:space="preserve"> chain</w:t>
      </w:r>
      <w:r w:rsidR="00B97F8B">
        <w:rPr>
          <w:rFonts w:ascii="Times New Roman" w:hAnsi="Times New Roman" w:cs="Times New Roman"/>
        </w:rPr>
        <w:t xml:space="preserve"> </w:t>
      </w:r>
      <w:r w:rsidR="002D1818" w:rsidRPr="00F97909">
        <w:rPr>
          <w:rFonts w:ascii="Times New Roman" w:hAnsi="Times New Roman" w:cs="Times New Roman"/>
        </w:rPr>
        <w:t>in network industries.</w:t>
      </w:r>
      <w:r w:rsidR="002D1818">
        <w:rPr>
          <w:rFonts w:ascii="Times New Roman" w:hAnsi="Times New Roman" w:cs="Times New Roman"/>
        </w:rPr>
        <w:t xml:space="preserve"> </w:t>
      </w:r>
      <w:r w:rsidR="00286674">
        <w:rPr>
          <w:rFonts w:ascii="Times New Roman" w:hAnsi="Times New Roman" w:cs="Times New Roman"/>
        </w:rPr>
        <w:t>The PMR indicates that</w:t>
      </w:r>
      <w:r w:rsidR="002D1818" w:rsidRPr="000E6620">
        <w:rPr>
          <w:rFonts w:ascii="Times New Roman" w:hAnsi="Times New Roman" w:cs="Times New Roman"/>
        </w:rPr>
        <w:t xml:space="preserve"> </w:t>
      </w:r>
      <w:r w:rsidR="00286674">
        <w:rPr>
          <w:rFonts w:ascii="Times New Roman" w:hAnsi="Times New Roman" w:cs="Times New Roman"/>
        </w:rPr>
        <w:t>t</w:t>
      </w:r>
      <w:r w:rsidR="002D1818" w:rsidRPr="000E6620">
        <w:rPr>
          <w:rFonts w:ascii="Times New Roman" w:hAnsi="Times New Roman" w:cs="Times New Roman"/>
        </w:rPr>
        <w:t>here is virtually no vertical separ</w:t>
      </w:r>
      <w:r w:rsidR="002D1818">
        <w:rPr>
          <w:rFonts w:ascii="Times New Roman" w:hAnsi="Times New Roman" w:cs="Times New Roman"/>
        </w:rPr>
        <w:t xml:space="preserve">ation in the electricity market and still no </w:t>
      </w:r>
      <w:r w:rsidR="002D1818" w:rsidRPr="000E6620">
        <w:rPr>
          <w:rFonts w:ascii="Times New Roman" w:hAnsi="Times New Roman" w:cs="Times New Roman"/>
        </w:rPr>
        <w:t>third</w:t>
      </w:r>
      <w:r w:rsidR="005B57AF">
        <w:rPr>
          <w:rFonts w:ascii="Times New Roman" w:hAnsi="Times New Roman" w:cs="Times New Roman"/>
        </w:rPr>
        <w:t>-</w:t>
      </w:r>
      <w:r w:rsidR="002D1818" w:rsidRPr="000E6620">
        <w:rPr>
          <w:rFonts w:ascii="Times New Roman" w:hAnsi="Times New Roman" w:cs="Times New Roman"/>
        </w:rPr>
        <w:t>party access</w:t>
      </w:r>
      <w:r w:rsidR="002D1818">
        <w:rPr>
          <w:rFonts w:ascii="Times New Roman" w:hAnsi="Times New Roman" w:cs="Times New Roman"/>
        </w:rPr>
        <w:t xml:space="preserve"> regulation</w:t>
      </w:r>
      <w:r w:rsidR="002D1818" w:rsidRPr="000E6620">
        <w:rPr>
          <w:rFonts w:ascii="Times New Roman" w:hAnsi="Times New Roman" w:cs="Times New Roman"/>
        </w:rPr>
        <w:t xml:space="preserve"> to the electricity grid</w:t>
      </w:r>
      <w:r w:rsidR="00822EF2">
        <w:rPr>
          <w:rFonts w:ascii="Times New Roman" w:hAnsi="Times New Roman" w:cs="Times New Roman"/>
        </w:rPr>
        <w:t xml:space="preserve">, which may hinder </w:t>
      </w:r>
      <w:r w:rsidR="00EA1FA9">
        <w:rPr>
          <w:rFonts w:ascii="Times New Roman" w:hAnsi="Times New Roman" w:cs="Times New Roman"/>
        </w:rPr>
        <w:t>competitive outcomes</w:t>
      </w:r>
      <w:r w:rsidR="002D1818" w:rsidRPr="000E6620">
        <w:rPr>
          <w:rFonts w:ascii="Times New Roman" w:hAnsi="Times New Roman" w:cs="Times New Roman"/>
        </w:rPr>
        <w:t>.</w:t>
      </w:r>
      <w:r w:rsidR="002D1818" w:rsidRPr="00DB43A3">
        <w:rPr>
          <w:rFonts w:ascii="Times New Roman" w:hAnsi="Times New Roman" w:cs="Times New Roman"/>
          <w:b/>
        </w:rPr>
        <w:t xml:space="preserve"> </w:t>
      </w:r>
    </w:p>
    <w:p w14:paraId="5B168C0D" w14:textId="77777777" w:rsidR="002D1818" w:rsidRDefault="002D1818" w:rsidP="002D1818">
      <w:pPr>
        <w:jc w:val="both"/>
        <w:rPr>
          <w:rFonts w:ascii="Times New Roman" w:hAnsi="Times New Roman" w:cs="Times New Roman"/>
        </w:rPr>
      </w:pPr>
    </w:p>
    <w:p w14:paraId="0B07B72D" w14:textId="77777777" w:rsidR="002D1818" w:rsidRPr="00C91EA2" w:rsidRDefault="002D1818" w:rsidP="002D1818">
      <w:pPr>
        <w:pStyle w:val="ListParagraph"/>
        <w:ind w:left="0"/>
        <w:jc w:val="both"/>
        <w:rPr>
          <w:rFonts w:ascii="Times New Roman" w:hAnsi="Times New Roman" w:cs="Times New Roman"/>
        </w:rPr>
      </w:pPr>
      <w:r>
        <w:rPr>
          <w:rFonts w:ascii="Times New Roman" w:hAnsi="Times New Roman" w:cs="Times New Roman"/>
          <w:b/>
        </w:rPr>
        <w:t>Furthermore, c</w:t>
      </w:r>
      <w:r w:rsidRPr="00C91EA2">
        <w:rPr>
          <w:rFonts w:ascii="Times New Roman" w:hAnsi="Times New Roman" w:cs="Times New Roman"/>
          <w:b/>
        </w:rPr>
        <w:t xml:space="preserve">omplex regulatory procedures </w:t>
      </w:r>
      <w:r w:rsidR="00343B50">
        <w:rPr>
          <w:rFonts w:ascii="Times New Roman" w:hAnsi="Times New Roman" w:cs="Times New Roman"/>
          <w:b/>
        </w:rPr>
        <w:t xml:space="preserve">affect the cost of doing business and firms’ ability to invest. </w:t>
      </w:r>
      <w:r w:rsidRPr="00F97909">
        <w:rPr>
          <w:rFonts w:ascii="Times New Roman" w:hAnsi="Times New Roman" w:cs="Times New Roman"/>
        </w:rPr>
        <w:t>PMR data indicate that</w:t>
      </w:r>
      <w:r>
        <w:rPr>
          <w:rFonts w:ascii="Times New Roman" w:hAnsi="Times New Roman" w:cs="Times New Roman"/>
          <w:b/>
        </w:rPr>
        <w:t xml:space="preserve"> </w:t>
      </w:r>
      <w:r>
        <w:rPr>
          <w:rFonts w:ascii="Times New Roman" w:hAnsi="Times New Roman" w:cs="Times New Roman"/>
        </w:rPr>
        <w:t>n</w:t>
      </w:r>
      <w:r w:rsidRPr="004C0A5A">
        <w:rPr>
          <w:rFonts w:ascii="Times New Roman" w:hAnsi="Times New Roman" w:cs="Times New Roman"/>
        </w:rPr>
        <w:t xml:space="preserve">avigating Senegal’s </w:t>
      </w:r>
      <w:r w:rsidR="00AC5F79">
        <w:rPr>
          <w:rFonts w:ascii="Times New Roman" w:hAnsi="Times New Roman" w:cs="Times New Roman"/>
        </w:rPr>
        <w:t xml:space="preserve">regulatory </w:t>
      </w:r>
      <w:r w:rsidRPr="004C0A5A">
        <w:rPr>
          <w:rFonts w:ascii="Times New Roman" w:hAnsi="Times New Roman" w:cs="Times New Roman"/>
        </w:rPr>
        <w:t xml:space="preserve">system can be difficult, </w:t>
      </w:r>
      <w:r w:rsidR="00AC5F79">
        <w:rPr>
          <w:rFonts w:ascii="Times New Roman" w:hAnsi="Times New Roman" w:cs="Times New Roman"/>
        </w:rPr>
        <w:t>and this difficulty</w:t>
      </w:r>
      <w:r w:rsidR="00AC5F79" w:rsidRPr="004C0A5A">
        <w:rPr>
          <w:rFonts w:ascii="Times New Roman" w:hAnsi="Times New Roman" w:cs="Times New Roman"/>
        </w:rPr>
        <w:t xml:space="preserve"> </w:t>
      </w:r>
      <w:r w:rsidRPr="004C0A5A">
        <w:rPr>
          <w:rFonts w:ascii="Times New Roman" w:hAnsi="Times New Roman" w:cs="Times New Roman"/>
        </w:rPr>
        <w:t>benefits incumbents. Requirements for existing businesses or start-ups and legislation and regulation</w:t>
      </w:r>
      <w:r w:rsidRPr="00C91EA2">
        <w:rPr>
          <w:rFonts w:ascii="Times New Roman" w:hAnsi="Times New Roman" w:cs="Times New Roman"/>
        </w:rPr>
        <w:t>s are not systematically available online</w:t>
      </w:r>
      <w:r w:rsidR="00AC5F79">
        <w:rPr>
          <w:rFonts w:ascii="Times New Roman" w:hAnsi="Times New Roman" w:cs="Times New Roman"/>
        </w:rPr>
        <w:t>,</w:t>
      </w:r>
      <w:r w:rsidRPr="00C91EA2">
        <w:rPr>
          <w:rFonts w:ascii="Times New Roman" w:hAnsi="Times New Roman" w:cs="Times New Roman"/>
        </w:rPr>
        <w:t xml:space="preserve"> and start-ups struggle to ensure that they are in possession of all </w:t>
      </w:r>
      <w:r w:rsidR="00AC5F79">
        <w:rPr>
          <w:rFonts w:ascii="Times New Roman" w:hAnsi="Times New Roman" w:cs="Times New Roman"/>
        </w:rPr>
        <w:t xml:space="preserve">required </w:t>
      </w:r>
      <w:r w:rsidRPr="00C91EA2">
        <w:rPr>
          <w:rFonts w:ascii="Times New Roman" w:hAnsi="Times New Roman" w:cs="Times New Roman"/>
        </w:rPr>
        <w:t>licenses and permits.</w:t>
      </w:r>
      <w:r>
        <w:rPr>
          <w:rFonts w:ascii="Times New Roman" w:hAnsi="Times New Roman" w:cs="Times New Roman"/>
        </w:rPr>
        <w:t xml:space="preserve"> This creates uncertainty for businesses and can prevent new entry. </w:t>
      </w:r>
      <w:r w:rsidR="00FE43A3">
        <w:rPr>
          <w:rFonts w:ascii="Times New Roman" w:hAnsi="Times New Roman" w:cs="Times New Roman"/>
        </w:rPr>
        <w:t xml:space="preserve">The PMR indicates </w:t>
      </w:r>
      <w:r w:rsidRPr="004C0A5A">
        <w:rPr>
          <w:rFonts w:ascii="Times New Roman" w:hAnsi="Times New Roman" w:cs="Times New Roman"/>
        </w:rPr>
        <w:t xml:space="preserve">the continued </w:t>
      </w:r>
      <w:r w:rsidR="00581C53">
        <w:rPr>
          <w:rFonts w:ascii="Times New Roman" w:hAnsi="Times New Roman" w:cs="Times New Roman"/>
        </w:rPr>
        <w:t xml:space="preserve">regulatory </w:t>
      </w:r>
      <w:r w:rsidRPr="004C0A5A">
        <w:rPr>
          <w:rFonts w:ascii="Times New Roman" w:hAnsi="Times New Roman" w:cs="Times New Roman"/>
        </w:rPr>
        <w:t xml:space="preserve">protection of </w:t>
      </w:r>
      <w:r w:rsidR="00282B07">
        <w:rPr>
          <w:rFonts w:ascii="Times New Roman" w:hAnsi="Times New Roman" w:cs="Times New Roman"/>
        </w:rPr>
        <w:t xml:space="preserve">incumbents, </w:t>
      </w:r>
      <w:r w:rsidR="00581C53">
        <w:rPr>
          <w:rFonts w:ascii="Times New Roman" w:hAnsi="Times New Roman" w:cs="Times New Roman"/>
        </w:rPr>
        <w:t xml:space="preserve">as in the case </w:t>
      </w:r>
      <w:r w:rsidR="00BD1953">
        <w:rPr>
          <w:rFonts w:ascii="Times New Roman" w:hAnsi="Times New Roman" w:cs="Times New Roman"/>
        </w:rPr>
        <w:t>of the energy utility</w:t>
      </w:r>
      <w:r w:rsidRPr="00C91EA2">
        <w:rPr>
          <w:rFonts w:ascii="Times New Roman" w:hAnsi="Times New Roman" w:cs="Times New Roman"/>
        </w:rPr>
        <w:t xml:space="preserve">. </w:t>
      </w:r>
      <w:r w:rsidRPr="00914490">
        <w:rPr>
          <w:rFonts w:ascii="Times New Roman" w:hAnsi="Times New Roman" w:cs="Times New Roman"/>
        </w:rPr>
        <w:t>In</w:t>
      </w:r>
      <w:r w:rsidRPr="00C91EA2">
        <w:rPr>
          <w:rFonts w:ascii="Times New Roman" w:hAnsi="Times New Roman" w:cs="Times New Roman"/>
        </w:rPr>
        <w:t xml:space="preserve"> other sectors</w:t>
      </w:r>
      <w:r>
        <w:rPr>
          <w:rFonts w:ascii="Times New Roman" w:hAnsi="Times New Roman" w:cs="Times New Roman"/>
        </w:rPr>
        <w:t>,</w:t>
      </w:r>
      <w:r w:rsidRPr="00C91EA2">
        <w:rPr>
          <w:rFonts w:ascii="Times New Roman" w:hAnsi="Times New Roman" w:cs="Times New Roman"/>
        </w:rPr>
        <w:t xml:space="preserve"> such as post (basic letter services, basic parcel services, courier services), air transport,</w:t>
      </w:r>
      <w:r w:rsidR="0018643A">
        <w:rPr>
          <w:rFonts w:ascii="Times New Roman" w:hAnsi="Times New Roman" w:cs="Times New Roman"/>
        </w:rPr>
        <w:t xml:space="preserve"> telecom,</w:t>
      </w:r>
      <w:r w:rsidRPr="00C91EA2">
        <w:rPr>
          <w:rFonts w:ascii="Times New Roman" w:hAnsi="Times New Roman" w:cs="Times New Roman"/>
        </w:rPr>
        <w:t xml:space="preserve"> railway infrastructure, and water collection, treatment and supply</w:t>
      </w:r>
      <w:r w:rsidR="00B735B0">
        <w:rPr>
          <w:rFonts w:ascii="Times New Roman" w:hAnsi="Times New Roman" w:cs="Times New Roman"/>
        </w:rPr>
        <w:t xml:space="preserve">, </w:t>
      </w:r>
      <w:r w:rsidRPr="00C91EA2">
        <w:rPr>
          <w:rFonts w:ascii="Times New Roman" w:hAnsi="Times New Roman" w:cs="Times New Roman"/>
        </w:rPr>
        <w:t xml:space="preserve">the number of competitors </w:t>
      </w:r>
      <w:r w:rsidR="00124251">
        <w:rPr>
          <w:rFonts w:ascii="Times New Roman" w:hAnsi="Times New Roman" w:cs="Times New Roman"/>
        </w:rPr>
        <w:t xml:space="preserve">allowed to enter into the market </w:t>
      </w:r>
      <w:r w:rsidRPr="00C91EA2">
        <w:rPr>
          <w:rFonts w:ascii="Times New Roman" w:hAnsi="Times New Roman" w:cs="Times New Roman"/>
        </w:rPr>
        <w:t>is restricted</w:t>
      </w:r>
      <w:r w:rsidR="00282B07">
        <w:rPr>
          <w:rFonts w:ascii="Times New Roman" w:hAnsi="Times New Roman" w:cs="Times New Roman"/>
        </w:rPr>
        <w:t xml:space="preserve"> by regulation</w:t>
      </w:r>
      <w:r w:rsidRPr="00C91EA2">
        <w:rPr>
          <w:rFonts w:ascii="Times New Roman" w:hAnsi="Times New Roman" w:cs="Times New Roman"/>
        </w:rPr>
        <w:t>.</w:t>
      </w:r>
    </w:p>
    <w:p w14:paraId="420AF4C4" w14:textId="77777777" w:rsidR="002D1818" w:rsidRPr="00C91EA2" w:rsidRDefault="002D1818" w:rsidP="002D1818">
      <w:pPr>
        <w:pStyle w:val="ListParagraph"/>
        <w:ind w:left="0"/>
        <w:jc w:val="both"/>
        <w:rPr>
          <w:rFonts w:ascii="Times New Roman" w:hAnsi="Times New Roman" w:cs="Times New Roman"/>
        </w:rPr>
      </w:pPr>
    </w:p>
    <w:p w14:paraId="395CDE9E" w14:textId="3050081B" w:rsidR="002D1818" w:rsidRPr="009C03A2" w:rsidRDefault="002D1818" w:rsidP="009C03A2">
      <w:pPr>
        <w:pStyle w:val="ListParagraph"/>
        <w:ind w:left="0"/>
        <w:jc w:val="both"/>
        <w:rPr>
          <w:rFonts w:ascii="Times New Roman" w:hAnsi="Times New Roman" w:cs="Times New Roman"/>
        </w:rPr>
      </w:pPr>
      <w:r w:rsidRPr="00883CBD">
        <w:rPr>
          <w:rFonts w:ascii="Times New Roman" w:hAnsi="Times New Roman" w:cs="Times New Roman"/>
          <w:b/>
          <w:bCs/>
        </w:rPr>
        <w:t xml:space="preserve">While trade and investment </w:t>
      </w:r>
      <w:r w:rsidR="0040269B">
        <w:rPr>
          <w:rFonts w:ascii="Times New Roman" w:hAnsi="Times New Roman" w:cs="Times New Roman"/>
          <w:b/>
          <w:bCs/>
        </w:rPr>
        <w:t>have been</w:t>
      </w:r>
      <w:r w:rsidRPr="00883CBD">
        <w:rPr>
          <w:rFonts w:ascii="Times New Roman" w:hAnsi="Times New Roman" w:cs="Times New Roman"/>
          <w:b/>
          <w:bCs/>
        </w:rPr>
        <w:t xml:space="preserve"> liberalized, Senegal </w:t>
      </w:r>
      <w:r w:rsidR="00284010">
        <w:rPr>
          <w:rFonts w:ascii="Times New Roman" w:hAnsi="Times New Roman" w:cs="Times New Roman"/>
          <w:b/>
          <w:bCs/>
        </w:rPr>
        <w:t>could benefit from</w:t>
      </w:r>
      <w:r w:rsidRPr="00883CBD">
        <w:rPr>
          <w:rFonts w:ascii="Times New Roman" w:hAnsi="Times New Roman" w:cs="Times New Roman"/>
          <w:b/>
          <w:bCs/>
        </w:rPr>
        <w:t xml:space="preserve"> </w:t>
      </w:r>
      <w:r w:rsidR="00284010">
        <w:rPr>
          <w:rFonts w:ascii="Times New Roman" w:hAnsi="Times New Roman" w:cs="Times New Roman"/>
          <w:b/>
          <w:bCs/>
        </w:rPr>
        <w:t xml:space="preserve">a better framework that </w:t>
      </w:r>
      <w:r w:rsidRPr="00883CBD">
        <w:rPr>
          <w:rFonts w:ascii="Times New Roman" w:hAnsi="Times New Roman" w:cs="Times New Roman"/>
          <w:b/>
          <w:bCs/>
        </w:rPr>
        <w:t>facilitate</w:t>
      </w:r>
      <w:r w:rsidR="00284010">
        <w:rPr>
          <w:rFonts w:ascii="Times New Roman" w:hAnsi="Times New Roman" w:cs="Times New Roman"/>
          <w:b/>
          <w:bCs/>
        </w:rPr>
        <w:t>s</w:t>
      </w:r>
      <w:r w:rsidRPr="00883CBD">
        <w:rPr>
          <w:rFonts w:ascii="Times New Roman" w:hAnsi="Times New Roman" w:cs="Times New Roman"/>
          <w:b/>
          <w:bCs/>
        </w:rPr>
        <w:t xml:space="preserve"> trade. </w:t>
      </w:r>
      <w:r w:rsidRPr="00883CBD">
        <w:rPr>
          <w:rFonts w:ascii="Times New Roman" w:hAnsi="Times New Roman" w:cs="Times New Roman"/>
          <w:bCs/>
        </w:rPr>
        <w:t xml:space="preserve">Overall, there </w:t>
      </w:r>
      <w:r w:rsidR="00C76EDA">
        <w:rPr>
          <w:rFonts w:ascii="Times New Roman" w:hAnsi="Times New Roman" w:cs="Times New Roman"/>
          <w:bCs/>
        </w:rPr>
        <w:t>has been no</w:t>
      </w:r>
      <w:r w:rsidRPr="00883CBD">
        <w:rPr>
          <w:rFonts w:ascii="Times New Roman" w:hAnsi="Times New Roman" w:cs="Times New Roman"/>
        </w:rPr>
        <w:t xml:space="preserve"> concerted attempt by the </w:t>
      </w:r>
      <w:r w:rsidR="003B24ED">
        <w:rPr>
          <w:rFonts w:ascii="Times New Roman" w:hAnsi="Times New Roman" w:cs="Times New Roman"/>
        </w:rPr>
        <w:t>Government</w:t>
      </w:r>
      <w:r w:rsidRPr="00883CBD">
        <w:rPr>
          <w:rFonts w:ascii="Times New Roman" w:hAnsi="Times New Roman" w:cs="Times New Roman"/>
        </w:rPr>
        <w:t xml:space="preserve"> to harmonize standards</w:t>
      </w:r>
      <w:r w:rsidR="00C76EDA">
        <w:rPr>
          <w:rFonts w:ascii="Times New Roman" w:hAnsi="Times New Roman" w:cs="Times New Roman"/>
        </w:rPr>
        <w:t xml:space="preserve"> or to</w:t>
      </w:r>
      <w:r w:rsidRPr="00883CBD">
        <w:rPr>
          <w:rFonts w:ascii="Times New Roman" w:hAnsi="Times New Roman" w:cs="Times New Roman"/>
        </w:rPr>
        <w:t xml:space="preserve"> actively encourage the recognition of foreign standards </w:t>
      </w:r>
      <w:r w:rsidR="00C76EDA">
        <w:rPr>
          <w:rFonts w:ascii="Times New Roman" w:hAnsi="Times New Roman" w:cs="Times New Roman"/>
        </w:rPr>
        <w:t>through</w:t>
      </w:r>
      <w:r w:rsidRPr="00883CBD">
        <w:rPr>
          <w:rFonts w:ascii="Times New Roman" w:hAnsi="Times New Roman" w:cs="Times New Roman"/>
        </w:rPr>
        <w:t xml:space="preserve"> mutual recognition agreements (MRAs). When present, MRAs promote trade between the countries</w:t>
      </w:r>
      <w:r w:rsidRPr="00C91EA2">
        <w:rPr>
          <w:rFonts w:ascii="Times New Roman" w:hAnsi="Times New Roman" w:cs="Times New Roman"/>
        </w:rPr>
        <w:t xml:space="preserve"> and facilitate market access. However, Senegal does not have a single MRA in any of the 16 sectors/markets assessed by the PMR.</w:t>
      </w:r>
      <w:r w:rsidRPr="00C91EA2">
        <w:rPr>
          <w:rStyle w:val="FootnoteReference"/>
          <w:rFonts w:ascii="Times New Roman" w:hAnsi="Times New Roman" w:cs="Times New Roman"/>
        </w:rPr>
        <w:footnoteReference w:id="9"/>
      </w:r>
      <w:r w:rsidRPr="00C91EA2">
        <w:rPr>
          <w:rFonts w:ascii="Times New Roman" w:hAnsi="Times New Roman" w:cs="Times New Roman"/>
        </w:rPr>
        <w:t xml:space="preserve"> Similarly, regulators are not required to use internationally harmonized standards and certification procedures in any of the same 16 sectors/markets. </w:t>
      </w:r>
      <w:r w:rsidR="00EB7960">
        <w:rPr>
          <w:rFonts w:ascii="Times New Roman" w:hAnsi="Times New Roman" w:cs="Times New Roman"/>
        </w:rPr>
        <w:t xml:space="preserve">This lack of harmonized standards is a barrier to trade, especially in the presence of the </w:t>
      </w:r>
      <w:r>
        <w:rPr>
          <w:rFonts w:ascii="Times New Roman" w:hAnsi="Times New Roman" w:cs="Times New Roman"/>
        </w:rPr>
        <w:t>explicit t</w:t>
      </w:r>
      <w:r w:rsidRPr="00C91EA2">
        <w:rPr>
          <w:rFonts w:ascii="Times New Roman" w:hAnsi="Times New Roman" w:cs="Times New Roman"/>
        </w:rPr>
        <w:t xml:space="preserve">ariff barriers found in </w:t>
      </w:r>
      <w:proofErr w:type="gramStart"/>
      <w:r w:rsidRPr="00C91EA2">
        <w:rPr>
          <w:rFonts w:ascii="Times New Roman" w:hAnsi="Times New Roman" w:cs="Times New Roman"/>
        </w:rPr>
        <w:t xml:space="preserve">a </w:t>
      </w:r>
      <w:r w:rsidRPr="009C03A2">
        <w:rPr>
          <w:rFonts w:ascii="Times New Roman" w:hAnsi="Times New Roman" w:cs="Times New Roman"/>
        </w:rPr>
        <w:t>number of</w:t>
      </w:r>
      <w:proofErr w:type="gramEnd"/>
      <w:r w:rsidRPr="009C03A2">
        <w:rPr>
          <w:rFonts w:ascii="Times New Roman" w:hAnsi="Times New Roman" w:cs="Times New Roman"/>
        </w:rPr>
        <w:t xml:space="preserve"> sectors for products, such as rice, sugar, wheat, and vegetable oils.</w:t>
      </w:r>
    </w:p>
    <w:p w14:paraId="3AD51DF4" w14:textId="77777777" w:rsidR="009C03A2" w:rsidRPr="009C03A2" w:rsidRDefault="009C03A2" w:rsidP="009C03A2">
      <w:pPr>
        <w:pStyle w:val="ListParagraph"/>
        <w:ind w:left="0"/>
        <w:jc w:val="both"/>
        <w:rPr>
          <w:rFonts w:ascii="Times New Roman" w:hAnsi="Times New Roman" w:cs="Times New Roman"/>
        </w:rPr>
      </w:pPr>
    </w:p>
    <w:p w14:paraId="1CEAE938" w14:textId="77777777" w:rsidR="00A933E4" w:rsidRDefault="009C03A2" w:rsidP="00A933E4">
      <w:pPr>
        <w:jc w:val="both"/>
        <w:rPr>
          <w:rFonts w:ascii="Times New Roman" w:hAnsi="Times New Roman" w:cs="Times New Roman"/>
        </w:rPr>
      </w:pPr>
      <w:r w:rsidRPr="009C03A2">
        <w:rPr>
          <w:rFonts w:ascii="Times New Roman" w:hAnsi="Times New Roman" w:cs="Times New Roman"/>
          <w:b/>
          <w:bCs/>
        </w:rPr>
        <w:t xml:space="preserve">In a simulated scenario, reducing regulatory restrictiveness in several network industries and other service sectors could result in higher income growth. </w:t>
      </w:r>
      <w:r w:rsidRPr="009C03A2">
        <w:rPr>
          <w:rFonts w:ascii="Times New Roman" w:hAnsi="Times New Roman" w:cs="Times New Roman"/>
        </w:rPr>
        <w:t xml:space="preserve">For example, </w:t>
      </w:r>
      <w:r w:rsidR="00A933E4">
        <w:rPr>
          <w:rFonts w:ascii="Times New Roman" w:hAnsi="Times New Roman" w:cs="Times New Roman"/>
        </w:rPr>
        <w:t>if Senegal undergoes reforms that decrease regulatory restrictiveness</w:t>
      </w:r>
      <w:r w:rsidR="00A933E4">
        <w:rPr>
          <w:rStyle w:val="FootnoteReference"/>
          <w:rFonts w:ascii="Times New Roman" w:hAnsi="Times New Roman" w:cs="Times New Roman"/>
        </w:rPr>
        <w:footnoteReference w:id="10"/>
      </w:r>
      <w:r w:rsidR="00A933E4">
        <w:rPr>
          <w:rFonts w:ascii="Times New Roman" w:hAnsi="Times New Roman" w:cs="Times New Roman"/>
        </w:rPr>
        <w:t xml:space="preserve"> of network inputs (electricity, gas and water), post and telecommunication, transport and other business services, growth in value added in industries intensive </w:t>
      </w:r>
      <w:r w:rsidR="00A9676E">
        <w:rPr>
          <w:rFonts w:ascii="Times New Roman" w:hAnsi="Times New Roman" w:cs="Times New Roman"/>
        </w:rPr>
        <w:t xml:space="preserve">in </w:t>
      </w:r>
      <w:r w:rsidR="00A933E4">
        <w:rPr>
          <w:rFonts w:ascii="Times New Roman" w:hAnsi="Times New Roman" w:cs="Times New Roman"/>
        </w:rPr>
        <w:t xml:space="preserve">these services and network inputs </w:t>
      </w:r>
      <w:r w:rsidR="00EE7C27">
        <w:rPr>
          <w:rFonts w:ascii="Times New Roman" w:hAnsi="Times New Roman" w:cs="Times New Roman"/>
        </w:rPr>
        <w:t xml:space="preserve">would translate </w:t>
      </w:r>
      <w:r w:rsidR="005B2EF4">
        <w:rPr>
          <w:rFonts w:ascii="Times New Roman" w:hAnsi="Times New Roman" w:cs="Times New Roman"/>
        </w:rPr>
        <w:t>into additional 0.2 up to 0.5 percent</w:t>
      </w:r>
      <w:r w:rsidR="005B2EF4" w:rsidRPr="00A933E4">
        <w:rPr>
          <w:rFonts w:ascii="Times New Roman" w:hAnsi="Times New Roman" w:cs="Times New Roman"/>
        </w:rPr>
        <w:t xml:space="preserve"> growth o</w:t>
      </w:r>
      <w:r w:rsidR="005B2EF4">
        <w:rPr>
          <w:rFonts w:ascii="Times New Roman" w:hAnsi="Times New Roman" w:cs="Times New Roman"/>
        </w:rPr>
        <w:t>f annual GDP</w:t>
      </w:r>
      <w:r w:rsidR="00A933E4">
        <w:rPr>
          <w:rFonts w:ascii="Times New Roman" w:hAnsi="Times New Roman" w:cs="Times New Roman"/>
        </w:rPr>
        <w:t xml:space="preserve">, all else </w:t>
      </w:r>
      <w:r w:rsidR="00B25D5E">
        <w:rPr>
          <w:rFonts w:ascii="Times New Roman" w:hAnsi="Times New Roman" w:cs="Times New Roman"/>
        </w:rPr>
        <w:t xml:space="preserve">being </w:t>
      </w:r>
      <w:r w:rsidR="00A933E4">
        <w:rPr>
          <w:rFonts w:ascii="Times New Roman" w:hAnsi="Times New Roman" w:cs="Times New Roman"/>
        </w:rPr>
        <w:t>equal.</w:t>
      </w:r>
    </w:p>
    <w:p w14:paraId="7B01B912" w14:textId="77777777" w:rsidR="00A26FC0" w:rsidRDefault="00A26FC0" w:rsidP="002D1818">
      <w:pPr>
        <w:pStyle w:val="ListParagraph"/>
        <w:ind w:left="0"/>
        <w:jc w:val="both"/>
        <w:rPr>
          <w:rFonts w:ascii="Times New Roman" w:hAnsi="Times New Roman" w:cs="Times New Roman"/>
        </w:rPr>
      </w:pPr>
    </w:p>
    <w:p w14:paraId="0C25DC6E" w14:textId="059FF6D8" w:rsidR="00EE7C27" w:rsidRPr="005B2EF4" w:rsidRDefault="00C85522" w:rsidP="00EE7C27">
      <w:pPr>
        <w:tabs>
          <w:tab w:val="num" w:pos="2160"/>
          <w:tab w:val="num" w:pos="2880"/>
        </w:tabs>
        <w:autoSpaceDE w:val="0"/>
        <w:autoSpaceDN w:val="0"/>
        <w:adjustRightInd w:val="0"/>
        <w:jc w:val="both"/>
        <w:rPr>
          <w:rFonts w:ascii="Times New Roman" w:eastAsia="Times New Roman" w:hAnsi="Times New Roman" w:cs="Times New Roman"/>
          <w:b/>
          <w:color w:val="548DD4" w:themeColor="text2" w:themeTint="99"/>
          <w:lang w:eastAsia="fr-FR"/>
        </w:rPr>
      </w:pPr>
      <w:r>
        <w:rPr>
          <w:rFonts w:ascii="Times New Roman" w:eastAsia="Times New Roman" w:hAnsi="Times New Roman" w:cs="Times New Roman"/>
          <w:b/>
          <w:color w:val="548DD4" w:themeColor="text2" w:themeTint="99"/>
          <w:lang w:eastAsia="fr-FR"/>
        </w:rPr>
        <w:t>A</w:t>
      </w:r>
      <w:r w:rsidR="00331645">
        <w:rPr>
          <w:rFonts w:ascii="Times New Roman" w:eastAsia="Times New Roman" w:hAnsi="Times New Roman" w:cs="Times New Roman"/>
          <w:b/>
          <w:color w:val="548DD4" w:themeColor="text2" w:themeTint="99"/>
          <w:lang w:eastAsia="fr-FR"/>
        </w:rPr>
        <w:t xml:space="preserve"> more</w:t>
      </w:r>
      <w:r w:rsidR="00AF2A02" w:rsidRPr="005B2EF4">
        <w:rPr>
          <w:rFonts w:ascii="Times New Roman" w:eastAsia="Times New Roman" w:hAnsi="Times New Roman" w:cs="Times New Roman"/>
          <w:b/>
          <w:color w:val="548DD4" w:themeColor="text2" w:themeTint="99"/>
          <w:lang w:eastAsia="fr-FR"/>
        </w:rPr>
        <w:t xml:space="preserve"> effective</w:t>
      </w:r>
      <w:r w:rsidR="00A32D37" w:rsidRPr="005B2EF4">
        <w:rPr>
          <w:rFonts w:ascii="Times New Roman" w:eastAsia="Times New Roman" w:hAnsi="Times New Roman" w:cs="Times New Roman"/>
          <w:b/>
          <w:color w:val="548DD4" w:themeColor="text2" w:themeTint="99"/>
          <w:lang w:eastAsia="fr-FR"/>
        </w:rPr>
        <w:t xml:space="preserve"> competition policy</w:t>
      </w:r>
      <w:r w:rsidR="00EE7C27" w:rsidRPr="005B2EF4">
        <w:rPr>
          <w:rFonts w:ascii="Times New Roman" w:eastAsia="Times New Roman" w:hAnsi="Times New Roman" w:cs="Times New Roman"/>
          <w:b/>
          <w:color w:val="548DD4" w:themeColor="text2" w:themeTint="99"/>
          <w:lang w:eastAsia="fr-FR"/>
        </w:rPr>
        <w:t xml:space="preserve"> </w:t>
      </w:r>
      <w:r w:rsidR="00331645">
        <w:rPr>
          <w:rFonts w:ascii="Times New Roman" w:eastAsia="Times New Roman" w:hAnsi="Times New Roman" w:cs="Times New Roman"/>
          <w:b/>
          <w:color w:val="548DD4" w:themeColor="text2" w:themeTint="99"/>
          <w:lang w:eastAsia="fr-FR"/>
        </w:rPr>
        <w:t xml:space="preserve">would boost </w:t>
      </w:r>
      <w:r w:rsidR="00EE7C27" w:rsidRPr="005B2EF4">
        <w:rPr>
          <w:rFonts w:ascii="Times New Roman" w:eastAsia="Times New Roman" w:hAnsi="Times New Roman" w:cs="Times New Roman"/>
          <w:b/>
          <w:color w:val="548DD4" w:themeColor="text2" w:themeTint="99"/>
          <w:lang w:eastAsia="fr-FR"/>
        </w:rPr>
        <w:t xml:space="preserve">Senegal’s ability to address anticompetitive conduct </w:t>
      </w:r>
      <w:r w:rsidR="00A32D37" w:rsidRPr="005B2EF4">
        <w:rPr>
          <w:rFonts w:ascii="Times New Roman" w:eastAsia="Times New Roman" w:hAnsi="Times New Roman" w:cs="Times New Roman"/>
          <w:b/>
          <w:color w:val="548DD4" w:themeColor="text2" w:themeTint="99"/>
          <w:lang w:eastAsia="fr-FR"/>
        </w:rPr>
        <w:t xml:space="preserve">and </w:t>
      </w:r>
      <w:r w:rsidR="00651453" w:rsidRPr="005B2EF4">
        <w:rPr>
          <w:rFonts w:ascii="Times New Roman" w:eastAsia="Times New Roman" w:hAnsi="Times New Roman" w:cs="Times New Roman"/>
          <w:b/>
          <w:color w:val="548DD4" w:themeColor="text2" w:themeTint="99"/>
          <w:lang w:eastAsia="fr-FR"/>
        </w:rPr>
        <w:t xml:space="preserve">to </w:t>
      </w:r>
      <w:r w:rsidR="00AB2462">
        <w:rPr>
          <w:rFonts w:ascii="Times New Roman" w:eastAsia="Times New Roman" w:hAnsi="Times New Roman" w:cs="Times New Roman"/>
          <w:b/>
          <w:color w:val="548DD4" w:themeColor="text2" w:themeTint="99"/>
          <w:lang w:eastAsia="fr-FR"/>
        </w:rPr>
        <w:t>promote pro-competition policies</w:t>
      </w:r>
    </w:p>
    <w:p w14:paraId="2386293A" w14:textId="77777777" w:rsidR="00EE7C27" w:rsidRDefault="00EE7C27" w:rsidP="00EE7C27">
      <w:pPr>
        <w:tabs>
          <w:tab w:val="num" w:pos="2160"/>
          <w:tab w:val="num" w:pos="2880"/>
        </w:tabs>
        <w:autoSpaceDE w:val="0"/>
        <w:autoSpaceDN w:val="0"/>
        <w:adjustRightInd w:val="0"/>
        <w:jc w:val="both"/>
        <w:rPr>
          <w:rFonts w:ascii="Times New Roman" w:eastAsia="Times New Roman" w:hAnsi="Times New Roman" w:cs="Times New Roman"/>
          <w:b/>
          <w:lang w:eastAsia="fr-FR"/>
        </w:rPr>
      </w:pPr>
    </w:p>
    <w:p w14:paraId="6CE85190" w14:textId="0A0BA4F4" w:rsidR="00EE7C27" w:rsidRPr="00C91EA2" w:rsidRDefault="00EE7C27" w:rsidP="00EE7C27">
      <w:pPr>
        <w:tabs>
          <w:tab w:val="num" w:pos="2160"/>
          <w:tab w:val="num" w:pos="2880"/>
        </w:tabs>
        <w:autoSpaceDE w:val="0"/>
        <w:autoSpaceDN w:val="0"/>
        <w:adjustRightInd w:val="0"/>
        <w:jc w:val="both"/>
        <w:rPr>
          <w:rFonts w:ascii="Times New Roman" w:hAnsi="Times New Roman" w:cs="Times New Roman"/>
          <w:b/>
          <w:sz w:val="22"/>
          <w:szCs w:val="22"/>
        </w:rPr>
      </w:pPr>
      <w:r>
        <w:rPr>
          <w:rFonts w:ascii="Times New Roman" w:eastAsia="Times New Roman" w:hAnsi="Times New Roman" w:cs="Times New Roman"/>
          <w:b/>
          <w:lang w:eastAsia="fr-FR"/>
        </w:rPr>
        <w:t xml:space="preserve">Currently, </w:t>
      </w:r>
      <w:r w:rsidRPr="00C91EA2">
        <w:rPr>
          <w:rFonts w:ascii="Times New Roman" w:eastAsia="Times New Roman" w:hAnsi="Times New Roman" w:cs="Times New Roman"/>
          <w:b/>
          <w:lang w:eastAsia="fr-FR"/>
        </w:rPr>
        <w:t xml:space="preserve">Senegal’s antitrust framework is not functional, </w:t>
      </w:r>
      <w:r>
        <w:rPr>
          <w:rFonts w:ascii="Times New Roman" w:eastAsia="Times New Roman" w:hAnsi="Times New Roman" w:cs="Times New Roman"/>
          <w:b/>
          <w:lang w:eastAsia="fr-FR"/>
        </w:rPr>
        <w:t xml:space="preserve">and thus it is </w:t>
      </w:r>
      <w:r w:rsidR="00F04076">
        <w:rPr>
          <w:rFonts w:ascii="Times New Roman" w:eastAsia="Times New Roman" w:hAnsi="Times New Roman" w:cs="Times New Roman"/>
          <w:b/>
          <w:lang w:eastAsia="fr-FR"/>
        </w:rPr>
        <w:t>even more</w:t>
      </w:r>
      <w:r>
        <w:rPr>
          <w:rFonts w:ascii="Times New Roman" w:eastAsia="Times New Roman" w:hAnsi="Times New Roman" w:cs="Times New Roman"/>
          <w:b/>
          <w:lang w:eastAsia="fr-FR"/>
        </w:rPr>
        <w:t xml:space="preserve"> important that </w:t>
      </w:r>
      <w:r w:rsidR="00EA7A1D">
        <w:rPr>
          <w:rFonts w:ascii="Times New Roman" w:eastAsia="Times New Roman" w:hAnsi="Times New Roman" w:cs="Times New Roman"/>
          <w:b/>
          <w:lang w:eastAsia="fr-FR"/>
        </w:rPr>
        <w:t xml:space="preserve">the </w:t>
      </w:r>
      <w:r w:rsidR="003B24ED">
        <w:rPr>
          <w:rFonts w:ascii="Times New Roman" w:eastAsia="Times New Roman" w:hAnsi="Times New Roman" w:cs="Times New Roman"/>
          <w:b/>
          <w:lang w:eastAsia="fr-FR"/>
        </w:rPr>
        <w:t>Government</w:t>
      </w:r>
      <w:r w:rsidRPr="00C91EA2">
        <w:rPr>
          <w:rFonts w:ascii="Times New Roman" w:eastAsia="Times New Roman" w:hAnsi="Times New Roman" w:cs="Times New Roman"/>
          <w:b/>
          <w:lang w:eastAsia="fr-FR"/>
        </w:rPr>
        <w:t xml:space="preserve"> </w:t>
      </w:r>
      <w:r w:rsidR="00F04076">
        <w:rPr>
          <w:rFonts w:ascii="Times New Roman" w:eastAsia="Times New Roman" w:hAnsi="Times New Roman" w:cs="Times New Roman"/>
          <w:b/>
          <w:lang w:eastAsia="fr-FR"/>
        </w:rPr>
        <w:t>promotes</w:t>
      </w:r>
      <w:r>
        <w:rPr>
          <w:rFonts w:ascii="Times New Roman" w:eastAsia="Times New Roman" w:hAnsi="Times New Roman" w:cs="Times New Roman"/>
          <w:b/>
          <w:lang w:eastAsia="fr-FR"/>
        </w:rPr>
        <w:t xml:space="preserve"> the adoption of pro-</w:t>
      </w:r>
      <w:r w:rsidRPr="00C91EA2">
        <w:rPr>
          <w:rFonts w:ascii="Times New Roman" w:eastAsia="Times New Roman" w:hAnsi="Times New Roman" w:cs="Times New Roman"/>
          <w:b/>
          <w:lang w:eastAsia="fr-FR"/>
        </w:rPr>
        <w:t>competition</w:t>
      </w:r>
      <w:r>
        <w:rPr>
          <w:rFonts w:ascii="Times New Roman" w:eastAsia="Times New Roman" w:hAnsi="Times New Roman" w:cs="Times New Roman"/>
          <w:b/>
          <w:lang w:eastAsia="fr-FR"/>
        </w:rPr>
        <w:t xml:space="preserve"> policies</w:t>
      </w:r>
      <w:r w:rsidRPr="00C91EA2">
        <w:rPr>
          <w:rFonts w:ascii="Times New Roman" w:eastAsia="Times New Roman" w:hAnsi="Times New Roman" w:cs="Times New Roman"/>
          <w:b/>
          <w:lang w:eastAsia="fr-FR"/>
        </w:rPr>
        <w:t>.</w:t>
      </w:r>
      <w:r w:rsidRPr="00C91EA2">
        <w:rPr>
          <w:rFonts w:ascii="Times New Roman" w:eastAsia="Times New Roman" w:hAnsi="Times New Roman" w:cs="Times New Roman"/>
          <w:lang w:eastAsia="fr-FR"/>
        </w:rPr>
        <w:t xml:space="preserve"> The </w:t>
      </w:r>
      <w:r w:rsidRPr="00C91EA2">
        <w:rPr>
          <w:rFonts w:ascii="Times New Roman" w:eastAsia="Times New Roman" w:hAnsi="Times New Roman" w:cs="Times New Roman"/>
          <w:bCs/>
          <w:lang w:eastAsia="fr-FR"/>
        </w:rPr>
        <w:t xml:space="preserve">National Competition Commission (NCC) lost national enforcement powers in favor of the </w:t>
      </w:r>
      <w:r w:rsidRPr="00C91EA2">
        <w:rPr>
          <w:rFonts w:ascii="Times New Roman" w:hAnsi="Times New Roman" w:cs="Times New Roman"/>
          <w:color w:val="000000"/>
        </w:rPr>
        <w:t xml:space="preserve">West African Economic and Monetary Union </w:t>
      </w:r>
      <w:r>
        <w:rPr>
          <w:rFonts w:ascii="Times New Roman" w:hAnsi="Times New Roman" w:cs="Times New Roman"/>
          <w:color w:val="000000"/>
        </w:rPr>
        <w:t>(</w:t>
      </w:r>
      <w:r w:rsidRPr="00C91EA2">
        <w:rPr>
          <w:rFonts w:ascii="Times New Roman" w:eastAsia="Times New Roman" w:hAnsi="Times New Roman" w:cs="Times New Roman"/>
          <w:bCs/>
          <w:lang w:eastAsia="fr-FR"/>
        </w:rPr>
        <w:t>WAEMU</w:t>
      </w:r>
      <w:r>
        <w:rPr>
          <w:rFonts w:ascii="Times New Roman" w:eastAsia="Times New Roman" w:hAnsi="Times New Roman" w:cs="Times New Roman"/>
          <w:bCs/>
          <w:lang w:eastAsia="fr-FR"/>
        </w:rPr>
        <w:t>)</w:t>
      </w:r>
      <w:r w:rsidRPr="00C91EA2">
        <w:rPr>
          <w:rFonts w:ascii="Times New Roman" w:eastAsia="Times New Roman" w:hAnsi="Times New Roman" w:cs="Times New Roman"/>
          <w:bCs/>
          <w:lang w:eastAsia="fr-FR"/>
        </w:rPr>
        <w:t xml:space="preserve"> Commission in </w:t>
      </w:r>
      <w:r w:rsidRPr="00B7157C">
        <w:rPr>
          <w:rFonts w:ascii="Times New Roman" w:eastAsia="Times New Roman" w:hAnsi="Times New Roman" w:cs="Times New Roman"/>
          <w:bCs/>
          <w:lang w:eastAsia="fr-FR"/>
        </w:rPr>
        <w:t>200</w:t>
      </w:r>
      <w:r>
        <w:rPr>
          <w:rFonts w:ascii="Times New Roman" w:eastAsia="Times New Roman" w:hAnsi="Times New Roman" w:cs="Times New Roman"/>
          <w:bCs/>
          <w:lang w:eastAsia="fr-FR"/>
        </w:rPr>
        <w:t>3</w:t>
      </w:r>
      <w:r w:rsidRPr="00C91EA2">
        <w:rPr>
          <w:rFonts w:ascii="Times New Roman" w:eastAsia="Times New Roman" w:hAnsi="Times New Roman" w:cs="Times New Roman"/>
          <w:bCs/>
          <w:lang w:eastAsia="fr-FR"/>
        </w:rPr>
        <w:t xml:space="preserve">, </w:t>
      </w:r>
      <w:r>
        <w:rPr>
          <w:rFonts w:ascii="Times New Roman" w:eastAsia="Times New Roman" w:hAnsi="Times New Roman" w:cs="Times New Roman"/>
          <w:bCs/>
          <w:lang w:eastAsia="fr-FR"/>
        </w:rPr>
        <w:t>when WAEMU competition law came into force. This means that</w:t>
      </w:r>
      <w:r w:rsidRPr="00C91EA2">
        <w:rPr>
          <w:rFonts w:ascii="Times New Roman" w:eastAsia="Times New Roman" w:hAnsi="Times New Roman" w:cs="Times New Roman"/>
          <w:bCs/>
          <w:lang w:eastAsia="fr-FR"/>
        </w:rPr>
        <w:t xml:space="preserve"> the </w:t>
      </w:r>
      <w:r w:rsidRPr="00C91EA2">
        <w:rPr>
          <w:rFonts w:ascii="Times New Roman" w:eastAsia="Times New Roman" w:hAnsi="Times New Roman" w:cs="Times New Roman"/>
          <w:lang w:eastAsia="fr-FR"/>
        </w:rPr>
        <w:t xml:space="preserve">NCC may only conduct preliminary investigations and market analyses subject to the WAEMU Commission’s instructions. </w:t>
      </w:r>
      <w:r>
        <w:rPr>
          <w:rFonts w:ascii="Times New Roman" w:eastAsia="Times New Roman" w:hAnsi="Times New Roman" w:cs="Times New Roman"/>
          <w:lang w:eastAsia="fr-FR"/>
        </w:rPr>
        <w:t>At the same time</w:t>
      </w:r>
      <w:r w:rsidRPr="00C91EA2">
        <w:rPr>
          <w:rFonts w:ascii="Times New Roman" w:eastAsia="Times New Roman" w:hAnsi="Times New Roman" w:cs="Times New Roman"/>
          <w:lang w:eastAsia="fr-FR"/>
        </w:rPr>
        <w:t xml:space="preserve">, the WAEMU Commission has limited resources to finalize investigations and has not issued competition decisions, which limits </w:t>
      </w:r>
      <w:r>
        <w:rPr>
          <w:rFonts w:ascii="Times New Roman" w:eastAsia="Times New Roman" w:hAnsi="Times New Roman" w:cs="Times New Roman"/>
          <w:lang w:eastAsia="fr-FR"/>
        </w:rPr>
        <w:t xml:space="preserve">the effectiveness of competition law enforcement in Senegal. </w:t>
      </w:r>
      <w:r w:rsidRPr="00C91EA2">
        <w:rPr>
          <w:rFonts w:ascii="Times New Roman" w:eastAsia="Times New Roman" w:hAnsi="Times New Roman" w:cs="Times New Roman"/>
          <w:lang w:eastAsia="fr-FR"/>
        </w:rPr>
        <w:t>Furthermore, there is little de facto collaboration between NCC and the WAEMU Commission.</w:t>
      </w:r>
      <w:r w:rsidR="005D383D" w:rsidRPr="005D383D">
        <w:rPr>
          <w:rFonts w:ascii="Times New Roman" w:eastAsia="Times New Roman" w:hAnsi="Times New Roman"/>
          <w:sz w:val="20"/>
          <w:szCs w:val="20"/>
          <w:lang w:val="en-GB"/>
        </w:rPr>
        <w:t xml:space="preserve"> </w:t>
      </w:r>
      <w:r w:rsidR="005D383D" w:rsidRPr="007575D7">
        <w:rPr>
          <w:rFonts w:ascii="Times New Roman" w:eastAsia="Times New Roman" w:hAnsi="Times New Roman" w:cs="Times New Roman"/>
          <w:lang w:eastAsia="fr-FR"/>
        </w:rPr>
        <w:t xml:space="preserve">Developing efforts within WAEMU to approve legislation delegating powers to national competition authorities to investigate and decide on anticompetitive practices that occur on the national territory and do not have cross-border </w:t>
      </w:r>
      <w:r w:rsidR="00A816F0" w:rsidRPr="007575D7">
        <w:rPr>
          <w:rFonts w:ascii="Times New Roman" w:eastAsia="Times New Roman" w:hAnsi="Times New Roman" w:cs="Times New Roman"/>
          <w:lang w:eastAsia="fr-FR"/>
        </w:rPr>
        <w:t>effects and</w:t>
      </w:r>
      <w:r w:rsidR="005D383D" w:rsidRPr="007575D7">
        <w:rPr>
          <w:rFonts w:ascii="Times New Roman" w:eastAsia="Times New Roman" w:hAnsi="Times New Roman" w:cs="Times New Roman"/>
          <w:lang w:eastAsia="fr-FR"/>
        </w:rPr>
        <w:t xml:space="preserve"> translating these into a more effective national competition policy framework</w:t>
      </w:r>
      <w:r w:rsidR="00290D57">
        <w:rPr>
          <w:rFonts w:ascii="Times New Roman" w:eastAsia="Times New Roman" w:hAnsi="Times New Roman" w:cs="Times New Roman"/>
          <w:lang w:eastAsia="fr-FR"/>
        </w:rPr>
        <w:t>,</w:t>
      </w:r>
      <w:r w:rsidR="005D383D" w:rsidRPr="007575D7">
        <w:rPr>
          <w:rFonts w:ascii="Times New Roman" w:eastAsia="Times New Roman" w:hAnsi="Times New Roman" w:cs="Times New Roman"/>
          <w:lang w:eastAsia="fr-FR"/>
        </w:rPr>
        <w:t xml:space="preserve"> will be key going forward.</w:t>
      </w:r>
    </w:p>
    <w:p w14:paraId="278DE3B2" w14:textId="77777777" w:rsidR="002D1818" w:rsidRDefault="002D1818" w:rsidP="002D1818">
      <w:pPr>
        <w:autoSpaceDE w:val="0"/>
        <w:autoSpaceDN w:val="0"/>
        <w:adjustRightInd w:val="0"/>
        <w:jc w:val="both"/>
        <w:rPr>
          <w:rFonts w:ascii="Times New Roman" w:hAnsi="Times New Roman" w:cs="Times New Roman"/>
        </w:rPr>
      </w:pPr>
    </w:p>
    <w:p w14:paraId="0964EA2D" w14:textId="77777777" w:rsidR="002D1818" w:rsidRPr="00740AF2" w:rsidRDefault="002D1818" w:rsidP="00740AF2">
      <w:pPr>
        <w:autoSpaceDE w:val="0"/>
        <w:autoSpaceDN w:val="0"/>
        <w:adjustRightInd w:val="0"/>
        <w:jc w:val="both"/>
        <w:rPr>
          <w:rFonts w:ascii="Times New Roman" w:hAnsi="Times New Roman" w:cs="Times New Roman"/>
          <w:b/>
          <w:color w:val="548DD4" w:themeColor="text2" w:themeTint="99"/>
        </w:rPr>
      </w:pPr>
      <w:r w:rsidRPr="00740AF2">
        <w:rPr>
          <w:rFonts w:ascii="Times New Roman" w:hAnsi="Times New Roman" w:cs="Times New Roman"/>
          <w:b/>
          <w:color w:val="548DD4" w:themeColor="text2" w:themeTint="99"/>
        </w:rPr>
        <w:t xml:space="preserve">Pursuing solutions to remove competition constraints can have a positive impact not only on </w:t>
      </w:r>
      <w:r w:rsidR="00451566" w:rsidRPr="00740AF2">
        <w:rPr>
          <w:rFonts w:ascii="Times New Roman" w:hAnsi="Times New Roman" w:cs="Times New Roman"/>
          <w:b/>
          <w:color w:val="548DD4" w:themeColor="text2" w:themeTint="99"/>
        </w:rPr>
        <w:t xml:space="preserve">economic </w:t>
      </w:r>
      <w:r w:rsidRPr="00740AF2">
        <w:rPr>
          <w:rFonts w:ascii="Times New Roman" w:hAnsi="Times New Roman" w:cs="Times New Roman"/>
          <w:b/>
          <w:color w:val="548DD4" w:themeColor="text2" w:themeTint="99"/>
        </w:rPr>
        <w:t>diversification and growth, but also on poverty reduction</w:t>
      </w:r>
    </w:p>
    <w:p w14:paraId="7F7870E6" w14:textId="77777777" w:rsidR="002D1818" w:rsidRPr="007C3E89" w:rsidRDefault="002D1818" w:rsidP="002D1818">
      <w:pPr>
        <w:autoSpaceDE w:val="0"/>
        <w:autoSpaceDN w:val="0"/>
        <w:adjustRightInd w:val="0"/>
        <w:jc w:val="both"/>
        <w:rPr>
          <w:rFonts w:ascii="Times New Roman" w:hAnsi="Times New Roman" w:cs="Times New Roman"/>
          <w:b/>
          <w:i/>
        </w:rPr>
      </w:pPr>
    </w:p>
    <w:p w14:paraId="484FFEAF" w14:textId="6487BD9E" w:rsidR="002D1818" w:rsidRPr="00C91EA2" w:rsidRDefault="002D1818" w:rsidP="00EE7C27">
      <w:pPr>
        <w:autoSpaceDE w:val="0"/>
        <w:autoSpaceDN w:val="0"/>
        <w:adjustRightInd w:val="0"/>
        <w:jc w:val="both"/>
        <w:rPr>
          <w:rFonts w:ascii="Times New Roman" w:hAnsi="Times New Roman" w:cs="Times New Roman"/>
        </w:rPr>
      </w:pPr>
      <w:r>
        <w:rPr>
          <w:rFonts w:ascii="Times New Roman" w:hAnsi="Times New Roman" w:cs="Times New Roman"/>
          <w:b/>
        </w:rPr>
        <w:t>Addressing</w:t>
      </w:r>
      <w:r w:rsidRPr="00C91EA2">
        <w:rPr>
          <w:rFonts w:ascii="Times New Roman" w:hAnsi="Times New Roman" w:cs="Times New Roman"/>
          <w:b/>
        </w:rPr>
        <w:t xml:space="preserve"> competition constraints across markets is not only important for private</w:t>
      </w:r>
      <w:r w:rsidR="00D81E98">
        <w:rPr>
          <w:rFonts w:ascii="Times New Roman" w:hAnsi="Times New Roman" w:cs="Times New Roman"/>
          <w:b/>
        </w:rPr>
        <w:t>-</w:t>
      </w:r>
      <w:r w:rsidRPr="00C91EA2">
        <w:rPr>
          <w:rFonts w:ascii="Times New Roman" w:hAnsi="Times New Roman" w:cs="Times New Roman"/>
          <w:b/>
        </w:rPr>
        <w:t>sector development, but also for households in Senegal.</w:t>
      </w:r>
      <w:r w:rsidRPr="00C91EA2">
        <w:rPr>
          <w:rFonts w:ascii="Times New Roman" w:hAnsi="Times New Roman" w:cs="Times New Roman"/>
        </w:rPr>
        <w:t xml:space="preserve"> </w:t>
      </w:r>
      <w:r w:rsidRPr="007575D7">
        <w:rPr>
          <w:rFonts w:ascii="Times New Roman" w:hAnsi="Times New Roman" w:cs="Times New Roman"/>
        </w:rPr>
        <w:t xml:space="preserve">In Senegal, explicit trade barriers, </w:t>
      </w:r>
      <w:r w:rsidR="00CA238F" w:rsidRPr="007575D7">
        <w:rPr>
          <w:rFonts w:ascii="Times New Roman" w:hAnsi="Times New Roman" w:cs="Times New Roman"/>
        </w:rPr>
        <w:t xml:space="preserve">such as tariffs </w:t>
      </w:r>
      <w:r w:rsidR="00C86CD9" w:rsidRPr="007575D7">
        <w:rPr>
          <w:rFonts w:ascii="Times New Roman" w:hAnsi="Times New Roman" w:cs="Times New Roman"/>
        </w:rPr>
        <w:t xml:space="preserve">and other import restrictions, </w:t>
      </w:r>
      <w:r w:rsidRPr="007575D7">
        <w:rPr>
          <w:rFonts w:ascii="Times New Roman" w:hAnsi="Times New Roman" w:cs="Times New Roman"/>
        </w:rPr>
        <w:t>are in place for products such as rice, sugar, wheat, and vegetable oils</w:t>
      </w:r>
      <w:r w:rsidR="00CA238F" w:rsidRPr="007575D7">
        <w:rPr>
          <w:rFonts w:ascii="Times New Roman" w:hAnsi="Times New Roman" w:cs="Times New Roman"/>
        </w:rPr>
        <w:t xml:space="preserve"> and can raise consumer prices significantly</w:t>
      </w:r>
      <w:r w:rsidRPr="00BC5E69">
        <w:rPr>
          <w:rFonts w:ascii="Times New Roman" w:hAnsi="Times New Roman" w:cs="Times New Roman"/>
        </w:rPr>
        <w:t>.</w:t>
      </w:r>
      <w:r w:rsidRPr="00C91EA2">
        <w:rPr>
          <w:rFonts w:ascii="Times New Roman" w:hAnsi="Times New Roman" w:cs="Times New Roman"/>
        </w:rPr>
        <w:t xml:space="preserve"> This is particularly problematic for products that are disproportionately consumed by the poor. Many of the food products </w:t>
      </w:r>
      <w:r w:rsidR="0074519E">
        <w:rPr>
          <w:rFonts w:ascii="Times New Roman" w:hAnsi="Times New Roman" w:cs="Times New Roman"/>
        </w:rPr>
        <w:t xml:space="preserve">consumed by </w:t>
      </w:r>
      <w:r w:rsidRPr="00C91EA2">
        <w:rPr>
          <w:rFonts w:ascii="Times New Roman" w:hAnsi="Times New Roman" w:cs="Times New Roman"/>
        </w:rPr>
        <w:t xml:space="preserve">Senegalese households are subject to some form of import restriction that directly impacts the price. </w:t>
      </w:r>
      <w:r w:rsidRPr="00EE7C27">
        <w:rPr>
          <w:rFonts w:ascii="Times New Roman" w:hAnsi="Times New Roman" w:cs="Times New Roman"/>
        </w:rPr>
        <w:t>For example, import restrictions on vegetable oils are a direct result of Senegal’s attempts to bolster its groundnut industry</w:t>
      </w:r>
      <w:r w:rsidR="000A5C98">
        <w:rPr>
          <w:rFonts w:ascii="Times New Roman" w:hAnsi="Times New Roman" w:cs="Times New Roman"/>
        </w:rPr>
        <w:t xml:space="preserve">, </w:t>
      </w:r>
      <w:proofErr w:type="gramStart"/>
      <w:r w:rsidR="000A5C98">
        <w:rPr>
          <w:rFonts w:ascii="Times New Roman" w:hAnsi="Times New Roman" w:cs="Times New Roman"/>
        </w:rPr>
        <w:t xml:space="preserve">in particular </w:t>
      </w:r>
      <w:r w:rsidR="00CB0AB2">
        <w:rPr>
          <w:rFonts w:ascii="Times New Roman" w:hAnsi="Times New Roman" w:cs="Times New Roman"/>
        </w:rPr>
        <w:t>its</w:t>
      </w:r>
      <w:proofErr w:type="gramEnd"/>
      <w:r w:rsidR="00CB0AB2">
        <w:rPr>
          <w:rFonts w:ascii="Times New Roman" w:hAnsi="Times New Roman" w:cs="Times New Roman"/>
        </w:rPr>
        <w:t xml:space="preserve"> </w:t>
      </w:r>
      <w:r w:rsidR="000A5C98">
        <w:rPr>
          <w:rFonts w:ascii="Times New Roman" w:hAnsi="Times New Roman" w:cs="Times New Roman"/>
        </w:rPr>
        <w:t>crude and refine</w:t>
      </w:r>
      <w:r w:rsidR="00CB0AB2">
        <w:rPr>
          <w:rFonts w:ascii="Times New Roman" w:hAnsi="Times New Roman" w:cs="Times New Roman"/>
        </w:rPr>
        <w:t>d</w:t>
      </w:r>
      <w:r w:rsidR="000A5C98">
        <w:rPr>
          <w:rFonts w:ascii="Times New Roman" w:hAnsi="Times New Roman" w:cs="Times New Roman"/>
        </w:rPr>
        <w:t xml:space="preserve"> groundnut oil </w:t>
      </w:r>
      <w:r w:rsidR="00CB0AB2">
        <w:rPr>
          <w:rFonts w:ascii="Times New Roman" w:hAnsi="Times New Roman" w:cs="Times New Roman"/>
        </w:rPr>
        <w:t>(</w:t>
      </w:r>
      <w:r w:rsidR="000A5C98">
        <w:rPr>
          <w:rFonts w:ascii="Times New Roman" w:hAnsi="Times New Roman" w:cs="Times New Roman"/>
        </w:rPr>
        <w:t xml:space="preserve">which, on the other hand, </w:t>
      </w:r>
      <w:r w:rsidR="00CB0AB2">
        <w:rPr>
          <w:rFonts w:ascii="Times New Roman" w:hAnsi="Times New Roman" w:cs="Times New Roman"/>
        </w:rPr>
        <w:t>is partially subsidized</w:t>
      </w:r>
      <w:r w:rsidR="007D6E3B">
        <w:rPr>
          <w:rStyle w:val="FootnoteReference"/>
          <w:rFonts w:ascii="Times New Roman" w:hAnsi="Times New Roman" w:cs="Times New Roman"/>
        </w:rPr>
        <w:footnoteReference w:id="11"/>
      </w:r>
      <w:r w:rsidR="00CB0AB2">
        <w:rPr>
          <w:rFonts w:ascii="Times New Roman" w:hAnsi="Times New Roman" w:cs="Times New Roman"/>
        </w:rPr>
        <w:t>)</w:t>
      </w:r>
      <w:r w:rsidRPr="00EE7C27">
        <w:rPr>
          <w:rFonts w:ascii="Times New Roman" w:hAnsi="Times New Roman" w:cs="Times New Roman"/>
        </w:rPr>
        <w:t>. However, significant poverty reductions could be achieved by the removal of these restrictions</w:t>
      </w:r>
      <w:r w:rsidR="00224AAE">
        <w:rPr>
          <w:rFonts w:ascii="Times New Roman" w:hAnsi="Times New Roman" w:cs="Times New Roman"/>
        </w:rPr>
        <w:t xml:space="preserve">, </w:t>
      </w:r>
      <w:r w:rsidR="005823AE">
        <w:rPr>
          <w:rFonts w:ascii="Times New Roman" w:hAnsi="Times New Roman" w:cs="Times New Roman"/>
        </w:rPr>
        <w:t xml:space="preserve">especially restrictions on </w:t>
      </w:r>
      <w:r w:rsidR="00E176CC" w:rsidRPr="00E176CC">
        <w:rPr>
          <w:rFonts w:ascii="Times New Roman" w:hAnsi="Times New Roman" w:cs="Times New Roman"/>
          <w:lang w:val="en-GB"/>
        </w:rPr>
        <w:t>wheat bread, vegetable oil and sugar</w:t>
      </w:r>
      <w:r w:rsidR="00E176CC">
        <w:rPr>
          <w:rFonts w:ascii="Times New Roman" w:hAnsi="Times New Roman" w:cs="Times New Roman"/>
          <w:lang w:val="en-GB"/>
        </w:rPr>
        <w:t>.</w:t>
      </w:r>
      <w:r w:rsidR="000A5C98">
        <w:rPr>
          <w:rFonts w:ascii="Times New Roman" w:hAnsi="Times New Roman" w:cs="Times New Roman"/>
          <w:lang w:val="en-GB"/>
        </w:rPr>
        <w:t xml:space="preserve"> </w:t>
      </w:r>
      <w:r w:rsidR="00E176CC">
        <w:rPr>
          <w:rFonts w:ascii="Times New Roman" w:hAnsi="Times New Roman" w:cs="Times New Roman"/>
        </w:rPr>
        <w:t xml:space="preserve"> Overall, </w:t>
      </w:r>
      <w:r w:rsidR="005823AE">
        <w:rPr>
          <w:rFonts w:ascii="Times New Roman" w:hAnsi="Times New Roman" w:cs="Times New Roman"/>
        </w:rPr>
        <w:t>the removal of import restrictions</w:t>
      </w:r>
      <w:r w:rsidR="005823AE" w:rsidRPr="00C91EA2">
        <w:rPr>
          <w:rFonts w:ascii="Times New Roman" w:hAnsi="Times New Roman" w:cs="Times New Roman"/>
        </w:rPr>
        <w:t xml:space="preserve"> </w:t>
      </w:r>
      <w:r w:rsidRPr="00C91EA2">
        <w:rPr>
          <w:rFonts w:ascii="Times New Roman" w:hAnsi="Times New Roman" w:cs="Times New Roman"/>
        </w:rPr>
        <w:t>would propel almost 50,000 poor people above the national poverty line which represents a 0.35 percentage point decrease in the poverty headcount ratio.</w:t>
      </w:r>
      <w:r w:rsidRPr="00C91EA2">
        <w:rPr>
          <w:rStyle w:val="FootnoteReference"/>
          <w:rFonts w:ascii="Times New Roman" w:hAnsi="Times New Roman" w:cs="Times New Roman"/>
        </w:rPr>
        <w:footnoteReference w:id="12"/>
      </w:r>
    </w:p>
    <w:p w14:paraId="3FEA5D76" w14:textId="77777777" w:rsidR="002D1818" w:rsidRDefault="002D1818" w:rsidP="002D1818">
      <w:pPr>
        <w:jc w:val="both"/>
        <w:rPr>
          <w:rFonts w:ascii="Times New Roman" w:hAnsi="Times New Roman" w:cs="Times New Roman"/>
        </w:rPr>
      </w:pPr>
    </w:p>
    <w:p w14:paraId="1D104233" w14:textId="77777777" w:rsidR="002D1818" w:rsidRPr="00740AF2" w:rsidRDefault="002D1818" w:rsidP="002D1818">
      <w:pPr>
        <w:jc w:val="both"/>
        <w:rPr>
          <w:rFonts w:ascii="Times New Roman" w:hAnsi="Times New Roman" w:cs="Times New Roman"/>
          <w:b/>
          <w:color w:val="548DD4" w:themeColor="text2" w:themeTint="99"/>
        </w:rPr>
      </w:pPr>
      <w:r w:rsidRPr="00740AF2">
        <w:rPr>
          <w:rFonts w:ascii="Times New Roman" w:hAnsi="Times New Roman" w:cs="Times New Roman"/>
          <w:b/>
          <w:color w:val="548DD4" w:themeColor="text2" w:themeTint="99"/>
        </w:rPr>
        <w:t>Zooming in on groundnut and telecommunications sectors...</w:t>
      </w:r>
    </w:p>
    <w:p w14:paraId="13C85933" w14:textId="77777777" w:rsidR="002D1818" w:rsidRDefault="002D1818" w:rsidP="002D1818">
      <w:pPr>
        <w:jc w:val="both"/>
        <w:rPr>
          <w:rFonts w:ascii="Times New Roman" w:hAnsi="Times New Roman" w:cs="Times New Roman"/>
          <w:b/>
          <w:i/>
        </w:rPr>
      </w:pPr>
    </w:p>
    <w:p w14:paraId="0812B5A0" w14:textId="0FAEB5BA" w:rsidR="002D1818" w:rsidRDefault="00740AF2" w:rsidP="002D1818">
      <w:pPr>
        <w:pStyle w:val="ListParagraph"/>
        <w:ind w:left="0"/>
        <w:jc w:val="both"/>
        <w:rPr>
          <w:rFonts w:ascii="Times New Roman" w:hAnsi="Times New Roman" w:cs="Times New Roman"/>
        </w:rPr>
      </w:pPr>
      <w:r w:rsidRPr="00740AF2">
        <w:rPr>
          <w:rFonts w:ascii="Times New Roman" w:eastAsia="Helvetica" w:hAnsi="Times New Roman" w:cs="Times New Roman"/>
          <w:b/>
        </w:rPr>
        <w:t>T</w:t>
      </w:r>
      <w:r w:rsidRPr="00740AF2">
        <w:rPr>
          <w:rFonts w:ascii="Times New Roman" w:hAnsi="Times New Roman" w:cs="Times New Roman"/>
          <w:b/>
        </w:rPr>
        <w:t>he groundnut and the telecommunications sectors were selected for an in-depth assessment because the stringent regulatory restrictions and the lack of pro-competition regulations in those sectors affect diversification, growth and consumers’ welfare.</w:t>
      </w:r>
      <w:r>
        <w:rPr>
          <w:rFonts w:ascii="Times New Roman" w:hAnsi="Times New Roman" w:cs="Times New Roman"/>
          <w:b/>
        </w:rPr>
        <w:t xml:space="preserve"> </w:t>
      </w:r>
      <w:r w:rsidR="002D1818" w:rsidRPr="00C91EA2">
        <w:rPr>
          <w:rFonts w:ascii="Times New Roman" w:hAnsi="Times New Roman" w:cs="Times New Roman"/>
        </w:rPr>
        <w:t>In addition to prior knowledge of restrictions on competition</w:t>
      </w:r>
      <w:r w:rsidR="002D1818">
        <w:rPr>
          <w:rFonts w:ascii="Times New Roman" w:hAnsi="Times New Roman" w:cs="Times New Roman"/>
        </w:rPr>
        <w:t>,</w:t>
      </w:r>
      <w:r w:rsidR="002D1818" w:rsidRPr="00C91EA2">
        <w:rPr>
          <w:rFonts w:ascii="Times New Roman" w:hAnsi="Times New Roman" w:cs="Times New Roman"/>
        </w:rPr>
        <w:t xml:space="preserve"> such as import restrictions driving up consumer prices for vegetable oils, the selection was informed by an assessment of sectors’ contributions to GDP and exports, their weight in consumption baskets and their spillover effects, all of which are </w:t>
      </w:r>
      <w:r w:rsidR="004C61DD">
        <w:rPr>
          <w:rFonts w:ascii="Times New Roman" w:hAnsi="Times New Roman" w:cs="Times New Roman"/>
        </w:rPr>
        <w:t xml:space="preserve">among </w:t>
      </w:r>
      <w:r w:rsidR="002D1818" w:rsidRPr="00C91EA2">
        <w:rPr>
          <w:rFonts w:ascii="Times New Roman" w:hAnsi="Times New Roman" w:cs="Times New Roman"/>
        </w:rPr>
        <w:t>the MCPAT’s sector selection criteria.</w:t>
      </w:r>
      <w:r w:rsidR="00917891">
        <w:rPr>
          <w:rStyle w:val="FootnoteReference"/>
          <w:rFonts w:ascii="Times New Roman" w:hAnsi="Times New Roman" w:cs="Times New Roman"/>
        </w:rPr>
        <w:footnoteReference w:id="13"/>
      </w:r>
    </w:p>
    <w:p w14:paraId="50CE6229" w14:textId="77777777" w:rsidR="002D1818" w:rsidRDefault="002D1818" w:rsidP="002D1818">
      <w:pPr>
        <w:pStyle w:val="ListParagraph"/>
        <w:ind w:left="0"/>
        <w:jc w:val="both"/>
        <w:rPr>
          <w:rFonts w:ascii="Times New Roman" w:hAnsi="Times New Roman" w:cs="Times New Roman"/>
        </w:rPr>
      </w:pPr>
    </w:p>
    <w:p w14:paraId="1898B117" w14:textId="77777777" w:rsidR="00B45ABD" w:rsidRPr="00A26FC0" w:rsidRDefault="002D1818" w:rsidP="00B45ABD">
      <w:pPr>
        <w:pStyle w:val="ListParagraph"/>
        <w:ind w:left="0"/>
        <w:jc w:val="both"/>
        <w:rPr>
          <w:rFonts w:ascii="Times New Roman" w:hAnsi="Times New Roman" w:cs="Times New Roman"/>
          <w:b/>
        </w:rPr>
      </w:pPr>
      <w:r w:rsidRPr="00A26FC0">
        <w:rPr>
          <w:rFonts w:ascii="Times New Roman" w:hAnsi="Times New Roman" w:cs="Times New Roman"/>
          <w:b/>
          <w:i/>
        </w:rPr>
        <w:t>Groundnut</w:t>
      </w:r>
      <w:r w:rsidR="007F6B0D">
        <w:rPr>
          <w:rFonts w:ascii="Times New Roman" w:hAnsi="Times New Roman" w:cs="Times New Roman"/>
          <w:b/>
          <w:i/>
        </w:rPr>
        <w:t>s</w:t>
      </w:r>
    </w:p>
    <w:p w14:paraId="34CE6BF0" w14:textId="77777777" w:rsidR="00B45ABD" w:rsidRPr="00C91EA2" w:rsidRDefault="00B45ABD" w:rsidP="00B45ABD">
      <w:pPr>
        <w:jc w:val="both"/>
        <w:rPr>
          <w:rFonts w:ascii="Times New Roman" w:eastAsia="Times New Roman" w:hAnsi="Times New Roman" w:cs="Times New Roman"/>
        </w:rPr>
      </w:pPr>
    </w:p>
    <w:p w14:paraId="6E0FB2F2" w14:textId="57A330DB" w:rsidR="00B45ABD" w:rsidRDefault="00B45ABD" w:rsidP="00B45ABD">
      <w:pPr>
        <w:pStyle w:val="ListParagraph"/>
        <w:ind w:left="0"/>
        <w:jc w:val="both"/>
        <w:rPr>
          <w:rFonts w:ascii="Times New Roman" w:hAnsi="Times New Roman" w:cs="Times New Roman"/>
        </w:rPr>
      </w:pPr>
      <w:r w:rsidRPr="00740AF2">
        <w:rPr>
          <w:rFonts w:ascii="Times New Roman" w:hAnsi="Times New Roman" w:cs="Times New Roman"/>
          <w:b/>
        </w:rPr>
        <w:t>A series of restrictions in consecutive segments of the groundnut value chain has inhibited the sector from adapting to global trends.</w:t>
      </w:r>
      <w:r w:rsidRPr="004E65D4">
        <w:rPr>
          <w:rFonts w:ascii="Times New Roman" w:hAnsi="Times New Roman" w:cs="Times New Roman"/>
        </w:rPr>
        <w:t xml:space="preserve"> While these restrictions are intended to improve market functioning, they in fact lead to an accumulation of market distortions that hinder development of this crucial sector. Covering roughly half of arable land in Senegal and employing 482,000 farmers,</w:t>
      </w:r>
      <w:r w:rsidRPr="004E65D4">
        <w:rPr>
          <w:rStyle w:val="FootnoteReference"/>
          <w:rFonts w:ascii="Times New Roman" w:hAnsi="Times New Roman" w:cs="Times New Roman"/>
        </w:rPr>
        <w:footnoteReference w:id="14"/>
      </w:r>
      <w:r w:rsidRPr="004E65D4">
        <w:rPr>
          <w:rFonts w:ascii="Times New Roman" w:hAnsi="Times New Roman" w:cs="Times New Roman"/>
        </w:rPr>
        <w:t xml:space="preserve"> the development of the groundnut sector has been a priority for the </w:t>
      </w:r>
      <w:r w:rsidR="003B24ED">
        <w:rPr>
          <w:rFonts w:ascii="Times New Roman" w:hAnsi="Times New Roman" w:cs="Times New Roman"/>
        </w:rPr>
        <w:t>Government</w:t>
      </w:r>
      <w:r w:rsidRPr="004E65D4">
        <w:rPr>
          <w:rFonts w:ascii="Times New Roman" w:hAnsi="Times New Roman" w:cs="Times New Roman"/>
        </w:rPr>
        <w:t xml:space="preserve"> of Senegal. However, the country’s importance as a global supplier of groundnuts and groundnut oil has declined steadily in recent years. In some cases, </w:t>
      </w:r>
      <w:r w:rsidR="003B24ED">
        <w:rPr>
          <w:rFonts w:ascii="Times New Roman" w:hAnsi="Times New Roman" w:cs="Times New Roman"/>
        </w:rPr>
        <w:t>Government</w:t>
      </w:r>
      <w:r w:rsidRPr="004E65D4">
        <w:rPr>
          <w:rFonts w:ascii="Times New Roman" w:hAnsi="Times New Roman" w:cs="Times New Roman"/>
        </w:rPr>
        <w:t xml:space="preserve"> interventions appear to have unintended negative impact on both producers and consumers, and </w:t>
      </w:r>
      <w:r w:rsidR="003612EB">
        <w:rPr>
          <w:rFonts w:ascii="Times New Roman" w:hAnsi="Times New Roman" w:cs="Times New Roman"/>
        </w:rPr>
        <w:t xml:space="preserve">to </w:t>
      </w:r>
      <w:r w:rsidRPr="004E65D4">
        <w:rPr>
          <w:rFonts w:ascii="Times New Roman" w:hAnsi="Times New Roman" w:cs="Times New Roman"/>
        </w:rPr>
        <w:t>hinder market players from responding to market trends, such as the shift in global exports from groundnut oil to whole groundnuts</w:t>
      </w:r>
      <w:r w:rsidR="00287C82">
        <w:rPr>
          <w:rFonts w:ascii="Times New Roman" w:hAnsi="Times New Roman" w:cs="Times New Roman"/>
        </w:rPr>
        <w:t xml:space="preserve"> (see </w:t>
      </w:r>
      <w:r w:rsidR="00287C82">
        <w:rPr>
          <w:rFonts w:ascii="Times New Roman" w:hAnsi="Times New Roman" w:cs="Times New Roman"/>
        </w:rPr>
        <w:fldChar w:fldCharType="begin"/>
      </w:r>
      <w:r w:rsidR="00287C82">
        <w:rPr>
          <w:rFonts w:ascii="Times New Roman" w:hAnsi="Times New Roman" w:cs="Times New Roman"/>
        </w:rPr>
        <w:instrText xml:space="preserve"> REF _Ref499678269 \h </w:instrText>
      </w:r>
      <w:r w:rsidR="00287C82">
        <w:rPr>
          <w:rFonts w:ascii="Times New Roman" w:hAnsi="Times New Roman" w:cs="Times New Roman"/>
        </w:rPr>
      </w:r>
      <w:r w:rsidR="00287C82">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3</w:t>
      </w:r>
      <w:r w:rsidR="00287C82">
        <w:rPr>
          <w:rFonts w:ascii="Times New Roman" w:hAnsi="Times New Roman" w:cs="Times New Roman"/>
        </w:rPr>
        <w:fldChar w:fldCharType="end"/>
      </w:r>
      <w:r w:rsidR="00287C82">
        <w:rPr>
          <w:rFonts w:ascii="Times New Roman" w:hAnsi="Times New Roman" w:cs="Times New Roman"/>
        </w:rPr>
        <w:t>).</w:t>
      </w:r>
    </w:p>
    <w:p w14:paraId="6B50E92B" w14:textId="77777777" w:rsidR="00B45ABD" w:rsidRDefault="00B45ABD" w:rsidP="00B45ABD">
      <w:pPr>
        <w:pStyle w:val="ListParagraph"/>
        <w:ind w:left="0"/>
        <w:jc w:val="both"/>
        <w:rPr>
          <w:rFonts w:ascii="Times New Roman" w:hAnsi="Times New Roman" w:cs="Times New Roman"/>
        </w:rPr>
      </w:pPr>
    </w:p>
    <w:tbl>
      <w:tblPr>
        <w:tblStyle w:val="TableGrid"/>
        <w:tblW w:w="0" w:type="auto"/>
        <w:tblLook w:val="04A0" w:firstRow="1" w:lastRow="0" w:firstColumn="1" w:lastColumn="0" w:noHBand="0" w:noVBand="1"/>
      </w:tblPr>
      <w:tblGrid>
        <w:gridCol w:w="8290"/>
      </w:tblGrid>
      <w:tr w:rsidR="00287C82" w:rsidRPr="00C91EA2" w14:paraId="28693B98" w14:textId="77777777" w:rsidTr="00287C82">
        <w:tc>
          <w:tcPr>
            <w:tcW w:w="8630" w:type="dxa"/>
            <w:tcBorders>
              <w:top w:val="single" w:sz="4" w:space="0" w:color="auto"/>
              <w:left w:val="single" w:sz="4" w:space="0" w:color="auto"/>
              <w:bottom w:val="single" w:sz="4" w:space="0" w:color="auto"/>
              <w:right w:val="single" w:sz="4" w:space="0" w:color="auto"/>
            </w:tcBorders>
            <w:hideMark/>
          </w:tcPr>
          <w:p w14:paraId="1A0E0F2F" w14:textId="0A5D9A5C" w:rsidR="00287C82" w:rsidRPr="00C91EA2" w:rsidRDefault="00287C82" w:rsidP="00287C82">
            <w:pPr>
              <w:pStyle w:val="Caption"/>
              <w:keepNext/>
              <w:jc w:val="both"/>
              <w:rPr>
                <w:rFonts w:ascii="Times New Roman" w:hAnsi="Times New Roman"/>
              </w:rPr>
            </w:pPr>
            <w:bookmarkStart w:id="18" w:name="_Ref499678269"/>
            <w:bookmarkStart w:id="19" w:name="_Toc520725559"/>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w:t>
            </w:r>
            <w:r w:rsidR="00D91B27">
              <w:rPr>
                <w:rFonts w:ascii="Times New Roman" w:hAnsi="Times New Roman"/>
              </w:rPr>
              <w:fldChar w:fldCharType="end"/>
            </w:r>
            <w:bookmarkEnd w:id="18"/>
            <w:r w:rsidRPr="00C91EA2">
              <w:rPr>
                <w:rFonts w:ascii="Times New Roman" w:hAnsi="Times New Roman"/>
              </w:rPr>
              <w:t>: Global exports of groundnuts (oil equivalent) and oil (1990-2016)</w:t>
            </w:r>
            <w:bookmarkEnd w:id="19"/>
          </w:p>
        </w:tc>
      </w:tr>
      <w:tr w:rsidR="00287C82" w:rsidRPr="00C91EA2" w14:paraId="2C0FFAEE" w14:textId="77777777" w:rsidTr="00287C82">
        <w:tc>
          <w:tcPr>
            <w:tcW w:w="8630" w:type="dxa"/>
            <w:tcBorders>
              <w:top w:val="single" w:sz="4" w:space="0" w:color="auto"/>
              <w:left w:val="single" w:sz="4" w:space="0" w:color="auto"/>
              <w:bottom w:val="single" w:sz="4" w:space="0" w:color="auto"/>
              <w:right w:val="single" w:sz="4" w:space="0" w:color="auto"/>
            </w:tcBorders>
            <w:hideMark/>
          </w:tcPr>
          <w:p w14:paraId="681FEE90" w14:textId="77777777" w:rsidR="00287C82" w:rsidRPr="00C91EA2" w:rsidRDefault="00287C82" w:rsidP="00287C82">
            <w:pPr>
              <w:jc w:val="both"/>
              <w:rPr>
                <w:rFonts w:ascii="Times New Roman" w:hAnsi="Times New Roman" w:cs="Times New Roman"/>
              </w:rPr>
            </w:pPr>
            <w:r w:rsidRPr="00C91EA2">
              <w:rPr>
                <w:rFonts w:ascii="Times New Roman" w:hAnsi="Times New Roman" w:cs="Times New Roman"/>
                <w:noProof/>
              </w:rPr>
              <w:drawing>
                <wp:inline distT="0" distB="0" distL="0" distR="0" wp14:anchorId="6F29AA52" wp14:editId="2C77FF7B">
                  <wp:extent cx="5372100" cy="2590800"/>
                  <wp:effectExtent l="0" t="0" r="0" b="0"/>
                  <wp:docPr id="7" name="Chart 7">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287C82" w:rsidRPr="00C91EA2" w14:paraId="677F6613" w14:textId="77777777" w:rsidTr="00287C82">
        <w:tc>
          <w:tcPr>
            <w:tcW w:w="8630" w:type="dxa"/>
            <w:tcBorders>
              <w:top w:val="single" w:sz="4" w:space="0" w:color="auto"/>
              <w:left w:val="single" w:sz="4" w:space="0" w:color="auto"/>
              <w:bottom w:val="single" w:sz="4" w:space="0" w:color="auto"/>
              <w:right w:val="single" w:sz="4" w:space="0" w:color="auto"/>
            </w:tcBorders>
            <w:hideMark/>
          </w:tcPr>
          <w:p w14:paraId="7C1A5685" w14:textId="77777777" w:rsidR="00287C82" w:rsidRPr="00D55B7D" w:rsidRDefault="00287C82" w:rsidP="00287C82">
            <w:pPr>
              <w:jc w:val="both"/>
              <w:rPr>
                <w:rFonts w:ascii="Times New Roman" w:hAnsi="Times New Roman" w:cs="Times New Roman"/>
                <w:i/>
                <w:sz w:val="20"/>
              </w:rPr>
            </w:pPr>
            <w:r w:rsidRPr="00D55B7D">
              <w:rPr>
                <w:rFonts w:ascii="Times New Roman" w:hAnsi="Times New Roman" w:cs="Times New Roman"/>
                <w:i/>
                <w:sz w:val="20"/>
              </w:rPr>
              <w:t>Source: USDA (2017)</w:t>
            </w:r>
          </w:p>
          <w:p w14:paraId="19763942" w14:textId="77777777" w:rsidR="00287C82" w:rsidRPr="00C91EA2" w:rsidRDefault="00287C82" w:rsidP="00287C82">
            <w:pPr>
              <w:jc w:val="both"/>
              <w:rPr>
                <w:rFonts w:ascii="Times New Roman" w:hAnsi="Times New Roman" w:cs="Times New Roman"/>
              </w:rPr>
            </w:pPr>
            <w:r w:rsidRPr="00C91EA2">
              <w:rPr>
                <w:rFonts w:ascii="Times New Roman" w:hAnsi="Times New Roman" w:cs="Times New Roman"/>
                <w:sz w:val="20"/>
              </w:rPr>
              <w:t>Note: The global average oil extraction rate (OER) as reported by the USDA was used to convert groundnut seeds to oil equivalent.</w:t>
            </w:r>
          </w:p>
        </w:tc>
      </w:tr>
    </w:tbl>
    <w:p w14:paraId="1D7BE396" w14:textId="77777777" w:rsidR="00B45ABD" w:rsidRPr="004E65D4" w:rsidRDefault="00B45ABD" w:rsidP="00B45ABD">
      <w:pPr>
        <w:pStyle w:val="ListParagraph"/>
        <w:ind w:left="0"/>
        <w:jc w:val="both"/>
        <w:rPr>
          <w:rFonts w:ascii="Times New Roman" w:hAnsi="Times New Roman" w:cs="Times New Roman"/>
        </w:rPr>
      </w:pPr>
    </w:p>
    <w:p w14:paraId="34D6AE8F" w14:textId="77777777" w:rsidR="00B45ABD" w:rsidRPr="004E65D4" w:rsidRDefault="00B45ABD" w:rsidP="00B45ABD">
      <w:pPr>
        <w:pStyle w:val="ListParagraph"/>
        <w:ind w:left="0"/>
        <w:jc w:val="both"/>
        <w:rPr>
          <w:rFonts w:ascii="Times New Roman" w:hAnsi="Times New Roman" w:cs="Times New Roman"/>
        </w:rPr>
      </w:pPr>
    </w:p>
    <w:p w14:paraId="2AF37F37" w14:textId="7045804C" w:rsidR="00B45ABD" w:rsidRDefault="00B45ABD" w:rsidP="00B45ABD">
      <w:pPr>
        <w:pStyle w:val="ListParagraph"/>
        <w:ind w:left="0"/>
        <w:jc w:val="both"/>
        <w:rPr>
          <w:rFonts w:ascii="Times New Roman" w:hAnsi="Times New Roman" w:cs="Times New Roman"/>
          <w:bCs/>
        </w:rPr>
      </w:pPr>
      <w:r w:rsidRPr="004E65D4">
        <w:rPr>
          <w:rFonts w:ascii="Times New Roman" w:hAnsi="Times New Roman" w:cs="Times New Roman"/>
          <w:b/>
        </w:rPr>
        <w:t xml:space="preserve">Three markets along the groundnut value chain are key for shaping market outcomes for farmers, consumers and </w:t>
      </w:r>
      <w:r w:rsidR="002E50BD">
        <w:rPr>
          <w:rFonts w:ascii="Times New Roman" w:hAnsi="Times New Roman" w:cs="Times New Roman"/>
          <w:b/>
        </w:rPr>
        <w:t xml:space="preserve">for </w:t>
      </w:r>
      <w:r w:rsidRPr="004E65D4">
        <w:rPr>
          <w:rFonts w:ascii="Times New Roman" w:hAnsi="Times New Roman" w:cs="Times New Roman"/>
          <w:b/>
        </w:rPr>
        <w:t>job creation, namely: the input market, the market for buying raw groundnut and the market for vegetable oils</w:t>
      </w:r>
      <w:r w:rsidRPr="004E65D4">
        <w:rPr>
          <w:rFonts w:ascii="Times New Roman" w:hAnsi="Times New Roman" w:cs="Times New Roman"/>
        </w:rPr>
        <w:t>. Market dynamics and competition in these three markets, and the interlinkages between them, form the focus of this assessment</w:t>
      </w:r>
      <w:r>
        <w:rPr>
          <w:rFonts w:ascii="Times New Roman" w:hAnsi="Times New Roman" w:cs="Times New Roman"/>
          <w:bCs/>
        </w:rPr>
        <w:t>.</w:t>
      </w:r>
      <w:r>
        <w:rPr>
          <w:rFonts w:ascii="Times New Roman" w:hAnsi="Times New Roman" w:cs="Times New Roman"/>
          <w:b/>
          <w:bCs/>
        </w:rPr>
        <w:t xml:space="preserve"> </w:t>
      </w:r>
      <w:r w:rsidRPr="00A74789">
        <w:rPr>
          <w:rFonts w:ascii="Times New Roman" w:hAnsi="Times New Roman" w:cs="Times New Roman"/>
        </w:rPr>
        <w:fldChar w:fldCharType="begin"/>
      </w:r>
      <w:r w:rsidRPr="006B0418">
        <w:rPr>
          <w:rFonts w:ascii="Times New Roman" w:hAnsi="Times New Roman" w:cs="Times New Roman"/>
        </w:rPr>
        <w:instrText xml:space="preserve"> REF _Ref499543728 \h  \* MERGEFORMAT </w:instrText>
      </w:r>
      <w:r w:rsidRPr="00A74789">
        <w:rPr>
          <w:rFonts w:ascii="Times New Roman" w:hAnsi="Times New Roman" w:cs="Times New Roman"/>
        </w:rPr>
      </w:r>
      <w:r w:rsidRPr="00A74789">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w:t>
      </w:r>
      <w:r w:rsidRPr="00A74789">
        <w:rPr>
          <w:rFonts w:ascii="Times New Roman" w:hAnsi="Times New Roman" w:cs="Times New Roman"/>
        </w:rPr>
        <w:fldChar w:fldCharType="end"/>
      </w:r>
      <w:r w:rsidRPr="00A74789">
        <w:rPr>
          <w:rFonts w:ascii="Times New Roman" w:hAnsi="Times New Roman" w:cs="Times New Roman"/>
        </w:rPr>
        <w:t xml:space="preserve"> outlines how, if markets function well and allow for competition between players, a virtuous circle between key markets in the value chain can lead to welfare gains for consumers</w:t>
      </w:r>
      <w:r w:rsidRPr="00C91EA2">
        <w:rPr>
          <w:rFonts w:ascii="Times New Roman" w:hAnsi="Times New Roman" w:cs="Times New Roman"/>
        </w:rPr>
        <w:t xml:space="preserve"> (through lower consumer prices), for farmers (through increased incomes), and can help boost international competitiveness and create better jobs.</w:t>
      </w:r>
      <w:r>
        <w:rPr>
          <w:rFonts w:ascii="Times New Roman" w:hAnsi="Times New Roman" w:cs="Times New Roman"/>
        </w:rPr>
        <w:t xml:space="preserve"> </w:t>
      </w:r>
      <w:r w:rsidRPr="004E65D4">
        <w:rPr>
          <w:rFonts w:ascii="Times New Roman" w:hAnsi="Times New Roman" w:cs="Times New Roman"/>
        </w:rPr>
        <w:t xml:space="preserve">Market dynamics in input markets affect the price and availability of quality seeds and fertilizer, </w:t>
      </w:r>
      <w:r w:rsidR="0004262D">
        <w:rPr>
          <w:rFonts w:ascii="Times New Roman" w:hAnsi="Times New Roman" w:cs="Times New Roman"/>
        </w:rPr>
        <w:t xml:space="preserve">affecting productivity and </w:t>
      </w:r>
      <w:r w:rsidRPr="004E65D4">
        <w:rPr>
          <w:rFonts w:ascii="Times New Roman" w:hAnsi="Times New Roman" w:cs="Times New Roman"/>
        </w:rPr>
        <w:t xml:space="preserve">thus </w:t>
      </w:r>
      <w:r w:rsidRPr="0027189C">
        <w:rPr>
          <w:rFonts w:ascii="Times New Roman" w:hAnsi="Times New Roman" w:cs="Times New Roman"/>
        </w:rPr>
        <w:t>yields and</w:t>
      </w:r>
      <w:r w:rsidRPr="004E65D4">
        <w:rPr>
          <w:rFonts w:ascii="Times New Roman" w:hAnsi="Times New Roman" w:cs="Times New Roman"/>
        </w:rPr>
        <w:t xml:space="preserve"> incomes of farmers. </w:t>
      </w:r>
      <w:r w:rsidRPr="004E65D4">
        <w:rPr>
          <w:rFonts w:ascii="Times New Roman" w:hAnsi="Times New Roman" w:cs="Times New Roman"/>
          <w:bCs/>
        </w:rPr>
        <w:t xml:space="preserve">Market dynamics in the market for buying raw groundnuts </w:t>
      </w:r>
      <w:r w:rsidRPr="004E65D4">
        <w:rPr>
          <w:rFonts w:ascii="Times New Roman" w:hAnsi="Times New Roman" w:cs="Times New Roman"/>
        </w:rPr>
        <w:t xml:space="preserve">determine farmer incentives to produce and invest in inputs as well as the ability of the processing industry to access groundnut inputs. </w:t>
      </w:r>
      <w:r w:rsidRPr="004E65D4">
        <w:rPr>
          <w:rFonts w:ascii="Times New Roman" w:hAnsi="Times New Roman" w:cs="Times New Roman"/>
          <w:bCs/>
        </w:rPr>
        <w:t xml:space="preserve">Finally, market dynamics in the processing industry </w:t>
      </w:r>
      <w:r w:rsidRPr="0027189C">
        <w:rPr>
          <w:rFonts w:ascii="Times New Roman" w:hAnsi="Times New Roman" w:cs="Times New Roman"/>
          <w:bCs/>
        </w:rPr>
        <w:t>drive industry players</w:t>
      </w:r>
      <w:r w:rsidR="00330DAF">
        <w:rPr>
          <w:rFonts w:ascii="Times New Roman" w:hAnsi="Times New Roman" w:cs="Times New Roman"/>
          <w:bCs/>
        </w:rPr>
        <w:t>’</w:t>
      </w:r>
      <w:r w:rsidRPr="0027189C">
        <w:rPr>
          <w:rFonts w:ascii="Times New Roman" w:hAnsi="Times New Roman" w:cs="Times New Roman"/>
          <w:bCs/>
        </w:rPr>
        <w:t xml:space="preserve"> incentives to </w:t>
      </w:r>
      <w:r w:rsidRPr="0027189C">
        <w:rPr>
          <w:rFonts w:ascii="Times New Roman" w:hAnsi="Times New Roman" w:cs="Times New Roman"/>
        </w:rPr>
        <w:t>innovate and improve the range o</w:t>
      </w:r>
      <w:r>
        <w:rPr>
          <w:rFonts w:ascii="Times New Roman" w:hAnsi="Times New Roman" w:cs="Times New Roman"/>
        </w:rPr>
        <w:t xml:space="preserve">f value added </w:t>
      </w:r>
      <w:r w:rsidRPr="00CF5B44">
        <w:rPr>
          <w:rFonts w:ascii="Times New Roman" w:hAnsi="Times New Roman" w:cs="Times New Roman"/>
        </w:rPr>
        <w:t xml:space="preserve">products produced, </w:t>
      </w:r>
      <w:r w:rsidR="00CF47F1">
        <w:rPr>
          <w:rFonts w:ascii="Times New Roman" w:hAnsi="Times New Roman" w:cs="Times New Roman"/>
        </w:rPr>
        <w:t xml:space="preserve">what is </w:t>
      </w:r>
      <w:r w:rsidR="007A29E6" w:rsidRPr="00CF5B44">
        <w:rPr>
          <w:rFonts w:ascii="Times New Roman" w:hAnsi="Times New Roman" w:cs="Times New Roman"/>
        </w:rPr>
        <w:t>particularly</w:t>
      </w:r>
      <w:r w:rsidR="00CF47F1">
        <w:rPr>
          <w:rFonts w:ascii="Times New Roman" w:hAnsi="Times New Roman" w:cs="Times New Roman"/>
        </w:rPr>
        <w:t xml:space="preserve"> relevant for</w:t>
      </w:r>
      <w:r w:rsidR="007A29E6" w:rsidRPr="00CF5B44">
        <w:rPr>
          <w:rFonts w:ascii="Times New Roman" w:hAnsi="Times New Roman" w:cs="Times New Roman"/>
        </w:rPr>
        <w:t xml:space="preserve"> </w:t>
      </w:r>
      <w:r w:rsidR="00CF5B44">
        <w:rPr>
          <w:rFonts w:ascii="Times New Roman" w:hAnsi="Times New Roman" w:cs="Times New Roman"/>
        </w:rPr>
        <w:t xml:space="preserve">snack </w:t>
      </w:r>
      <w:r w:rsidR="00CF47F1">
        <w:rPr>
          <w:rFonts w:ascii="Times New Roman" w:hAnsi="Times New Roman" w:cs="Times New Roman"/>
        </w:rPr>
        <w:t>ground</w:t>
      </w:r>
      <w:r w:rsidR="00CF5B44">
        <w:rPr>
          <w:rFonts w:ascii="Times New Roman" w:hAnsi="Times New Roman" w:cs="Times New Roman"/>
        </w:rPr>
        <w:t>nuts</w:t>
      </w:r>
      <w:r w:rsidR="00CF5B44" w:rsidRPr="00CF5B44">
        <w:rPr>
          <w:rFonts w:ascii="Times New Roman" w:hAnsi="Times New Roman" w:cs="Times New Roman"/>
        </w:rPr>
        <w:t>, where Senegal has a strong competitive advantage</w:t>
      </w:r>
      <w:r w:rsidR="007A29E6" w:rsidRPr="00CF5B44">
        <w:rPr>
          <w:rFonts w:ascii="Times New Roman" w:hAnsi="Times New Roman" w:cs="Times New Roman"/>
        </w:rPr>
        <w:t>.</w:t>
      </w:r>
      <w:r w:rsidR="00CF5B44" w:rsidRPr="00CF5B44">
        <w:rPr>
          <w:rFonts w:ascii="Times New Roman" w:hAnsi="Times New Roman" w:cs="Times New Roman"/>
        </w:rPr>
        <w:t xml:space="preserve"> </w:t>
      </w:r>
      <w:r w:rsidR="007A29E6" w:rsidRPr="00CF5B44">
        <w:rPr>
          <w:rFonts w:ascii="Times New Roman" w:hAnsi="Times New Roman" w:cs="Times New Roman"/>
        </w:rPr>
        <w:t>In addition to affecting competitiv</w:t>
      </w:r>
      <w:r w:rsidR="00CF47F1">
        <w:rPr>
          <w:rFonts w:ascii="Times New Roman" w:hAnsi="Times New Roman" w:cs="Times New Roman"/>
        </w:rPr>
        <w:t>eness</w:t>
      </w:r>
      <w:r w:rsidR="007A29E6" w:rsidRPr="00CF5B44">
        <w:rPr>
          <w:rFonts w:ascii="Times New Roman" w:hAnsi="Times New Roman" w:cs="Times New Roman"/>
        </w:rPr>
        <w:t xml:space="preserve"> in international markets,</w:t>
      </w:r>
      <w:r w:rsidR="00CF47F1">
        <w:rPr>
          <w:rFonts w:ascii="Times New Roman" w:hAnsi="Times New Roman" w:cs="Times New Roman"/>
        </w:rPr>
        <w:t xml:space="preserve"> market dynamics also affect</w:t>
      </w:r>
      <w:r w:rsidR="007A29E6">
        <w:rPr>
          <w:rFonts w:ascii="Times New Roman" w:hAnsi="Times New Roman" w:cs="Times New Roman"/>
        </w:rPr>
        <w:t xml:space="preserve"> the capability </w:t>
      </w:r>
      <w:r w:rsidRPr="0027189C">
        <w:rPr>
          <w:rFonts w:ascii="Times New Roman" w:hAnsi="Times New Roman" w:cs="Times New Roman"/>
        </w:rPr>
        <w:t xml:space="preserve">to reduce prices </w:t>
      </w:r>
      <w:r>
        <w:rPr>
          <w:rFonts w:ascii="Times New Roman" w:hAnsi="Times New Roman" w:cs="Times New Roman"/>
        </w:rPr>
        <w:t xml:space="preserve">of outputs </w:t>
      </w:r>
      <w:r w:rsidRPr="0027189C">
        <w:rPr>
          <w:rFonts w:ascii="Times New Roman" w:hAnsi="Times New Roman" w:cs="Times New Roman"/>
        </w:rPr>
        <w:t xml:space="preserve">in domestic markets. </w:t>
      </w:r>
      <w:r w:rsidR="000123F4">
        <w:rPr>
          <w:rFonts w:ascii="Times New Roman" w:hAnsi="Times New Roman" w:cs="Times New Roman"/>
          <w:bCs/>
        </w:rPr>
        <w:t>M</w:t>
      </w:r>
      <w:r w:rsidR="000123F4" w:rsidRPr="004E65D4">
        <w:rPr>
          <w:rFonts w:ascii="Times New Roman" w:hAnsi="Times New Roman" w:cs="Times New Roman"/>
          <w:bCs/>
        </w:rPr>
        <w:t>arket dynamics in the processing industry</w:t>
      </w:r>
      <w:r>
        <w:rPr>
          <w:rFonts w:ascii="Times New Roman" w:hAnsi="Times New Roman" w:cs="Times New Roman"/>
          <w:bCs/>
        </w:rPr>
        <w:t xml:space="preserve"> also affect</w:t>
      </w:r>
      <w:r w:rsidRPr="004E65D4">
        <w:rPr>
          <w:rFonts w:ascii="Times New Roman" w:hAnsi="Times New Roman" w:cs="Times New Roman"/>
          <w:bCs/>
        </w:rPr>
        <w:t xml:space="preserve"> competition in the market for buying</w:t>
      </w:r>
      <w:r>
        <w:rPr>
          <w:rFonts w:ascii="Times New Roman" w:hAnsi="Times New Roman" w:cs="Times New Roman"/>
          <w:bCs/>
        </w:rPr>
        <w:t xml:space="preserve"> raw groundnut</w:t>
      </w:r>
      <w:r w:rsidRPr="004E65D4">
        <w:rPr>
          <w:rFonts w:ascii="Times New Roman" w:hAnsi="Times New Roman" w:cs="Times New Roman"/>
          <w:bCs/>
        </w:rPr>
        <w:t xml:space="preserve"> from farmers</w:t>
      </w:r>
      <w:r w:rsidRPr="0027189C">
        <w:rPr>
          <w:rFonts w:ascii="Times New Roman" w:hAnsi="Times New Roman" w:cs="Times New Roman"/>
          <w:bCs/>
        </w:rPr>
        <w:t>.</w:t>
      </w:r>
      <w:r w:rsidRPr="00C91EA2">
        <w:rPr>
          <w:rFonts w:ascii="Times New Roman" w:hAnsi="Times New Roman" w:cs="Times New Roman"/>
          <w:bCs/>
        </w:rPr>
        <w:t xml:space="preserve"> </w:t>
      </w:r>
    </w:p>
    <w:p w14:paraId="5A641D99" w14:textId="77777777" w:rsidR="00B45ABD" w:rsidRPr="00C91EA2" w:rsidRDefault="00B45ABD" w:rsidP="00B45ABD">
      <w:pPr>
        <w:pStyle w:val="ListParagraph"/>
        <w:ind w:left="0"/>
        <w:jc w:val="both"/>
        <w:rPr>
          <w:rFonts w:ascii="Times New Roman" w:hAnsi="Times New Roman" w:cs="Times New Roman"/>
        </w:rPr>
      </w:pPr>
    </w:p>
    <w:p w14:paraId="4DD04E66" w14:textId="3F678CA3" w:rsidR="00B45ABD" w:rsidRDefault="00B45ABD" w:rsidP="00B45ABD">
      <w:pPr>
        <w:pStyle w:val="ListParagraph"/>
        <w:ind w:left="0"/>
        <w:jc w:val="both"/>
        <w:rPr>
          <w:rFonts w:ascii="Times New Roman" w:hAnsi="Times New Roman" w:cs="Times New Roman"/>
        </w:rPr>
      </w:pPr>
      <w:r>
        <w:rPr>
          <w:rFonts w:ascii="Times New Roman" w:hAnsi="Times New Roman" w:cs="Times New Roman"/>
          <w:b/>
        </w:rPr>
        <w:t>D</w:t>
      </w:r>
      <w:r w:rsidRPr="00C91EA2">
        <w:rPr>
          <w:rFonts w:ascii="Times New Roman" w:hAnsi="Times New Roman" w:cs="Times New Roman"/>
          <w:b/>
        </w:rPr>
        <w:t>istortions to market functioning along this value chain</w:t>
      </w:r>
      <w:r>
        <w:rPr>
          <w:rFonts w:ascii="Times New Roman" w:hAnsi="Times New Roman" w:cs="Times New Roman"/>
          <w:b/>
        </w:rPr>
        <w:t xml:space="preserve"> </w:t>
      </w:r>
      <w:proofErr w:type="gramStart"/>
      <w:r>
        <w:rPr>
          <w:rFonts w:ascii="Times New Roman" w:hAnsi="Times New Roman" w:cs="Times New Roman"/>
          <w:b/>
        </w:rPr>
        <w:t>as a result of</w:t>
      </w:r>
      <w:proofErr w:type="gramEnd"/>
      <w:r>
        <w:rPr>
          <w:rFonts w:ascii="Times New Roman" w:hAnsi="Times New Roman" w:cs="Times New Roman"/>
          <w:b/>
        </w:rPr>
        <w:t xml:space="preserve"> </w:t>
      </w:r>
      <w:r w:rsidR="003B24ED">
        <w:rPr>
          <w:rFonts w:ascii="Times New Roman" w:hAnsi="Times New Roman" w:cs="Times New Roman"/>
          <w:b/>
        </w:rPr>
        <w:t>Government</w:t>
      </w:r>
      <w:r>
        <w:rPr>
          <w:rFonts w:ascii="Times New Roman" w:hAnsi="Times New Roman" w:cs="Times New Roman"/>
          <w:b/>
        </w:rPr>
        <w:t xml:space="preserve"> interventions</w:t>
      </w:r>
      <w:r w:rsidRPr="00C91EA2">
        <w:rPr>
          <w:rFonts w:ascii="Times New Roman" w:hAnsi="Times New Roman" w:cs="Times New Roman"/>
          <w:b/>
        </w:rPr>
        <w:t xml:space="preserve"> can hinder the benefits of competition and obstruct the signals and incentives that would otherwise characterize these linkages. </w:t>
      </w:r>
      <w:r w:rsidRPr="004E65D4">
        <w:rPr>
          <w:rFonts w:ascii="Times New Roman" w:hAnsi="Times New Roman" w:cs="Times New Roman"/>
        </w:rPr>
        <w:t xml:space="preserve">The </w:t>
      </w:r>
      <w:r w:rsidR="003B24ED">
        <w:rPr>
          <w:rFonts w:ascii="Times New Roman" w:hAnsi="Times New Roman" w:cs="Times New Roman"/>
        </w:rPr>
        <w:t>Government</w:t>
      </w:r>
      <w:r w:rsidRPr="004E65D4">
        <w:rPr>
          <w:rFonts w:ascii="Times New Roman" w:hAnsi="Times New Roman" w:cs="Times New Roman"/>
        </w:rPr>
        <w:t xml:space="preserve"> of Senegal (</w:t>
      </w:r>
      <w:proofErr w:type="spellStart"/>
      <w:r w:rsidRPr="004E65D4">
        <w:rPr>
          <w:rFonts w:ascii="Times New Roman" w:hAnsi="Times New Roman" w:cs="Times New Roman"/>
        </w:rPr>
        <w:t>GoS</w:t>
      </w:r>
      <w:proofErr w:type="spellEnd"/>
      <w:r w:rsidRPr="004E65D4">
        <w:rPr>
          <w:rFonts w:ascii="Times New Roman" w:hAnsi="Times New Roman" w:cs="Times New Roman"/>
        </w:rPr>
        <w:t>) intervenes in the groundnut sector at all stages of the value chain</w:t>
      </w:r>
      <w:r w:rsidRPr="00E0125B">
        <w:rPr>
          <w:rFonts w:ascii="Times New Roman" w:hAnsi="Times New Roman" w:cs="Times New Roman"/>
        </w:rPr>
        <w:t>.</w:t>
      </w:r>
      <w:r w:rsidR="00037259">
        <w:rPr>
          <w:rStyle w:val="FootnoteReference"/>
          <w:rFonts w:ascii="Times New Roman" w:hAnsi="Times New Roman" w:cs="Times New Roman"/>
        </w:rPr>
        <w:footnoteReference w:id="15"/>
      </w:r>
      <w:r w:rsidRPr="00C91EA2">
        <w:rPr>
          <w:rFonts w:ascii="Times New Roman" w:hAnsi="Times New Roman" w:cs="Times New Roman"/>
        </w:rPr>
        <w:t xml:space="preserve"> </w:t>
      </w:r>
      <w:r>
        <w:rPr>
          <w:rFonts w:ascii="Times New Roman" w:hAnsi="Times New Roman" w:cs="Times New Roman"/>
        </w:rPr>
        <w:t>These</w:t>
      </w:r>
      <w:r w:rsidRPr="00C91EA2">
        <w:rPr>
          <w:rFonts w:ascii="Times New Roman" w:hAnsi="Times New Roman" w:cs="Times New Roman"/>
        </w:rPr>
        <w:t xml:space="preserve"> interventions in the market are both indirect (through policies and regulation that set the rules for market functioning)</w:t>
      </w:r>
      <w:r w:rsidR="00B670C2">
        <w:rPr>
          <w:rFonts w:ascii="Times New Roman" w:hAnsi="Times New Roman" w:cs="Times New Roman"/>
        </w:rPr>
        <w:t xml:space="preserve">, </w:t>
      </w:r>
      <w:r w:rsidR="002D7959">
        <w:rPr>
          <w:rFonts w:ascii="Times New Roman" w:hAnsi="Times New Roman" w:cs="Times New Roman"/>
        </w:rPr>
        <w:t>such as</w:t>
      </w:r>
      <w:r w:rsidR="00B670C2">
        <w:rPr>
          <w:rFonts w:ascii="Times New Roman" w:hAnsi="Times New Roman" w:cs="Times New Roman"/>
        </w:rPr>
        <w:t xml:space="preserve"> export taxes on groundnuts or import tariffs on vegetable oils,</w:t>
      </w:r>
      <w:r w:rsidRPr="00C91EA2">
        <w:rPr>
          <w:rFonts w:ascii="Times New Roman" w:hAnsi="Times New Roman" w:cs="Times New Roman"/>
        </w:rPr>
        <w:t xml:space="preserve"> and direct (through </w:t>
      </w:r>
      <w:r w:rsidR="003B24ED">
        <w:rPr>
          <w:rFonts w:ascii="Times New Roman" w:hAnsi="Times New Roman" w:cs="Times New Roman"/>
        </w:rPr>
        <w:t>Government</w:t>
      </w:r>
      <w:r w:rsidR="00637264">
        <w:rPr>
          <w:rFonts w:ascii="Times New Roman" w:hAnsi="Times New Roman" w:cs="Times New Roman"/>
        </w:rPr>
        <w:t xml:space="preserve"> </w:t>
      </w:r>
      <w:r w:rsidRPr="00C91EA2">
        <w:rPr>
          <w:rFonts w:ascii="Times New Roman" w:hAnsi="Times New Roman" w:cs="Times New Roman"/>
        </w:rPr>
        <w:t>ownership of market players)</w:t>
      </w:r>
      <w:r w:rsidR="00E73269">
        <w:rPr>
          <w:rFonts w:ascii="Times New Roman" w:hAnsi="Times New Roman" w:cs="Times New Roman"/>
        </w:rPr>
        <w:t xml:space="preserve"> as well as through an active participation in the value chain organization through the</w:t>
      </w:r>
      <w:r w:rsidR="008D4FF0">
        <w:rPr>
          <w:rFonts w:ascii="Times New Roman" w:hAnsi="Times New Roman" w:cs="Times New Roman"/>
        </w:rPr>
        <w:t xml:space="preserve"> </w:t>
      </w:r>
      <w:proofErr w:type="spellStart"/>
      <w:r w:rsidR="008D4FF0" w:rsidRPr="007575D7">
        <w:rPr>
          <w:rFonts w:ascii="Times New Roman" w:hAnsi="Times New Roman" w:cs="Times New Roman"/>
        </w:rPr>
        <w:t>Comité</w:t>
      </w:r>
      <w:proofErr w:type="spellEnd"/>
      <w:r w:rsidR="008D4FF0" w:rsidRPr="007575D7">
        <w:rPr>
          <w:rFonts w:ascii="Times New Roman" w:hAnsi="Times New Roman" w:cs="Times New Roman"/>
        </w:rPr>
        <w:t xml:space="preserve"> National </w:t>
      </w:r>
      <w:proofErr w:type="spellStart"/>
      <w:r w:rsidR="008D4FF0" w:rsidRPr="007575D7">
        <w:rPr>
          <w:rFonts w:ascii="Times New Roman" w:hAnsi="Times New Roman" w:cs="Times New Roman"/>
        </w:rPr>
        <w:t>Interpro</w:t>
      </w:r>
      <w:r w:rsidR="008D4FF0" w:rsidRPr="008D4FF0">
        <w:rPr>
          <w:rFonts w:ascii="Times New Roman" w:hAnsi="Times New Roman" w:cs="Times New Roman"/>
        </w:rPr>
        <w:t>fessionnel</w:t>
      </w:r>
      <w:proofErr w:type="spellEnd"/>
      <w:r w:rsidR="008D4FF0" w:rsidRPr="008D4FF0">
        <w:rPr>
          <w:rFonts w:ascii="Times New Roman" w:hAnsi="Times New Roman" w:cs="Times New Roman"/>
        </w:rPr>
        <w:t xml:space="preserve"> de </w:t>
      </w:r>
      <w:proofErr w:type="spellStart"/>
      <w:r w:rsidR="008D4FF0" w:rsidRPr="008D4FF0">
        <w:rPr>
          <w:rFonts w:ascii="Times New Roman" w:hAnsi="Times New Roman" w:cs="Times New Roman"/>
        </w:rPr>
        <w:t>l'Arachide</w:t>
      </w:r>
      <w:proofErr w:type="spellEnd"/>
      <w:r w:rsidR="008D4FF0" w:rsidRPr="008D4FF0">
        <w:rPr>
          <w:rFonts w:ascii="Times New Roman" w:hAnsi="Times New Roman" w:cs="Times New Roman"/>
        </w:rPr>
        <w:t xml:space="preserve"> (CNIA)</w:t>
      </w:r>
      <w:r w:rsidRPr="00C91EA2">
        <w:rPr>
          <w:rFonts w:ascii="Times New Roman" w:hAnsi="Times New Roman" w:cs="Times New Roman"/>
        </w:rPr>
        <w:t>.</w:t>
      </w:r>
      <w:r w:rsidRPr="007575D7">
        <w:rPr>
          <w:rFonts w:ascii="Times New Roman" w:hAnsi="Times New Roman" w:cs="Times New Roman"/>
        </w:rPr>
        <w:t xml:space="preserve"> </w:t>
      </w:r>
      <w:r w:rsidRPr="00C91EA2">
        <w:rPr>
          <w:rFonts w:ascii="Times New Roman" w:hAnsi="Times New Roman" w:cs="Times New Roman"/>
        </w:rPr>
        <w:t xml:space="preserve">They aim particularly at protecting Senegalese oil millers, while at the same time providing support to farmers. In some cases, however, such interventions introduce distortions into the value chain which may restrict market functioning and distort the incentives or ability </w:t>
      </w:r>
      <w:r>
        <w:rPr>
          <w:rFonts w:ascii="Times New Roman" w:hAnsi="Times New Roman" w:cs="Times New Roman"/>
        </w:rPr>
        <w:t>of</w:t>
      </w:r>
      <w:r w:rsidRPr="00C91EA2">
        <w:rPr>
          <w:rFonts w:ascii="Times New Roman" w:hAnsi="Times New Roman" w:cs="Times New Roman"/>
        </w:rPr>
        <w:t xml:space="preserve"> various market players</w:t>
      </w:r>
      <w:r>
        <w:rPr>
          <w:rFonts w:ascii="Times New Roman" w:hAnsi="Times New Roman" w:cs="Times New Roman"/>
        </w:rPr>
        <w:t xml:space="preserve"> – </w:t>
      </w:r>
      <w:r w:rsidRPr="00C91EA2">
        <w:rPr>
          <w:rFonts w:ascii="Times New Roman" w:hAnsi="Times New Roman" w:cs="Times New Roman"/>
        </w:rPr>
        <w:t xml:space="preserve">including farmers, traders and processors </w:t>
      </w:r>
      <w:r>
        <w:rPr>
          <w:rFonts w:ascii="Times New Roman" w:hAnsi="Times New Roman" w:cs="Times New Roman"/>
        </w:rPr>
        <w:t xml:space="preserve">– </w:t>
      </w:r>
      <w:r w:rsidRPr="00C91EA2">
        <w:rPr>
          <w:rFonts w:ascii="Times New Roman" w:hAnsi="Times New Roman" w:cs="Times New Roman"/>
        </w:rPr>
        <w:t>to invest, compete and expand.</w:t>
      </w:r>
    </w:p>
    <w:p w14:paraId="4B5C7466" w14:textId="77777777" w:rsidR="00B45ABD" w:rsidRDefault="00B45ABD" w:rsidP="00B45ABD">
      <w:pPr>
        <w:pStyle w:val="ListParagraph"/>
        <w:ind w:left="0"/>
        <w:jc w:val="both"/>
        <w:rPr>
          <w:rFonts w:ascii="Times New Roman" w:hAnsi="Times New Roman" w:cs="Times New Roman"/>
        </w:rPr>
      </w:pPr>
    </w:p>
    <w:tbl>
      <w:tblPr>
        <w:tblStyle w:val="TableGrid"/>
        <w:tblW w:w="5000" w:type="pct"/>
        <w:tblLook w:val="04A0" w:firstRow="1" w:lastRow="0" w:firstColumn="1" w:lastColumn="0" w:noHBand="0" w:noVBand="1"/>
      </w:tblPr>
      <w:tblGrid>
        <w:gridCol w:w="8290"/>
      </w:tblGrid>
      <w:tr w:rsidR="00B45ABD" w:rsidRPr="00C91EA2" w14:paraId="1A0AB83D" w14:textId="77777777" w:rsidTr="00D749D3">
        <w:tc>
          <w:tcPr>
            <w:tcW w:w="5000" w:type="pct"/>
            <w:tcBorders>
              <w:top w:val="single" w:sz="4" w:space="0" w:color="auto"/>
              <w:left w:val="single" w:sz="4" w:space="0" w:color="auto"/>
              <w:bottom w:val="single" w:sz="4" w:space="0" w:color="auto"/>
              <w:right w:val="single" w:sz="4" w:space="0" w:color="auto"/>
            </w:tcBorders>
            <w:hideMark/>
          </w:tcPr>
          <w:p w14:paraId="34EA42A0" w14:textId="10A0EFCE" w:rsidR="00B45ABD" w:rsidRPr="00C91EA2" w:rsidRDefault="00B45ABD" w:rsidP="00D749D3">
            <w:pPr>
              <w:keepNext/>
              <w:rPr>
                <w:rFonts w:ascii="Times New Roman" w:hAnsi="Times New Roman" w:cs="Times New Roman"/>
                <w:b/>
                <w:sz w:val="20"/>
                <w:szCs w:val="20"/>
              </w:rPr>
            </w:pPr>
            <w:bookmarkStart w:id="20" w:name="_Ref499543728"/>
            <w:bookmarkStart w:id="21" w:name="_Toc520725560"/>
            <w:r w:rsidRPr="00C91EA2">
              <w:rPr>
                <w:rFonts w:ascii="Times New Roman" w:hAnsi="Times New Roman" w:cs="Times New Roman"/>
                <w:b/>
                <w:sz w:val="20"/>
                <w:szCs w:val="20"/>
              </w:rPr>
              <w:t xml:space="preserve">Figure </w:t>
            </w:r>
            <w:r w:rsidR="00D91B27">
              <w:rPr>
                <w:rFonts w:ascii="Times New Roman" w:hAnsi="Times New Roman" w:cs="Times New Roman"/>
                <w:b/>
                <w:sz w:val="20"/>
                <w:szCs w:val="20"/>
              </w:rPr>
              <w:fldChar w:fldCharType="begin"/>
            </w:r>
            <w:r w:rsidR="00D91B27">
              <w:rPr>
                <w:rFonts w:ascii="Times New Roman" w:hAnsi="Times New Roman" w:cs="Times New Roman"/>
                <w:b/>
                <w:sz w:val="20"/>
                <w:szCs w:val="20"/>
              </w:rPr>
              <w:instrText xml:space="preserve"> SEQ Figure \* ARABIC </w:instrText>
            </w:r>
            <w:r w:rsidR="00D91B27">
              <w:rPr>
                <w:rFonts w:ascii="Times New Roman" w:hAnsi="Times New Roman" w:cs="Times New Roman"/>
                <w:b/>
                <w:sz w:val="20"/>
                <w:szCs w:val="20"/>
              </w:rPr>
              <w:fldChar w:fldCharType="separate"/>
            </w:r>
            <w:r w:rsidR="008261B2">
              <w:rPr>
                <w:rFonts w:ascii="Times New Roman" w:hAnsi="Times New Roman" w:cs="Times New Roman"/>
                <w:b/>
                <w:noProof/>
                <w:sz w:val="20"/>
                <w:szCs w:val="20"/>
              </w:rPr>
              <w:t>4</w:t>
            </w:r>
            <w:r w:rsidR="00D91B27">
              <w:rPr>
                <w:rFonts w:ascii="Times New Roman" w:hAnsi="Times New Roman" w:cs="Times New Roman"/>
                <w:b/>
                <w:sz w:val="20"/>
                <w:szCs w:val="20"/>
              </w:rPr>
              <w:fldChar w:fldCharType="end"/>
            </w:r>
            <w:bookmarkEnd w:id="20"/>
            <w:r w:rsidRPr="00C91EA2">
              <w:rPr>
                <w:rFonts w:ascii="Times New Roman" w:hAnsi="Times New Roman" w:cs="Times New Roman"/>
                <w:b/>
                <w:sz w:val="20"/>
                <w:szCs w:val="20"/>
              </w:rPr>
              <w:t>: A virtuous circle between three key markets in the value chain</w:t>
            </w:r>
            <w:bookmarkEnd w:id="21"/>
          </w:p>
        </w:tc>
      </w:tr>
      <w:tr w:rsidR="00B45ABD" w:rsidRPr="00C91EA2" w14:paraId="54E4AA84" w14:textId="77777777" w:rsidTr="00D749D3">
        <w:tc>
          <w:tcPr>
            <w:tcW w:w="5000" w:type="pct"/>
            <w:tcBorders>
              <w:top w:val="single" w:sz="4" w:space="0" w:color="auto"/>
              <w:left w:val="single" w:sz="4" w:space="0" w:color="auto"/>
              <w:bottom w:val="single" w:sz="4" w:space="0" w:color="auto"/>
              <w:right w:val="single" w:sz="4" w:space="0" w:color="auto"/>
            </w:tcBorders>
            <w:hideMark/>
          </w:tcPr>
          <w:p w14:paraId="284AB3E9" w14:textId="77777777" w:rsidR="00B45ABD" w:rsidRPr="00C91EA2" w:rsidRDefault="00B45ABD" w:rsidP="00D749D3">
            <w:pPr>
              <w:rPr>
                <w:rFonts w:ascii="Times New Roman" w:hAnsi="Times New Roman" w:cs="Times New Roman"/>
              </w:rPr>
            </w:pPr>
            <w:r w:rsidRPr="004E65D4">
              <w:rPr>
                <w:rFonts w:ascii="Times New Roman" w:hAnsi="Times New Roman" w:cs="Times New Roman"/>
                <w:noProof/>
              </w:rPr>
              <w:drawing>
                <wp:inline distT="0" distB="0" distL="0" distR="0" wp14:anchorId="1290D68C" wp14:editId="59836990">
                  <wp:extent cx="5270500" cy="1562735"/>
                  <wp:effectExtent l="0" t="0" r="1270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1562735"/>
                          </a:xfrm>
                          <a:prstGeom prst="rect">
                            <a:avLst/>
                          </a:prstGeom>
                        </pic:spPr>
                      </pic:pic>
                    </a:graphicData>
                  </a:graphic>
                </wp:inline>
              </w:drawing>
            </w:r>
          </w:p>
        </w:tc>
      </w:tr>
      <w:tr w:rsidR="00B45ABD" w:rsidRPr="00C91EA2" w14:paraId="1C30DD58" w14:textId="77777777" w:rsidTr="00D749D3">
        <w:trPr>
          <w:trHeight w:val="311"/>
        </w:trPr>
        <w:tc>
          <w:tcPr>
            <w:tcW w:w="5000" w:type="pct"/>
            <w:tcBorders>
              <w:top w:val="single" w:sz="4" w:space="0" w:color="auto"/>
              <w:left w:val="single" w:sz="4" w:space="0" w:color="auto"/>
              <w:bottom w:val="single" w:sz="4" w:space="0" w:color="auto"/>
              <w:right w:val="single" w:sz="4" w:space="0" w:color="auto"/>
            </w:tcBorders>
            <w:hideMark/>
          </w:tcPr>
          <w:p w14:paraId="636E5E9F" w14:textId="77777777" w:rsidR="00B45ABD" w:rsidRPr="004E65D4" w:rsidRDefault="00B45ABD" w:rsidP="00D749D3">
            <w:pPr>
              <w:rPr>
                <w:rFonts w:ascii="Times New Roman" w:hAnsi="Times New Roman" w:cs="Times New Roman"/>
                <w:sz w:val="20"/>
                <w:szCs w:val="24"/>
              </w:rPr>
            </w:pPr>
            <w:r w:rsidRPr="00C91EA2">
              <w:rPr>
                <w:rFonts w:ascii="Times New Roman" w:hAnsi="Times New Roman" w:cs="Times New Roman"/>
                <w:sz w:val="20"/>
                <w:szCs w:val="24"/>
              </w:rPr>
              <w:t>Source: Authors’ visualization</w:t>
            </w:r>
          </w:p>
        </w:tc>
      </w:tr>
    </w:tbl>
    <w:p w14:paraId="19A83BCF" w14:textId="77777777" w:rsidR="00A26FC0" w:rsidRDefault="00A26FC0" w:rsidP="002D1818">
      <w:pPr>
        <w:pStyle w:val="ListParagraph"/>
        <w:ind w:left="0"/>
        <w:jc w:val="both"/>
        <w:rPr>
          <w:rFonts w:ascii="Times New Roman" w:hAnsi="Times New Roman" w:cs="Times New Roman"/>
        </w:rPr>
      </w:pPr>
    </w:p>
    <w:p w14:paraId="660B2892" w14:textId="2259128B" w:rsidR="00C345EA" w:rsidRDefault="00A7156C" w:rsidP="002D1818">
      <w:pPr>
        <w:pStyle w:val="ListParagraph"/>
        <w:ind w:left="0"/>
        <w:jc w:val="both"/>
        <w:rPr>
          <w:rFonts w:ascii="Times New Roman" w:hAnsi="Times New Roman" w:cs="Times New Roman"/>
        </w:rPr>
      </w:pPr>
      <w:r w:rsidRPr="007575D7">
        <w:rPr>
          <w:rFonts w:ascii="Times New Roman" w:hAnsi="Times New Roman" w:cs="Times New Roman"/>
          <w:b/>
        </w:rPr>
        <w:t xml:space="preserve">Tackling priority issues from a markets and competition perspective is key for the value chain development and </w:t>
      </w:r>
      <w:r w:rsidR="00371C06" w:rsidRPr="007575D7">
        <w:rPr>
          <w:rFonts w:ascii="Times New Roman" w:hAnsi="Times New Roman" w:cs="Times New Roman"/>
          <w:b/>
        </w:rPr>
        <w:t xml:space="preserve">can </w:t>
      </w:r>
      <w:r w:rsidRPr="007575D7">
        <w:rPr>
          <w:rFonts w:ascii="Times New Roman" w:hAnsi="Times New Roman" w:cs="Times New Roman"/>
          <w:b/>
        </w:rPr>
        <w:t xml:space="preserve">complement </w:t>
      </w:r>
      <w:r w:rsidR="00C345EA" w:rsidRPr="007575D7">
        <w:rPr>
          <w:rFonts w:ascii="Times New Roman" w:hAnsi="Times New Roman" w:cs="Times New Roman"/>
          <w:b/>
        </w:rPr>
        <w:t xml:space="preserve">broader </w:t>
      </w:r>
      <w:r w:rsidR="00371C06" w:rsidRPr="007575D7">
        <w:rPr>
          <w:rFonts w:ascii="Times New Roman" w:hAnsi="Times New Roman" w:cs="Times New Roman"/>
          <w:b/>
        </w:rPr>
        <w:t xml:space="preserve">Government </w:t>
      </w:r>
      <w:r w:rsidRPr="007575D7">
        <w:rPr>
          <w:rFonts w:ascii="Times New Roman" w:hAnsi="Times New Roman" w:cs="Times New Roman"/>
          <w:b/>
        </w:rPr>
        <w:t>interventions</w:t>
      </w:r>
      <w:r w:rsidR="00C345EA" w:rsidRPr="007575D7">
        <w:rPr>
          <w:rFonts w:ascii="Times New Roman" w:hAnsi="Times New Roman" w:cs="Times New Roman"/>
          <w:b/>
        </w:rPr>
        <w:t xml:space="preserve"> on market development</w:t>
      </w:r>
      <w:r w:rsidR="00C345EA">
        <w:rPr>
          <w:rFonts w:ascii="Times New Roman" w:hAnsi="Times New Roman" w:cs="Times New Roman"/>
        </w:rPr>
        <w:t xml:space="preserve">, such as </w:t>
      </w:r>
      <w:r w:rsidR="00F27955">
        <w:rPr>
          <w:rFonts w:ascii="Times New Roman" w:hAnsi="Times New Roman" w:cs="Times New Roman"/>
        </w:rPr>
        <w:t xml:space="preserve">the development of </w:t>
      </w:r>
      <w:r w:rsidR="00C345EA">
        <w:rPr>
          <w:rFonts w:ascii="Times New Roman" w:hAnsi="Times New Roman" w:cs="Times New Roman"/>
        </w:rPr>
        <w:t>adequate</w:t>
      </w:r>
      <w:r w:rsidR="00371C06">
        <w:rPr>
          <w:rFonts w:ascii="Times New Roman" w:hAnsi="Times New Roman" w:cs="Times New Roman"/>
        </w:rPr>
        <w:t xml:space="preserve"> </w:t>
      </w:r>
      <w:r w:rsidR="00B63EB8">
        <w:rPr>
          <w:rFonts w:ascii="Times New Roman" w:hAnsi="Times New Roman" w:cs="Times New Roman"/>
        </w:rPr>
        <w:t xml:space="preserve">product </w:t>
      </w:r>
      <w:r w:rsidR="00371C06">
        <w:rPr>
          <w:rFonts w:ascii="Times New Roman" w:hAnsi="Times New Roman" w:cs="Times New Roman"/>
        </w:rPr>
        <w:t>quality and</w:t>
      </w:r>
      <w:r w:rsidR="00C345EA">
        <w:rPr>
          <w:rFonts w:ascii="Times New Roman" w:hAnsi="Times New Roman" w:cs="Times New Roman"/>
        </w:rPr>
        <w:t xml:space="preserve"> </w:t>
      </w:r>
      <w:r>
        <w:rPr>
          <w:rFonts w:ascii="Times New Roman" w:hAnsi="Times New Roman" w:cs="Times New Roman"/>
        </w:rPr>
        <w:t>standards</w:t>
      </w:r>
      <w:r w:rsidR="00CB60B1">
        <w:rPr>
          <w:rFonts w:ascii="Times New Roman" w:hAnsi="Times New Roman" w:cs="Times New Roman"/>
        </w:rPr>
        <w:t xml:space="preserve">, </w:t>
      </w:r>
      <w:r>
        <w:rPr>
          <w:rFonts w:ascii="Times New Roman" w:hAnsi="Times New Roman" w:cs="Times New Roman"/>
        </w:rPr>
        <w:t>irrigation systems,</w:t>
      </w:r>
      <w:r w:rsidR="00F27955">
        <w:rPr>
          <w:rFonts w:ascii="Times New Roman" w:hAnsi="Times New Roman" w:cs="Times New Roman"/>
        </w:rPr>
        <w:t xml:space="preserve"> and</w:t>
      </w:r>
      <w:r w:rsidR="00371C06">
        <w:rPr>
          <w:rFonts w:ascii="Times New Roman" w:hAnsi="Times New Roman" w:cs="Times New Roman"/>
        </w:rPr>
        <w:t xml:space="preserve"> contract farming</w:t>
      </w:r>
      <w:r w:rsidR="00CB60B1" w:rsidRPr="00CB60B1">
        <w:rPr>
          <w:rFonts w:ascii="Times New Roman" w:hAnsi="Times New Roman" w:cs="Times New Roman"/>
        </w:rPr>
        <w:t xml:space="preserve"> </w:t>
      </w:r>
      <w:r w:rsidR="00CB60B1">
        <w:rPr>
          <w:rFonts w:ascii="Times New Roman" w:hAnsi="Times New Roman" w:cs="Times New Roman"/>
        </w:rPr>
        <w:t xml:space="preserve">as well as risk mitigating measures for farmers, such as crop insurance and measures </w:t>
      </w:r>
      <w:r w:rsidR="00CB7F0C">
        <w:rPr>
          <w:rFonts w:ascii="Times New Roman" w:hAnsi="Times New Roman" w:cs="Times New Roman"/>
        </w:rPr>
        <w:t>of</w:t>
      </w:r>
      <w:r w:rsidR="00CB60B1">
        <w:rPr>
          <w:rFonts w:ascii="Times New Roman" w:hAnsi="Times New Roman" w:cs="Times New Roman"/>
        </w:rPr>
        <w:t xml:space="preserve"> social protection.</w:t>
      </w:r>
    </w:p>
    <w:p w14:paraId="552067F7" w14:textId="77777777" w:rsidR="00212031" w:rsidRDefault="00212031" w:rsidP="002D1818">
      <w:pPr>
        <w:pStyle w:val="ListParagraph"/>
        <w:ind w:left="0"/>
        <w:jc w:val="both"/>
        <w:rPr>
          <w:rFonts w:ascii="Times New Roman" w:hAnsi="Times New Roman" w:cs="Times New Roman"/>
        </w:rPr>
      </w:pPr>
    </w:p>
    <w:p w14:paraId="57416365" w14:textId="77777777" w:rsidR="00A26FC0" w:rsidRPr="00A26FC0" w:rsidRDefault="00A26FC0" w:rsidP="002D1818">
      <w:pPr>
        <w:pStyle w:val="ListParagraph"/>
        <w:ind w:left="0"/>
        <w:jc w:val="both"/>
        <w:rPr>
          <w:rFonts w:ascii="Times New Roman" w:hAnsi="Times New Roman" w:cs="Times New Roman"/>
          <w:i/>
        </w:rPr>
      </w:pPr>
      <w:r>
        <w:rPr>
          <w:rFonts w:ascii="Times New Roman" w:hAnsi="Times New Roman" w:cs="Times New Roman"/>
          <w:i/>
        </w:rPr>
        <w:t xml:space="preserve">The input </w:t>
      </w:r>
      <w:proofErr w:type="gramStart"/>
      <w:r>
        <w:rPr>
          <w:rFonts w:ascii="Times New Roman" w:hAnsi="Times New Roman" w:cs="Times New Roman"/>
          <w:i/>
        </w:rPr>
        <w:t>market</w:t>
      </w:r>
      <w:proofErr w:type="gramEnd"/>
    </w:p>
    <w:p w14:paraId="028EEC6B" w14:textId="77777777" w:rsidR="002D1818" w:rsidRDefault="002D1818" w:rsidP="002D1818">
      <w:pPr>
        <w:jc w:val="both"/>
        <w:rPr>
          <w:rFonts w:ascii="Times New Roman" w:hAnsi="Times New Roman" w:cs="Times New Roman"/>
          <w:b/>
        </w:rPr>
      </w:pPr>
    </w:p>
    <w:p w14:paraId="4010665D" w14:textId="2B792DC9" w:rsidR="002D1818" w:rsidRDefault="00B45ABD" w:rsidP="002D1818">
      <w:pPr>
        <w:pStyle w:val="ListParagraph"/>
        <w:ind w:left="0"/>
        <w:jc w:val="both"/>
        <w:rPr>
          <w:rFonts w:ascii="Times New Roman" w:hAnsi="Times New Roman" w:cs="Times New Roman"/>
        </w:rPr>
      </w:pPr>
      <w:r>
        <w:rPr>
          <w:rFonts w:ascii="Times New Roman" w:hAnsi="Times New Roman" w:cs="Times New Roman"/>
          <w:b/>
        </w:rPr>
        <w:t xml:space="preserve">The </w:t>
      </w:r>
      <w:r w:rsidR="003B24ED">
        <w:rPr>
          <w:rFonts w:ascii="Times New Roman" w:hAnsi="Times New Roman" w:cs="Times New Roman"/>
          <w:b/>
        </w:rPr>
        <w:t>Government</w:t>
      </w:r>
      <w:r>
        <w:rPr>
          <w:rFonts w:ascii="Times New Roman" w:hAnsi="Times New Roman" w:cs="Times New Roman"/>
          <w:b/>
        </w:rPr>
        <w:t xml:space="preserve"> participates heavily in input provision</w:t>
      </w:r>
      <w:r w:rsidR="002D1818">
        <w:rPr>
          <w:rFonts w:ascii="Times New Roman" w:hAnsi="Times New Roman" w:cs="Times New Roman"/>
          <w:b/>
        </w:rPr>
        <w:t xml:space="preserve">, </w:t>
      </w:r>
      <w:r w:rsidR="00683400">
        <w:rPr>
          <w:rFonts w:ascii="Times New Roman" w:hAnsi="Times New Roman" w:cs="Times New Roman"/>
          <w:b/>
        </w:rPr>
        <w:t xml:space="preserve">and this intervention </w:t>
      </w:r>
      <w:r w:rsidR="002D1818">
        <w:rPr>
          <w:rFonts w:ascii="Times New Roman" w:hAnsi="Times New Roman" w:cs="Times New Roman"/>
          <w:b/>
        </w:rPr>
        <w:t xml:space="preserve">leads to inefficiencies in groundnut production. </w:t>
      </w:r>
      <w:r w:rsidR="002D1818" w:rsidRPr="00B66971">
        <w:rPr>
          <w:rFonts w:ascii="Times New Roman" w:hAnsi="Times New Roman" w:cs="Times New Roman"/>
        </w:rPr>
        <w:t xml:space="preserve">The </w:t>
      </w:r>
      <w:r w:rsidR="003B24ED">
        <w:rPr>
          <w:rFonts w:ascii="Times New Roman" w:hAnsi="Times New Roman" w:cs="Times New Roman"/>
        </w:rPr>
        <w:t>Government</w:t>
      </w:r>
      <w:r w:rsidR="002D1818" w:rsidRPr="00B66971">
        <w:rPr>
          <w:rFonts w:ascii="Times New Roman" w:hAnsi="Times New Roman" w:cs="Times New Roman"/>
        </w:rPr>
        <w:t>’s research institution ISRA (</w:t>
      </w:r>
      <w:proofErr w:type="spellStart"/>
      <w:r w:rsidR="002D1818" w:rsidRPr="00B66971">
        <w:rPr>
          <w:rFonts w:ascii="Times New Roman" w:hAnsi="Times New Roman" w:cs="Times New Roman"/>
        </w:rPr>
        <w:t>Institut</w:t>
      </w:r>
      <w:proofErr w:type="spellEnd"/>
      <w:r w:rsidR="002D1818" w:rsidRPr="00B66971">
        <w:rPr>
          <w:rFonts w:ascii="Times New Roman" w:hAnsi="Times New Roman" w:cs="Times New Roman"/>
        </w:rPr>
        <w:t xml:space="preserve"> </w:t>
      </w:r>
      <w:proofErr w:type="spellStart"/>
      <w:r w:rsidR="002D1818" w:rsidRPr="00B66971">
        <w:rPr>
          <w:rFonts w:ascii="Times New Roman" w:hAnsi="Times New Roman" w:cs="Times New Roman"/>
        </w:rPr>
        <w:t>Sénégalais</w:t>
      </w:r>
      <w:proofErr w:type="spellEnd"/>
      <w:r w:rsidR="002D1818" w:rsidRPr="00B66971">
        <w:rPr>
          <w:rFonts w:ascii="Times New Roman" w:hAnsi="Times New Roman" w:cs="Times New Roman"/>
        </w:rPr>
        <w:t xml:space="preserve"> de </w:t>
      </w:r>
      <w:proofErr w:type="spellStart"/>
      <w:r w:rsidR="002D1818" w:rsidRPr="00B66971">
        <w:rPr>
          <w:rFonts w:ascii="Times New Roman" w:hAnsi="Times New Roman" w:cs="Times New Roman"/>
        </w:rPr>
        <w:t>Recherches</w:t>
      </w:r>
      <w:proofErr w:type="spellEnd"/>
      <w:r w:rsidR="002D1818" w:rsidRPr="00B66971">
        <w:rPr>
          <w:rFonts w:ascii="Times New Roman" w:hAnsi="Times New Roman" w:cs="Times New Roman"/>
        </w:rPr>
        <w:t xml:space="preserve"> </w:t>
      </w:r>
      <w:proofErr w:type="spellStart"/>
      <w:r w:rsidR="002D1818" w:rsidRPr="00B66971">
        <w:rPr>
          <w:rFonts w:ascii="Times New Roman" w:hAnsi="Times New Roman" w:cs="Times New Roman"/>
        </w:rPr>
        <w:t>Agricoles</w:t>
      </w:r>
      <w:proofErr w:type="spellEnd"/>
      <w:r w:rsidR="002D1818" w:rsidRPr="00B66971">
        <w:rPr>
          <w:rFonts w:ascii="Times New Roman" w:hAnsi="Times New Roman" w:cs="Times New Roman"/>
        </w:rPr>
        <w:t xml:space="preserve">) holds a monopoly </w:t>
      </w:r>
      <w:r w:rsidR="00683400">
        <w:rPr>
          <w:rFonts w:ascii="Times New Roman" w:hAnsi="Times New Roman" w:cs="Times New Roman"/>
        </w:rPr>
        <w:t>over</w:t>
      </w:r>
      <w:r w:rsidR="00683400" w:rsidRPr="00B66971">
        <w:rPr>
          <w:rFonts w:ascii="Times New Roman" w:hAnsi="Times New Roman" w:cs="Times New Roman"/>
        </w:rPr>
        <w:t xml:space="preserve"> </w:t>
      </w:r>
      <w:r w:rsidR="002D1818" w:rsidRPr="00B66971">
        <w:rPr>
          <w:rFonts w:ascii="Times New Roman" w:hAnsi="Times New Roman" w:cs="Times New Roman"/>
        </w:rPr>
        <w:t>the production of pre-base seed</w:t>
      </w:r>
      <w:r w:rsidR="0048304F">
        <w:rPr>
          <w:rFonts w:ascii="Times New Roman" w:hAnsi="Times New Roman" w:cs="Times New Roman"/>
        </w:rPr>
        <w:t>,</w:t>
      </w:r>
      <w:r w:rsidR="002D1818" w:rsidRPr="00B66971">
        <w:rPr>
          <w:rFonts w:ascii="Times New Roman" w:hAnsi="Times New Roman" w:cs="Times New Roman"/>
        </w:rPr>
        <w:t xml:space="preserve"> and imports of groundnut seed are restricted. However, ISRA is not able to produce sufficient pre-base seed to satisfy demand. Thus, certified groundnut seeds are in short supply</w:t>
      </w:r>
      <w:r w:rsidR="0048304F">
        <w:rPr>
          <w:rFonts w:ascii="Times New Roman" w:hAnsi="Times New Roman" w:cs="Times New Roman"/>
        </w:rPr>
        <w:t>,</w:t>
      </w:r>
      <w:r w:rsidR="002D1818" w:rsidRPr="00B66971">
        <w:rPr>
          <w:rStyle w:val="FootnoteReference"/>
          <w:rFonts w:ascii="Times New Roman" w:hAnsi="Times New Roman" w:cs="Times New Roman"/>
        </w:rPr>
        <w:footnoteReference w:id="16"/>
      </w:r>
      <w:r w:rsidR="002D1818" w:rsidRPr="00B66971">
        <w:rPr>
          <w:rFonts w:ascii="Times New Roman" w:hAnsi="Times New Roman" w:cs="Times New Roman"/>
        </w:rPr>
        <w:t xml:space="preserve"> and many farmers instead </w:t>
      </w:r>
      <w:r w:rsidR="00693C04">
        <w:rPr>
          <w:rFonts w:ascii="Times New Roman" w:hAnsi="Times New Roman" w:cs="Times New Roman"/>
        </w:rPr>
        <w:t>plant</w:t>
      </w:r>
      <w:r w:rsidR="002D1818" w:rsidRPr="00B66971">
        <w:rPr>
          <w:rFonts w:ascii="Times New Roman" w:hAnsi="Times New Roman" w:cs="Times New Roman"/>
        </w:rPr>
        <w:t xml:space="preserve"> whole groundnuts,</w:t>
      </w:r>
      <w:r w:rsidR="002D1818" w:rsidRPr="00C91EA2">
        <w:rPr>
          <w:rFonts w:ascii="Times New Roman" w:hAnsi="Times New Roman" w:cs="Times New Roman"/>
        </w:rPr>
        <w:t xml:space="preserve"> which are of questionable quality</w:t>
      </w:r>
      <w:r w:rsidR="00667791">
        <w:rPr>
          <w:rFonts w:ascii="Times New Roman" w:hAnsi="Times New Roman" w:cs="Times New Roman"/>
        </w:rPr>
        <w:t>, affecting their competitiveness in international markets</w:t>
      </w:r>
      <w:r w:rsidR="002D7959">
        <w:rPr>
          <w:rFonts w:ascii="Times New Roman" w:hAnsi="Times New Roman" w:cs="Times New Roman"/>
        </w:rPr>
        <w:t xml:space="preserve">, such as </w:t>
      </w:r>
      <w:r w:rsidR="00F27955">
        <w:rPr>
          <w:rFonts w:ascii="Times New Roman" w:hAnsi="Times New Roman" w:cs="Times New Roman"/>
        </w:rPr>
        <w:t>the exports</w:t>
      </w:r>
      <w:r w:rsidR="009705C8">
        <w:rPr>
          <w:rFonts w:ascii="Times New Roman" w:hAnsi="Times New Roman" w:cs="Times New Roman"/>
        </w:rPr>
        <w:t xml:space="preserve"> to the </w:t>
      </w:r>
      <w:r w:rsidR="00667791">
        <w:rPr>
          <w:rFonts w:ascii="Times New Roman" w:hAnsi="Times New Roman" w:cs="Times New Roman"/>
        </w:rPr>
        <w:t>E</w:t>
      </w:r>
      <w:r w:rsidR="002D7959">
        <w:rPr>
          <w:rFonts w:ascii="Times New Roman" w:hAnsi="Times New Roman" w:cs="Times New Roman"/>
        </w:rPr>
        <w:t xml:space="preserve">uropean </w:t>
      </w:r>
      <w:r w:rsidR="006B61E6">
        <w:rPr>
          <w:rFonts w:ascii="Times New Roman" w:hAnsi="Times New Roman" w:cs="Times New Roman"/>
        </w:rPr>
        <w:t>U</w:t>
      </w:r>
      <w:r w:rsidR="002D7959">
        <w:rPr>
          <w:rFonts w:ascii="Times New Roman" w:hAnsi="Times New Roman" w:cs="Times New Roman"/>
        </w:rPr>
        <w:t>nion</w:t>
      </w:r>
      <w:r w:rsidR="006B61E6">
        <w:rPr>
          <w:rStyle w:val="FootnoteReference"/>
          <w:rFonts w:ascii="Times New Roman" w:hAnsi="Times New Roman" w:cs="Times New Roman"/>
        </w:rPr>
        <w:footnoteReference w:id="17"/>
      </w:r>
      <w:r w:rsidR="00667791">
        <w:rPr>
          <w:rFonts w:ascii="Times New Roman" w:hAnsi="Times New Roman" w:cs="Times New Roman"/>
        </w:rPr>
        <w:t>)</w:t>
      </w:r>
      <w:r w:rsidR="002D1818" w:rsidRPr="00C91EA2">
        <w:rPr>
          <w:rFonts w:ascii="Times New Roman" w:hAnsi="Times New Roman" w:cs="Times New Roman"/>
        </w:rPr>
        <w:t>. The shortage of high-quality seeds contributes to Senegal’s low yields</w:t>
      </w:r>
      <w:r w:rsidR="00813DD9" w:rsidRPr="00C91EA2">
        <w:rPr>
          <w:rStyle w:val="FootnoteReference"/>
          <w:rFonts w:ascii="Times New Roman" w:hAnsi="Times New Roman" w:cs="Times New Roman"/>
        </w:rPr>
        <w:footnoteReference w:id="18"/>
      </w:r>
      <w:r w:rsidR="00667791">
        <w:rPr>
          <w:rFonts w:ascii="Times New Roman" w:hAnsi="Times New Roman" w:cs="Times New Roman"/>
        </w:rPr>
        <w:t xml:space="preserve">: while Senegal has a strong competitive advantage in the production and export of high-quality groundnuts, </w:t>
      </w:r>
      <w:r w:rsidR="00813DD9">
        <w:rPr>
          <w:rFonts w:ascii="Times New Roman" w:hAnsi="Times New Roman" w:cs="Times New Roman"/>
        </w:rPr>
        <w:t>groundnut oil factories run at 25-50</w:t>
      </w:r>
      <w:r w:rsidR="00327AB4">
        <w:rPr>
          <w:rFonts w:ascii="Times New Roman" w:hAnsi="Times New Roman" w:cs="Times New Roman"/>
        </w:rPr>
        <w:t xml:space="preserve"> percent</w:t>
      </w:r>
      <w:r w:rsidR="00813DD9">
        <w:rPr>
          <w:rFonts w:ascii="Times New Roman" w:hAnsi="Times New Roman" w:cs="Times New Roman"/>
        </w:rPr>
        <w:t xml:space="preserve"> of production capacity</w:t>
      </w:r>
      <w:r w:rsidR="009705C8">
        <w:rPr>
          <w:rFonts w:ascii="Times New Roman" w:hAnsi="Times New Roman" w:cs="Times New Roman"/>
        </w:rPr>
        <w:t xml:space="preserve"> (</w:t>
      </w:r>
      <w:r w:rsidR="00813DD9">
        <w:rPr>
          <w:rFonts w:ascii="Times New Roman" w:hAnsi="Times New Roman" w:cs="Times New Roman"/>
        </w:rPr>
        <w:t>mainly due to the current downward trend of groundnut oil prices</w:t>
      </w:r>
      <w:r w:rsidR="00251B1A">
        <w:rPr>
          <w:rStyle w:val="FootnoteReference"/>
          <w:rFonts w:ascii="Times New Roman" w:hAnsi="Times New Roman" w:cs="Times New Roman"/>
        </w:rPr>
        <w:footnoteReference w:id="19"/>
      </w:r>
      <w:proofErr w:type="gramStart"/>
      <w:r w:rsidR="009705C8">
        <w:rPr>
          <w:rFonts w:ascii="Times New Roman" w:hAnsi="Times New Roman" w:cs="Times New Roman"/>
        </w:rPr>
        <w:t>)</w:t>
      </w:r>
      <w:r w:rsidR="00667791">
        <w:rPr>
          <w:rFonts w:ascii="Times New Roman" w:hAnsi="Times New Roman" w:cs="Times New Roman"/>
        </w:rPr>
        <w:t xml:space="preserve"> </w:t>
      </w:r>
      <w:r w:rsidR="002D1818" w:rsidRPr="00C91EA2">
        <w:rPr>
          <w:rFonts w:ascii="Times New Roman" w:hAnsi="Times New Roman" w:cs="Times New Roman"/>
        </w:rPr>
        <w:t>.</w:t>
      </w:r>
      <w:proofErr w:type="gramEnd"/>
      <w:r w:rsidR="002D1818">
        <w:rPr>
          <w:rFonts w:ascii="Times New Roman" w:hAnsi="Times New Roman" w:cs="Times New Roman"/>
        </w:rPr>
        <w:t xml:space="preserve"> A </w:t>
      </w:r>
      <w:r w:rsidR="003B24ED">
        <w:rPr>
          <w:rFonts w:ascii="Times New Roman" w:hAnsi="Times New Roman" w:cs="Times New Roman"/>
        </w:rPr>
        <w:t>Government</w:t>
      </w:r>
      <w:r w:rsidR="002D1818">
        <w:rPr>
          <w:rFonts w:ascii="Times New Roman" w:hAnsi="Times New Roman" w:cs="Times New Roman"/>
        </w:rPr>
        <w:t xml:space="preserve">-managed allocation mechanism of subsidized seeds furthermore leads to an inefficient allocation of seed. </w:t>
      </w:r>
      <w:r w:rsidR="00085292">
        <w:rPr>
          <w:rFonts w:ascii="Times New Roman" w:hAnsi="Times New Roman" w:cs="Times New Roman"/>
        </w:rPr>
        <w:t>The provision of fertilizer is also highly controlled</w:t>
      </w:r>
      <w:r w:rsidR="002D1818">
        <w:rPr>
          <w:rFonts w:ascii="Times New Roman" w:hAnsi="Times New Roman" w:cs="Times New Roman"/>
        </w:rPr>
        <w:t>. T</w:t>
      </w:r>
      <w:r w:rsidR="002D1818" w:rsidRPr="005B7B0B">
        <w:rPr>
          <w:rFonts w:ascii="Times New Roman" w:hAnsi="Times New Roman" w:cs="Times New Roman"/>
        </w:rPr>
        <w:t xml:space="preserve">he </w:t>
      </w:r>
      <w:r w:rsidR="003B24ED">
        <w:rPr>
          <w:rFonts w:ascii="Times New Roman" w:hAnsi="Times New Roman" w:cs="Times New Roman"/>
        </w:rPr>
        <w:t>Government</w:t>
      </w:r>
      <w:r w:rsidR="002D1818" w:rsidRPr="005B7B0B">
        <w:rPr>
          <w:rFonts w:ascii="Times New Roman" w:hAnsi="Times New Roman" w:cs="Times New Roman"/>
        </w:rPr>
        <w:t xml:space="preserve"> of Senegal subsidizes fertilizer and is involved in all stages of the value chain from procurement to distribution. For subsidized fertilizer, the </w:t>
      </w:r>
      <w:r w:rsidR="003B24ED">
        <w:rPr>
          <w:rFonts w:ascii="Times New Roman" w:hAnsi="Times New Roman" w:cs="Times New Roman"/>
        </w:rPr>
        <w:t>Government</w:t>
      </w:r>
      <w:r w:rsidR="002D1818" w:rsidRPr="005B7B0B">
        <w:rPr>
          <w:rFonts w:ascii="Times New Roman" w:hAnsi="Times New Roman" w:cs="Times New Roman"/>
        </w:rPr>
        <w:t xml:space="preserve"> engages in a public procurement</w:t>
      </w:r>
      <w:r w:rsidR="002D1818" w:rsidRPr="00C91EA2">
        <w:rPr>
          <w:rFonts w:ascii="Times New Roman" w:hAnsi="Times New Roman" w:cs="Times New Roman"/>
        </w:rPr>
        <w:t xml:space="preserve"> process based on anticipated demand and then awards contracts to a few large providers. As part of the contract, providers are required to deliver fertilizer to specific locations determined by the </w:t>
      </w:r>
      <w:r w:rsidR="003B24ED">
        <w:rPr>
          <w:rFonts w:ascii="Times New Roman" w:hAnsi="Times New Roman" w:cs="Times New Roman"/>
        </w:rPr>
        <w:t>Government</w:t>
      </w:r>
      <w:r w:rsidR="002D1818" w:rsidRPr="00C91EA2">
        <w:rPr>
          <w:rFonts w:ascii="Times New Roman" w:hAnsi="Times New Roman" w:cs="Times New Roman"/>
        </w:rPr>
        <w:t xml:space="preserve">. </w:t>
      </w:r>
      <w:r w:rsidR="002D1818">
        <w:rPr>
          <w:rFonts w:ascii="Times New Roman" w:hAnsi="Times New Roman" w:cs="Times New Roman"/>
        </w:rPr>
        <w:t xml:space="preserve">As a result, market incentives </w:t>
      </w:r>
      <w:r w:rsidR="00085292">
        <w:rPr>
          <w:rFonts w:ascii="Times New Roman" w:hAnsi="Times New Roman" w:cs="Times New Roman"/>
        </w:rPr>
        <w:t xml:space="preserve">are not allowed to </w:t>
      </w:r>
      <w:r w:rsidR="002D1818">
        <w:rPr>
          <w:rFonts w:ascii="Times New Roman" w:hAnsi="Times New Roman" w:cs="Times New Roman"/>
        </w:rPr>
        <w:t>contribute to an efficient allocation of fertilizers</w:t>
      </w:r>
      <w:r w:rsidR="003E3AD1">
        <w:rPr>
          <w:rFonts w:ascii="Times New Roman" w:hAnsi="Times New Roman" w:cs="Times New Roman"/>
        </w:rPr>
        <w:t>, better quality provision based on soil requirements, timeliness</w:t>
      </w:r>
      <w:r w:rsidR="004D7C2C">
        <w:rPr>
          <w:rFonts w:ascii="Times New Roman" w:hAnsi="Times New Roman" w:cs="Times New Roman"/>
        </w:rPr>
        <w:t xml:space="preserve"> of deliveries</w:t>
      </w:r>
      <w:r w:rsidR="003E3AD1">
        <w:rPr>
          <w:rFonts w:ascii="Times New Roman" w:hAnsi="Times New Roman" w:cs="Times New Roman"/>
        </w:rPr>
        <w:t xml:space="preserve"> </w:t>
      </w:r>
      <w:r w:rsidR="0018643A">
        <w:rPr>
          <w:rFonts w:ascii="Times New Roman" w:hAnsi="Times New Roman" w:cs="Times New Roman"/>
        </w:rPr>
        <w:t>and better</w:t>
      </w:r>
      <w:r w:rsidR="003E3AD1">
        <w:rPr>
          <w:rFonts w:ascii="Times New Roman" w:hAnsi="Times New Roman" w:cs="Times New Roman"/>
        </w:rPr>
        <w:t xml:space="preserve"> prices.</w:t>
      </w:r>
    </w:p>
    <w:p w14:paraId="5033DF0B" w14:textId="77777777" w:rsidR="002D1818" w:rsidRDefault="002D1818" w:rsidP="002D1818">
      <w:pPr>
        <w:pStyle w:val="ListParagraph"/>
        <w:ind w:left="0"/>
        <w:jc w:val="both"/>
        <w:rPr>
          <w:rFonts w:ascii="Times New Roman" w:hAnsi="Times New Roman" w:cs="Times New Roman"/>
        </w:rPr>
      </w:pPr>
    </w:p>
    <w:p w14:paraId="710090FE" w14:textId="77777777" w:rsidR="00A26FC0" w:rsidRPr="00A26FC0" w:rsidRDefault="00A26FC0" w:rsidP="002D1818">
      <w:pPr>
        <w:pStyle w:val="ListParagraph"/>
        <w:ind w:left="0"/>
        <w:jc w:val="both"/>
        <w:rPr>
          <w:rFonts w:ascii="Times New Roman" w:hAnsi="Times New Roman" w:cs="Times New Roman"/>
          <w:i/>
        </w:rPr>
      </w:pPr>
      <w:r>
        <w:rPr>
          <w:rFonts w:ascii="Times New Roman" w:hAnsi="Times New Roman" w:cs="Times New Roman"/>
          <w:i/>
        </w:rPr>
        <w:t>The market for buying</w:t>
      </w:r>
      <w:r w:rsidR="00E43ED7">
        <w:rPr>
          <w:rFonts w:ascii="Times New Roman" w:hAnsi="Times New Roman" w:cs="Times New Roman"/>
          <w:i/>
        </w:rPr>
        <w:t xml:space="preserve"> raw groundnut</w:t>
      </w:r>
      <w:r>
        <w:rPr>
          <w:rFonts w:ascii="Times New Roman" w:hAnsi="Times New Roman" w:cs="Times New Roman"/>
          <w:i/>
        </w:rPr>
        <w:t xml:space="preserve"> from farmers</w:t>
      </w:r>
    </w:p>
    <w:p w14:paraId="3DC764F9" w14:textId="77777777" w:rsidR="00A26FC0" w:rsidRDefault="00A26FC0" w:rsidP="002D1818">
      <w:pPr>
        <w:pStyle w:val="ListParagraph"/>
        <w:ind w:left="0"/>
        <w:jc w:val="both"/>
        <w:rPr>
          <w:rFonts w:ascii="Times New Roman" w:hAnsi="Times New Roman" w:cs="Times New Roman"/>
        </w:rPr>
      </w:pPr>
    </w:p>
    <w:p w14:paraId="2579724F" w14:textId="081A9309" w:rsidR="002D1818" w:rsidRDefault="00E43ED7" w:rsidP="002D1818">
      <w:pPr>
        <w:pStyle w:val="ListParagraph"/>
        <w:ind w:left="0"/>
        <w:jc w:val="both"/>
        <w:rPr>
          <w:rFonts w:ascii="Times New Roman" w:hAnsi="Times New Roman" w:cs="Times New Roman"/>
        </w:rPr>
      </w:pPr>
      <w:r>
        <w:rPr>
          <w:rFonts w:ascii="Times New Roman" w:hAnsi="Times New Roman" w:cs="Times New Roman"/>
          <w:b/>
        </w:rPr>
        <w:t>T</w:t>
      </w:r>
      <w:r w:rsidR="002D1818" w:rsidRPr="00C91EA2">
        <w:rPr>
          <w:rFonts w:ascii="Times New Roman" w:hAnsi="Times New Roman" w:cs="Times New Roman"/>
          <w:b/>
        </w:rPr>
        <w:t xml:space="preserve">he </w:t>
      </w:r>
      <w:r w:rsidR="00B45ABD">
        <w:rPr>
          <w:rFonts w:ascii="Times New Roman" w:hAnsi="Times New Roman" w:cs="Times New Roman"/>
          <w:b/>
        </w:rPr>
        <w:t>func</w:t>
      </w:r>
      <w:r>
        <w:rPr>
          <w:rFonts w:ascii="Times New Roman" w:hAnsi="Times New Roman" w:cs="Times New Roman"/>
          <w:b/>
        </w:rPr>
        <w:t xml:space="preserve">tioning of the </w:t>
      </w:r>
      <w:r w:rsidR="002D1818" w:rsidRPr="00C91EA2">
        <w:rPr>
          <w:rFonts w:ascii="Times New Roman" w:hAnsi="Times New Roman" w:cs="Times New Roman"/>
          <w:b/>
        </w:rPr>
        <w:t xml:space="preserve">market for buying </w:t>
      </w:r>
      <w:r>
        <w:rPr>
          <w:rFonts w:ascii="Times New Roman" w:hAnsi="Times New Roman" w:cs="Times New Roman"/>
          <w:b/>
        </w:rPr>
        <w:t xml:space="preserve">raw groundnut </w:t>
      </w:r>
      <w:r w:rsidR="002D1818" w:rsidRPr="00C91EA2">
        <w:rPr>
          <w:rFonts w:ascii="Times New Roman" w:hAnsi="Times New Roman" w:cs="Times New Roman"/>
          <w:b/>
        </w:rPr>
        <w:t xml:space="preserve">from farmers </w:t>
      </w:r>
      <w:r w:rsidR="001C70F3">
        <w:rPr>
          <w:rFonts w:ascii="Times New Roman" w:hAnsi="Times New Roman" w:cs="Times New Roman"/>
          <w:b/>
        </w:rPr>
        <w:t>is affected not only</w:t>
      </w:r>
      <w:r w:rsidR="002D1818" w:rsidRPr="00C91EA2">
        <w:rPr>
          <w:rFonts w:ascii="Times New Roman" w:hAnsi="Times New Roman" w:cs="Times New Roman"/>
          <w:b/>
        </w:rPr>
        <w:t xml:space="preserve"> by market characteristics</w:t>
      </w:r>
      <w:r w:rsidR="00803807">
        <w:rPr>
          <w:rFonts w:ascii="Times New Roman" w:hAnsi="Times New Roman" w:cs="Times New Roman"/>
          <w:b/>
        </w:rPr>
        <w:t xml:space="preserve"> </w:t>
      </w:r>
      <w:r w:rsidR="001C70F3">
        <w:rPr>
          <w:rFonts w:ascii="Times New Roman" w:hAnsi="Times New Roman" w:cs="Times New Roman"/>
          <w:b/>
        </w:rPr>
        <w:t>but also by</w:t>
      </w:r>
      <w:r w:rsidR="001C70F3" w:rsidRPr="00C91EA2">
        <w:rPr>
          <w:rFonts w:ascii="Times New Roman" w:hAnsi="Times New Roman" w:cs="Times New Roman"/>
          <w:b/>
        </w:rPr>
        <w:t xml:space="preserve"> </w:t>
      </w:r>
      <w:r w:rsidR="002D1818" w:rsidRPr="00C91EA2">
        <w:rPr>
          <w:rFonts w:ascii="Times New Roman" w:hAnsi="Times New Roman" w:cs="Times New Roman"/>
          <w:b/>
        </w:rPr>
        <w:t xml:space="preserve">policy-related distortions. </w:t>
      </w:r>
      <w:r w:rsidR="002D1818">
        <w:rPr>
          <w:rFonts w:ascii="Times New Roman" w:hAnsi="Times New Roman" w:cs="Times New Roman"/>
        </w:rPr>
        <w:t xml:space="preserve">Following the removal of a ban on groundnut exports, farmers largely opted to sell their produce to exporters willing to pay higher prices than domestic processors. </w:t>
      </w:r>
      <w:r w:rsidR="009705C8">
        <w:rPr>
          <w:rFonts w:ascii="Times New Roman" w:hAnsi="Times New Roman" w:cs="Times New Roman"/>
        </w:rPr>
        <w:t>The Government put in place an export tax on groundnuts during the 2016/17 season. This tax was intended to be</w:t>
      </w:r>
      <w:r w:rsidR="002D1818">
        <w:rPr>
          <w:rFonts w:ascii="Times New Roman" w:hAnsi="Times New Roman" w:cs="Times New Roman"/>
        </w:rPr>
        <w:t xml:space="preserve"> a measure to protect the domestic processing industry, including the</w:t>
      </w:r>
      <w:r w:rsidR="00FA09FE">
        <w:rPr>
          <w:rFonts w:ascii="Times New Roman" w:hAnsi="Times New Roman" w:cs="Times New Roman"/>
        </w:rPr>
        <w:t xml:space="preserve"> state-owned</w:t>
      </w:r>
      <w:r w:rsidR="002D1818">
        <w:rPr>
          <w:rFonts w:ascii="Times New Roman" w:hAnsi="Times New Roman" w:cs="Times New Roman"/>
        </w:rPr>
        <w:t xml:space="preserve"> enterprise SONACOS, </w:t>
      </w:r>
      <w:r w:rsidR="009705C8">
        <w:rPr>
          <w:rFonts w:ascii="Times New Roman" w:hAnsi="Times New Roman" w:cs="Times New Roman"/>
        </w:rPr>
        <w:t xml:space="preserve">as well as, </w:t>
      </w:r>
      <w:r w:rsidR="00025795">
        <w:rPr>
          <w:rFonts w:ascii="Times New Roman" w:hAnsi="Times New Roman" w:cs="Times New Roman"/>
        </w:rPr>
        <w:t xml:space="preserve">kept at a low level, </w:t>
      </w:r>
      <w:r w:rsidR="009705C8">
        <w:rPr>
          <w:rFonts w:ascii="Times New Roman" w:hAnsi="Times New Roman" w:cs="Times New Roman"/>
        </w:rPr>
        <w:t xml:space="preserve">a means of revenue collection for reinvestment into providing public goods to ensure </w:t>
      </w:r>
      <w:r w:rsidR="00025795">
        <w:rPr>
          <w:rFonts w:ascii="Times New Roman" w:hAnsi="Times New Roman" w:cs="Times New Roman"/>
        </w:rPr>
        <w:t xml:space="preserve">product </w:t>
      </w:r>
      <w:r w:rsidR="009705C8">
        <w:rPr>
          <w:rFonts w:ascii="Times New Roman" w:hAnsi="Times New Roman" w:cs="Times New Roman"/>
        </w:rPr>
        <w:t xml:space="preserve">quality. The tax </w:t>
      </w:r>
      <w:r w:rsidR="00864152">
        <w:rPr>
          <w:rFonts w:ascii="Times New Roman" w:hAnsi="Times New Roman" w:cs="Times New Roman"/>
        </w:rPr>
        <w:t xml:space="preserve">was </w:t>
      </w:r>
      <w:r w:rsidR="00025795">
        <w:rPr>
          <w:rFonts w:ascii="Times New Roman" w:hAnsi="Times New Roman" w:cs="Times New Roman"/>
        </w:rPr>
        <w:t xml:space="preserve">albeit </w:t>
      </w:r>
      <w:r w:rsidR="00864152">
        <w:rPr>
          <w:rFonts w:ascii="Times New Roman" w:hAnsi="Times New Roman" w:cs="Times New Roman"/>
        </w:rPr>
        <w:t>suspended in late 2017</w:t>
      </w:r>
      <w:r w:rsidR="002D1818">
        <w:rPr>
          <w:rFonts w:ascii="Times New Roman" w:hAnsi="Times New Roman" w:cs="Times New Roman"/>
        </w:rPr>
        <w:t xml:space="preserve">. </w:t>
      </w:r>
      <w:r w:rsidR="00864152">
        <w:rPr>
          <w:rFonts w:ascii="Times New Roman" w:hAnsi="Times New Roman" w:cs="Times New Roman"/>
        </w:rPr>
        <w:t xml:space="preserve">The tax had led to a boycott </w:t>
      </w:r>
      <w:r w:rsidR="00A23E7B">
        <w:rPr>
          <w:rFonts w:ascii="Times New Roman" w:hAnsi="Times New Roman" w:cs="Times New Roman"/>
        </w:rPr>
        <w:t>(</w:t>
      </w:r>
      <w:r w:rsidR="00864152">
        <w:rPr>
          <w:rFonts w:ascii="Times New Roman" w:hAnsi="Times New Roman" w:cs="Times New Roman"/>
        </w:rPr>
        <w:t xml:space="preserve">primarily </w:t>
      </w:r>
      <w:r w:rsidR="00A23E7B">
        <w:rPr>
          <w:rFonts w:ascii="Times New Roman" w:hAnsi="Times New Roman" w:cs="Times New Roman"/>
        </w:rPr>
        <w:t xml:space="preserve">by </w:t>
      </w:r>
      <w:r w:rsidR="00864152">
        <w:rPr>
          <w:rFonts w:ascii="Times New Roman" w:hAnsi="Times New Roman" w:cs="Times New Roman"/>
        </w:rPr>
        <w:t>Chinese traders</w:t>
      </w:r>
      <w:r w:rsidR="00A23E7B">
        <w:rPr>
          <w:rFonts w:ascii="Times New Roman" w:hAnsi="Times New Roman" w:cs="Times New Roman"/>
        </w:rPr>
        <w:t>)</w:t>
      </w:r>
      <w:r w:rsidR="00864152">
        <w:rPr>
          <w:rFonts w:ascii="Times New Roman" w:hAnsi="Times New Roman" w:cs="Times New Roman"/>
        </w:rPr>
        <w:t xml:space="preserve"> and slow sales of groundnut towards the end of 2017, which in turn lowered </w:t>
      </w:r>
      <w:r w:rsidR="002D1818">
        <w:rPr>
          <w:rFonts w:ascii="Times New Roman" w:hAnsi="Times New Roman" w:cs="Times New Roman"/>
        </w:rPr>
        <w:t xml:space="preserve">farmer incomes. Furthermore, the incidence of the tax </w:t>
      </w:r>
      <w:r w:rsidR="00864152">
        <w:rPr>
          <w:rFonts w:ascii="Times New Roman" w:hAnsi="Times New Roman" w:cs="Times New Roman"/>
        </w:rPr>
        <w:t xml:space="preserve">fell </w:t>
      </w:r>
      <w:r w:rsidR="002D1818">
        <w:rPr>
          <w:rFonts w:ascii="Times New Roman" w:hAnsi="Times New Roman" w:cs="Times New Roman"/>
        </w:rPr>
        <w:t>more heavily on shelled nuts</w:t>
      </w:r>
      <w:r w:rsidR="003F79DB">
        <w:rPr>
          <w:rFonts w:ascii="Times New Roman" w:hAnsi="Times New Roman" w:cs="Times New Roman"/>
        </w:rPr>
        <w:t xml:space="preserve"> than</w:t>
      </w:r>
      <w:r w:rsidR="002D1818">
        <w:rPr>
          <w:rFonts w:ascii="Times New Roman" w:hAnsi="Times New Roman" w:cs="Times New Roman"/>
        </w:rPr>
        <w:t xml:space="preserve"> on unprocessed nuts in shell, discouraging local value addition and better market outcomes. </w:t>
      </w:r>
      <w:r w:rsidR="00BF6E37">
        <w:rPr>
          <w:rFonts w:ascii="Times New Roman" w:hAnsi="Times New Roman" w:cs="Times New Roman"/>
        </w:rPr>
        <w:t>In the past, e</w:t>
      </w:r>
      <w:r w:rsidR="002D1818">
        <w:rPr>
          <w:rFonts w:ascii="Times New Roman" w:hAnsi="Times New Roman" w:cs="Times New Roman"/>
        </w:rPr>
        <w:t xml:space="preserve">xport restrictions </w:t>
      </w:r>
      <w:r w:rsidR="004C7798">
        <w:rPr>
          <w:rFonts w:ascii="Times New Roman" w:hAnsi="Times New Roman" w:cs="Times New Roman"/>
        </w:rPr>
        <w:t xml:space="preserve">also </w:t>
      </w:r>
      <w:r w:rsidR="002D1818">
        <w:rPr>
          <w:rFonts w:ascii="Times New Roman" w:hAnsi="Times New Roman" w:cs="Times New Roman"/>
        </w:rPr>
        <w:t>strengthen</w:t>
      </w:r>
      <w:r w:rsidR="004C192F">
        <w:rPr>
          <w:rFonts w:ascii="Times New Roman" w:hAnsi="Times New Roman" w:cs="Times New Roman"/>
        </w:rPr>
        <w:t>ed</w:t>
      </w:r>
      <w:r w:rsidR="002D1818">
        <w:rPr>
          <w:rFonts w:ascii="Times New Roman" w:hAnsi="Times New Roman" w:cs="Times New Roman"/>
        </w:rPr>
        <w:t xml:space="preserve"> the market position of so-called OPS, the </w:t>
      </w:r>
      <w:r w:rsidR="0070468D">
        <w:rPr>
          <w:rFonts w:ascii="Times New Roman" w:hAnsi="Times New Roman" w:cs="Times New Roman"/>
        </w:rPr>
        <w:t xml:space="preserve">licensed </w:t>
      </w:r>
      <w:r w:rsidR="002D1818">
        <w:rPr>
          <w:rFonts w:ascii="Times New Roman" w:hAnsi="Times New Roman" w:cs="Times New Roman"/>
        </w:rPr>
        <w:t xml:space="preserve">buyers for domestic oil producers. </w:t>
      </w:r>
      <w:r w:rsidR="004C192F">
        <w:rPr>
          <w:rFonts w:ascii="Times New Roman" w:hAnsi="Times New Roman" w:cs="Times New Roman"/>
        </w:rPr>
        <w:t>This provided them with advantages over potentially competing buyers beyond the fact that they already</w:t>
      </w:r>
      <w:r w:rsidR="002D1818" w:rsidRPr="00C91EA2">
        <w:rPr>
          <w:rFonts w:ascii="Times New Roman" w:hAnsi="Times New Roman" w:cs="Times New Roman"/>
        </w:rPr>
        <w:t xml:space="preserve"> appear to benefit from a well-established infrastructure of collection points</w:t>
      </w:r>
      <w:r w:rsidR="002D1818">
        <w:rPr>
          <w:rFonts w:ascii="Times New Roman" w:hAnsi="Times New Roman" w:cs="Times New Roman"/>
        </w:rPr>
        <w:t xml:space="preserve"> as well as other advantages such as cheaper access to finance</w:t>
      </w:r>
      <w:r w:rsidR="002D1818" w:rsidRPr="00C91EA2">
        <w:rPr>
          <w:rFonts w:ascii="Times New Roman" w:hAnsi="Times New Roman" w:cs="Times New Roman"/>
        </w:rPr>
        <w:t>.</w:t>
      </w:r>
      <w:r w:rsidR="002D1818" w:rsidRPr="00C91EA2">
        <w:rPr>
          <w:rStyle w:val="FootnoteReference"/>
          <w:rFonts w:ascii="Times New Roman" w:hAnsi="Times New Roman" w:cs="Times New Roman"/>
        </w:rPr>
        <w:footnoteReference w:id="20"/>
      </w:r>
    </w:p>
    <w:p w14:paraId="3F230FF9" w14:textId="77777777" w:rsidR="002D1818" w:rsidRDefault="002D1818" w:rsidP="002D1818">
      <w:pPr>
        <w:pStyle w:val="ListParagraph"/>
        <w:ind w:left="0"/>
        <w:jc w:val="both"/>
        <w:rPr>
          <w:rFonts w:ascii="Times New Roman" w:hAnsi="Times New Roman" w:cs="Times New Roman"/>
        </w:rPr>
      </w:pPr>
    </w:p>
    <w:p w14:paraId="3F28A40A" w14:textId="2EA6AA18" w:rsidR="002D1818" w:rsidRPr="00C91EA2" w:rsidRDefault="002D1818" w:rsidP="002D1818">
      <w:pPr>
        <w:jc w:val="both"/>
        <w:rPr>
          <w:rFonts w:ascii="Times New Roman" w:hAnsi="Times New Roman" w:cs="Times New Roman"/>
        </w:rPr>
      </w:pPr>
      <w:r w:rsidRPr="00C91EA2">
        <w:rPr>
          <w:rFonts w:ascii="Times New Roman" w:hAnsi="Times New Roman" w:cs="Times New Roman"/>
          <w:b/>
        </w:rPr>
        <w:t xml:space="preserve">The </w:t>
      </w:r>
      <w:proofErr w:type="spellStart"/>
      <w:r w:rsidRPr="00C91EA2">
        <w:rPr>
          <w:rFonts w:ascii="Times New Roman" w:hAnsi="Times New Roman" w:cs="Times New Roman"/>
          <w:b/>
        </w:rPr>
        <w:t>Comité</w:t>
      </w:r>
      <w:proofErr w:type="spellEnd"/>
      <w:r w:rsidRPr="00C91EA2">
        <w:rPr>
          <w:rFonts w:ascii="Times New Roman" w:hAnsi="Times New Roman" w:cs="Times New Roman"/>
          <w:b/>
        </w:rPr>
        <w:t xml:space="preserve"> National </w:t>
      </w:r>
      <w:proofErr w:type="spellStart"/>
      <w:r w:rsidRPr="00C91EA2">
        <w:rPr>
          <w:rFonts w:ascii="Times New Roman" w:hAnsi="Times New Roman" w:cs="Times New Roman"/>
          <w:b/>
        </w:rPr>
        <w:t>Interprofessionnel</w:t>
      </w:r>
      <w:proofErr w:type="spellEnd"/>
      <w:r w:rsidRPr="00C91EA2">
        <w:rPr>
          <w:rFonts w:ascii="Times New Roman" w:hAnsi="Times New Roman" w:cs="Times New Roman"/>
          <w:b/>
        </w:rPr>
        <w:t xml:space="preserve"> de </w:t>
      </w:r>
      <w:proofErr w:type="spellStart"/>
      <w:r w:rsidRPr="00C91EA2">
        <w:rPr>
          <w:rFonts w:ascii="Times New Roman" w:hAnsi="Times New Roman" w:cs="Times New Roman"/>
          <w:b/>
        </w:rPr>
        <w:t>l'Arachide</w:t>
      </w:r>
      <w:proofErr w:type="spellEnd"/>
      <w:r w:rsidRPr="00C91EA2">
        <w:rPr>
          <w:rFonts w:ascii="Times New Roman" w:hAnsi="Times New Roman" w:cs="Times New Roman"/>
          <w:b/>
        </w:rPr>
        <w:t xml:space="preserve"> (CNIA) </w:t>
      </w:r>
      <w:r>
        <w:rPr>
          <w:rFonts w:ascii="Times New Roman" w:hAnsi="Times New Roman" w:cs="Times New Roman"/>
          <w:b/>
        </w:rPr>
        <w:t xml:space="preserve">manages the value chain and </w:t>
      </w:r>
      <w:r w:rsidRPr="00C91EA2">
        <w:rPr>
          <w:rFonts w:ascii="Times New Roman" w:hAnsi="Times New Roman" w:cs="Times New Roman"/>
          <w:b/>
        </w:rPr>
        <w:t xml:space="preserve">is responsible for determining </w:t>
      </w:r>
      <w:proofErr w:type="gramStart"/>
      <w:r w:rsidRPr="00C91EA2">
        <w:rPr>
          <w:rFonts w:ascii="Times New Roman" w:hAnsi="Times New Roman" w:cs="Times New Roman"/>
          <w:b/>
        </w:rPr>
        <w:t>a number of</w:t>
      </w:r>
      <w:proofErr w:type="gramEnd"/>
      <w:r w:rsidRPr="00C91EA2">
        <w:rPr>
          <w:rFonts w:ascii="Times New Roman" w:hAnsi="Times New Roman" w:cs="Times New Roman"/>
          <w:b/>
        </w:rPr>
        <w:t xml:space="preserve"> key market parameters.</w:t>
      </w:r>
      <w:r w:rsidRPr="00C91EA2">
        <w:rPr>
          <w:rFonts w:ascii="Times New Roman" w:hAnsi="Times New Roman" w:cs="Times New Roman"/>
        </w:rPr>
        <w:t xml:space="preserve"> Most importantly, with the approval of the </w:t>
      </w:r>
      <w:r w:rsidR="003B24ED">
        <w:rPr>
          <w:rFonts w:ascii="Times New Roman" w:hAnsi="Times New Roman" w:cs="Times New Roman"/>
        </w:rPr>
        <w:t>Government</w:t>
      </w:r>
      <w:r w:rsidRPr="00C91EA2">
        <w:rPr>
          <w:rFonts w:ascii="Times New Roman" w:hAnsi="Times New Roman" w:cs="Times New Roman"/>
        </w:rPr>
        <w:t xml:space="preserve">, the </w:t>
      </w:r>
      <w:r w:rsidRPr="00C91EA2">
        <w:rPr>
          <w:rFonts w:ascii="Times New Roman" w:hAnsi="Times New Roman" w:cs="Times New Roman"/>
          <w:bCs/>
        </w:rPr>
        <w:t>CNIA</w:t>
      </w:r>
      <w:r w:rsidRPr="00C91EA2">
        <w:rPr>
          <w:rFonts w:ascii="Times New Roman" w:hAnsi="Times New Roman" w:cs="Times New Roman"/>
        </w:rPr>
        <w:t xml:space="preserve"> </w:t>
      </w:r>
      <w:r w:rsidR="007129B9">
        <w:rPr>
          <w:rFonts w:ascii="Times New Roman" w:hAnsi="Times New Roman" w:cs="Times New Roman"/>
        </w:rPr>
        <w:t>sets</w:t>
      </w:r>
      <w:r w:rsidRPr="00C91EA2">
        <w:rPr>
          <w:rFonts w:ascii="Times New Roman" w:hAnsi="Times New Roman" w:cs="Times New Roman"/>
        </w:rPr>
        <w:t xml:space="preserve"> the season’s minimum price </w:t>
      </w:r>
      <w:r w:rsidRPr="00613524">
        <w:rPr>
          <w:rFonts w:ascii="Times New Roman" w:hAnsi="Times New Roman" w:cs="Times New Roman"/>
        </w:rPr>
        <w:t xml:space="preserve">for groundnuts, which applies to all purchases made by OPS and other formal collectors. Given its mandate, the representation of market players on the CNIA and their relative bargaining power is a key determinant of market outcomes. According to stakeholder interviews, bargaining power has tended to lie with local processors, </w:t>
      </w:r>
      <w:r w:rsidR="00B65CFA">
        <w:rPr>
          <w:rFonts w:ascii="Times New Roman" w:hAnsi="Times New Roman" w:cs="Times New Roman"/>
        </w:rPr>
        <w:t xml:space="preserve">and because </w:t>
      </w:r>
      <w:r w:rsidRPr="00613524">
        <w:rPr>
          <w:rFonts w:ascii="Times New Roman" w:hAnsi="Times New Roman" w:cs="Times New Roman"/>
        </w:rPr>
        <w:t>the membership structure of the CNIA has not been reformed in recent years, it does</w:t>
      </w:r>
      <w:r w:rsidRPr="00C91EA2">
        <w:rPr>
          <w:rFonts w:ascii="Times New Roman" w:hAnsi="Times New Roman" w:cs="Times New Roman"/>
        </w:rPr>
        <w:t xml:space="preserve"> not necessarily reflect the current realities of the value chain.</w:t>
      </w:r>
      <w:r w:rsidRPr="00C91EA2">
        <w:rPr>
          <w:rStyle w:val="FootnoteReference"/>
          <w:rFonts w:ascii="Times New Roman" w:hAnsi="Times New Roman" w:cs="Times New Roman"/>
        </w:rPr>
        <w:footnoteReference w:id="21"/>
      </w:r>
      <w:r w:rsidRPr="00C91EA2">
        <w:rPr>
          <w:rFonts w:ascii="Times New Roman" w:hAnsi="Times New Roman" w:cs="Times New Roman"/>
        </w:rPr>
        <w:t xml:space="preserve"> </w:t>
      </w:r>
      <w:r w:rsidR="00B65CFA">
        <w:rPr>
          <w:rFonts w:ascii="Times New Roman" w:hAnsi="Times New Roman" w:cs="Times New Roman"/>
        </w:rPr>
        <w:t>In particular</w:t>
      </w:r>
      <w:r w:rsidRPr="00C91EA2">
        <w:rPr>
          <w:rFonts w:ascii="Times New Roman" w:hAnsi="Times New Roman" w:cs="Times New Roman"/>
        </w:rPr>
        <w:t xml:space="preserve">, there does not seem to be a formal mechanism to allow representation by new entrants or potential entrants, which may put these players at a disadvantage </w:t>
      </w:r>
      <w:r w:rsidR="008F30AB">
        <w:rPr>
          <w:rFonts w:ascii="Times New Roman" w:hAnsi="Times New Roman" w:cs="Times New Roman"/>
        </w:rPr>
        <w:t>relative to</w:t>
      </w:r>
      <w:r w:rsidR="008F30AB" w:rsidRPr="00C91EA2">
        <w:rPr>
          <w:rFonts w:ascii="Times New Roman" w:hAnsi="Times New Roman" w:cs="Times New Roman"/>
        </w:rPr>
        <w:t xml:space="preserve"> </w:t>
      </w:r>
      <w:r w:rsidRPr="00C91EA2">
        <w:rPr>
          <w:rFonts w:ascii="Times New Roman" w:hAnsi="Times New Roman" w:cs="Times New Roman"/>
        </w:rPr>
        <w:t xml:space="preserve">incumbents since members of CNIA have </w:t>
      </w:r>
      <w:r w:rsidR="00B65CFA">
        <w:rPr>
          <w:rFonts w:ascii="Times New Roman" w:hAnsi="Times New Roman" w:cs="Times New Roman"/>
        </w:rPr>
        <w:t>the</w:t>
      </w:r>
      <w:r w:rsidR="00B65CFA" w:rsidRPr="00C91EA2">
        <w:rPr>
          <w:rFonts w:ascii="Times New Roman" w:hAnsi="Times New Roman" w:cs="Times New Roman"/>
        </w:rPr>
        <w:t xml:space="preserve"> </w:t>
      </w:r>
      <w:r w:rsidRPr="00C91EA2">
        <w:rPr>
          <w:rFonts w:ascii="Times New Roman" w:hAnsi="Times New Roman" w:cs="Times New Roman"/>
        </w:rPr>
        <w:t>ability to influence certain market parameters</w:t>
      </w:r>
      <w:r w:rsidR="0070468D">
        <w:rPr>
          <w:rFonts w:ascii="Times New Roman" w:hAnsi="Times New Roman" w:cs="Times New Roman"/>
        </w:rPr>
        <w:t>, such as the minimum price or the length of the season,</w:t>
      </w:r>
      <w:r w:rsidRPr="00C91EA2">
        <w:rPr>
          <w:rFonts w:ascii="Times New Roman" w:hAnsi="Times New Roman" w:cs="Times New Roman"/>
        </w:rPr>
        <w:t xml:space="preserve"> to the detriment of entrants.</w:t>
      </w:r>
      <w:r w:rsidR="00FE1873">
        <w:rPr>
          <w:rFonts w:ascii="Times New Roman" w:hAnsi="Times New Roman" w:cs="Times New Roman"/>
        </w:rPr>
        <w:t xml:space="preserve"> </w:t>
      </w:r>
    </w:p>
    <w:p w14:paraId="1529F2A5" w14:textId="77777777" w:rsidR="002D1818" w:rsidRDefault="002D1818" w:rsidP="002D1818">
      <w:pPr>
        <w:pStyle w:val="ListParagraph"/>
        <w:ind w:left="0"/>
        <w:jc w:val="both"/>
        <w:rPr>
          <w:rFonts w:ascii="Times New Roman" w:hAnsi="Times New Roman" w:cs="Times New Roman"/>
        </w:rPr>
      </w:pPr>
    </w:p>
    <w:p w14:paraId="054E63B6" w14:textId="6949DE20" w:rsidR="002D1818" w:rsidRDefault="002D1818" w:rsidP="002D1818">
      <w:pPr>
        <w:pStyle w:val="ListParagraph"/>
        <w:ind w:left="0"/>
        <w:jc w:val="both"/>
        <w:rPr>
          <w:rFonts w:ascii="Times New Roman" w:hAnsi="Times New Roman" w:cs="Times New Roman"/>
        </w:rPr>
      </w:pPr>
      <w:r>
        <w:rPr>
          <w:rFonts w:ascii="Times New Roman" w:hAnsi="Times New Roman" w:cs="Times New Roman"/>
          <w:b/>
        </w:rPr>
        <w:t xml:space="preserve">To compensate oil processors for the set producer prices, the </w:t>
      </w:r>
      <w:r w:rsidR="003B24ED">
        <w:rPr>
          <w:rFonts w:ascii="Times New Roman" w:hAnsi="Times New Roman" w:cs="Times New Roman"/>
          <w:b/>
        </w:rPr>
        <w:t>Government</w:t>
      </w:r>
      <w:r w:rsidRPr="00C91EA2">
        <w:rPr>
          <w:rFonts w:ascii="Times New Roman" w:hAnsi="Times New Roman" w:cs="Times New Roman"/>
          <w:b/>
        </w:rPr>
        <w:t xml:space="preserve"> of Senegal </w:t>
      </w:r>
      <w:r>
        <w:rPr>
          <w:rFonts w:ascii="Times New Roman" w:hAnsi="Times New Roman" w:cs="Times New Roman"/>
          <w:b/>
        </w:rPr>
        <w:t xml:space="preserve">has until recently subsidized groundnut purchases of oil producers. </w:t>
      </w:r>
      <w:r w:rsidRPr="003252A2">
        <w:rPr>
          <w:rFonts w:ascii="Times New Roman" w:hAnsi="Times New Roman" w:cs="Times New Roman"/>
        </w:rPr>
        <w:t xml:space="preserve">In addition to this subsidy, the SOE SONACOS (Société </w:t>
      </w:r>
      <w:proofErr w:type="spellStart"/>
      <w:r w:rsidRPr="003252A2">
        <w:rPr>
          <w:rFonts w:ascii="Times New Roman" w:hAnsi="Times New Roman" w:cs="Times New Roman"/>
        </w:rPr>
        <w:t>Nationale</w:t>
      </w:r>
      <w:proofErr w:type="spellEnd"/>
      <w:r w:rsidRPr="003252A2">
        <w:rPr>
          <w:rFonts w:ascii="Times New Roman" w:hAnsi="Times New Roman" w:cs="Times New Roman"/>
        </w:rPr>
        <w:t xml:space="preserve"> de </w:t>
      </w:r>
      <w:proofErr w:type="spellStart"/>
      <w:r w:rsidRPr="003252A2">
        <w:rPr>
          <w:rFonts w:ascii="Times New Roman" w:hAnsi="Times New Roman" w:cs="Times New Roman"/>
        </w:rPr>
        <w:t>Commercialisation</w:t>
      </w:r>
      <w:proofErr w:type="spellEnd"/>
      <w:r w:rsidRPr="003252A2">
        <w:rPr>
          <w:rFonts w:ascii="Times New Roman" w:hAnsi="Times New Roman" w:cs="Times New Roman"/>
        </w:rPr>
        <w:t xml:space="preserve"> des </w:t>
      </w:r>
      <w:proofErr w:type="spellStart"/>
      <w:r w:rsidRPr="003252A2">
        <w:rPr>
          <w:rFonts w:ascii="Times New Roman" w:hAnsi="Times New Roman" w:cs="Times New Roman"/>
        </w:rPr>
        <w:t>Oléagineux</w:t>
      </w:r>
      <w:proofErr w:type="spellEnd"/>
      <w:r w:rsidRPr="003252A2">
        <w:rPr>
          <w:rFonts w:ascii="Times New Roman" w:hAnsi="Times New Roman" w:cs="Times New Roman"/>
        </w:rPr>
        <w:t xml:space="preserve"> du </w:t>
      </w:r>
      <w:proofErr w:type="spellStart"/>
      <w:r w:rsidRPr="003252A2">
        <w:rPr>
          <w:rFonts w:ascii="Times New Roman" w:hAnsi="Times New Roman" w:cs="Times New Roman"/>
        </w:rPr>
        <w:t>Sénégal</w:t>
      </w:r>
      <w:proofErr w:type="spellEnd"/>
      <w:r w:rsidRPr="003252A2">
        <w:rPr>
          <w:rFonts w:ascii="Times New Roman" w:hAnsi="Times New Roman" w:cs="Times New Roman"/>
        </w:rPr>
        <w:t>), Senegal’s largest groundnut oil producer may benefit from certain adv</w:t>
      </w:r>
      <w:r w:rsidRPr="00C91EA2">
        <w:rPr>
          <w:rFonts w:ascii="Times New Roman" w:hAnsi="Times New Roman" w:cs="Times New Roman"/>
        </w:rPr>
        <w:t>antages in the market for procuring groundnut</w:t>
      </w:r>
      <w:r w:rsidR="00700ECB">
        <w:rPr>
          <w:rFonts w:ascii="Times New Roman" w:hAnsi="Times New Roman" w:cs="Times New Roman"/>
        </w:rPr>
        <w:t>s</w:t>
      </w:r>
      <w:r w:rsidRPr="00C91EA2">
        <w:rPr>
          <w:rFonts w:ascii="Times New Roman" w:hAnsi="Times New Roman" w:cs="Times New Roman"/>
        </w:rPr>
        <w:t xml:space="preserve"> over its private sector rival</w:t>
      </w:r>
      <w:r>
        <w:rPr>
          <w:rFonts w:ascii="Times New Roman" w:hAnsi="Times New Roman" w:cs="Times New Roman"/>
        </w:rPr>
        <w:t>s.</w:t>
      </w:r>
      <w:r w:rsidRPr="00C91EA2">
        <w:rPr>
          <w:rFonts w:ascii="Times New Roman" w:hAnsi="Times New Roman" w:cs="Times New Roman"/>
        </w:rPr>
        <w:t xml:space="preserve"> For example, the </w:t>
      </w:r>
      <w:r w:rsidR="003B24ED">
        <w:rPr>
          <w:rFonts w:ascii="Times New Roman" w:hAnsi="Times New Roman" w:cs="Times New Roman"/>
        </w:rPr>
        <w:t>Government</w:t>
      </w:r>
      <w:r w:rsidRPr="00C91EA2">
        <w:rPr>
          <w:rFonts w:ascii="Times New Roman" w:hAnsi="Times New Roman" w:cs="Times New Roman"/>
        </w:rPr>
        <w:t xml:space="preserve"> procured a $75 million loan from the Isl</w:t>
      </w:r>
      <w:r>
        <w:rPr>
          <w:rFonts w:ascii="Times New Roman" w:hAnsi="Times New Roman" w:cs="Times New Roman"/>
        </w:rPr>
        <w:t>amic Trade Finance Corporation to ensure that SONACOS</w:t>
      </w:r>
      <w:r w:rsidRPr="00C91EA2">
        <w:rPr>
          <w:rFonts w:ascii="Times New Roman" w:hAnsi="Times New Roman" w:cs="Times New Roman"/>
        </w:rPr>
        <w:t xml:space="preserve"> would be able to purchase throughput during the 2016/17 growing season.</w:t>
      </w:r>
      <w:r w:rsidRPr="00C91EA2">
        <w:rPr>
          <w:rStyle w:val="FootnoteReference"/>
          <w:rFonts w:ascii="Times New Roman" w:hAnsi="Times New Roman" w:cs="Times New Roman"/>
        </w:rPr>
        <w:footnoteReference w:id="22"/>
      </w:r>
      <w:r w:rsidR="00025795">
        <w:rPr>
          <w:rFonts w:ascii="Times New Roman" w:hAnsi="Times New Roman" w:cs="Times New Roman"/>
        </w:rPr>
        <w:t xml:space="preserve"> </w:t>
      </w:r>
      <w:r w:rsidR="00F27955">
        <w:rPr>
          <w:rFonts w:ascii="Times New Roman" w:hAnsi="Times New Roman" w:cs="Times New Roman"/>
        </w:rPr>
        <w:t xml:space="preserve">The </w:t>
      </w:r>
      <w:r w:rsidR="00176619">
        <w:rPr>
          <w:rFonts w:ascii="Times New Roman" w:hAnsi="Times New Roman" w:cs="Times New Roman"/>
        </w:rPr>
        <w:t xml:space="preserve">Government should ensure that both public and private actors have equal opportunity </w:t>
      </w:r>
      <w:r w:rsidR="00F27955">
        <w:rPr>
          <w:rFonts w:ascii="Times New Roman" w:hAnsi="Times New Roman" w:cs="Times New Roman"/>
        </w:rPr>
        <w:t>to</w:t>
      </w:r>
      <w:r w:rsidR="00176619">
        <w:rPr>
          <w:rFonts w:ascii="Times New Roman" w:hAnsi="Times New Roman" w:cs="Times New Roman"/>
        </w:rPr>
        <w:t xml:space="preserve"> access finance to guarantee competitive</w:t>
      </w:r>
      <w:r w:rsidR="00F27955">
        <w:rPr>
          <w:rFonts w:ascii="Times New Roman" w:hAnsi="Times New Roman" w:cs="Times New Roman"/>
        </w:rPr>
        <w:t xml:space="preserve">ly </w:t>
      </w:r>
      <w:r w:rsidR="00176619">
        <w:rPr>
          <w:rFonts w:ascii="Times New Roman" w:hAnsi="Times New Roman" w:cs="Times New Roman"/>
        </w:rPr>
        <w:t>neutral</w:t>
      </w:r>
      <w:r w:rsidR="00F27955">
        <w:rPr>
          <w:rFonts w:ascii="Times New Roman" w:hAnsi="Times New Roman" w:cs="Times New Roman"/>
        </w:rPr>
        <w:t xml:space="preserve"> markets</w:t>
      </w:r>
      <w:r w:rsidR="00176619">
        <w:rPr>
          <w:rFonts w:ascii="Times New Roman" w:hAnsi="Times New Roman" w:cs="Times New Roman"/>
        </w:rPr>
        <w:t xml:space="preserve">. Furthermore, to maximize finance for development, </w:t>
      </w:r>
      <w:r w:rsidR="000E491D">
        <w:rPr>
          <w:rFonts w:ascii="Times New Roman" w:hAnsi="Times New Roman" w:cs="Times New Roman"/>
        </w:rPr>
        <w:t xml:space="preserve">the </w:t>
      </w:r>
      <w:r w:rsidR="00176619">
        <w:rPr>
          <w:rFonts w:ascii="Times New Roman" w:hAnsi="Times New Roman" w:cs="Times New Roman"/>
        </w:rPr>
        <w:t xml:space="preserve">Government should encourage private investment </w:t>
      </w:r>
      <w:r w:rsidR="000E491D">
        <w:rPr>
          <w:rFonts w:ascii="Times New Roman" w:hAnsi="Times New Roman" w:cs="Times New Roman"/>
        </w:rPr>
        <w:t>along the value chain to optimize public resources and invest them in public goods that contribute to increasing productivity</w:t>
      </w:r>
      <w:r w:rsidR="00F27955">
        <w:rPr>
          <w:rFonts w:ascii="Times New Roman" w:hAnsi="Times New Roman" w:cs="Times New Roman"/>
        </w:rPr>
        <w:t>, such as</w:t>
      </w:r>
      <w:r w:rsidR="000E491D">
        <w:rPr>
          <w:rFonts w:ascii="Times New Roman" w:hAnsi="Times New Roman" w:cs="Times New Roman"/>
        </w:rPr>
        <w:t xml:space="preserve"> research, transport infrastructure.</w:t>
      </w:r>
    </w:p>
    <w:p w14:paraId="5314E9F1" w14:textId="77777777" w:rsidR="002D1818" w:rsidRDefault="002D1818" w:rsidP="002D1818">
      <w:pPr>
        <w:pStyle w:val="ListParagraph"/>
        <w:ind w:left="0"/>
        <w:jc w:val="both"/>
        <w:rPr>
          <w:rFonts w:ascii="Times New Roman" w:hAnsi="Times New Roman" w:cs="Times New Roman"/>
        </w:rPr>
      </w:pPr>
    </w:p>
    <w:p w14:paraId="645FB291" w14:textId="77777777" w:rsidR="00A26FC0" w:rsidRPr="00A26FC0" w:rsidRDefault="00A26FC0" w:rsidP="002D1818">
      <w:pPr>
        <w:pStyle w:val="ListParagraph"/>
        <w:ind w:left="0"/>
        <w:jc w:val="both"/>
        <w:rPr>
          <w:rFonts w:ascii="Times New Roman" w:hAnsi="Times New Roman" w:cs="Times New Roman"/>
          <w:i/>
        </w:rPr>
      </w:pPr>
      <w:r>
        <w:rPr>
          <w:rFonts w:ascii="Times New Roman" w:hAnsi="Times New Roman" w:cs="Times New Roman"/>
          <w:i/>
        </w:rPr>
        <w:t>The market for vegetable oils</w:t>
      </w:r>
    </w:p>
    <w:p w14:paraId="465253B8" w14:textId="77777777" w:rsidR="00A26FC0" w:rsidRDefault="00A26FC0" w:rsidP="002D1818">
      <w:pPr>
        <w:pStyle w:val="ListParagraph"/>
        <w:ind w:left="0"/>
        <w:jc w:val="both"/>
        <w:rPr>
          <w:rFonts w:ascii="Times New Roman" w:hAnsi="Times New Roman" w:cs="Times New Roman"/>
        </w:rPr>
      </w:pPr>
    </w:p>
    <w:p w14:paraId="5F629B06" w14:textId="2727B166" w:rsidR="002D1818" w:rsidRPr="00C91EA2" w:rsidRDefault="002D1818" w:rsidP="002D1818">
      <w:pPr>
        <w:pStyle w:val="ListParagraph"/>
        <w:ind w:left="0"/>
        <w:jc w:val="both"/>
        <w:rPr>
          <w:rFonts w:ascii="Times New Roman" w:hAnsi="Times New Roman" w:cs="Times New Roman"/>
        </w:rPr>
      </w:pPr>
      <w:bookmarkStart w:id="22" w:name="_Hlk519069454"/>
      <w:r>
        <w:rPr>
          <w:rFonts w:ascii="Times New Roman" w:hAnsi="Times New Roman" w:cs="Times New Roman"/>
          <w:b/>
        </w:rPr>
        <w:t xml:space="preserve">Import restrictions on crude and refined vegetable oils further protect oil producers. </w:t>
      </w:r>
      <w:r w:rsidRPr="00C91EA2">
        <w:rPr>
          <w:rFonts w:ascii="Times New Roman" w:hAnsi="Times New Roman" w:cs="Times New Roman"/>
        </w:rPr>
        <w:t xml:space="preserve">Import restrictions include high tariffs (e.g. </w:t>
      </w:r>
      <w:r w:rsidR="00D537A4">
        <w:rPr>
          <w:rFonts w:ascii="Times New Roman" w:hAnsi="Times New Roman" w:cs="Times New Roman"/>
        </w:rPr>
        <w:t xml:space="preserve">the </w:t>
      </w:r>
      <w:r w:rsidRPr="00C91EA2">
        <w:rPr>
          <w:rFonts w:ascii="Times New Roman" w:hAnsi="Times New Roman" w:cs="Times New Roman"/>
        </w:rPr>
        <w:t xml:space="preserve">ECOWAS tariff of 35 percent on </w:t>
      </w:r>
      <w:r w:rsidR="00B02AF8" w:rsidRPr="00B45ABD">
        <w:rPr>
          <w:rFonts w:ascii="Times New Roman" w:hAnsi="Times New Roman" w:cs="Times New Roman"/>
        </w:rPr>
        <w:t>specific goods that “contribute to the promotion of the region’s</w:t>
      </w:r>
      <w:r w:rsidR="00387F56" w:rsidRPr="00B45ABD">
        <w:rPr>
          <w:rFonts w:ascii="Times New Roman" w:hAnsi="Times New Roman" w:cs="Times New Roman"/>
        </w:rPr>
        <w:t xml:space="preserve"> </w:t>
      </w:r>
      <w:r w:rsidR="00B02AF8" w:rsidRPr="00B45ABD">
        <w:rPr>
          <w:rFonts w:ascii="Times New Roman" w:hAnsi="Times New Roman" w:cs="Times New Roman"/>
        </w:rPr>
        <w:t xml:space="preserve">economic development” </w:t>
      </w:r>
      <w:r w:rsidRPr="00B45ABD">
        <w:rPr>
          <w:rFonts w:ascii="Times New Roman" w:hAnsi="Times New Roman" w:cs="Times New Roman"/>
        </w:rPr>
        <w:t xml:space="preserve">applied since 2015), occasional taxes on imports (e.g. </w:t>
      </w:r>
      <w:r w:rsidR="00036B61">
        <w:rPr>
          <w:rFonts w:ascii="Times New Roman" w:hAnsi="Times New Roman" w:cs="Times New Roman"/>
        </w:rPr>
        <w:t xml:space="preserve">the </w:t>
      </w:r>
      <w:r w:rsidRPr="00B45ABD">
        <w:rPr>
          <w:rFonts w:ascii="Times New Roman" w:hAnsi="Times New Roman" w:cs="Times New Roman"/>
        </w:rPr>
        <w:t>“</w:t>
      </w:r>
      <w:proofErr w:type="spellStart"/>
      <w:r w:rsidRPr="00B45ABD">
        <w:rPr>
          <w:rFonts w:ascii="Times New Roman" w:hAnsi="Times New Roman" w:cs="Times New Roman"/>
        </w:rPr>
        <w:t>Taxe</w:t>
      </w:r>
      <w:proofErr w:type="spellEnd"/>
      <w:r w:rsidRPr="00B45ABD">
        <w:rPr>
          <w:rFonts w:ascii="Times New Roman" w:hAnsi="Times New Roman" w:cs="Times New Roman"/>
        </w:rPr>
        <w:t xml:space="preserve"> </w:t>
      </w:r>
      <w:proofErr w:type="spellStart"/>
      <w:r w:rsidRPr="00B45ABD">
        <w:rPr>
          <w:rFonts w:ascii="Times New Roman" w:hAnsi="Times New Roman" w:cs="Times New Roman"/>
        </w:rPr>
        <w:t>Conjoncturelle</w:t>
      </w:r>
      <w:proofErr w:type="spellEnd"/>
      <w:r w:rsidRPr="00B45ABD">
        <w:rPr>
          <w:rFonts w:ascii="Times New Roman" w:hAnsi="Times New Roman" w:cs="Times New Roman"/>
        </w:rPr>
        <w:t xml:space="preserve"> à </w:t>
      </w:r>
      <w:proofErr w:type="spellStart"/>
      <w:r w:rsidRPr="00B45ABD">
        <w:rPr>
          <w:rFonts w:ascii="Times New Roman" w:hAnsi="Times New Roman" w:cs="Times New Roman"/>
        </w:rPr>
        <w:t>l’Importation</w:t>
      </w:r>
      <w:proofErr w:type="spellEnd"/>
      <w:r w:rsidRPr="00C91EA2">
        <w:rPr>
          <w:rFonts w:ascii="Times New Roman" w:hAnsi="Times New Roman" w:cs="Times New Roman"/>
        </w:rPr>
        <w:t>” until 2004, and then safeguards until 2008)</w:t>
      </w:r>
      <w:r w:rsidRPr="00C91EA2">
        <w:rPr>
          <w:rFonts w:ascii="Times New Roman" w:hAnsi="Times New Roman" w:cs="Times New Roman"/>
          <w:vertAlign w:val="superscript"/>
        </w:rPr>
        <w:footnoteReference w:id="23"/>
      </w:r>
      <w:r w:rsidRPr="00C91EA2">
        <w:rPr>
          <w:rFonts w:ascii="Times New Roman" w:hAnsi="Times New Roman" w:cs="Times New Roman"/>
        </w:rPr>
        <w:t xml:space="preserve"> and non-tariff measures</w:t>
      </w:r>
      <w:r w:rsidR="009F1400">
        <w:rPr>
          <w:rFonts w:ascii="Times New Roman" w:hAnsi="Times New Roman" w:cs="Times New Roman"/>
        </w:rPr>
        <w:t xml:space="preserve">. </w:t>
      </w:r>
      <w:r w:rsidR="009F1400" w:rsidRPr="007575D7">
        <w:rPr>
          <w:rFonts w:ascii="Times New Roman" w:hAnsi="Times New Roman" w:cs="Times New Roman"/>
        </w:rPr>
        <w:t xml:space="preserve">In addition to these import restrictions, the Government, through the Ministry of Commerce, </w:t>
      </w:r>
      <w:r w:rsidR="00F0661A">
        <w:rPr>
          <w:rFonts w:ascii="Times New Roman" w:hAnsi="Times New Roman" w:cs="Times New Roman"/>
        </w:rPr>
        <w:t xml:space="preserve">has shown </w:t>
      </w:r>
      <w:r w:rsidR="00F0661A" w:rsidRPr="00F0661A">
        <w:rPr>
          <w:rFonts w:ascii="Times New Roman" w:hAnsi="Times New Roman" w:cs="Times New Roman"/>
        </w:rPr>
        <w:t>support to</w:t>
      </w:r>
      <w:r w:rsidR="009F1400" w:rsidRPr="007575D7">
        <w:rPr>
          <w:rFonts w:ascii="Times New Roman" w:hAnsi="Times New Roman" w:cs="Times New Roman"/>
        </w:rPr>
        <w:t xml:space="preserve"> a recently created platform (</w:t>
      </w:r>
      <w:r w:rsidR="00F27955">
        <w:rPr>
          <w:rFonts w:ascii="Times New Roman" w:hAnsi="Times New Roman" w:cs="Times New Roman"/>
        </w:rPr>
        <w:t>comprising</w:t>
      </w:r>
      <w:r w:rsidR="009F1400" w:rsidRPr="007575D7">
        <w:rPr>
          <w:rFonts w:ascii="Times New Roman" w:hAnsi="Times New Roman" w:cs="Times New Roman"/>
        </w:rPr>
        <w:t xml:space="preserve"> traders, producers, processors and consumers) to regulate oil imports in Senegal. The alleged policy objective is to render stability to the groundnut oil market and to ensure that refined groundnut oil is commercialized only t</w:t>
      </w:r>
      <w:r w:rsidR="00FB14B3">
        <w:rPr>
          <w:rFonts w:ascii="Times New Roman" w:hAnsi="Times New Roman" w:cs="Times New Roman"/>
        </w:rPr>
        <w:t>hrough</w:t>
      </w:r>
      <w:r w:rsidR="009F1400" w:rsidRPr="007575D7">
        <w:rPr>
          <w:rFonts w:ascii="Times New Roman" w:hAnsi="Times New Roman" w:cs="Times New Roman"/>
        </w:rPr>
        <w:t xml:space="preserve"> national traders. The effects of this policy protecting the domestic oil industry are yet to materialize</w:t>
      </w:r>
      <w:r w:rsidR="00FB14B3">
        <w:rPr>
          <w:rFonts w:ascii="Times New Roman" w:hAnsi="Times New Roman" w:cs="Times New Roman"/>
        </w:rPr>
        <w:t xml:space="preserve">. Nevertheless, a detailed analysis of such effects </w:t>
      </w:r>
      <w:bookmarkEnd w:id="22"/>
      <w:r w:rsidR="00FB14B3">
        <w:rPr>
          <w:rFonts w:ascii="Times New Roman" w:hAnsi="Times New Roman" w:cs="Times New Roman"/>
        </w:rPr>
        <w:t>will be important to inform the sectoral policies</w:t>
      </w:r>
      <w:r w:rsidR="009F1400" w:rsidRPr="003D5CA9">
        <w:rPr>
          <w:rFonts w:ascii="Times New Roman" w:hAnsi="Times New Roman" w:cs="Times New Roman"/>
          <w:sz w:val="20"/>
          <w:szCs w:val="20"/>
        </w:rPr>
        <w:t>.</w:t>
      </w:r>
      <w:r w:rsidR="00A07BC4">
        <w:rPr>
          <w:rStyle w:val="FootnoteReference"/>
          <w:rFonts w:ascii="Times New Roman" w:hAnsi="Times New Roman" w:cs="Times New Roman"/>
        </w:rPr>
        <w:footnoteReference w:id="24"/>
      </w:r>
      <w:r>
        <w:rPr>
          <w:rFonts w:ascii="Times New Roman" w:hAnsi="Times New Roman" w:cs="Times New Roman"/>
        </w:rPr>
        <w:t xml:space="preserve"> </w:t>
      </w:r>
    </w:p>
    <w:p w14:paraId="64E22592" w14:textId="77777777" w:rsidR="002D1818" w:rsidRDefault="002D1818" w:rsidP="002D1818">
      <w:pPr>
        <w:jc w:val="both"/>
        <w:rPr>
          <w:rFonts w:ascii="Times New Roman" w:hAnsi="Times New Roman" w:cs="Times New Roman"/>
          <w:b/>
        </w:rPr>
      </w:pPr>
    </w:p>
    <w:p w14:paraId="52C83D8F" w14:textId="5D36E209" w:rsidR="002D1818" w:rsidRDefault="002D1818" w:rsidP="002D1818">
      <w:pPr>
        <w:jc w:val="both"/>
        <w:rPr>
          <w:rFonts w:ascii="Times New Roman" w:hAnsi="Times New Roman" w:cs="Times New Roman"/>
        </w:rPr>
      </w:pPr>
      <w:r w:rsidRPr="00C91EA2">
        <w:rPr>
          <w:rFonts w:ascii="Times New Roman" w:hAnsi="Times New Roman" w:cs="Times New Roman"/>
          <w:b/>
        </w:rPr>
        <w:t xml:space="preserve">The policies restricting competition in the groundnut value chain </w:t>
      </w:r>
      <w:r w:rsidR="00B45ABD">
        <w:rPr>
          <w:rFonts w:ascii="Times New Roman" w:hAnsi="Times New Roman" w:cs="Times New Roman"/>
          <w:b/>
        </w:rPr>
        <w:t>appear</w:t>
      </w:r>
      <w:r w:rsidRPr="00C91EA2">
        <w:rPr>
          <w:rFonts w:ascii="Times New Roman" w:hAnsi="Times New Roman" w:cs="Times New Roman"/>
          <w:b/>
        </w:rPr>
        <w:t xml:space="preserve"> to be harmful to the overall development of the sector. </w:t>
      </w:r>
      <w:r w:rsidRPr="00C91EA2">
        <w:rPr>
          <w:rFonts w:ascii="Times New Roman" w:hAnsi="Times New Roman" w:cs="Times New Roman"/>
        </w:rPr>
        <w:t xml:space="preserve">These policies threaten the </w:t>
      </w:r>
      <w:r w:rsidR="003B24ED">
        <w:rPr>
          <w:rFonts w:ascii="Times New Roman" w:hAnsi="Times New Roman" w:cs="Times New Roman"/>
        </w:rPr>
        <w:t>Government</w:t>
      </w:r>
      <w:r w:rsidRPr="00C91EA2">
        <w:rPr>
          <w:rFonts w:ascii="Times New Roman" w:hAnsi="Times New Roman" w:cs="Times New Roman"/>
        </w:rPr>
        <w:t>’s objective to increase yields and production and negatively affect farmer incomes in the long run.</w:t>
      </w:r>
      <w:r w:rsidR="00357C8A">
        <w:rPr>
          <w:rFonts w:ascii="Times New Roman" w:hAnsi="Times New Roman" w:cs="Times New Roman"/>
        </w:rPr>
        <w:t xml:space="preserve"> Although producers have been </w:t>
      </w:r>
      <w:r w:rsidR="00544E0B">
        <w:rPr>
          <w:rFonts w:ascii="Times New Roman" w:hAnsi="Times New Roman" w:cs="Times New Roman"/>
        </w:rPr>
        <w:t xml:space="preserve">usually </w:t>
      </w:r>
      <w:r w:rsidR="00357C8A">
        <w:rPr>
          <w:rFonts w:ascii="Times New Roman" w:hAnsi="Times New Roman" w:cs="Times New Roman"/>
        </w:rPr>
        <w:t xml:space="preserve">taxed, the Government has also subsidized them </w:t>
      </w:r>
      <w:r w:rsidR="00B52FAA">
        <w:rPr>
          <w:rFonts w:ascii="Times New Roman" w:hAnsi="Times New Roman" w:cs="Times New Roman"/>
        </w:rPr>
        <w:t xml:space="preserve">depending on the year. This, together with inefficiencies in the inputs markets (especially seeds and fertilizer </w:t>
      </w:r>
      <w:r w:rsidR="00FB14B3">
        <w:rPr>
          <w:rFonts w:ascii="Times New Roman" w:hAnsi="Times New Roman" w:cs="Times New Roman"/>
        </w:rPr>
        <w:t>markets</w:t>
      </w:r>
      <w:r w:rsidR="00B52FAA">
        <w:rPr>
          <w:rFonts w:ascii="Times New Roman" w:hAnsi="Times New Roman" w:cs="Times New Roman"/>
        </w:rPr>
        <w:t xml:space="preserve">, and marketing), </w:t>
      </w:r>
      <w:r w:rsidR="00FB14B3">
        <w:rPr>
          <w:rFonts w:ascii="Times New Roman" w:hAnsi="Times New Roman" w:cs="Times New Roman"/>
        </w:rPr>
        <w:t xml:space="preserve">can </w:t>
      </w:r>
      <w:r w:rsidR="00B52FAA">
        <w:rPr>
          <w:rFonts w:ascii="Times New Roman" w:hAnsi="Times New Roman" w:cs="Times New Roman"/>
        </w:rPr>
        <w:t>hamper productivity. Furthermore, t</w:t>
      </w:r>
      <w:r w:rsidRPr="00C91EA2">
        <w:rPr>
          <w:rFonts w:ascii="Times New Roman" w:hAnsi="Times New Roman" w:cs="Times New Roman"/>
        </w:rPr>
        <w:t xml:space="preserve">he processing industry receives the most explicit protections, </w:t>
      </w:r>
      <w:r w:rsidR="00B52FAA">
        <w:rPr>
          <w:rFonts w:ascii="Times New Roman" w:hAnsi="Times New Roman" w:cs="Times New Roman"/>
        </w:rPr>
        <w:t xml:space="preserve">and </w:t>
      </w:r>
      <w:r w:rsidR="00544E0B">
        <w:rPr>
          <w:rFonts w:ascii="Times New Roman" w:hAnsi="Times New Roman" w:cs="Times New Roman"/>
        </w:rPr>
        <w:t xml:space="preserve">domestic processors </w:t>
      </w:r>
      <w:r w:rsidR="00B52FAA">
        <w:rPr>
          <w:rFonts w:ascii="Times New Roman" w:hAnsi="Times New Roman" w:cs="Times New Roman"/>
        </w:rPr>
        <w:t xml:space="preserve">end up bearing low price risk, </w:t>
      </w:r>
      <w:r w:rsidR="00FB14B3">
        <w:rPr>
          <w:rFonts w:ascii="Times New Roman" w:hAnsi="Times New Roman" w:cs="Times New Roman"/>
        </w:rPr>
        <w:t>that</w:t>
      </w:r>
      <w:r w:rsidR="00B52FAA">
        <w:rPr>
          <w:rFonts w:ascii="Times New Roman" w:hAnsi="Times New Roman" w:cs="Times New Roman"/>
        </w:rPr>
        <w:t xml:space="preserve"> comes </w:t>
      </w:r>
      <w:r w:rsidRPr="00C91EA2">
        <w:rPr>
          <w:rFonts w:ascii="Times New Roman" w:hAnsi="Times New Roman" w:cs="Times New Roman"/>
        </w:rPr>
        <w:t xml:space="preserve">at </w:t>
      </w:r>
      <w:r w:rsidR="008A080A">
        <w:rPr>
          <w:rFonts w:ascii="Times New Roman" w:hAnsi="Times New Roman" w:cs="Times New Roman"/>
        </w:rPr>
        <w:t>a</w:t>
      </w:r>
      <w:r w:rsidR="008A080A" w:rsidRPr="00C91EA2">
        <w:rPr>
          <w:rFonts w:ascii="Times New Roman" w:hAnsi="Times New Roman" w:cs="Times New Roman"/>
        </w:rPr>
        <w:t xml:space="preserve"> </w:t>
      </w:r>
      <w:r w:rsidRPr="00C91EA2">
        <w:rPr>
          <w:rFonts w:ascii="Times New Roman" w:hAnsi="Times New Roman" w:cs="Times New Roman"/>
        </w:rPr>
        <w:t xml:space="preserve">cost </w:t>
      </w:r>
      <w:r w:rsidR="008A080A">
        <w:rPr>
          <w:rFonts w:ascii="Times New Roman" w:hAnsi="Times New Roman" w:cs="Times New Roman"/>
        </w:rPr>
        <w:t>to</w:t>
      </w:r>
      <w:r w:rsidR="008A080A" w:rsidRPr="00C91EA2">
        <w:rPr>
          <w:rFonts w:ascii="Times New Roman" w:hAnsi="Times New Roman" w:cs="Times New Roman"/>
        </w:rPr>
        <w:t xml:space="preserve"> </w:t>
      </w:r>
      <w:r w:rsidRPr="00C91EA2">
        <w:rPr>
          <w:rFonts w:ascii="Times New Roman" w:hAnsi="Times New Roman" w:cs="Times New Roman"/>
        </w:rPr>
        <w:t xml:space="preserve">farmers and consumers. In addition, domestic processors </w:t>
      </w:r>
      <w:r w:rsidRPr="00CD2274">
        <w:rPr>
          <w:rFonts w:ascii="Times New Roman" w:hAnsi="Times New Roman" w:cs="Times New Roman"/>
        </w:rPr>
        <w:t>are struggling despite the distortionary protections they receive.</w:t>
      </w:r>
      <w:r w:rsidR="00CD2274" w:rsidRPr="007575D7">
        <w:rPr>
          <w:rFonts w:ascii="Times New Roman" w:hAnsi="Times New Roman" w:cs="Times New Roman"/>
        </w:rPr>
        <w:t xml:space="preserve"> This is because of production inefficiencies that persist due to the lack of competitive pressures</w:t>
      </w:r>
      <w:r w:rsidRPr="00C91EA2">
        <w:rPr>
          <w:rFonts w:ascii="Times New Roman" w:hAnsi="Times New Roman" w:cs="Times New Roman"/>
        </w:rPr>
        <w:t>. Moreover, these policies limit the employment potential of the value chain.</w:t>
      </w:r>
    </w:p>
    <w:p w14:paraId="66EE89E3" w14:textId="77777777" w:rsidR="00E136A3" w:rsidRDefault="00E136A3" w:rsidP="002D1818">
      <w:pPr>
        <w:jc w:val="both"/>
        <w:rPr>
          <w:rFonts w:ascii="Times New Roman" w:hAnsi="Times New Roman" w:cs="Times New Roman"/>
        </w:rPr>
      </w:pPr>
    </w:p>
    <w:p w14:paraId="682CBBBA" w14:textId="77777777" w:rsidR="00E136A3" w:rsidRPr="003E3AD1" w:rsidRDefault="003E3AD1" w:rsidP="002D1818">
      <w:pPr>
        <w:jc w:val="both"/>
        <w:rPr>
          <w:rFonts w:ascii="Times New Roman" w:hAnsi="Times New Roman" w:cs="Times New Roman"/>
          <w:i/>
        </w:rPr>
      </w:pPr>
      <w:r>
        <w:rPr>
          <w:rFonts w:ascii="Times New Roman" w:hAnsi="Times New Roman" w:cs="Times New Roman"/>
          <w:i/>
        </w:rPr>
        <w:t>Estimated b</w:t>
      </w:r>
      <w:r w:rsidR="00E136A3" w:rsidRPr="003E3AD1">
        <w:rPr>
          <w:rFonts w:ascii="Times New Roman" w:hAnsi="Times New Roman" w:cs="Times New Roman"/>
          <w:i/>
        </w:rPr>
        <w:t xml:space="preserve">enefits of implementing </w:t>
      </w:r>
      <w:r>
        <w:rPr>
          <w:rFonts w:ascii="Times New Roman" w:hAnsi="Times New Roman" w:cs="Times New Roman"/>
          <w:i/>
        </w:rPr>
        <w:t xml:space="preserve">pro-competition </w:t>
      </w:r>
      <w:r w:rsidR="00E136A3" w:rsidRPr="003E3AD1">
        <w:rPr>
          <w:rFonts w:ascii="Times New Roman" w:hAnsi="Times New Roman" w:cs="Times New Roman"/>
          <w:i/>
        </w:rPr>
        <w:t>reforms</w:t>
      </w:r>
    </w:p>
    <w:p w14:paraId="172ACEDA" w14:textId="77777777" w:rsidR="00E136A3" w:rsidRPr="00C538DB" w:rsidRDefault="00E136A3" w:rsidP="002D1818">
      <w:pPr>
        <w:jc w:val="both"/>
        <w:rPr>
          <w:rFonts w:ascii="Times New Roman" w:hAnsi="Times New Roman" w:cs="Times New Roman"/>
          <w:i/>
        </w:rPr>
      </w:pPr>
    </w:p>
    <w:p w14:paraId="604E3378" w14:textId="0EECFFA9" w:rsidR="00E136A3" w:rsidRDefault="00331F02" w:rsidP="00C538DB">
      <w:pPr>
        <w:pStyle w:val="ListParagraph"/>
        <w:ind w:left="0"/>
        <w:jc w:val="both"/>
        <w:rPr>
          <w:rFonts w:ascii="Times New Roman" w:hAnsi="Times New Roman" w:cs="Times New Roman"/>
        </w:rPr>
      </w:pPr>
      <w:r>
        <w:rPr>
          <w:rFonts w:ascii="Times New Roman" w:hAnsi="Times New Roman" w:cs="Times New Roman"/>
          <w:b/>
        </w:rPr>
        <w:t>It is estimated that r</w:t>
      </w:r>
      <w:r w:rsidR="00E136A3" w:rsidRPr="006E2DBE">
        <w:rPr>
          <w:rFonts w:ascii="Times New Roman" w:hAnsi="Times New Roman" w:cs="Times New Roman"/>
          <w:b/>
        </w:rPr>
        <w:t xml:space="preserve">eforming the sector to allow for more competition </w:t>
      </w:r>
      <w:r>
        <w:rPr>
          <w:rFonts w:ascii="Times New Roman" w:hAnsi="Times New Roman" w:cs="Times New Roman"/>
          <w:b/>
        </w:rPr>
        <w:t>would</w:t>
      </w:r>
      <w:r w:rsidR="00E136A3" w:rsidRPr="006E2DBE">
        <w:rPr>
          <w:rFonts w:ascii="Times New Roman" w:hAnsi="Times New Roman" w:cs="Times New Roman"/>
          <w:b/>
        </w:rPr>
        <w:t xml:space="preserve"> generate benefits for all value chain actors </w:t>
      </w:r>
      <w:proofErr w:type="gramStart"/>
      <w:r w:rsidR="00E136A3" w:rsidRPr="006E2DBE">
        <w:rPr>
          <w:rFonts w:ascii="Times New Roman" w:hAnsi="Times New Roman" w:cs="Times New Roman"/>
          <w:b/>
        </w:rPr>
        <w:t>in excess of</w:t>
      </w:r>
      <w:proofErr w:type="gramEnd"/>
      <w:r w:rsidR="006823E0">
        <w:rPr>
          <w:rFonts w:ascii="Times New Roman" w:hAnsi="Times New Roman" w:cs="Times New Roman"/>
          <w:b/>
        </w:rPr>
        <w:t xml:space="preserve"> F </w:t>
      </w:r>
      <w:r w:rsidR="006823E0" w:rsidRPr="006E2DBE">
        <w:rPr>
          <w:rFonts w:ascii="Times New Roman" w:hAnsi="Times New Roman" w:cs="Times New Roman"/>
          <w:b/>
        </w:rPr>
        <w:t xml:space="preserve">CFA </w:t>
      </w:r>
      <w:r w:rsidR="00E136A3" w:rsidRPr="006E2DBE">
        <w:rPr>
          <w:rFonts w:ascii="Times New Roman" w:hAnsi="Times New Roman" w:cs="Times New Roman"/>
          <w:b/>
        </w:rPr>
        <w:t>150</w:t>
      </w:r>
      <w:r w:rsidR="001A549E">
        <w:rPr>
          <w:rFonts w:ascii="Times New Roman" w:hAnsi="Times New Roman" w:cs="Times New Roman"/>
          <w:b/>
        </w:rPr>
        <w:t xml:space="preserve"> </w:t>
      </w:r>
      <w:r w:rsidR="00E136A3" w:rsidRPr="006E2DBE">
        <w:rPr>
          <w:rFonts w:ascii="Times New Roman" w:hAnsi="Times New Roman" w:cs="Times New Roman"/>
          <w:b/>
        </w:rPr>
        <w:t>b</w:t>
      </w:r>
      <w:r w:rsidR="001A549E">
        <w:rPr>
          <w:rFonts w:ascii="Times New Roman" w:hAnsi="Times New Roman" w:cs="Times New Roman"/>
          <w:b/>
        </w:rPr>
        <w:t>illion</w:t>
      </w:r>
      <w:r w:rsidR="000133E4">
        <w:rPr>
          <w:rFonts w:ascii="Times New Roman" w:hAnsi="Times New Roman" w:cs="Times New Roman"/>
          <w:b/>
        </w:rPr>
        <w:t xml:space="preserve"> (USD 250</w:t>
      </w:r>
      <w:r w:rsidR="001A549E">
        <w:rPr>
          <w:rFonts w:ascii="Times New Roman" w:hAnsi="Times New Roman" w:cs="Times New Roman"/>
          <w:b/>
        </w:rPr>
        <w:t xml:space="preserve"> million</w:t>
      </w:r>
      <w:r w:rsidR="000133E4">
        <w:rPr>
          <w:rFonts w:ascii="Times New Roman" w:hAnsi="Times New Roman" w:cs="Times New Roman"/>
          <w:b/>
        </w:rPr>
        <w:t>)</w:t>
      </w:r>
      <w:r w:rsidR="00E136A3" w:rsidRPr="006E2DBE">
        <w:rPr>
          <w:rFonts w:ascii="Times New Roman" w:hAnsi="Times New Roman" w:cs="Times New Roman"/>
          <w:b/>
        </w:rPr>
        <w:t xml:space="preserve">, create employment for rural poor women and lift 50,000 people out of poverty. </w:t>
      </w:r>
      <w:r w:rsidR="00E136A3" w:rsidRPr="006E2DBE">
        <w:rPr>
          <w:rFonts w:ascii="Times New Roman" w:hAnsi="Times New Roman" w:cs="Times New Roman"/>
        </w:rPr>
        <w:t xml:space="preserve">If employed correctly, </w:t>
      </w:r>
      <w:r w:rsidR="006E2DBE" w:rsidRPr="006E2DBE">
        <w:rPr>
          <w:rFonts w:ascii="Times New Roman" w:hAnsi="Times New Roman" w:cs="Times New Roman"/>
        </w:rPr>
        <w:t xml:space="preserve">current </w:t>
      </w:r>
      <w:r w:rsidR="00E136A3" w:rsidRPr="006E2DBE">
        <w:rPr>
          <w:rFonts w:ascii="Times New Roman" w:hAnsi="Times New Roman" w:cs="Times New Roman"/>
        </w:rPr>
        <w:t>policy reforms</w:t>
      </w:r>
      <w:r w:rsidR="006E2DBE" w:rsidRPr="006E2DBE">
        <w:rPr>
          <w:rFonts w:ascii="Times New Roman" w:hAnsi="Times New Roman" w:cs="Times New Roman"/>
        </w:rPr>
        <w:t xml:space="preserve"> in combination with a set of additional prudent reforms</w:t>
      </w:r>
      <w:r w:rsidR="00762F93" w:rsidRPr="006E2DBE">
        <w:rPr>
          <w:rFonts w:ascii="Times New Roman" w:hAnsi="Times New Roman" w:cs="Times New Roman"/>
        </w:rPr>
        <w:t xml:space="preserve"> </w:t>
      </w:r>
      <w:r w:rsidR="009771E5">
        <w:rPr>
          <w:rFonts w:ascii="Times New Roman" w:hAnsi="Times New Roman" w:cs="Times New Roman"/>
        </w:rPr>
        <w:t>(</w:t>
      </w:r>
      <w:r w:rsidR="00762F93" w:rsidRPr="006E2DBE">
        <w:rPr>
          <w:rFonts w:ascii="Times New Roman" w:hAnsi="Times New Roman" w:cs="Times New Roman"/>
        </w:rPr>
        <w:t xml:space="preserve">including phasing out the minimum purchasing price for raw groundnuts, </w:t>
      </w:r>
      <w:r w:rsidR="006E2DBE" w:rsidRPr="006E2DBE">
        <w:rPr>
          <w:rFonts w:ascii="Times New Roman" w:hAnsi="Times New Roman" w:cs="Times New Roman"/>
        </w:rPr>
        <w:t xml:space="preserve">maintaining the suspension of </w:t>
      </w:r>
      <w:r w:rsidR="00762F93" w:rsidRPr="006E2DBE">
        <w:rPr>
          <w:rFonts w:ascii="Times New Roman" w:hAnsi="Times New Roman" w:cs="Times New Roman"/>
        </w:rPr>
        <w:t>the export tax on kernel, and phasing out tariff and non-tariff barriers on crude vegetable oil imports</w:t>
      </w:r>
      <w:r w:rsidR="009771E5">
        <w:rPr>
          <w:rFonts w:ascii="Times New Roman" w:hAnsi="Times New Roman" w:cs="Times New Roman"/>
        </w:rPr>
        <w:t>)</w:t>
      </w:r>
      <w:r w:rsidR="00E136A3" w:rsidRPr="006E2DBE">
        <w:rPr>
          <w:rFonts w:ascii="Times New Roman" w:hAnsi="Times New Roman" w:cs="Times New Roman"/>
        </w:rPr>
        <w:t xml:space="preserve"> would increase farmer incomes, lower consumer prices, create employment and generate higher profits. This is not to say that this subset of reforms is necessarily what should be adopted by the </w:t>
      </w:r>
      <w:r w:rsidR="003B24ED">
        <w:rPr>
          <w:rFonts w:ascii="Times New Roman" w:hAnsi="Times New Roman" w:cs="Times New Roman"/>
        </w:rPr>
        <w:t>Government</w:t>
      </w:r>
      <w:r w:rsidR="008C66DD" w:rsidRPr="006E2DBE">
        <w:rPr>
          <w:rFonts w:ascii="Times New Roman" w:hAnsi="Times New Roman" w:cs="Times New Roman"/>
        </w:rPr>
        <w:t xml:space="preserve"> of Senegal</w:t>
      </w:r>
      <w:r w:rsidR="00E136A3" w:rsidRPr="006E2DBE">
        <w:rPr>
          <w:rFonts w:ascii="Times New Roman" w:hAnsi="Times New Roman" w:cs="Times New Roman"/>
        </w:rPr>
        <w:t xml:space="preserve"> or that other reforms would not be necessary</w:t>
      </w:r>
      <w:r w:rsidR="00121E98">
        <w:rPr>
          <w:rFonts w:ascii="Times New Roman" w:hAnsi="Times New Roman" w:cs="Times New Roman"/>
        </w:rPr>
        <w:t xml:space="preserve"> (</w:t>
      </w:r>
      <w:r w:rsidR="00670C29">
        <w:rPr>
          <w:rFonts w:ascii="Times New Roman" w:hAnsi="Times New Roman" w:cs="Times New Roman"/>
        </w:rPr>
        <w:t>notably</w:t>
      </w:r>
      <w:r w:rsidR="00121E98">
        <w:rPr>
          <w:rFonts w:ascii="Times New Roman" w:hAnsi="Times New Roman" w:cs="Times New Roman"/>
        </w:rPr>
        <w:t xml:space="preserve"> in the infrastructure sector to lower the cost of transport, private warehousing; or public procurement rules),</w:t>
      </w:r>
      <w:r w:rsidR="007575D7">
        <w:rPr>
          <w:rFonts w:ascii="Times New Roman" w:hAnsi="Times New Roman" w:cs="Times New Roman"/>
        </w:rPr>
        <w:t xml:space="preserve"> </w:t>
      </w:r>
      <w:r w:rsidR="00121E98">
        <w:rPr>
          <w:rFonts w:ascii="Times New Roman" w:hAnsi="Times New Roman" w:cs="Times New Roman"/>
        </w:rPr>
        <w:t>h</w:t>
      </w:r>
      <w:r w:rsidR="00251B1A" w:rsidRPr="006E2DBE">
        <w:rPr>
          <w:rFonts w:ascii="Times New Roman" w:hAnsi="Times New Roman" w:cs="Times New Roman"/>
        </w:rPr>
        <w:t>owever</w:t>
      </w:r>
      <w:r w:rsidR="00E136A3" w:rsidRPr="006E2DBE">
        <w:rPr>
          <w:rFonts w:ascii="Times New Roman" w:hAnsi="Times New Roman" w:cs="Times New Roman"/>
        </w:rPr>
        <w:t xml:space="preserve">, it does indicate the potential magnitude of gains that are available to the </w:t>
      </w:r>
      <w:proofErr w:type="spellStart"/>
      <w:r w:rsidR="00E136A3" w:rsidRPr="006E2DBE">
        <w:rPr>
          <w:rFonts w:ascii="Times New Roman" w:hAnsi="Times New Roman" w:cs="Times New Roman"/>
        </w:rPr>
        <w:t>GoS</w:t>
      </w:r>
      <w:proofErr w:type="spellEnd"/>
      <w:r w:rsidR="00E136A3" w:rsidRPr="006E2DBE">
        <w:rPr>
          <w:rFonts w:ascii="Times New Roman" w:hAnsi="Times New Roman" w:cs="Times New Roman"/>
        </w:rPr>
        <w:t xml:space="preserve"> if reforms are implemented systematically and credibly</w:t>
      </w:r>
      <w:r w:rsidR="00E136A3" w:rsidRPr="008C66DD">
        <w:rPr>
          <w:rFonts w:ascii="Times New Roman" w:hAnsi="Times New Roman" w:cs="Times New Roman"/>
        </w:rPr>
        <w:t>.</w:t>
      </w:r>
      <w:r w:rsidR="00121E98">
        <w:rPr>
          <w:rFonts w:ascii="Times New Roman" w:hAnsi="Times New Roman" w:cs="Times New Roman"/>
        </w:rPr>
        <w:t xml:space="preserve"> In addition, if taken into </w:t>
      </w:r>
      <w:r w:rsidR="00171547">
        <w:rPr>
          <w:rFonts w:ascii="Times New Roman" w:hAnsi="Times New Roman" w:cs="Times New Roman"/>
        </w:rPr>
        <w:t>consideration</w:t>
      </w:r>
      <w:r w:rsidR="00121E98">
        <w:rPr>
          <w:rFonts w:ascii="Times New Roman" w:hAnsi="Times New Roman" w:cs="Times New Roman"/>
        </w:rPr>
        <w:t>, these reforms should be accompanied by mechanisms that</w:t>
      </w:r>
      <w:r w:rsidR="00171547">
        <w:rPr>
          <w:rFonts w:ascii="Times New Roman" w:hAnsi="Times New Roman" w:cs="Times New Roman"/>
        </w:rPr>
        <w:t xml:space="preserve"> address the downside risk of market price fluctuations on farmers, </w:t>
      </w:r>
      <w:r w:rsidR="00670C29">
        <w:rPr>
          <w:rFonts w:ascii="Times New Roman" w:hAnsi="Times New Roman" w:cs="Times New Roman"/>
        </w:rPr>
        <w:t>such as</w:t>
      </w:r>
      <w:r w:rsidR="00171547">
        <w:rPr>
          <w:rFonts w:ascii="Times New Roman" w:hAnsi="Times New Roman" w:cs="Times New Roman"/>
        </w:rPr>
        <w:t xml:space="preserve"> targeted cash transfers</w:t>
      </w:r>
      <w:r w:rsidR="00670C29">
        <w:rPr>
          <w:rFonts w:ascii="Times New Roman" w:hAnsi="Times New Roman" w:cs="Times New Roman"/>
        </w:rPr>
        <w:t xml:space="preserve"> </w:t>
      </w:r>
      <w:r w:rsidR="00171547">
        <w:rPr>
          <w:rFonts w:ascii="Times New Roman" w:hAnsi="Times New Roman" w:cs="Times New Roman"/>
        </w:rPr>
        <w:t xml:space="preserve">as well as climate and output risks, </w:t>
      </w:r>
      <w:r w:rsidR="00670C29">
        <w:rPr>
          <w:rFonts w:ascii="Times New Roman" w:hAnsi="Times New Roman" w:cs="Times New Roman"/>
        </w:rPr>
        <w:t>such as</w:t>
      </w:r>
      <w:r w:rsidR="00171547">
        <w:rPr>
          <w:rFonts w:ascii="Times New Roman" w:hAnsi="Times New Roman" w:cs="Times New Roman"/>
        </w:rPr>
        <w:t xml:space="preserve"> crop insurance. </w:t>
      </w:r>
    </w:p>
    <w:p w14:paraId="33197E3A" w14:textId="77777777" w:rsidR="00E11F44" w:rsidRDefault="00E11F44" w:rsidP="00C538DB">
      <w:pPr>
        <w:pStyle w:val="ListParagraph"/>
        <w:ind w:left="0"/>
        <w:jc w:val="both"/>
        <w:rPr>
          <w:rFonts w:ascii="Times New Roman" w:hAnsi="Times New Roman" w:cs="Times New Roman"/>
        </w:rPr>
      </w:pPr>
    </w:p>
    <w:p w14:paraId="740C45AB" w14:textId="03F6C9CF" w:rsidR="00C33F97" w:rsidRPr="007575D7" w:rsidRDefault="00C33F97" w:rsidP="00C33F97">
      <w:pPr>
        <w:rPr>
          <w:rFonts w:ascii="Times New Roman" w:hAnsi="Times New Roman" w:cs="Times New Roman"/>
          <w:i/>
        </w:rPr>
      </w:pPr>
      <w:r w:rsidRPr="007575D7">
        <w:rPr>
          <w:rFonts w:ascii="Times New Roman" w:hAnsi="Times New Roman" w:cs="Times New Roman"/>
          <w:i/>
        </w:rPr>
        <w:t xml:space="preserve">Maximizing </w:t>
      </w:r>
      <w:r w:rsidR="00EE2313">
        <w:rPr>
          <w:rFonts w:ascii="Times New Roman" w:hAnsi="Times New Roman" w:cs="Times New Roman"/>
          <w:i/>
        </w:rPr>
        <w:t>f</w:t>
      </w:r>
      <w:r w:rsidRPr="007575D7">
        <w:rPr>
          <w:rFonts w:ascii="Times New Roman" w:hAnsi="Times New Roman" w:cs="Times New Roman"/>
          <w:i/>
        </w:rPr>
        <w:t xml:space="preserve">inance for </w:t>
      </w:r>
      <w:r w:rsidR="00EE2313">
        <w:rPr>
          <w:rFonts w:ascii="Times New Roman" w:hAnsi="Times New Roman" w:cs="Times New Roman"/>
          <w:i/>
        </w:rPr>
        <w:t>d</w:t>
      </w:r>
      <w:r w:rsidRPr="007575D7">
        <w:rPr>
          <w:rFonts w:ascii="Times New Roman" w:hAnsi="Times New Roman" w:cs="Times New Roman"/>
          <w:i/>
        </w:rPr>
        <w:t xml:space="preserve">evelopment in the </w:t>
      </w:r>
      <w:r w:rsidR="00EE2313">
        <w:rPr>
          <w:rFonts w:ascii="Times New Roman" w:hAnsi="Times New Roman" w:cs="Times New Roman"/>
          <w:i/>
        </w:rPr>
        <w:t>g</w:t>
      </w:r>
      <w:r w:rsidRPr="007575D7">
        <w:rPr>
          <w:rFonts w:ascii="Times New Roman" w:hAnsi="Times New Roman" w:cs="Times New Roman"/>
          <w:i/>
        </w:rPr>
        <w:t>roundnut value chain</w:t>
      </w:r>
    </w:p>
    <w:p w14:paraId="15D99FB8" w14:textId="77777777" w:rsidR="00C33F97" w:rsidRPr="007575D7" w:rsidRDefault="00C33F97" w:rsidP="00C33F97">
      <w:pPr>
        <w:rPr>
          <w:rFonts w:ascii="Times New Roman" w:hAnsi="Times New Roman" w:cs="Times New Roman"/>
        </w:rPr>
      </w:pPr>
    </w:p>
    <w:p w14:paraId="13A0C4C0" w14:textId="04D062AE" w:rsidR="00E11F44" w:rsidRPr="00C91EA2" w:rsidRDefault="00C33F97" w:rsidP="00CD6A39">
      <w:pPr>
        <w:jc w:val="both"/>
        <w:rPr>
          <w:rFonts w:ascii="Times New Roman" w:hAnsi="Times New Roman" w:cs="Times New Roman"/>
        </w:rPr>
      </w:pPr>
      <w:r w:rsidRPr="003813B2">
        <w:rPr>
          <w:rFonts w:ascii="Times New Roman" w:hAnsi="Times New Roman" w:cs="Times New Roman"/>
          <w:b/>
        </w:rPr>
        <w:t>Given</w:t>
      </w:r>
      <w:r w:rsidR="00F02357">
        <w:rPr>
          <w:rFonts w:ascii="Times New Roman" w:hAnsi="Times New Roman" w:cs="Times New Roman"/>
          <w:b/>
        </w:rPr>
        <w:t xml:space="preserve"> the</w:t>
      </w:r>
      <w:r w:rsidRPr="003813B2">
        <w:rPr>
          <w:rFonts w:ascii="Times New Roman" w:hAnsi="Times New Roman" w:cs="Times New Roman"/>
          <w:b/>
        </w:rPr>
        <w:t xml:space="preserve"> current levels of investment in agricultural value chains at global level, crowding in private investment is necessary to achieve key development goals</w:t>
      </w:r>
      <w:r w:rsidRPr="007575D7">
        <w:rPr>
          <w:rFonts w:ascii="Times New Roman" w:hAnsi="Times New Roman" w:cs="Times New Roman"/>
        </w:rPr>
        <w:t xml:space="preserve">. </w:t>
      </w:r>
      <w:r w:rsidRPr="00F02357">
        <w:rPr>
          <w:rFonts w:ascii="Times New Roman" w:hAnsi="Times New Roman" w:cs="Times New Roman"/>
          <w:b/>
        </w:rPr>
        <w:t>Senegal’s groundnut value chain is no exception to this.</w:t>
      </w:r>
      <w:r w:rsidRPr="007575D7">
        <w:rPr>
          <w:rFonts w:ascii="Times New Roman" w:hAnsi="Times New Roman" w:cs="Times New Roman"/>
        </w:rPr>
        <w:t xml:space="preserve"> Crowding</w:t>
      </w:r>
      <w:r w:rsidR="0026120A">
        <w:rPr>
          <w:rFonts w:ascii="Times New Roman" w:hAnsi="Times New Roman" w:cs="Times New Roman"/>
        </w:rPr>
        <w:t>-</w:t>
      </w:r>
      <w:r w:rsidRPr="007575D7">
        <w:rPr>
          <w:rFonts w:ascii="Times New Roman" w:hAnsi="Times New Roman" w:cs="Times New Roman"/>
        </w:rPr>
        <w:t>in private investment can help optimize the use of the public resources, while contribut</w:t>
      </w:r>
      <w:r w:rsidR="006C6359">
        <w:rPr>
          <w:rFonts w:ascii="Times New Roman" w:hAnsi="Times New Roman" w:cs="Times New Roman"/>
        </w:rPr>
        <w:t>ing</w:t>
      </w:r>
      <w:r w:rsidRPr="007575D7">
        <w:rPr>
          <w:rFonts w:ascii="Times New Roman" w:hAnsi="Times New Roman" w:cs="Times New Roman"/>
        </w:rPr>
        <w:t xml:space="preserve"> to other goals such as good governance and environmental and social sustainability</w:t>
      </w:r>
      <w:r w:rsidR="00EE2313">
        <w:rPr>
          <w:rFonts w:ascii="Times New Roman" w:hAnsi="Times New Roman" w:cs="Times New Roman"/>
        </w:rPr>
        <w:t xml:space="preserve">. </w:t>
      </w:r>
      <w:r w:rsidRPr="007575D7">
        <w:rPr>
          <w:rFonts w:ascii="Times New Roman" w:hAnsi="Times New Roman" w:cs="Times New Roman"/>
        </w:rPr>
        <w:t>To ensure and increase private sector access to various sources of finance (own-savings</w:t>
      </w:r>
      <w:r w:rsidR="00EE2313">
        <w:rPr>
          <w:rFonts w:ascii="Times New Roman" w:hAnsi="Times New Roman" w:cs="Times New Roman"/>
        </w:rPr>
        <w:t>;</w:t>
      </w:r>
      <w:r w:rsidRPr="007575D7">
        <w:rPr>
          <w:rFonts w:ascii="Times New Roman" w:hAnsi="Times New Roman" w:cs="Times New Roman"/>
        </w:rPr>
        <w:t xml:space="preserve"> agricultural investment funds), it is key for the Government of Senegal to provide an enabling environment for all private sector actors in agricultural value chains (farmers, input suppliers, processors, distributors, and marketers). In addition, crowding-in more private investment also requires increasing the space for private sector activity; improving the policy and regulatory envir</w:t>
      </w:r>
      <w:r w:rsidR="00F02357">
        <w:rPr>
          <w:rFonts w:ascii="Times New Roman" w:hAnsi="Times New Roman" w:cs="Times New Roman"/>
        </w:rPr>
        <w:t>onment</w:t>
      </w:r>
      <w:r w:rsidRPr="007575D7">
        <w:rPr>
          <w:rFonts w:ascii="Times New Roman" w:hAnsi="Times New Roman" w:cs="Times New Roman"/>
        </w:rPr>
        <w:t xml:space="preserve"> as well as considering opt</w:t>
      </w:r>
      <w:r w:rsidR="00F02357">
        <w:rPr>
          <w:rFonts w:ascii="Times New Roman" w:hAnsi="Times New Roman" w:cs="Times New Roman"/>
        </w:rPr>
        <w:t>ions for using public financing</w:t>
      </w:r>
      <w:r w:rsidRPr="007575D7">
        <w:rPr>
          <w:rFonts w:ascii="Times New Roman" w:hAnsi="Times New Roman" w:cs="Times New Roman"/>
        </w:rPr>
        <w:t xml:space="preserve"> to improve private </w:t>
      </w:r>
      <w:r w:rsidR="00F02357" w:rsidRPr="007575D7">
        <w:rPr>
          <w:rFonts w:ascii="Times New Roman" w:hAnsi="Times New Roman" w:cs="Times New Roman"/>
        </w:rPr>
        <w:t>incentives and</w:t>
      </w:r>
      <w:r w:rsidRPr="007575D7">
        <w:rPr>
          <w:rFonts w:ascii="Times New Roman" w:hAnsi="Times New Roman" w:cs="Times New Roman"/>
        </w:rPr>
        <w:t xml:space="preserve"> reduce transactions costs and risks.</w:t>
      </w:r>
      <w:r w:rsidR="006C6359">
        <w:rPr>
          <w:rFonts w:ascii="Times New Roman" w:hAnsi="Times New Roman" w:cs="Times New Roman"/>
        </w:rPr>
        <w:t xml:space="preserve"> </w:t>
      </w:r>
      <w:r w:rsidRPr="007575D7">
        <w:rPr>
          <w:rFonts w:ascii="Times New Roman" w:hAnsi="Times New Roman" w:cs="Times New Roman"/>
        </w:rPr>
        <w:t>Finally, public resources will still be necessary to finance key public goods</w:t>
      </w:r>
      <w:r w:rsidR="00F02357">
        <w:rPr>
          <w:rFonts w:ascii="Times New Roman" w:hAnsi="Times New Roman" w:cs="Times New Roman"/>
        </w:rPr>
        <w:t>,</w:t>
      </w:r>
      <w:r w:rsidRPr="007575D7">
        <w:rPr>
          <w:rFonts w:ascii="Times New Roman" w:hAnsi="Times New Roman" w:cs="Times New Roman"/>
        </w:rPr>
        <w:t xml:space="preserve"> such as agricultural research and extension, and public infrastructure. In this sense, public-private collaboration mechanisms can help inform country</w:t>
      </w:r>
      <w:r w:rsidR="00EE2313">
        <w:rPr>
          <w:rFonts w:ascii="Times New Roman" w:hAnsi="Times New Roman" w:cs="Times New Roman"/>
        </w:rPr>
        <w:t>-</w:t>
      </w:r>
      <w:r w:rsidR="00CD6A39">
        <w:rPr>
          <w:rFonts w:ascii="Times New Roman" w:hAnsi="Times New Roman" w:cs="Times New Roman"/>
        </w:rPr>
        <w:t xml:space="preserve">level action prioritization. </w:t>
      </w:r>
    </w:p>
    <w:p w14:paraId="19A8A7D5" w14:textId="77777777" w:rsidR="002D1818" w:rsidRDefault="002D1818" w:rsidP="002D1818">
      <w:pPr>
        <w:jc w:val="both"/>
        <w:rPr>
          <w:rFonts w:ascii="Times New Roman" w:hAnsi="Times New Roman" w:cs="Times New Roman"/>
        </w:rPr>
      </w:pPr>
    </w:p>
    <w:p w14:paraId="763B650D" w14:textId="77777777" w:rsidR="002D1818" w:rsidRPr="00A26FC0" w:rsidRDefault="002D1818" w:rsidP="002D1818">
      <w:pPr>
        <w:rPr>
          <w:rFonts w:ascii="Times New Roman" w:hAnsi="Times New Roman" w:cs="Times New Roman"/>
          <w:b/>
          <w:i/>
        </w:rPr>
      </w:pPr>
      <w:r w:rsidRPr="00A26FC0">
        <w:rPr>
          <w:rFonts w:ascii="Times New Roman" w:hAnsi="Times New Roman" w:cs="Times New Roman"/>
          <w:b/>
          <w:i/>
        </w:rPr>
        <w:t>Telecommunications</w:t>
      </w:r>
    </w:p>
    <w:p w14:paraId="5FA09949" w14:textId="77777777" w:rsidR="002D1818" w:rsidRDefault="002D1818" w:rsidP="002D1818">
      <w:pPr>
        <w:jc w:val="both"/>
        <w:rPr>
          <w:rFonts w:ascii="Times New Roman" w:hAnsi="Times New Roman" w:cs="Times New Roman"/>
        </w:rPr>
      </w:pPr>
    </w:p>
    <w:p w14:paraId="2F255F36" w14:textId="5114AD38" w:rsidR="00726B79" w:rsidRDefault="00726B79" w:rsidP="00726B79">
      <w:pPr>
        <w:pStyle w:val="ListParagraph"/>
        <w:ind w:left="0"/>
        <w:jc w:val="both"/>
        <w:rPr>
          <w:rFonts w:ascii="Times New Roman" w:hAnsi="Times New Roman" w:cs="Times New Roman"/>
          <w:szCs w:val="22"/>
        </w:rPr>
      </w:pPr>
      <w:r w:rsidRPr="00B562D8">
        <w:rPr>
          <w:rFonts w:ascii="Times New Roman" w:hAnsi="Times New Roman" w:cs="Times New Roman"/>
          <w:b/>
        </w:rPr>
        <w:t>The telecommunications sector</w:t>
      </w:r>
      <w:r>
        <w:rPr>
          <w:rFonts w:ascii="Times New Roman" w:hAnsi="Times New Roman" w:cs="Times New Roman"/>
          <w:b/>
        </w:rPr>
        <w:t xml:space="preserve"> </w:t>
      </w:r>
      <w:r w:rsidRPr="00C91EA2">
        <w:rPr>
          <w:rFonts w:ascii="Times New Roman" w:hAnsi="Times New Roman" w:cs="Times New Roman"/>
          <w:b/>
        </w:rPr>
        <w:t xml:space="preserve">has been identified as a crucial pillar of future growth by the Senegalese </w:t>
      </w:r>
      <w:r w:rsidR="003B24ED">
        <w:rPr>
          <w:rFonts w:ascii="Times New Roman" w:hAnsi="Times New Roman" w:cs="Times New Roman"/>
          <w:b/>
        </w:rPr>
        <w:t>Government</w:t>
      </w:r>
      <w:r w:rsidRPr="00C91EA2">
        <w:rPr>
          <w:rFonts w:ascii="Times New Roman" w:hAnsi="Times New Roman" w:cs="Times New Roman"/>
          <w:b/>
        </w:rPr>
        <w:t xml:space="preserve"> and </w:t>
      </w:r>
      <w:r w:rsidR="00B56408">
        <w:rPr>
          <w:rFonts w:ascii="Times New Roman" w:hAnsi="Times New Roman" w:cs="Times New Roman"/>
          <w:b/>
        </w:rPr>
        <w:t>a significant contributor</w:t>
      </w:r>
      <w:r>
        <w:rPr>
          <w:rFonts w:ascii="Times New Roman" w:hAnsi="Times New Roman" w:cs="Times New Roman"/>
          <w:b/>
        </w:rPr>
        <w:t xml:space="preserve"> to the overall economy</w:t>
      </w:r>
      <w:r>
        <w:rPr>
          <w:rFonts w:ascii="Times New Roman" w:hAnsi="Times New Roman" w:cs="Times New Roman"/>
        </w:rPr>
        <w:t xml:space="preserve">. </w:t>
      </w:r>
      <w:r w:rsidR="00AA33F5">
        <w:rPr>
          <w:rFonts w:ascii="Times New Roman" w:hAnsi="Times New Roman" w:cs="Times New Roman"/>
        </w:rPr>
        <w:t xml:space="preserve">Improving the </w:t>
      </w:r>
      <w:r w:rsidRPr="00DE0704">
        <w:rPr>
          <w:rFonts w:ascii="Times New Roman" w:hAnsi="Times New Roman" w:cs="Times New Roman"/>
        </w:rPr>
        <w:t>regulatory framework to ensure access</w:t>
      </w:r>
      <w:r>
        <w:rPr>
          <w:rFonts w:ascii="Times New Roman" w:hAnsi="Times New Roman" w:cs="Times New Roman"/>
        </w:rPr>
        <w:t xml:space="preserve"> and more competitive conditions</w:t>
      </w:r>
      <w:r w:rsidRPr="00DE0704">
        <w:rPr>
          <w:rFonts w:ascii="Times New Roman" w:hAnsi="Times New Roman" w:cs="Times New Roman"/>
        </w:rPr>
        <w:t xml:space="preserve"> is the key constraint</w:t>
      </w:r>
      <w:r>
        <w:rPr>
          <w:rFonts w:ascii="Times New Roman" w:hAnsi="Times New Roman" w:cs="Times New Roman"/>
        </w:rPr>
        <w:t xml:space="preserve"> to growth</w:t>
      </w:r>
      <w:r w:rsidRPr="00C91EA2">
        <w:rPr>
          <w:rFonts w:ascii="Times New Roman" w:hAnsi="Times New Roman" w:cs="Times New Roman"/>
        </w:rPr>
        <w:t xml:space="preserve">. ICT contributed </w:t>
      </w:r>
      <w:r w:rsidR="00DB7FD2">
        <w:rPr>
          <w:rFonts w:ascii="Times New Roman" w:hAnsi="Times New Roman" w:cs="Times New Roman"/>
        </w:rPr>
        <w:t>6.3 percent</w:t>
      </w:r>
      <w:r w:rsidRPr="00C91EA2">
        <w:rPr>
          <w:rFonts w:ascii="Times New Roman" w:hAnsi="Times New Roman" w:cs="Times New Roman"/>
        </w:rPr>
        <w:t xml:space="preserve"> to GDP in 2014</w:t>
      </w:r>
      <w:r w:rsidR="00DB7FD2">
        <w:rPr>
          <w:rFonts w:ascii="Times New Roman" w:hAnsi="Times New Roman" w:cs="Times New Roman"/>
        </w:rPr>
        <w:t>.</w:t>
      </w:r>
      <w:r w:rsidRPr="00C91EA2">
        <w:rPr>
          <w:rStyle w:val="FootnoteReference"/>
          <w:rFonts w:ascii="Times New Roman" w:hAnsi="Times New Roman" w:cs="Times New Roman"/>
        </w:rPr>
        <w:footnoteReference w:id="25"/>
      </w:r>
      <w:r w:rsidRPr="00C91EA2">
        <w:rPr>
          <w:rFonts w:ascii="Times New Roman" w:hAnsi="Times New Roman" w:cs="Times New Roman"/>
          <w:sz w:val="22"/>
          <w:szCs w:val="22"/>
        </w:rPr>
        <w:t xml:space="preserve"> </w:t>
      </w:r>
      <w:r w:rsidRPr="00C91EA2">
        <w:rPr>
          <w:rFonts w:ascii="Times New Roman" w:hAnsi="Times New Roman" w:cs="Times New Roman"/>
          <w:szCs w:val="22"/>
        </w:rPr>
        <w:t>Furthermore, the sector’s spillovers are considerable</w:t>
      </w:r>
      <w:r>
        <w:rPr>
          <w:rFonts w:ascii="Times New Roman" w:hAnsi="Times New Roman" w:cs="Times New Roman"/>
          <w:szCs w:val="22"/>
        </w:rPr>
        <w:t xml:space="preserve"> to the rest of the economy</w:t>
      </w:r>
      <w:r w:rsidRPr="00C91EA2">
        <w:rPr>
          <w:rFonts w:ascii="Times New Roman" w:hAnsi="Times New Roman" w:cs="Times New Roman"/>
          <w:szCs w:val="22"/>
        </w:rPr>
        <w:t>.</w:t>
      </w:r>
    </w:p>
    <w:p w14:paraId="47C25E5A" w14:textId="77777777" w:rsidR="00726B79" w:rsidRDefault="00726B79" w:rsidP="00726B79">
      <w:pPr>
        <w:pStyle w:val="ListParagraph"/>
        <w:ind w:left="0"/>
        <w:jc w:val="both"/>
        <w:rPr>
          <w:rFonts w:ascii="Times New Roman" w:hAnsi="Times New Roman" w:cs="Times New Roman"/>
          <w:szCs w:val="22"/>
        </w:rPr>
      </w:pPr>
    </w:p>
    <w:p w14:paraId="06AA8455" w14:textId="55A43DB8" w:rsidR="00DD7D1B" w:rsidRDefault="00B56408" w:rsidP="00726B79">
      <w:pPr>
        <w:tabs>
          <w:tab w:val="num" w:pos="720"/>
        </w:tabs>
        <w:autoSpaceDE w:val="0"/>
        <w:autoSpaceDN w:val="0"/>
        <w:adjustRightInd w:val="0"/>
        <w:jc w:val="both"/>
        <w:rPr>
          <w:rFonts w:ascii="Times New Roman" w:eastAsia="Times New Roman" w:hAnsi="Times New Roman" w:cs="Times New Roman"/>
          <w:lang w:eastAsia="fr-FR"/>
        </w:rPr>
      </w:pPr>
      <w:r w:rsidRPr="00686743">
        <w:rPr>
          <w:rFonts w:ascii="Times New Roman" w:eastAsia="Times New Roman" w:hAnsi="Times New Roman" w:cs="Times New Roman"/>
          <w:b/>
          <w:lang w:eastAsia="fr-FR"/>
        </w:rPr>
        <w:t>Senegal’s telecommunications sector has expanded rapidly in the last years</w:t>
      </w:r>
      <w:r>
        <w:rPr>
          <w:rFonts w:ascii="Times New Roman" w:eastAsia="Times New Roman" w:hAnsi="Times New Roman" w:cs="Times New Roman"/>
          <w:b/>
          <w:lang w:eastAsia="fr-FR"/>
        </w:rPr>
        <w:t>,</w:t>
      </w:r>
      <w:r w:rsidRPr="00686743">
        <w:rPr>
          <w:rFonts w:ascii="Times New Roman" w:eastAsia="Times New Roman" w:hAnsi="Times New Roman" w:cs="Times New Roman"/>
          <w:b/>
          <w:lang w:eastAsia="fr-FR"/>
        </w:rPr>
        <w:t xml:space="preserve"> but it has not yet achieved its </w:t>
      </w:r>
      <w:r w:rsidR="001F2695">
        <w:rPr>
          <w:rFonts w:ascii="Times New Roman" w:eastAsia="Times New Roman" w:hAnsi="Times New Roman" w:cs="Times New Roman"/>
          <w:b/>
          <w:lang w:eastAsia="fr-FR"/>
        </w:rPr>
        <w:t xml:space="preserve">full </w:t>
      </w:r>
      <w:r w:rsidRPr="00686743">
        <w:rPr>
          <w:rFonts w:ascii="Times New Roman" w:eastAsia="Times New Roman" w:hAnsi="Times New Roman" w:cs="Times New Roman"/>
          <w:b/>
          <w:lang w:eastAsia="fr-FR"/>
        </w:rPr>
        <w:t>potential</w:t>
      </w:r>
      <w:r>
        <w:rPr>
          <w:rFonts w:ascii="Times New Roman" w:eastAsia="Times New Roman" w:hAnsi="Times New Roman" w:cs="Times New Roman"/>
          <w:lang w:eastAsia="fr-FR"/>
        </w:rPr>
        <w:t xml:space="preserve">. </w:t>
      </w:r>
      <w:r w:rsidRPr="00FC28D5">
        <w:rPr>
          <w:rFonts w:ascii="Times New Roman" w:eastAsia="Times New Roman" w:hAnsi="Times New Roman" w:cs="Times New Roman"/>
          <w:lang w:eastAsia="fr-FR"/>
        </w:rPr>
        <w:t xml:space="preserve">Senegal </w:t>
      </w:r>
      <w:r w:rsidR="00EA6723">
        <w:rPr>
          <w:rFonts w:ascii="Times New Roman" w:eastAsia="Times New Roman" w:hAnsi="Times New Roman" w:cs="Times New Roman"/>
          <w:lang w:eastAsia="fr-FR"/>
        </w:rPr>
        <w:t xml:space="preserve">is well-positioned to </w:t>
      </w:r>
      <w:r w:rsidRPr="00FC28D5">
        <w:rPr>
          <w:rFonts w:ascii="Times New Roman" w:eastAsia="Times New Roman" w:hAnsi="Times New Roman" w:cs="Times New Roman"/>
          <w:lang w:eastAsia="fr-FR"/>
        </w:rPr>
        <w:t xml:space="preserve">take advantage of its well-developed backbone infrastructure to increase </w:t>
      </w:r>
      <w:r w:rsidR="001F2695">
        <w:rPr>
          <w:rFonts w:ascii="Times New Roman" w:eastAsia="Times New Roman" w:hAnsi="Times New Roman" w:cs="Times New Roman"/>
          <w:lang w:eastAsia="fr-FR"/>
        </w:rPr>
        <w:t>broadband Internet penetration</w:t>
      </w:r>
      <w:r w:rsidR="006E2C5C">
        <w:rPr>
          <w:rFonts w:ascii="Times New Roman" w:eastAsia="Times New Roman" w:hAnsi="Times New Roman" w:cs="Times New Roman"/>
          <w:lang w:eastAsia="fr-FR"/>
        </w:rPr>
        <w:t>, deliver services more efficiently</w:t>
      </w:r>
      <w:r w:rsidR="001F2695">
        <w:rPr>
          <w:rFonts w:ascii="Times New Roman" w:eastAsia="Times New Roman" w:hAnsi="Times New Roman" w:cs="Times New Roman"/>
          <w:lang w:eastAsia="fr-FR"/>
        </w:rPr>
        <w:t xml:space="preserve"> </w:t>
      </w:r>
      <w:r w:rsidRPr="00FC28D5">
        <w:rPr>
          <w:rFonts w:ascii="Times New Roman" w:eastAsia="Times New Roman" w:hAnsi="Times New Roman" w:cs="Times New Roman"/>
          <w:lang w:eastAsia="fr-FR"/>
        </w:rPr>
        <w:t>and encourage use.</w:t>
      </w:r>
      <w:r>
        <w:rPr>
          <w:rFonts w:ascii="Times New Roman" w:eastAsia="Times New Roman" w:hAnsi="Times New Roman" w:cs="Times New Roman"/>
          <w:lang w:eastAsia="fr-FR"/>
        </w:rPr>
        <w:t xml:space="preserve"> </w:t>
      </w:r>
      <w:r w:rsidR="001F2695">
        <w:rPr>
          <w:rFonts w:ascii="Times New Roman" w:eastAsia="Times New Roman" w:hAnsi="Times New Roman" w:cs="Times New Roman"/>
          <w:lang w:eastAsia="fr-FR"/>
        </w:rPr>
        <w:t xml:space="preserve">Boosting broadband connectivity and access would enable Senegal to further align itself with the world average in terms of ICT services and to reap the benefits stemming from the digital economy. </w:t>
      </w:r>
      <w:r>
        <w:rPr>
          <w:rFonts w:ascii="Times New Roman" w:eastAsia="Times New Roman" w:hAnsi="Times New Roman" w:cs="Times New Roman"/>
          <w:lang w:eastAsia="fr-FR"/>
        </w:rPr>
        <w:t xml:space="preserve">Senegal </w:t>
      </w:r>
      <w:r w:rsidR="001F2695">
        <w:rPr>
          <w:rFonts w:ascii="Times New Roman" w:eastAsia="Times New Roman" w:hAnsi="Times New Roman" w:cs="Times New Roman"/>
          <w:lang w:eastAsia="fr-FR"/>
        </w:rPr>
        <w:t xml:space="preserve">already </w:t>
      </w:r>
      <w:r>
        <w:rPr>
          <w:rFonts w:ascii="Times New Roman" w:eastAsia="Times New Roman" w:hAnsi="Times New Roman" w:cs="Times New Roman"/>
          <w:lang w:eastAsia="fr-FR"/>
        </w:rPr>
        <w:t xml:space="preserve">ranks above the African average </w:t>
      </w:r>
      <w:r w:rsidR="001F2695">
        <w:rPr>
          <w:rFonts w:ascii="Times New Roman" w:eastAsia="Times New Roman" w:hAnsi="Times New Roman" w:cs="Times New Roman"/>
          <w:lang w:eastAsia="fr-FR"/>
        </w:rPr>
        <w:t>(</w:t>
      </w:r>
      <w:r w:rsidR="009F3F56">
        <w:rPr>
          <w:rFonts w:ascii="Times New Roman" w:eastAsia="Times New Roman" w:hAnsi="Times New Roman" w:cs="Times New Roman"/>
          <w:lang w:eastAsia="fr-FR"/>
        </w:rPr>
        <w:t>but below the world average</w:t>
      </w:r>
      <w:r w:rsidR="001F2695">
        <w:rPr>
          <w:rFonts w:ascii="Times New Roman" w:eastAsia="Times New Roman" w:hAnsi="Times New Roman" w:cs="Times New Roman"/>
          <w:lang w:eastAsia="fr-FR"/>
        </w:rPr>
        <w:t>)</w:t>
      </w:r>
      <w:r w:rsidR="009F3F56">
        <w:rPr>
          <w:rFonts w:ascii="Times New Roman" w:eastAsia="Times New Roman" w:hAnsi="Times New Roman" w:cs="Times New Roman"/>
          <w:lang w:eastAsia="fr-FR"/>
        </w:rPr>
        <w:t xml:space="preserve"> </w:t>
      </w:r>
      <w:r w:rsidR="001F2695">
        <w:rPr>
          <w:rFonts w:ascii="Times New Roman" w:eastAsia="Times New Roman" w:hAnsi="Times New Roman" w:cs="Times New Roman"/>
          <w:lang w:eastAsia="fr-FR"/>
        </w:rPr>
        <w:t>as regards</w:t>
      </w:r>
      <w:r w:rsidR="009F3F56">
        <w:rPr>
          <w:rFonts w:ascii="Times New Roman" w:eastAsia="Times New Roman" w:hAnsi="Times New Roman" w:cs="Times New Roman"/>
          <w:lang w:eastAsia="fr-FR"/>
        </w:rPr>
        <w:t>:</w:t>
      </w:r>
      <w:r>
        <w:rPr>
          <w:rFonts w:ascii="Times New Roman" w:eastAsia="Times New Roman" w:hAnsi="Times New Roman" w:cs="Times New Roman"/>
          <w:lang w:eastAsia="fr-FR"/>
        </w:rPr>
        <w:t xml:space="preserve"> active mobile broadband subscriptions (26.1 </w:t>
      </w:r>
      <w:r w:rsidR="009F3F56">
        <w:rPr>
          <w:rFonts w:ascii="Times New Roman" w:eastAsia="Times New Roman" w:hAnsi="Times New Roman" w:cs="Times New Roman"/>
          <w:lang w:eastAsia="fr-FR"/>
        </w:rPr>
        <w:t xml:space="preserve">per 100 inhabitants </w:t>
      </w:r>
      <w:r>
        <w:rPr>
          <w:rFonts w:ascii="Times New Roman" w:eastAsia="Times New Roman" w:hAnsi="Times New Roman" w:cs="Times New Roman"/>
          <w:lang w:eastAsia="fr-FR"/>
        </w:rPr>
        <w:t>against 22.9</w:t>
      </w:r>
      <w:r w:rsidR="009F3F56">
        <w:rPr>
          <w:rFonts w:ascii="Times New Roman" w:eastAsia="Times New Roman" w:hAnsi="Times New Roman" w:cs="Times New Roman"/>
          <w:lang w:eastAsia="fr-FR"/>
        </w:rPr>
        <w:t xml:space="preserve"> in Africa, and a world average of 52.2</w:t>
      </w:r>
      <w:r>
        <w:rPr>
          <w:rFonts w:ascii="Times New Roman" w:eastAsia="Times New Roman" w:hAnsi="Times New Roman" w:cs="Times New Roman"/>
          <w:lang w:eastAsia="fr-FR"/>
        </w:rPr>
        <w:t>)</w:t>
      </w:r>
      <w:r w:rsidR="009F3F56">
        <w:rPr>
          <w:rFonts w:ascii="Times New Roman" w:eastAsia="Times New Roman" w:hAnsi="Times New Roman" w:cs="Times New Roman"/>
          <w:lang w:eastAsia="fr-FR"/>
        </w:rPr>
        <w:t>;</w:t>
      </w:r>
      <w:r>
        <w:rPr>
          <w:rFonts w:ascii="Times New Roman" w:eastAsia="Times New Roman" w:hAnsi="Times New Roman" w:cs="Times New Roman"/>
          <w:lang w:eastAsia="fr-FR"/>
        </w:rPr>
        <w:t xml:space="preserve"> fixed broadband subscriptions (0.6 </w:t>
      </w:r>
      <w:r w:rsidR="009F3F56">
        <w:rPr>
          <w:rFonts w:ascii="Times New Roman" w:eastAsia="Times New Roman" w:hAnsi="Times New Roman" w:cs="Times New Roman"/>
          <w:lang w:eastAsia="fr-FR"/>
        </w:rPr>
        <w:t xml:space="preserve">per 100 inhabitants </w:t>
      </w:r>
      <w:r>
        <w:rPr>
          <w:rFonts w:ascii="Times New Roman" w:eastAsia="Times New Roman" w:hAnsi="Times New Roman" w:cs="Times New Roman"/>
          <w:lang w:eastAsia="fr-FR"/>
        </w:rPr>
        <w:t>against 0.4</w:t>
      </w:r>
      <w:r w:rsidR="009F3F56">
        <w:rPr>
          <w:rFonts w:ascii="Times New Roman" w:eastAsia="Times New Roman" w:hAnsi="Times New Roman" w:cs="Times New Roman"/>
          <w:lang w:eastAsia="fr-FR"/>
        </w:rPr>
        <w:t xml:space="preserve"> in Africa, and a world average of 12.4</w:t>
      </w:r>
      <w:r>
        <w:rPr>
          <w:rFonts w:ascii="Times New Roman" w:eastAsia="Times New Roman" w:hAnsi="Times New Roman" w:cs="Times New Roman"/>
          <w:lang w:eastAsia="fr-FR"/>
        </w:rPr>
        <w:t>)</w:t>
      </w:r>
      <w:r w:rsidR="009F3F56">
        <w:rPr>
          <w:rFonts w:ascii="Times New Roman" w:eastAsia="Times New Roman" w:hAnsi="Times New Roman" w:cs="Times New Roman"/>
          <w:lang w:eastAsia="fr-FR"/>
        </w:rPr>
        <w:t>;</w:t>
      </w:r>
      <w:r>
        <w:rPr>
          <w:rFonts w:ascii="Times New Roman" w:eastAsia="Times New Roman" w:hAnsi="Times New Roman" w:cs="Times New Roman"/>
          <w:lang w:eastAsia="fr-FR"/>
        </w:rPr>
        <w:t xml:space="preserve"> and percentage of indiv</w:t>
      </w:r>
      <w:r w:rsidR="008C246D">
        <w:rPr>
          <w:rFonts w:ascii="Times New Roman" w:eastAsia="Times New Roman" w:hAnsi="Times New Roman" w:cs="Times New Roman"/>
          <w:lang w:eastAsia="fr-FR"/>
        </w:rPr>
        <w:t>iduals using the Internet (25.7 percent against 19.9 percent</w:t>
      </w:r>
      <w:r w:rsidR="009F3F56">
        <w:rPr>
          <w:rFonts w:ascii="Times New Roman" w:eastAsia="Times New Roman" w:hAnsi="Times New Roman" w:cs="Times New Roman"/>
          <w:lang w:eastAsia="fr-FR"/>
        </w:rPr>
        <w:t xml:space="preserve"> in Africa,</w:t>
      </w:r>
      <w:r w:rsidR="009F3F56" w:rsidRPr="009F3F56">
        <w:rPr>
          <w:rFonts w:ascii="Times New Roman" w:eastAsia="Times New Roman" w:hAnsi="Times New Roman" w:cs="Times New Roman"/>
          <w:lang w:eastAsia="fr-FR"/>
        </w:rPr>
        <w:t xml:space="preserve"> </w:t>
      </w:r>
      <w:r w:rsidR="008C246D">
        <w:rPr>
          <w:rFonts w:ascii="Times New Roman" w:eastAsia="Times New Roman" w:hAnsi="Times New Roman" w:cs="Times New Roman"/>
          <w:lang w:eastAsia="fr-FR"/>
        </w:rPr>
        <w:t>and a world average of 45.9 percent</w:t>
      </w:r>
      <w:r>
        <w:rPr>
          <w:rFonts w:ascii="Times New Roman" w:eastAsia="Times New Roman" w:hAnsi="Times New Roman" w:cs="Times New Roman"/>
          <w:lang w:eastAsia="fr-FR"/>
        </w:rPr>
        <w:t xml:space="preserve">). </w:t>
      </w:r>
      <w:r w:rsidR="00945B05">
        <w:rPr>
          <w:rFonts w:ascii="Times New Roman" w:eastAsia="Times New Roman" w:hAnsi="Times New Roman" w:cs="Times New Roman"/>
          <w:lang w:eastAsia="fr-FR"/>
        </w:rPr>
        <w:t xml:space="preserve">However, </w:t>
      </w:r>
      <w:r w:rsidR="00945B05">
        <w:rPr>
          <w:rFonts w:ascii="Times New Roman" w:hAnsi="Times New Roman" w:cs="Times New Roman"/>
        </w:rPr>
        <w:t>i</w:t>
      </w:r>
      <w:r w:rsidR="00DD7D1B" w:rsidRPr="00C91EA2">
        <w:rPr>
          <w:rFonts w:ascii="Times New Roman" w:hAnsi="Times New Roman" w:cs="Times New Roman"/>
        </w:rPr>
        <w:t xml:space="preserve">nternet penetration remains </w:t>
      </w:r>
      <w:r w:rsidR="00DD7D1B">
        <w:rPr>
          <w:rFonts w:ascii="Times New Roman" w:hAnsi="Times New Roman" w:cs="Times New Roman"/>
        </w:rPr>
        <w:t xml:space="preserve">relatively </w:t>
      </w:r>
      <w:r w:rsidR="00DD7D1B" w:rsidRPr="00C91EA2">
        <w:rPr>
          <w:rFonts w:ascii="Times New Roman" w:hAnsi="Times New Roman" w:cs="Times New Roman"/>
        </w:rPr>
        <w:t xml:space="preserve">low, with internet </w:t>
      </w:r>
      <w:r w:rsidR="00DD7D1B" w:rsidRPr="00B562D8">
        <w:rPr>
          <w:rFonts w:ascii="Times New Roman" w:hAnsi="Times New Roman" w:cs="Times New Roman"/>
        </w:rPr>
        <w:t xml:space="preserve">usage in Senegal being </w:t>
      </w:r>
      <w:r w:rsidR="00DD7D1B">
        <w:rPr>
          <w:rFonts w:ascii="Times New Roman" w:hAnsi="Times New Roman" w:cs="Times New Roman"/>
        </w:rPr>
        <w:t xml:space="preserve">below Ghana, Cote d’Ivoire and </w:t>
      </w:r>
      <w:r w:rsidR="00DD7D1B" w:rsidRPr="00B562D8">
        <w:rPr>
          <w:rFonts w:ascii="Times New Roman" w:hAnsi="Times New Roman" w:cs="Times New Roman"/>
        </w:rPr>
        <w:t>Kenya</w:t>
      </w:r>
      <w:r w:rsidR="00DD7D1B">
        <w:rPr>
          <w:rFonts w:ascii="Times New Roman" w:hAnsi="Times New Roman" w:cs="Times New Roman"/>
        </w:rPr>
        <w:t xml:space="preserve"> (see </w:t>
      </w:r>
      <w:r w:rsidR="0026120A">
        <w:rPr>
          <w:rFonts w:ascii="Times New Roman" w:hAnsi="Times New Roman" w:cs="Times New Roman"/>
        </w:rPr>
        <w:fldChar w:fldCharType="begin"/>
      </w:r>
      <w:r w:rsidR="0026120A">
        <w:rPr>
          <w:rFonts w:ascii="Times New Roman" w:hAnsi="Times New Roman" w:cs="Times New Roman"/>
        </w:rPr>
        <w:instrText xml:space="preserve"> REF _Ref520383969 \h </w:instrText>
      </w:r>
      <w:r w:rsidR="0026120A">
        <w:rPr>
          <w:rFonts w:ascii="Times New Roman" w:hAnsi="Times New Roman" w:cs="Times New Roman"/>
        </w:rPr>
      </w:r>
      <w:r w:rsidR="0026120A">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5</w:t>
      </w:r>
      <w:r w:rsidR="0026120A">
        <w:rPr>
          <w:rFonts w:ascii="Times New Roman" w:hAnsi="Times New Roman" w:cs="Times New Roman"/>
        </w:rPr>
        <w:fldChar w:fldCharType="end"/>
      </w:r>
      <w:r w:rsidR="00DD7D1B">
        <w:rPr>
          <w:rFonts w:ascii="Times New Roman" w:hAnsi="Times New Roman" w:cs="Times New Roman"/>
        </w:rPr>
        <w:t xml:space="preserve">), </w:t>
      </w:r>
      <w:r w:rsidR="00DD7D1B" w:rsidRPr="00CC1BAF">
        <w:rPr>
          <w:rFonts w:ascii="Times New Roman" w:hAnsi="Times New Roman" w:cs="Times New Roman"/>
        </w:rPr>
        <w:t>and fixed-broadband being very limited (0.6 subscriptions per 100 inhabitants)</w:t>
      </w:r>
      <w:r w:rsidR="00DD7D1B" w:rsidRPr="00B562D8">
        <w:rPr>
          <w:rFonts w:ascii="Times New Roman" w:hAnsi="Times New Roman" w:cs="Times New Roman"/>
        </w:rPr>
        <w:t>.</w:t>
      </w:r>
      <w:r w:rsidR="00DD7D1B">
        <w:rPr>
          <w:rFonts w:ascii="Times New Roman" w:hAnsi="Times New Roman" w:cs="Times New Roman"/>
        </w:rPr>
        <w:t xml:space="preserve"> D</w:t>
      </w:r>
      <w:r w:rsidR="00DD7D1B" w:rsidRPr="00CC1BAF">
        <w:rPr>
          <w:rFonts w:ascii="Times New Roman" w:hAnsi="Times New Roman" w:cs="Times New Roman"/>
        </w:rPr>
        <w:t>ownload speeds</w:t>
      </w:r>
      <w:r w:rsidR="00DD7D1B">
        <w:rPr>
          <w:rFonts w:ascii="Times New Roman" w:hAnsi="Times New Roman" w:cs="Times New Roman"/>
        </w:rPr>
        <w:t xml:space="preserve"> </w:t>
      </w:r>
      <w:r w:rsidR="00DD7D1B" w:rsidRPr="00CC1BAF">
        <w:rPr>
          <w:rFonts w:ascii="Times New Roman" w:hAnsi="Times New Roman" w:cs="Times New Roman"/>
        </w:rPr>
        <w:t xml:space="preserve">are </w:t>
      </w:r>
      <w:r w:rsidR="00DD7D1B">
        <w:rPr>
          <w:rFonts w:ascii="Times New Roman" w:hAnsi="Times New Roman" w:cs="Times New Roman"/>
        </w:rPr>
        <w:t xml:space="preserve">also </w:t>
      </w:r>
      <w:r w:rsidR="00DD7D1B" w:rsidRPr="00CC1BAF">
        <w:rPr>
          <w:rFonts w:ascii="Times New Roman" w:hAnsi="Times New Roman" w:cs="Times New Roman"/>
        </w:rPr>
        <w:t>on the low side and international internet bandwidth per Internet user is less than one tenth of the average for Africa</w:t>
      </w:r>
      <w:r w:rsidR="00DD7D1B">
        <w:rPr>
          <w:rFonts w:ascii="Times New Roman" w:hAnsi="Times New Roman" w:cs="Times New Roman"/>
        </w:rPr>
        <w:t>,</w:t>
      </w:r>
      <w:r w:rsidR="00DD7D1B">
        <w:rPr>
          <w:rStyle w:val="FootnoteReference"/>
          <w:rFonts w:ascii="Times New Roman" w:hAnsi="Times New Roman" w:cs="Times New Roman"/>
        </w:rPr>
        <w:footnoteReference w:id="26"/>
      </w:r>
      <w:r w:rsidR="00DD7D1B">
        <w:rPr>
          <w:rFonts w:ascii="Times New Roman" w:hAnsi="Times New Roman" w:cs="Times New Roman"/>
        </w:rPr>
        <w:t xml:space="preserve"> </w:t>
      </w:r>
      <w:r w:rsidR="00DD7D1B" w:rsidRPr="00CC1BAF">
        <w:rPr>
          <w:rFonts w:ascii="Times New Roman" w:hAnsi="Times New Roman" w:cs="Times New Roman"/>
        </w:rPr>
        <w:t>affecting the quality of connectivity</w:t>
      </w:r>
      <w:r w:rsidR="00DD7D1B">
        <w:rPr>
          <w:rFonts w:ascii="Times New Roman" w:hAnsi="Times New Roman" w:cs="Times New Roman"/>
        </w:rPr>
        <w:t xml:space="preserve"> (</w:t>
      </w:r>
      <w:r w:rsidR="0026120A" w:rsidRPr="0026120A">
        <w:rPr>
          <w:rFonts w:ascii="Times New Roman" w:hAnsi="Times New Roman" w:cs="Times New Roman"/>
        </w:rPr>
        <w:fldChar w:fldCharType="begin"/>
      </w:r>
      <w:r w:rsidR="0026120A" w:rsidRPr="0026120A">
        <w:rPr>
          <w:rFonts w:ascii="Times New Roman" w:hAnsi="Times New Roman" w:cs="Times New Roman"/>
        </w:rPr>
        <w:instrText xml:space="preserve"> REF _Ref520384275 \h </w:instrText>
      </w:r>
      <w:r w:rsidR="0026120A" w:rsidRPr="007575D7">
        <w:rPr>
          <w:rFonts w:ascii="Times New Roman" w:hAnsi="Times New Roman" w:cs="Times New Roman"/>
        </w:rPr>
        <w:instrText xml:space="preserve"> \* MERGEFORMAT </w:instrText>
      </w:r>
      <w:r w:rsidR="0026120A" w:rsidRPr="0026120A">
        <w:rPr>
          <w:rFonts w:ascii="Times New Roman" w:hAnsi="Times New Roman" w:cs="Times New Roman"/>
        </w:rPr>
      </w:r>
      <w:r w:rsidR="0026120A" w:rsidRPr="0026120A">
        <w:rPr>
          <w:rFonts w:ascii="Times New Roman" w:hAnsi="Times New Roman" w:cs="Times New Roman"/>
        </w:rPr>
        <w:fldChar w:fldCharType="separate"/>
      </w:r>
      <w:r w:rsidR="008261B2" w:rsidRPr="008261B2">
        <w:rPr>
          <w:rFonts w:ascii="Times New Roman" w:hAnsi="Times New Roman"/>
        </w:rPr>
        <w:t xml:space="preserve">Figure </w:t>
      </w:r>
      <w:r w:rsidR="008261B2" w:rsidRPr="008261B2">
        <w:rPr>
          <w:rFonts w:ascii="Times New Roman" w:hAnsi="Times New Roman"/>
          <w:noProof/>
        </w:rPr>
        <w:t>7</w:t>
      </w:r>
      <w:r w:rsidR="0026120A" w:rsidRPr="0026120A">
        <w:rPr>
          <w:rFonts w:ascii="Times New Roman" w:hAnsi="Times New Roman" w:cs="Times New Roman"/>
        </w:rPr>
        <w:fldChar w:fldCharType="end"/>
      </w:r>
      <w:r w:rsidR="00DD7D1B">
        <w:rPr>
          <w:rFonts w:ascii="Times New Roman" w:hAnsi="Times New Roman" w:cs="Times New Roman"/>
        </w:rPr>
        <w:t>)</w:t>
      </w:r>
      <w:r w:rsidR="002F5637">
        <w:rPr>
          <w:rFonts w:ascii="Times New Roman" w:eastAsia="Times New Roman" w:hAnsi="Times New Roman" w:cs="Times New Roman"/>
          <w:lang w:eastAsia="fr-FR"/>
        </w:rPr>
        <w:t xml:space="preserve">. </w:t>
      </w:r>
      <w:r w:rsidR="00DD7D1B">
        <w:rPr>
          <w:rFonts w:ascii="Times New Roman" w:eastAsia="Times New Roman" w:hAnsi="Times New Roman" w:cs="Times New Roman"/>
          <w:lang w:eastAsia="fr-FR"/>
        </w:rPr>
        <w:t xml:space="preserve">The </w:t>
      </w:r>
      <w:r w:rsidR="008C246D">
        <w:rPr>
          <w:rFonts w:ascii="Times New Roman" w:eastAsia="Times New Roman" w:hAnsi="Times New Roman" w:cs="Times New Roman"/>
          <w:lang w:eastAsia="fr-FR"/>
        </w:rPr>
        <w:t>country’s levels of</w:t>
      </w:r>
      <w:r w:rsidR="008C246D" w:rsidRPr="00DD7D1B">
        <w:rPr>
          <w:rFonts w:ascii="Times New Roman" w:eastAsia="Times New Roman" w:hAnsi="Times New Roman" w:cs="Times New Roman"/>
          <w:lang w:eastAsia="fr-FR"/>
        </w:rPr>
        <w:t xml:space="preserve"> ICT access and usage</w:t>
      </w:r>
      <w:r w:rsidR="008C246D">
        <w:rPr>
          <w:rFonts w:ascii="Times New Roman" w:eastAsia="Times New Roman" w:hAnsi="Times New Roman" w:cs="Times New Roman"/>
          <w:lang w:eastAsia="fr-FR"/>
        </w:rPr>
        <w:t xml:space="preserve"> </w:t>
      </w:r>
      <w:r w:rsidR="00794C0B">
        <w:rPr>
          <w:rFonts w:ascii="Times New Roman" w:eastAsia="Times New Roman" w:hAnsi="Times New Roman" w:cs="Times New Roman"/>
          <w:lang w:eastAsia="fr-FR"/>
        </w:rPr>
        <w:t xml:space="preserve">may be </w:t>
      </w:r>
      <w:r w:rsidR="00755A0F">
        <w:rPr>
          <w:rFonts w:ascii="Times New Roman" w:eastAsia="Times New Roman" w:hAnsi="Times New Roman" w:cs="Times New Roman"/>
          <w:lang w:eastAsia="fr-FR"/>
        </w:rPr>
        <w:t xml:space="preserve">partially </w:t>
      </w:r>
      <w:r w:rsidR="00794C0B">
        <w:rPr>
          <w:rFonts w:ascii="Times New Roman" w:eastAsia="Times New Roman" w:hAnsi="Times New Roman" w:cs="Times New Roman"/>
          <w:lang w:eastAsia="fr-FR"/>
        </w:rPr>
        <w:t xml:space="preserve">explained by the still </w:t>
      </w:r>
      <w:r w:rsidR="00DD7D1B">
        <w:rPr>
          <w:rFonts w:ascii="Times New Roman" w:eastAsia="Times New Roman" w:hAnsi="Times New Roman" w:cs="Times New Roman"/>
          <w:lang w:eastAsia="fr-FR"/>
        </w:rPr>
        <w:t>l</w:t>
      </w:r>
      <w:r w:rsidR="00DD7D1B" w:rsidRPr="00DD7D1B">
        <w:rPr>
          <w:rFonts w:ascii="Times New Roman" w:eastAsia="Times New Roman" w:hAnsi="Times New Roman" w:cs="Times New Roman"/>
          <w:lang w:eastAsia="fr-FR"/>
        </w:rPr>
        <w:t xml:space="preserve">imited </w:t>
      </w:r>
      <w:r w:rsidR="00DD7D1B" w:rsidRPr="00717B10">
        <w:rPr>
          <w:rFonts w:ascii="Times New Roman" w:eastAsia="Times New Roman" w:hAnsi="Times New Roman" w:cs="Times New Roman"/>
          <w:lang w:eastAsia="fr-FR"/>
        </w:rPr>
        <w:t xml:space="preserve">affordability of mobile services and fixed broadband. </w:t>
      </w:r>
      <w:r w:rsidR="00717B10">
        <w:rPr>
          <w:rFonts w:ascii="Times New Roman" w:eastAsia="Times New Roman" w:hAnsi="Times New Roman" w:cs="Times New Roman"/>
          <w:lang w:eastAsia="fr-FR"/>
        </w:rPr>
        <w:t>In 2016</w:t>
      </w:r>
      <w:r w:rsidR="00D42D6A" w:rsidRPr="00717B10">
        <w:rPr>
          <w:rFonts w:ascii="Times New Roman" w:eastAsia="Times New Roman" w:hAnsi="Times New Roman" w:cs="Times New Roman"/>
          <w:lang w:eastAsia="fr-FR"/>
        </w:rPr>
        <w:t xml:space="preserve">, Senegal ranked only in 130 out of 138 </w:t>
      </w:r>
      <w:r w:rsidR="00F52899" w:rsidRPr="00717B10">
        <w:rPr>
          <w:rFonts w:ascii="Times New Roman" w:eastAsia="Times New Roman" w:hAnsi="Times New Roman" w:cs="Times New Roman"/>
          <w:lang w:eastAsia="fr-FR"/>
        </w:rPr>
        <w:t xml:space="preserve">countries </w:t>
      </w:r>
      <w:r w:rsidR="00D42D6A" w:rsidRPr="00717B10">
        <w:rPr>
          <w:rFonts w:ascii="Times New Roman" w:eastAsia="Times New Roman" w:hAnsi="Times New Roman" w:cs="Times New Roman"/>
          <w:lang w:eastAsia="fr-FR"/>
        </w:rPr>
        <w:t>as regards affordability of telecommunications services.</w:t>
      </w:r>
      <w:r w:rsidR="00D42D6A" w:rsidRPr="00717B10">
        <w:rPr>
          <w:rStyle w:val="FootnoteReference"/>
          <w:rFonts w:ascii="Times New Roman" w:eastAsia="Times New Roman" w:hAnsi="Times New Roman" w:cs="Times New Roman"/>
          <w:lang w:eastAsia="fr-FR"/>
        </w:rPr>
        <w:footnoteReference w:id="27"/>
      </w:r>
      <w:r w:rsidR="00D42D6A" w:rsidRPr="00717B10">
        <w:rPr>
          <w:rFonts w:ascii="Times New Roman" w:eastAsia="Times New Roman" w:hAnsi="Times New Roman" w:cs="Times New Roman"/>
          <w:lang w:eastAsia="fr-FR"/>
        </w:rPr>
        <w:t xml:space="preserve"> </w:t>
      </w:r>
      <w:r w:rsidR="001D4B01" w:rsidRPr="00717B10">
        <w:rPr>
          <w:rFonts w:ascii="Times New Roman" w:eastAsia="Times New Roman" w:hAnsi="Times New Roman" w:cs="Times New Roman"/>
          <w:lang w:eastAsia="fr-FR"/>
        </w:rPr>
        <w:t>At the same time</w:t>
      </w:r>
      <w:r w:rsidR="00D42D6A" w:rsidRPr="00717B10">
        <w:rPr>
          <w:rFonts w:ascii="Times New Roman" w:eastAsia="Times New Roman" w:hAnsi="Times New Roman" w:cs="Times New Roman"/>
          <w:lang w:eastAsia="fr-FR"/>
        </w:rPr>
        <w:t xml:space="preserve">, </w:t>
      </w:r>
      <w:r w:rsidR="00794C0B" w:rsidRPr="00717B10">
        <w:rPr>
          <w:rFonts w:ascii="Times New Roman" w:eastAsia="Times New Roman" w:hAnsi="Times New Roman" w:cs="Times New Roman"/>
          <w:lang w:eastAsia="fr-FR"/>
        </w:rPr>
        <w:t xml:space="preserve">recent price </w:t>
      </w:r>
      <w:r w:rsidR="00794C0B">
        <w:rPr>
          <w:rFonts w:ascii="Times New Roman" w:eastAsia="Times New Roman" w:hAnsi="Times New Roman" w:cs="Times New Roman"/>
          <w:lang w:eastAsia="fr-FR"/>
        </w:rPr>
        <w:t xml:space="preserve">decreases brought </w:t>
      </w:r>
      <w:r w:rsidR="00DD7D1B">
        <w:rPr>
          <w:rFonts w:ascii="Times New Roman" w:eastAsia="Times New Roman" w:hAnsi="Times New Roman" w:cs="Times New Roman"/>
          <w:lang w:eastAsia="fr-FR"/>
        </w:rPr>
        <w:t xml:space="preserve">Senegal’s </w:t>
      </w:r>
      <w:r w:rsidR="00DD7D1B">
        <w:rPr>
          <w:rFonts w:ascii="Times New Roman" w:hAnsi="Times New Roman" w:cs="Times New Roman"/>
        </w:rPr>
        <w:t>b</w:t>
      </w:r>
      <w:r w:rsidR="00DD7D1B" w:rsidRPr="00CC1BAF">
        <w:rPr>
          <w:rFonts w:ascii="Times New Roman" w:hAnsi="Times New Roman" w:cs="Times New Roman"/>
        </w:rPr>
        <w:t>roadband prices close to the median</w:t>
      </w:r>
      <w:r w:rsidR="00674B82">
        <w:rPr>
          <w:rFonts w:ascii="Times New Roman" w:hAnsi="Times New Roman" w:cs="Times New Roman"/>
        </w:rPr>
        <w:t xml:space="preserve"> of the African </w:t>
      </w:r>
      <w:r w:rsidR="00DA7EC1">
        <w:rPr>
          <w:rFonts w:ascii="Times New Roman" w:hAnsi="Times New Roman" w:cs="Times New Roman"/>
        </w:rPr>
        <w:t>peers</w:t>
      </w:r>
      <w:r w:rsidR="00DD7D1B" w:rsidRPr="00CC1BAF">
        <w:rPr>
          <w:rFonts w:ascii="Times New Roman" w:hAnsi="Times New Roman" w:cs="Times New Roman"/>
        </w:rPr>
        <w:t xml:space="preserve">, </w:t>
      </w:r>
      <w:r w:rsidR="00D42D6A">
        <w:rPr>
          <w:rFonts w:ascii="Times New Roman" w:hAnsi="Times New Roman" w:cs="Times New Roman"/>
        </w:rPr>
        <w:t xml:space="preserve">even if they are still </w:t>
      </w:r>
      <w:r w:rsidR="00DD7D1B" w:rsidRPr="00CC1BAF">
        <w:rPr>
          <w:rFonts w:ascii="Times New Roman" w:hAnsi="Times New Roman" w:cs="Times New Roman"/>
        </w:rPr>
        <w:t xml:space="preserve">higher than </w:t>
      </w:r>
      <w:r w:rsidR="00DA7EC1">
        <w:rPr>
          <w:rFonts w:ascii="Times New Roman" w:hAnsi="Times New Roman" w:cs="Times New Roman"/>
        </w:rPr>
        <w:t xml:space="preserve">those of </w:t>
      </w:r>
      <w:r w:rsidR="00DD7D1B" w:rsidRPr="00CC1BAF">
        <w:rPr>
          <w:rFonts w:ascii="Times New Roman" w:hAnsi="Times New Roman" w:cs="Times New Roman"/>
        </w:rPr>
        <w:t>countries in the region</w:t>
      </w:r>
      <w:r w:rsidR="001D4B01">
        <w:rPr>
          <w:rFonts w:ascii="Times New Roman" w:hAnsi="Times New Roman" w:cs="Times New Roman"/>
        </w:rPr>
        <w:t>,</w:t>
      </w:r>
      <w:r w:rsidR="00DD7D1B" w:rsidRPr="00CC1BAF">
        <w:rPr>
          <w:rFonts w:ascii="Times New Roman" w:hAnsi="Times New Roman" w:cs="Times New Roman"/>
        </w:rPr>
        <w:t xml:space="preserve"> such as Gambia and Cote d’Ivoire</w:t>
      </w:r>
      <w:r w:rsidR="00DD7D1B">
        <w:rPr>
          <w:rFonts w:ascii="Times New Roman" w:hAnsi="Times New Roman" w:cs="Times New Roman"/>
        </w:rPr>
        <w:t xml:space="preserve"> (</w:t>
      </w:r>
      <w:r w:rsidR="0026120A" w:rsidRPr="0026120A">
        <w:rPr>
          <w:rFonts w:ascii="Times New Roman" w:hAnsi="Times New Roman" w:cs="Times New Roman"/>
        </w:rPr>
        <w:fldChar w:fldCharType="begin"/>
      </w:r>
      <w:r w:rsidR="0026120A" w:rsidRPr="0026120A">
        <w:rPr>
          <w:rFonts w:ascii="Times New Roman" w:hAnsi="Times New Roman" w:cs="Times New Roman"/>
        </w:rPr>
        <w:instrText xml:space="preserve"> REF _Ref520384213 \h </w:instrText>
      </w:r>
      <w:r w:rsidR="0026120A" w:rsidRPr="007575D7">
        <w:rPr>
          <w:rFonts w:ascii="Times New Roman" w:hAnsi="Times New Roman" w:cs="Times New Roman"/>
        </w:rPr>
        <w:instrText xml:space="preserve"> \* MERGEFORMAT </w:instrText>
      </w:r>
      <w:r w:rsidR="0026120A" w:rsidRPr="0026120A">
        <w:rPr>
          <w:rFonts w:ascii="Times New Roman" w:hAnsi="Times New Roman" w:cs="Times New Roman"/>
        </w:rPr>
      </w:r>
      <w:r w:rsidR="0026120A" w:rsidRPr="0026120A">
        <w:rPr>
          <w:rFonts w:ascii="Times New Roman" w:hAnsi="Times New Roman" w:cs="Times New Roman"/>
        </w:rPr>
        <w:fldChar w:fldCharType="separate"/>
      </w:r>
      <w:r w:rsidR="008261B2" w:rsidRPr="008261B2">
        <w:rPr>
          <w:rFonts w:ascii="Times New Roman" w:hAnsi="Times New Roman"/>
        </w:rPr>
        <w:t xml:space="preserve">Figure </w:t>
      </w:r>
      <w:r w:rsidR="008261B2" w:rsidRPr="008261B2">
        <w:rPr>
          <w:rFonts w:ascii="Times New Roman" w:hAnsi="Times New Roman"/>
          <w:noProof/>
        </w:rPr>
        <w:t>6</w:t>
      </w:r>
      <w:r w:rsidR="0026120A" w:rsidRPr="0026120A">
        <w:rPr>
          <w:rFonts w:ascii="Times New Roman" w:hAnsi="Times New Roman" w:cs="Times New Roman"/>
        </w:rPr>
        <w:fldChar w:fldCharType="end"/>
      </w:r>
      <w:r w:rsidR="00DD7D1B">
        <w:rPr>
          <w:rFonts w:ascii="Times New Roman" w:hAnsi="Times New Roman" w:cs="Times New Roman"/>
        </w:rPr>
        <w:t xml:space="preserve">). </w:t>
      </w:r>
    </w:p>
    <w:p w14:paraId="6B0A8F1B" w14:textId="58D71837" w:rsidR="00CD6A39" w:rsidRDefault="00CD6A39" w:rsidP="007575D7">
      <w:pPr>
        <w:rPr>
          <w:rFonts w:ascii="Times New Roman" w:eastAsia="Times New Roman" w:hAnsi="Times New Roman" w:cs="Times New Roman"/>
          <w:lang w:eastAsia="fr-FR"/>
        </w:rPr>
      </w:pPr>
    </w:p>
    <w:p w14:paraId="506F814F" w14:textId="77777777" w:rsidR="00CD6A39" w:rsidRDefault="00CD6A39" w:rsidP="00CD6A39">
      <w:pPr>
        <w:pStyle w:val="ListParagraph"/>
        <w:ind w:left="0"/>
        <w:jc w:val="both"/>
        <w:rPr>
          <w:rFonts w:ascii="Times New Roman" w:hAnsi="Times New Roman" w:cs="Times New Roman"/>
          <w:bCs/>
        </w:rPr>
      </w:pPr>
      <w:r>
        <w:rPr>
          <w:rFonts w:ascii="Times New Roman" w:hAnsi="Times New Roman" w:cs="Times New Roman"/>
          <w:b/>
        </w:rPr>
        <w:t xml:space="preserve">Concentrated markets and the lack of pro-competition regulation can hinder better market outcomes in the </w:t>
      </w:r>
      <w:r>
        <w:rPr>
          <w:rFonts w:ascii="Times New Roman" w:eastAsia="Times New Roman" w:hAnsi="Times New Roman" w:cs="Times New Roman"/>
          <w:b/>
          <w:lang w:eastAsia="fr-FR"/>
        </w:rPr>
        <w:t xml:space="preserve">telecommunications </w:t>
      </w:r>
      <w:r>
        <w:rPr>
          <w:rFonts w:ascii="Times New Roman" w:hAnsi="Times New Roman" w:cs="Times New Roman"/>
          <w:b/>
        </w:rPr>
        <w:t xml:space="preserve">sector, affecting prices and broadband penetration. </w:t>
      </w:r>
      <w:r w:rsidRPr="00C91EA2">
        <w:rPr>
          <w:rFonts w:ascii="Times New Roman" w:hAnsi="Times New Roman" w:cs="Times New Roman"/>
          <w:bCs/>
        </w:rPr>
        <w:t xml:space="preserve">All market segments are highly concentrated and dominated by </w:t>
      </w:r>
      <w:proofErr w:type="spellStart"/>
      <w:r w:rsidRPr="00C91EA2">
        <w:rPr>
          <w:rFonts w:ascii="Times New Roman" w:hAnsi="Times New Roman" w:cs="Times New Roman"/>
          <w:bCs/>
        </w:rPr>
        <w:t>Sonatel</w:t>
      </w:r>
      <w:proofErr w:type="spellEnd"/>
      <w:r w:rsidRPr="00C91EA2">
        <w:rPr>
          <w:rFonts w:ascii="Times New Roman" w:hAnsi="Times New Roman" w:cs="Times New Roman"/>
          <w:bCs/>
        </w:rPr>
        <w:t xml:space="preserve">, which is co-owned by Orange and the Senegalese state. The Herfindahl-Hirschman Indices (HHI) for the Senegalese mobile market are also </w:t>
      </w:r>
      <w:r>
        <w:rPr>
          <w:rFonts w:ascii="Times New Roman" w:hAnsi="Times New Roman" w:cs="Times New Roman"/>
          <w:bCs/>
        </w:rPr>
        <w:t xml:space="preserve">high </w:t>
      </w:r>
      <w:r w:rsidRPr="00C91EA2">
        <w:rPr>
          <w:rFonts w:ascii="Times New Roman" w:hAnsi="Times New Roman" w:cs="Times New Roman"/>
          <w:bCs/>
        </w:rPr>
        <w:t>in comparison to peer countries.</w:t>
      </w:r>
      <w:r>
        <w:rPr>
          <w:rStyle w:val="FootnoteReference"/>
          <w:rFonts w:ascii="Times New Roman" w:hAnsi="Times New Roman" w:cs="Times New Roman"/>
          <w:bCs/>
        </w:rPr>
        <w:footnoteReference w:id="28"/>
      </w:r>
      <w:r w:rsidRPr="00C91EA2">
        <w:rPr>
          <w:rFonts w:ascii="Times New Roman" w:hAnsi="Times New Roman" w:cs="Times New Roman"/>
          <w:bCs/>
        </w:rPr>
        <w:t xml:space="preserve"> While it is not unusual for certain telecom market segments to be concentrated, some segments in Senegal have </w:t>
      </w:r>
      <w:proofErr w:type="gramStart"/>
      <w:r w:rsidRPr="00C91EA2">
        <w:rPr>
          <w:rFonts w:ascii="Times New Roman" w:hAnsi="Times New Roman" w:cs="Times New Roman"/>
          <w:bCs/>
        </w:rPr>
        <w:t>actually become</w:t>
      </w:r>
      <w:proofErr w:type="gramEnd"/>
      <w:r w:rsidRPr="00C91EA2">
        <w:rPr>
          <w:rFonts w:ascii="Times New Roman" w:hAnsi="Times New Roman" w:cs="Times New Roman"/>
          <w:bCs/>
        </w:rPr>
        <w:t xml:space="preserve"> more concentrated over time. For example, in the late 1990s, there were more than 15 internet service providers (ISPs</w:t>
      </w:r>
      <w:r>
        <w:rPr>
          <w:rFonts w:ascii="Times New Roman" w:hAnsi="Times New Roman" w:cs="Times New Roman"/>
          <w:bCs/>
        </w:rPr>
        <w:t xml:space="preserve">), while today there are four ISPs (for a summary of bottlenecks along the telecommunications value chain see </w:t>
      </w:r>
      <w:r>
        <w:rPr>
          <w:rFonts w:ascii="Times New Roman" w:hAnsi="Times New Roman" w:cs="Times New Roman"/>
          <w:bCs/>
        </w:rPr>
        <w:fldChar w:fldCharType="begin"/>
      </w:r>
      <w:r>
        <w:rPr>
          <w:rFonts w:ascii="Times New Roman" w:hAnsi="Times New Roman" w:cs="Times New Roman"/>
          <w:bCs/>
        </w:rPr>
        <w:instrText xml:space="preserve"> REF _Ref499644637 \h </w:instrText>
      </w:r>
      <w:r>
        <w:rPr>
          <w:rFonts w:ascii="Times New Roman" w:hAnsi="Times New Roman" w:cs="Times New Roman"/>
          <w:bCs/>
        </w:rPr>
      </w:r>
      <w:r>
        <w:rPr>
          <w:rFonts w:ascii="Times New Roman" w:hAnsi="Times New Roman" w:cs="Times New Roman"/>
          <w:bCs/>
        </w:rPr>
        <w:fldChar w:fldCharType="separate"/>
      </w:r>
      <w:r w:rsidRPr="00970A69">
        <w:rPr>
          <w:rFonts w:ascii="Times New Roman" w:hAnsi="Times New Roman"/>
        </w:rPr>
        <w:t xml:space="preserve">Figure </w:t>
      </w:r>
      <w:r>
        <w:rPr>
          <w:rFonts w:ascii="Times New Roman" w:hAnsi="Times New Roman"/>
          <w:noProof/>
        </w:rPr>
        <w:t>8</w:t>
      </w:r>
      <w:r>
        <w:rPr>
          <w:rFonts w:ascii="Times New Roman" w:hAnsi="Times New Roman" w:cs="Times New Roman"/>
          <w:bCs/>
        </w:rPr>
        <w:fldChar w:fldCharType="end"/>
      </w:r>
      <w:r>
        <w:rPr>
          <w:rFonts w:ascii="Times New Roman" w:hAnsi="Times New Roman" w:cs="Times New Roman"/>
          <w:bCs/>
        </w:rPr>
        <w:t xml:space="preserve">). </w:t>
      </w:r>
    </w:p>
    <w:p w14:paraId="7AAE2F61" w14:textId="075C9BEB" w:rsidR="00CD6A39" w:rsidRDefault="00CD6A39" w:rsidP="007575D7">
      <w:pPr>
        <w:rPr>
          <w:rFonts w:ascii="Times New Roman" w:eastAsia="Times New Roman" w:hAnsi="Times New Roman" w:cs="Times New Roman"/>
          <w:lang w:eastAsia="fr-FR"/>
        </w:rPr>
      </w:pPr>
    </w:p>
    <w:p w14:paraId="06D64DA2" w14:textId="666CE95C" w:rsidR="00CD6A39" w:rsidRDefault="00CD6A39" w:rsidP="007575D7">
      <w:pPr>
        <w:rPr>
          <w:rFonts w:ascii="Times New Roman" w:eastAsia="Times New Roman" w:hAnsi="Times New Roman" w:cs="Times New Roman"/>
          <w:lang w:eastAsia="fr-FR"/>
        </w:rPr>
      </w:pPr>
    </w:p>
    <w:p w14:paraId="7B416062" w14:textId="161B9A5F" w:rsidR="00CD6A39" w:rsidRDefault="00CD6A39" w:rsidP="007575D7">
      <w:pPr>
        <w:rPr>
          <w:rFonts w:ascii="Times New Roman" w:eastAsia="Times New Roman" w:hAnsi="Times New Roman" w:cs="Times New Roman"/>
          <w:lang w:eastAsia="fr-FR"/>
        </w:rPr>
      </w:pPr>
    </w:p>
    <w:p w14:paraId="3BFDF146" w14:textId="181DDE34" w:rsidR="00CD6A39" w:rsidRDefault="00CD6A39" w:rsidP="007575D7">
      <w:pPr>
        <w:rPr>
          <w:rFonts w:ascii="Times New Roman" w:eastAsia="Times New Roman" w:hAnsi="Times New Roman" w:cs="Times New Roman"/>
          <w:lang w:eastAsia="fr-FR"/>
        </w:rPr>
      </w:pPr>
    </w:p>
    <w:p w14:paraId="4CE22737" w14:textId="1B0736E9" w:rsidR="00CD6A39" w:rsidRDefault="00CD6A39" w:rsidP="007575D7">
      <w:pPr>
        <w:rPr>
          <w:rFonts w:ascii="Times New Roman" w:eastAsia="Times New Roman" w:hAnsi="Times New Roman" w:cs="Times New Roman"/>
          <w:lang w:eastAsia="fr-FR"/>
        </w:rPr>
      </w:pPr>
    </w:p>
    <w:p w14:paraId="7ED23885" w14:textId="61CF4924" w:rsidR="00CD6A39" w:rsidRDefault="00CD6A39" w:rsidP="007575D7">
      <w:pPr>
        <w:rPr>
          <w:rFonts w:ascii="Times New Roman" w:eastAsia="Times New Roman" w:hAnsi="Times New Roman" w:cs="Times New Roman"/>
          <w:lang w:eastAsia="fr-FR"/>
        </w:rPr>
      </w:pPr>
    </w:p>
    <w:p w14:paraId="6835C99C" w14:textId="72845636" w:rsidR="00CD6A39" w:rsidRDefault="00CD6A39" w:rsidP="007575D7">
      <w:pPr>
        <w:rPr>
          <w:rFonts w:ascii="Times New Roman" w:eastAsia="Times New Roman" w:hAnsi="Times New Roman" w:cs="Times New Roman"/>
          <w:lang w:eastAsia="fr-FR"/>
        </w:rPr>
      </w:pPr>
    </w:p>
    <w:p w14:paraId="59EC4F13" w14:textId="77777777" w:rsidR="00CD6A39" w:rsidRDefault="00CD6A39" w:rsidP="007575D7">
      <w:pPr>
        <w:rPr>
          <w:rFonts w:ascii="Times New Roman" w:eastAsia="Times New Roman" w:hAnsi="Times New Roman" w:cs="Times New Roman"/>
          <w:lang w:eastAsia="fr-FR"/>
        </w:rPr>
      </w:pPr>
    </w:p>
    <w:tbl>
      <w:tblPr>
        <w:tblStyle w:val="TableGrid"/>
        <w:tblW w:w="0" w:type="auto"/>
        <w:tblLook w:val="04A0" w:firstRow="1" w:lastRow="0" w:firstColumn="1" w:lastColumn="0" w:noHBand="0" w:noVBand="1"/>
      </w:tblPr>
      <w:tblGrid>
        <w:gridCol w:w="8290"/>
      </w:tblGrid>
      <w:tr w:rsidR="00EF64E0" w:rsidRPr="00C91EA2" w14:paraId="144F0A1C" w14:textId="77777777" w:rsidTr="00CD6A39">
        <w:tc>
          <w:tcPr>
            <w:tcW w:w="8290" w:type="dxa"/>
            <w:tcBorders>
              <w:top w:val="single" w:sz="4" w:space="0" w:color="auto"/>
              <w:left w:val="single" w:sz="4" w:space="0" w:color="auto"/>
              <w:bottom w:val="single" w:sz="4" w:space="0" w:color="auto"/>
              <w:right w:val="single" w:sz="4" w:space="0" w:color="auto"/>
            </w:tcBorders>
            <w:hideMark/>
          </w:tcPr>
          <w:p w14:paraId="089697ED" w14:textId="3E4B6CCB" w:rsidR="00EF64E0" w:rsidRPr="00E7306C" w:rsidRDefault="00EF64E0" w:rsidP="00E264EA">
            <w:pPr>
              <w:pStyle w:val="Caption"/>
              <w:keepNext/>
              <w:rPr>
                <w:rFonts w:ascii="Times New Roman" w:hAnsi="Times New Roman"/>
              </w:rPr>
            </w:pPr>
            <w:bookmarkStart w:id="23" w:name="_Ref520383969"/>
            <w:bookmarkStart w:id="24" w:name="_Toc520725561"/>
            <w:r w:rsidRPr="00E7306C">
              <w:rPr>
                <w:rFonts w:ascii="Times New Roman" w:hAnsi="Times New Roman"/>
              </w:rPr>
              <w:t xml:space="preserve">Figure </w:t>
            </w:r>
            <w:r w:rsidR="00D91B27" w:rsidRPr="00E7306C">
              <w:rPr>
                <w:rFonts w:ascii="Times New Roman" w:hAnsi="Times New Roman"/>
              </w:rPr>
              <w:fldChar w:fldCharType="begin"/>
            </w:r>
            <w:r w:rsidR="00D91B27" w:rsidRPr="00E7306C">
              <w:rPr>
                <w:rFonts w:ascii="Times New Roman" w:hAnsi="Times New Roman"/>
              </w:rPr>
              <w:instrText xml:space="preserve"> SEQ Figure \* ARABIC </w:instrText>
            </w:r>
            <w:r w:rsidR="00D91B27" w:rsidRPr="00E7306C">
              <w:rPr>
                <w:rFonts w:ascii="Times New Roman" w:hAnsi="Times New Roman"/>
              </w:rPr>
              <w:fldChar w:fldCharType="separate"/>
            </w:r>
            <w:r w:rsidR="008261B2" w:rsidRPr="00E7306C">
              <w:rPr>
                <w:rFonts w:ascii="Times New Roman" w:hAnsi="Times New Roman"/>
                <w:noProof/>
              </w:rPr>
              <w:t>5</w:t>
            </w:r>
            <w:r w:rsidR="00D91B27" w:rsidRPr="00E7306C">
              <w:rPr>
                <w:rFonts w:ascii="Times New Roman" w:hAnsi="Times New Roman"/>
              </w:rPr>
              <w:fldChar w:fldCharType="end"/>
            </w:r>
            <w:bookmarkEnd w:id="23"/>
            <w:r w:rsidRPr="00E7306C">
              <w:rPr>
                <w:rFonts w:ascii="Times New Roman" w:hAnsi="Times New Roman"/>
              </w:rPr>
              <w:t>: Internet Penetration in Senegal vs. Peer Countries: % of People Using the Internet (</w:t>
            </w:r>
            <w:r w:rsidR="00A77464" w:rsidRPr="00E7306C">
              <w:rPr>
                <w:rFonts w:ascii="Times New Roman" w:hAnsi="Times New Roman"/>
              </w:rPr>
              <w:t>2010-</w:t>
            </w:r>
            <w:r w:rsidRPr="00E7306C">
              <w:rPr>
                <w:rFonts w:ascii="Times New Roman" w:hAnsi="Times New Roman"/>
              </w:rPr>
              <w:t>2016)</w:t>
            </w:r>
            <w:bookmarkEnd w:id="24"/>
          </w:p>
        </w:tc>
      </w:tr>
      <w:tr w:rsidR="00EF64E0" w:rsidRPr="00C91EA2" w14:paraId="3638EBA6" w14:textId="77777777" w:rsidTr="00CD6A39">
        <w:tc>
          <w:tcPr>
            <w:tcW w:w="8290" w:type="dxa"/>
            <w:tcBorders>
              <w:top w:val="single" w:sz="4" w:space="0" w:color="auto"/>
              <w:left w:val="single" w:sz="4" w:space="0" w:color="auto"/>
              <w:bottom w:val="single" w:sz="4" w:space="0" w:color="auto"/>
              <w:right w:val="single" w:sz="4" w:space="0" w:color="auto"/>
            </w:tcBorders>
            <w:hideMark/>
          </w:tcPr>
          <w:p w14:paraId="374391B0" w14:textId="77777777" w:rsidR="00EF64E0" w:rsidRPr="00C91EA2" w:rsidRDefault="00EF64E0" w:rsidP="00E264EA">
            <w:pPr>
              <w:rPr>
                <w:rFonts w:ascii="Times New Roman" w:hAnsi="Times New Roman" w:cs="Times New Roman"/>
              </w:rPr>
            </w:pPr>
            <w:r w:rsidRPr="00C538DB">
              <w:rPr>
                <w:rFonts w:ascii="Times New Roman" w:hAnsi="Times New Roman" w:cs="Times New Roman"/>
                <w:b/>
                <w:noProof/>
              </w:rPr>
              <w:drawing>
                <wp:inline distT="0" distB="0" distL="0" distR="0" wp14:anchorId="217595B4" wp14:editId="1DAEA30E">
                  <wp:extent cx="5486400" cy="20288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EF64E0" w:rsidRPr="00C91EA2" w14:paraId="7C3C8D02" w14:textId="77777777" w:rsidTr="00CD6A39">
        <w:tc>
          <w:tcPr>
            <w:tcW w:w="8290" w:type="dxa"/>
            <w:tcBorders>
              <w:top w:val="single" w:sz="4" w:space="0" w:color="auto"/>
              <w:left w:val="single" w:sz="4" w:space="0" w:color="auto"/>
              <w:bottom w:val="single" w:sz="4" w:space="0" w:color="auto"/>
              <w:right w:val="single" w:sz="4" w:space="0" w:color="auto"/>
            </w:tcBorders>
            <w:hideMark/>
          </w:tcPr>
          <w:p w14:paraId="40B5098F" w14:textId="554FE4B0" w:rsidR="003222F8" w:rsidRPr="00D55B7D" w:rsidRDefault="00EF64E0" w:rsidP="00E264EA">
            <w:pPr>
              <w:rPr>
                <w:rFonts w:ascii="Times New Roman" w:hAnsi="Times New Roman" w:cs="Times New Roman"/>
                <w:i/>
                <w:sz w:val="20"/>
                <w:szCs w:val="20"/>
              </w:rPr>
            </w:pPr>
            <w:r w:rsidRPr="00D55B7D">
              <w:rPr>
                <w:rFonts w:ascii="Times New Roman" w:hAnsi="Times New Roman" w:cs="Times New Roman"/>
                <w:i/>
                <w:sz w:val="20"/>
                <w:szCs w:val="20"/>
              </w:rPr>
              <w:t>Source: International Telecommunication Union (2017)</w:t>
            </w:r>
          </w:p>
        </w:tc>
      </w:tr>
      <w:tr w:rsidR="008968A2" w:rsidRPr="00C91EA2" w14:paraId="5CD97739" w14:textId="77777777" w:rsidTr="00CD6A39">
        <w:tc>
          <w:tcPr>
            <w:tcW w:w="8290" w:type="dxa"/>
            <w:tcBorders>
              <w:top w:val="single" w:sz="4" w:space="0" w:color="auto"/>
              <w:left w:val="single" w:sz="4" w:space="0" w:color="auto"/>
              <w:bottom w:val="single" w:sz="4" w:space="0" w:color="auto"/>
              <w:right w:val="single" w:sz="4" w:space="0" w:color="auto"/>
            </w:tcBorders>
          </w:tcPr>
          <w:p w14:paraId="39FA92AB" w14:textId="31CC940C" w:rsidR="008968A2" w:rsidRPr="00E7306C" w:rsidRDefault="0026120A" w:rsidP="00E264EA">
            <w:pPr>
              <w:rPr>
                <w:rFonts w:ascii="Times New Roman" w:hAnsi="Times New Roman" w:cs="Times New Roman"/>
                <w:b/>
                <w:i/>
                <w:sz w:val="20"/>
                <w:szCs w:val="20"/>
              </w:rPr>
            </w:pPr>
            <w:bookmarkStart w:id="25" w:name="_Ref520384213"/>
            <w:bookmarkStart w:id="26" w:name="_Toc520725562"/>
            <w:r w:rsidRPr="00E7306C">
              <w:rPr>
                <w:rFonts w:ascii="Times New Roman" w:hAnsi="Times New Roman"/>
                <w:b/>
                <w:sz w:val="20"/>
                <w:szCs w:val="20"/>
              </w:rPr>
              <w:t xml:space="preserve">Figure </w:t>
            </w:r>
            <w:r w:rsidRPr="00E7306C">
              <w:rPr>
                <w:rFonts w:ascii="Times New Roman" w:hAnsi="Times New Roman"/>
                <w:b/>
                <w:sz w:val="20"/>
                <w:szCs w:val="20"/>
              </w:rPr>
              <w:fldChar w:fldCharType="begin"/>
            </w:r>
            <w:r w:rsidRPr="00E7306C">
              <w:rPr>
                <w:rFonts w:ascii="Times New Roman" w:hAnsi="Times New Roman"/>
                <w:b/>
                <w:sz w:val="20"/>
                <w:szCs w:val="20"/>
              </w:rPr>
              <w:instrText xml:space="preserve"> SEQ Figure \* ARABIC </w:instrText>
            </w:r>
            <w:r w:rsidRPr="00E7306C">
              <w:rPr>
                <w:rFonts w:ascii="Times New Roman" w:hAnsi="Times New Roman"/>
                <w:b/>
                <w:sz w:val="20"/>
                <w:szCs w:val="20"/>
              </w:rPr>
              <w:fldChar w:fldCharType="separate"/>
            </w:r>
            <w:r w:rsidR="008261B2" w:rsidRPr="00E7306C">
              <w:rPr>
                <w:rFonts w:ascii="Times New Roman" w:hAnsi="Times New Roman"/>
                <w:b/>
                <w:noProof/>
                <w:sz w:val="20"/>
                <w:szCs w:val="20"/>
              </w:rPr>
              <w:t>6</w:t>
            </w:r>
            <w:r w:rsidRPr="00E7306C">
              <w:rPr>
                <w:rFonts w:ascii="Times New Roman" w:hAnsi="Times New Roman"/>
                <w:b/>
                <w:sz w:val="20"/>
                <w:szCs w:val="20"/>
              </w:rPr>
              <w:fldChar w:fldCharType="end"/>
            </w:r>
            <w:bookmarkEnd w:id="25"/>
            <w:r w:rsidRPr="00E7306C">
              <w:rPr>
                <w:rFonts w:ascii="Times New Roman" w:hAnsi="Times New Roman"/>
                <w:b/>
                <w:sz w:val="20"/>
                <w:szCs w:val="20"/>
              </w:rPr>
              <w:t>:</w:t>
            </w:r>
            <w:r w:rsidRPr="00E7306C">
              <w:rPr>
                <w:rFonts w:ascii="Times New Roman" w:hAnsi="Times New Roman"/>
                <w:sz w:val="20"/>
                <w:szCs w:val="20"/>
              </w:rPr>
              <w:t xml:space="preserve"> </w:t>
            </w:r>
            <w:r w:rsidR="00CC1BAF" w:rsidRPr="00E7306C">
              <w:rPr>
                <w:rFonts w:ascii="Times New Roman" w:hAnsi="Times New Roman"/>
                <w:b/>
                <w:sz w:val="20"/>
                <w:szCs w:val="20"/>
              </w:rPr>
              <w:t>Fixed broadband (USD/month)</w:t>
            </w:r>
            <w:bookmarkEnd w:id="26"/>
          </w:p>
        </w:tc>
      </w:tr>
      <w:tr w:rsidR="008968A2" w:rsidRPr="00C91EA2" w14:paraId="5AD1759C" w14:textId="77777777" w:rsidTr="00CD6A39">
        <w:trPr>
          <w:trHeight w:val="3250"/>
        </w:trPr>
        <w:tc>
          <w:tcPr>
            <w:tcW w:w="8290" w:type="dxa"/>
            <w:tcBorders>
              <w:top w:val="single" w:sz="4" w:space="0" w:color="auto"/>
              <w:left w:val="single" w:sz="4" w:space="0" w:color="auto"/>
              <w:bottom w:val="single" w:sz="4" w:space="0" w:color="auto"/>
              <w:right w:val="single" w:sz="4" w:space="0" w:color="auto"/>
            </w:tcBorders>
          </w:tcPr>
          <w:p w14:paraId="1DBF9C07" w14:textId="77777777" w:rsidR="008968A2" w:rsidRPr="00D55B7D" w:rsidRDefault="00CC1BAF" w:rsidP="00E264EA">
            <w:pPr>
              <w:rPr>
                <w:rFonts w:ascii="Times New Roman" w:hAnsi="Times New Roman" w:cs="Times New Roman"/>
                <w:i/>
                <w:sz w:val="20"/>
                <w:szCs w:val="20"/>
              </w:rPr>
            </w:pPr>
            <w:r w:rsidRPr="007D424D">
              <w:rPr>
                <w:noProof/>
              </w:rPr>
              <w:drawing>
                <wp:inline distT="0" distB="0" distL="0" distR="0" wp14:anchorId="1B3BF1C8" wp14:editId="65B73A41">
                  <wp:extent cx="4871804" cy="2140585"/>
                  <wp:effectExtent l="0" t="0" r="508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33940" b="32861"/>
                          <a:stretch/>
                        </pic:blipFill>
                        <pic:spPr bwMode="auto">
                          <a:xfrm>
                            <a:off x="0" y="0"/>
                            <a:ext cx="4924740" cy="2163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68A2" w:rsidRPr="00C91EA2" w14:paraId="22EF59A7" w14:textId="77777777" w:rsidTr="00CD6A39">
        <w:tc>
          <w:tcPr>
            <w:tcW w:w="8290" w:type="dxa"/>
            <w:tcBorders>
              <w:top w:val="single" w:sz="4" w:space="0" w:color="auto"/>
              <w:left w:val="single" w:sz="4" w:space="0" w:color="auto"/>
              <w:bottom w:val="single" w:sz="4" w:space="0" w:color="auto"/>
              <w:right w:val="single" w:sz="4" w:space="0" w:color="auto"/>
            </w:tcBorders>
          </w:tcPr>
          <w:p w14:paraId="3099BCF0" w14:textId="737C6EBB" w:rsidR="008968A2" w:rsidRDefault="008968A2" w:rsidP="00E264EA">
            <w:pPr>
              <w:rPr>
                <w:rFonts w:ascii="Times New Roman" w:hAnsi="Times New Roman" w:cs="Times New Roman"/>
                <w:i/>
                <w:sz w:val="20"/>
                <w:szCs w:val="20"/>
              </w:rPr>
            </w:pPr>
            <w:r w:rsidRPr="00D55B7D">
              <w:rPr>
                <w:rFonts w:ascii="Times New Roman" w:hAnsi="Times New Roman" w:cs="Times New Roman"/>
                <w:i/>
                <w:sz w:val="20"/>
                <w:szCs w:val="20"/>
              </w:rPr>
              <w:t xml:space="preserve">Source: </w:t>
            </w:r>
            <w:r w:rsidR="00CC1BAF" w:rsidRPr="00CC1BAF">
              <w:rPr>
                <w:rFonts w:ascii="Times New Roman" w:hAnsi="Times New Roman" w:cs="Times New Roman"/>
                <w:i/>
                <w:sz w:val="20"/>
                <w:szCs w:val="20"/>
              </w:rPr>
              <w:t xml:space="preserve">Broadband Pricing League, </w:t>
            </w:r>
            <w:proofErr w:type="spellStart"/>
            <w:r w:rsidR="00CC1BAF" w:rsidRPr="00CC1BAF">
              <w:rPr>
                <w:rFonts w:ascii="Times New Roman" w:hAnsi="Times New Roman" w:cs="Times New Roman"/>
                <w:i/>
                <w:sz w:val="20"/>
                <w:szCs w:val="20"/>
              </w:rPr>
              <w:t>Sonatel</w:t>
            </w:r>
            <w:proofErr w:type="spellEnd"/>
          </w:p>
          <w:p w14:paraId="14F1FFCF" w14:textId="77777777" w:rsidR="00CC1BAF" w:rsidRPr="00D55B7D" w:rsidRDefault="00CC1BAF" w:rsidP="00E264EA">
            <w:pPr>
              <w:rPr>
                <w:rFonts w:ascii="Times New Roman" w:hAnsi="Times New Roman" w:cs="Times New Roman"/>
                <w:i/>
                <w:sz w:val="20"/>
                <w:szCs w:val="20"/>
              </w:rPr>
            </w:pPr>
            <w:r w:rsidRPr="00CC1BAF">
              <w:rPr>
                <w:rFonts w:ascii="Times New Roman" w:hAnsi="Times New Roman" w:cs="Times New Roman"/>
                <w:i/>
                <w:sz w:val="20"/>
                <w:szCs w:val="20"/>
              </w:rPr>
              <w:t>Note: Figures as of Sep/Oct 2017; May 2018 for Senegal</w:t>
            </w:r>
          </w:p>
        </w:tc>
      </w:tr>
      <w:tr w:rsidR="00CC1BAF" w:rsidRPr="00C91EA2" w14:paraId="201815A9" w14:textId="77777777" w:rsidTr="00CD6A39">
        <w:tc>
          <w:tcPr>
            <w:tcW w:w="8290" w:type="dxa"/>
            <w:tcBorders>
              <w:top w:val="single" w:sz="4" w:space="0" w:color="auto"/>
              <w:left w:val="single" w:sz="4" w:space="0" w:color="auto"/>
              <w:bottom w:val="single" w:sz="4" w:space="0" w:color="auto"/>
              <w:right w:val="single" w:sz="4" w:space="0" w:color="auto"/>
            </w:tcBorders>
          </w:tcPr>
          <w:p w14:paraId="534F3103" w14:textId="656CC3C2" w:rsidR="00CC1BAF" w:rsidRPr="00E7306C" w:rsidRDefault="0026120A" w:rsidP="0026120A">
            <w:pPr>
              <w:rPr>
                <w:rFonts w:ascii="Times New Roman" w:hAnsi="Times New Roman" w:cs="Times New Roman"/>
                <w:i/>
                <w:sz w:val="20"/>
                <w:szCs w:val="20"/>
              </w:rPr>
            </w:pPr>
            <w:bookmarkStart w:id="27" w:name="_Ref520384275"/>
            <w:bookmarkStart w:id="28" w:name="_Toc520725563"/>
            <w:r w:rsidRPr="00E7306C">
              <w:rPr>
                <w:rFonts w:ascii="Times New Roman" w:hAnsi="Times New Roman"/>
                <w:b/>
                <w:sz w:val="20"/>
                <w:szCs w:val="20"/>
              </w:rPr>
              <w:t xml:space="preserve">Figure </w:t>
            </w:r>
            <w:r w:rsidRPr="00E7306C">
              <w:rPr>
                <w:rFonts w:ascii="Times New Roman" w:hAnsi="Times New Roman"/>
                <w:b/>
                <w:sz w:val="20"/>
                <w:szCs w:val="20"/>
              </w:rPr>
              <w:fldChar w:fldCharType="begin"/>
            </w:r>
            <w:r w:rsidRPr="00E7306C">
              <w:rPr>
                <w:rFonts w:ascii="Times New Roman" w:hAnsi="Times New Roman"/>
                <w:b/>
                <w:sz w:val="20"/>
                <w:szCs w:val="20"/>
              </w:rPr>
              <w:instrText xml:space="preserve"> SEQ Figure \* ARABIC </w:instrText>
            </w:r>
            <w:r w:rsidRPr="00E7306C">
              <w:rPr>
                <w:rFonts w:ascii="Times New Roman" w:hAnsi="Times New Roman"/>
                <w:b/>
                <w:sz w:val="20"/>
                <w:szCs w:val="20"/>
              </w:rPr>
              <w:fldChar w:fldCharType="separate"/>
            </w:r>
            <w:r w:rsidR="008261B2" w:rsidRPr="00E7306C">
              <w:rPr>
                <w:rFonts w:ascii="Times New Roman" w:hAnsi="Times New Roman"/>
                <w:b/>
                <w:noProof/>
                <w:sz w:val="20"/>
                <w:szCs w:val="20"/>
              </w:rPr>
              <w:t>7</w:t>
            </w:r>
            <w:r w:rsidRPr="00E7306C">
              <w:rPr>
                <w:rFonts w:ascii="Times New Roman" w:hAnsi="Times New Roman"/>
                <w:b/>
                <w:sz w:val="20"/>
                <w:szCs w:val="20"/>
              </w:rPr>
              <w:fldChar w:fldCharType="end"/>
            </w:r>
            <w:bookmarkEnd w:id="27"/>
            <w:r w:rsidRPr="00E7306C">
              <w:rPr>
                <w:rFonts w:ascii="Times New Roman" w:hAnsi="Times New Roman"/>
                <w:b/>
                <w:sz w:val="20"/>
                <w:szCs w:val="20"/>
              </w:rPr>
              <w:t>:</w:t>
            </w:r>
            <w:r w:rsidRPr="00E7306C">
              <w:rPr>
                <w:rFonts w:ascii="Times New Roman" w:hAnsi="Times New Roman"/>
                <w:sz w:val="20"/>
                <w:szCs w:val="20"/>
              </w:rPr>
              <w:t xml:space="preserve"> </w:t>
            </w:r>
            <w:r w:rsidR="00CC1BAF" w:rsidRPr="00E7306C">
              <w:rPr>
                <w:rFonts w:ascii="Times New Roman" w:hAnsi="Times New Roman"/>
                <w:b/>
                <w:sz w:val="20"/>
                <w:szCs w:val="20"/>
              </w:rPr>
              <w:t>Fixed broadband download speed (</w:t>
            </w:r>
            <w:proofErr w:type="spellStart"/>
            <w:r w:rsidR="00CC1BAF" w:rsidRPr="00E7306C">
              <w:rPr>
                <w:rFonts w:ascii="Times New Roman" w:hAnsi="Times New Roman"/>
                <w:b/>
                <w:sz w:val="20"/>
                <w:szCs w:val="20"/>
              </w:rPr>
              <w:t>Mbps</w:t>
            </w:r>
            <w:proofErr w:type="spellEnd"/>
            <w:r w:rsidR="00CC1BAF" w:rsidRPr="00E7306C">
              <w:rPr>
                <w:rFonts w:ascii="Times New Roman" w:hAnsi="Times New Roman"/>
                <w:b/>
                <w:sz w:val="20"/>
                <w:szCs w:val="20"/>
              </w:rPr>
              <w:t>)</w:t>
            </w:r>
            <w:bookmarkEnd w:id="28"/>
          </w:p>
        </w:tc>
      </w:tr>
      <w:tr w:rsidR="00CC1BAF" w:rsidRPr="00C91EA2" w14:paraId="44CA0AF9" w14:textId="77777777" w:rsidTr="00CD6A39">
        <w:trPr>
          <w:trHeight w:val="2478"/>
        </w:trPr>
        <w:tc>
          <w:tcPr>
            <w:tcW w:w="8290" w:type="dxa"/>
            <w:tcBorders>
              <w:top w:val="single" w:sz="4" w:space="0" w:color="auto"/>
              <w:left w:val="single" w:sz="4" w:space="0" w:color="auto"/>
              <w:bottom w:val="single" w:sz="4" w:space="0" w:color="auto"/>
              <w:right w:val="single" w:sz="4" w:space="0" w:color="auto"/>
            </w:tcBorders>
          </w:tcPr>
          <w:p w14:paraId="5703B881" w14:textId="77777777" w:rsidR="00CC1BAF" w:rsidRPr="00D55B7D" w:rsidRDefault="00CC1BAF" w:rsidP="00E264EA">
            <w:pPr>
              <w:rPr>
                <w:rFonts w:ascii="Times New Roman" w:hAnsi="Times New Roman" w:cs="Times New Roman"/>
                <w:i/>
                <w:sz w:val="20"/>
                <w:szCs w:val="20"/>
              </w:rPr>
            </w:pPr>
            <w:r w:rsidRPr="007D424D">
              <w:rPr>
                <w:noProof/>
              </w:rPr>
              <w:drawing>
                <wp:inline distT="0" distB="0" distL="0" distR="0" wp14:anchorId="4142BD15" wp14:editId="385CB6EE">
                  <wp:extent cx="3762531" cy="21822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34189" b="31852"/>
                          <a:stretch/>
                        </pic:blipFill>
                        <pic:spPr bwMode="auto">
                          <a:xfrm>
                            <a:off x="0" y="0"/>
                            <a:ext cx="3803580" cy="2206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1BAF" w:rsidRPr="00C91EA2" w14:paraId="35B5D8AD" w14:textId="77777777" w:rsidTr="00CD6A39">
        <w:tc>
          <w:tcPr>
            <w:tcW w:w="8290" w:type="dxa"/>
            <w:tcBorders>
              <w:top w:val="single" w:sz="4" w:space="0" w:color="auto"/>
              <w:left w:val="single" w:sz="4" w:space="0" w:color="auto"/>
              <w:bottom w:val="single" w:sz="4" w:space="0" w:color="auto"/>
              <w:right w:val="single" w:sz="4" w:space="0" w:color="auto"/>
            </w:tcBorders>
          </w:tcPr>
          <w:p w14:paraId="1613D1B2" w14:textId="77777777" w:rsidR="00CC1BAF" w:rsidRDefault="00CC1BAF" w:rsidP="00E264EA">
            <w:pPr>
              <w:rPr>
                <w:rFonts w:ascii="Times New Roman" w:hAnsi="Times New Roman" w:cs="Times New Roman"/>
                <w:i/>
                <w:sz w:val="20"/>
              </w:rPr>
            </w:pPr>
            <w:r>
              <w:rPr>
                <w:rFonts w:ascii="Times New Roman" w:hAnsi="Times New Roman" w:cs="Times New Roman"/>
                <w:i/>
                <w:sz w:val="20"/>
              </w:rPr>
              <w:t xml:space="preserve">Source: </w:t>
            </w:r>
            <w:proofErr w:type="spellStart"/>
            <w:r>
              <w:rPr>
                <w:rFonts w:ascii="Times New Roman" w:hAnsi="Times New Roman" w:cs="Times New Roman"/>
                <w:i/>
                <w:sz w:val="20"/>
              </w:rPr>
              <w:t>Speedtest</w:t>
            </w:r>
            <w:proofErr w:type="spellEnd"/>
            <w:r>
              <w:rPr>
                <w:rFonts w:ascii="Times New Roman" w:hAnsi="Times New Roman" w:cs="Times New Roman"/>
                <w:i/>
                <w:sz w:val="20"/>
              </w:rPr>
              <w:t xml:space="preserve"> Global Index</w:t>
            </w:r>
          </w:p>
          <w:p w14:paraId="116047F9" w14:textId="77777777" w:rsidR="00CC1BAF" w:rsidRPr="00D55B7D" w:rsidRDefault="00CC1BAF" w:rsidP="00E264EA">
            <w:pPr>
              <w:rPr>
                <w:rFonts w:ascii="Times New Roman" w:hAnsi="Times New Roman" w:cs="Times New Roman"/>
                <w:i/>
                <w:sz w:val="20"/>
                <w:szCs w:val="20"/>
              </w:rPr>
            </w:pPr>
            <w:r>
              <w:rPr>
                <w:rFonts w:ascii="Times New Roman" w:hAnsi="Times New Roman" w:cs="Times New Roman"/>
                <w:i/>
                <w:sz w:val="20"/>
              </w:rPr>
              <w:t>Note: As of June 6, 2018</w:t>
            </w:r>
          </w:p>
        </w:tc>
      </w:tr>
    </w:tbl>
    <w:p w14:paraId="169D3AAA" w14:textId="77777777" w:rsidR="00EF64E0" w:rsidRDefault="00EF64E0" w:rsidP="00EF64E0">
      <w:pPr>
        <w:pStyle w:val="ListParagraph"/>
        <w:ind w:left="0"/>
        <w:jc w:val="both"/>
        <w:rPr>
          <w:rFonts w:ascii="Times New Roman" w:hAnsi="Times New Roman" w:cs="Times New Roman"/>
          <w:szCs w:val="22"/>
        </w:rPr>
      </w:pPr>
    </w:p>
    <w:p w14:paraId="28E05424" w14:textId="77777777" w:rsidR="00726B79" w:rsidRDefault="00726B79" w:rsidP="00726B79">
      <w:pPr>
        <w:tabs>
          <w:tab w:val="num" w:pos="720"/>
        </w:tabs>
        <w:autoSpaceDE w:val="0"/>
        <w:autoSpaceDN w:val="0"/>
        <w:adjustRightInd w:val="0"/>
        <w:jc w:val="both"/>
        <w:rPr>
          <w:rFonts w:ascii="Times New Roman" w:eastAsia="Times New Roman" w:hAnsi="Times New Roman" w:cs="Times New Roman"/>
          <w:lang w:eastAsia="fr-FR"/>
        </w:rPr>
      </w:pPr>
    </w:p>
    <w:p w14:paraId="0516E67B" w14:textId="77777777" w:rsidR="00970A69" w:rsidRDefault="00970A69" w:rsidP="00726B79">
      <w:pPr>
        <w:pStyle w:val="ListParagraph"/>
        <w:ind w:left="0"/>
        <w:jc w:val="both"/>
        <w:rPr>
          <w:rFonts w:ascii="Times New Roman" w:hAnsi="Times New Roman" w:cs="Times New Roman"/>
          <w:bCs/>
        </w:rPr>
      </w:pPr>
    </w:p>
    <w:tbl>
      <w:tblPr>
        <w:tblStyle w:val="TableGrid"/>
        <w:tblW w:w="0" w:type="auto"/>
        <w:tblLook w:val="04A0" w:firstRow="1" w:lastRow="0" w:firstColumn="1" w:lastColumn="0" w:noHBand="0" w:noVBand="1"/>
      </w:tblPr>
      <w:tblGrid>
        <w:gridCol w:w="8290"/>
      </w:tblGrid>
      <w:tr w:rsidR="00970A69" w14:paraId="17A3CAA3" w14:textId="77777777" w:rsidTr="007575D7">
        <w:trPr>
          <w:trHeight w:val="357"/>
        </w:trPr>
        <w:tc>
          <w:tcPr>
            <w:tcW w:w="8274" w:type="dxa"/>
          </w:tcPr>
          <w:p w14:paraId="5A94C058" w14:textId="39FFC7A8" w:rsidR="00970A69" w:rsidRPr="00970A69" w:rsidRDefault="00970A69" w:rsidP="00970A69">
            <w:pPr>
              <w:pStyle w:val="Caption"/>
              <w:keepNext/>
              <w:jc w:val="both"/>
              <w:rPr>
                <w:rFonts w:ascii="Times New Roman" w:hAnsi="Times New Roman"/>
              </w:rPr>
            </w:pPr>
            <w:bookmarkStart w:id="29" w:name="_Ref499644637"/>
            <w:bookmarkStart w:id="30" w:name="_Toc520725564"/>
            <w:r w:rsidRPr="00970A69">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8</w:t>
            </w:r>
            <w:r w:rsidR="00D91B27">
              <w:rPr>
                <w:rFonts w:ascii="Times New Roman" w:hAnsi="Times New Roman"/>
              </w:rPr>
              <w:fldChar w:fldCharType="end"/>
            </w:r>
            <w:bookmarkEnd w:id="29"/>
            <w:r w:rsidRPr="00970A69">
              <w:rPr>
                <w:rFonts w:ascii="Times New Roman" w:hAnsi="Times New Roman"/>
              </w:rPr>
              <w:t>: Bottlenecks along t</w:t>
            </w:r>
            <w:bookmarkStart w:id="31" w:name="_GoBack"/>
            <w:bookmarkEnd w:id="31"/>
            <w:r w:rsidRPr="00970A69">
              <w:rPr>
                <w:rFonts w:ascii="Times New Roman" w:hAnsi="Times New Roman"/>
              </w:rPr>
              <w:t>he Senegalese telecommunications value chain</w:t>
            </w:r>
            <w:bookmarkEnd w:id="30"/>
          </w:p>
        </w:tc>
      </w:tr>
      <w:tr w:rsidR="00970A69" w14:paraId="2AE36033" w14:textId="77777777" w:rsidTr="007575D7">
        <w:trPr>
          <w:trHeight w:val="3719"/>
        </w:trPr>
        <w:tc>
          <w:tcPr>
            <w:tcW w:w="8274" w:type="dxa"/>
          </w:tcPr>
          <w:p w14:paraId="01A17A74" w14:textId="7248AED2" w:rsidR="00970A69" w:rsidRDefault="0032287C" w:rsidP="00726B79">
            <w:pPr>
              <w:pStyle w:val="ListParagraph"/>
              <w:ind w:left="0"/>
              <w:jc w:val="both"/>
              <w:rPr>
                <w:rFonts w:ascii="Times New Roman" w:hAnsi="Times New Roman" w:cs="Times New Roman"/>
                <w:bCs/>
              </w:rPr>
            </w:pPr>
            <w:r>
              <w:rPr>
                <w:rFonts w:ascii="Times New Roman" w:hAnsi="Times New Roman" w:cs="Times New Roman"/>
                <w:bCs/>
                <w:noProof/>
              </w:rPr>
              <w:drawing>
                <wp:inline distT="0" distB="0" distL="0" distR="0" wp14:anchorId="6967A9FE" wp14:editId="2C81BC7E">
                  <wp:extent cx="5270500" cy="29552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7-28 at 10.57.09.png"/>
                          <pic:cNvPicPr/>
                        </pic:nvPicPr>
                        <pic:blipFill>
                          <a:blip r:embed="rId17"/>
                          <a:stretch>
                            <a:fillRect/>
                          </a:stretch>
                        </pic:blipFill>
                        <pic:spPr>
                          <a:xfrm>
                            <a:off x="0" y="0"/>
                            <a:ext cx="5270500" cy="2955290"/>
                          </a:xfrm>
                          <a:prstGeom prst="rect">
                            <a:avLst/>
                          </a:prstGeom>
                        </pic:spPr>
                      </pic:pic>
                    </a:graphicData>
                  </a:graphic>
                </wp:inline>
              </w:drawing>
            </w:r>
          </w:p>
        </w:tc>
      </w:tr>
    </w:tbl>
    <w:p w14:paraId="7F6592D2" w14:textId="76BE893B" w:rsidR="0032287C" w:rsidRDefault="0032287C" w:rsidP="00726B79">
      <w:pPr>
        <w:pStyle w:val="ListParagraph"/>
        <w:ind w:left="0"/>
        <w:jc w:val="both"/>
        <w:rPr>
          <w:rFonts w:ascii="Times New Roman" w:hAnsi="Times New Roman" w:cs="Times New Roman"/>
          <w:bCs/>
        </w:rPr>
      </w:pPr>
    </w:p>
    <w:p w14:paraId="06A3A1E2" w14:textId="77777777" w:rsidR="0032287C" w:rsidRDefault="0032287C" w:rsidP="00726B79">
      <w:pPr>
        <w:pStyle w:val="ListParagraph"/>
        <w:ind w:left="0"/>
        <w:jc w:val="both"/>
        <w:rPr>
          <w:rFonts w:ascii="Times New Roman" w:hAnsi="Times New Roman" w:cs="Times New Roman"/>
          <w:bCs/>
        </w:rPr>
      </w:pPr>
    </w:p>
    <w:p w14:paraId="2587A642" w14:textId="77777777" w:rsidR="00726B79" w:rsidRDefault="005F284B" w:rsidP="00726B79">
      <w:pPr>
        <w:pStyle w:val="ListParagraph"/>
        <w:ind w:left="0"/>
        <w:jc w:val="both"/>
        <w:rPr>
          <w:rFonts w:ascii="Times New Roman" w:hAnsi="Times New Roman" w:cs="Times New Roman"/>
          <w:bCs/>
        </w:rPr>
      </w:pPr>
      <w:r w:rsidRPr="007575D7">
        <w:rPr>
          <w:rFonts w:ascii="Times New Roman" w:hAnsi="Times New Roman" w:cs="Times New Roman"/>
          <w:b/>
          <w:bCs/>
        </w:rPr>
        <w:t>Opening mobile and international calling markets to more competition can have an important impact on access, usage and prices, and hel</w:t>
      </w:r>
      <w:r w:rsidR="00794C0B">
        <w:rPr>
          <w:rFonts w:ascii="Times New Roman" w:hAnsi="Times New Roman" w:cs="Times New Roman"/>
          <w:b/>
          <w:bCs/>
        </w:rPr>
        <w:t>p</w:t>
      </w:r>
      <w:r w:rsidRPr="007575D7">
        <w:rPr>
          <w:rFonts w:ascii="Times New Roman" w:hAnsi="Times New Roman" w:cs="Times New Roman"/>
          <w:b/>
          <w:bCs/>
        </w:rPr>
        <w:t xml:space="preserve"> Senegal achieving the </w:t>
      </w:r>
      <w:r w:rsidRPr="007575D7">
        <w:rPr>
          <w:rFonts w:ascii="Times New Roman" w:hAnsi="Times New Roman" w:cs="Times New Roman"/>
          <w:b/>
          <w:bCs/>
          <w:i/>
        </w:rPr>
        <w:t xml:space="preserve">Plan </w:t>
      </w:r>
      <w:proofErr w:type="spellStart"/>
      <w:r w:rsidRPr="007575D7">
        <w:rPr>
          <w:rFonts w:ascii="Times New Roman" w:hAnsi="Times New Roman" w:cs="Times New Roman"/>
          <w:b/>
          <w:bCs/>
          <w:i/>
        </w:rPr>
        <w:t>Sénégal</w:t>
      </w:r>
      <w:proofErr w:type="spellEnd"/>
      <w:r w:rsidRPr="007575D7">
        <w:rPr>
          <w:rFonts w:ascii="Times New Roman" w:hAnsi="Times New Roman" w:cs="Times New Roman"/>
          <w:b/>
          <w:bCs/>
          <w:i/>
        </w:rPr>
        <w:t xml:space="preserve"> Emergent 2014</w:t>
      </w:r>
      <w:r w:rsidRPr="007575D7">
        <w:rPr>
          <w:rFonts w:ascii="Times New Roman" w:hAnsi="Times New Roman" w:cs="Times New Roman"/>
          <w:b/>
          <w:bCs/>
        </w:rPr>
        <w:t xml:space="preserve"> (PSE</w:t>
      </w:r>
      <w:r w:rsidR="003F52A4">
        <w:rPr>
          <w:rFonts w:ascii="Times New Roman" w:hAnsi="Times New Roman" w:cs="Times New Roman"/>
          <w:b/>
          <w:bCs/>
        </w:rPr>
        <w:t>)</w:t>
      </w:r>
      <w:r>
        <w:rPr>
          <w:rFonts w:ascii="Times New Roman" w:hAnsi="Times New Roman" w:cs="Times New Roman"/>
          <w:bCs/>
        </w:rPr>
        <w:t xml:space="preserve">. According to a sample of 40 African countries, the entry of an additional </w:t>
      </w:r>
      <w:r w:rsidR="00794C0B">
        <w:rPr>
          <w:rFonts w:ascii="Times New Roman" w:hAnsi="Times New Roman" w:cs="Times New Roman"/>
          <w:bCs/>
        </w:rPr>
        <w:t>operator led to a 57 percent</w:t>
      </w:r>
      <w:r>
        <w:rPr>
          <w:rFonts w:ascii="Times New Roman" w:hAnsi="Times New Roman" w:cs="Times New Roman"/>
          <w:bCs/>
        </w:rPr>
        <w:t xml:space="preserve"> increase in mobile subscriptions (</w:t>
      </w:r>
      <w:proofErr w:type="spellStart"/>
      <w:r>
        <w:rPr>
          <w:rFonts w:ascii="Times New Roman" w:hAnsi="Times New Roman" w:cs="Times New Roman"/>
          <w:bCs/>
        </w:rPr>
        <w:t>Gebreab</w:t>
      </w:r>
      <w:proofErr w:type="spellEnd"/>
      <w:r>
        <w:rPr>
          <w:rFonts w:ascii="Times New Roman" w:hAnsi="Times New Roman" w:cs="Times New Roman"/>
          <w:bCs/>
        </w:rPr>
        <w:t>, 2002), whilst the opening-up of international calling services has been found to lead to an inc</w:t>
      </w:r>
      <w:r w:rsidR="00794C0B">
        <w:rPr>
          <w:rFonts w:ascii="Times New Roman" w:hAnsi="Times New Roman" w:cs="Times New Roman"/>
          <w:bCs/>
        </w:rPr>
        <w:t>rease in call volumes up to 104 percent</w:t>
      </w:r>
      <w:r>
        <w:rPr>
          <w:rFonts w:ascii="Times New Roman" w:hAnsi="Times New Roman" w:cs="Times New Roman"/>
          <w:bCs/>
        </w:rPr>
        <w:t>, and</w:t>
      </w:r>
      <w:r w:rsidR="00794C0B">
        <w:rPr>
          <w:rFonts w:ascii="Times New Roman" w:hAnsi="Times New Roman" w:cs="Times New Roman"/>
          <w:bCs/>
        </w:rPr>
        <w:t xml:space="preserve"> a reduction of prices up to 90 percent</w:t>
      </w:r>
      <w:r>
        <w:rPr>
          <w:rFonts w:ascii="Times New Roman" w:hAnsi="Times New Roman" w:cs="Times New Roman"/>
          <w:bCs/>
        </w:rPr>
        <w:t>.</w:t>
      </w:r>
      <w:r>
        <w:rPr>
          <w:rStyle w:val="FootnoteReference"/>
          <w:rFonts w:ascii="Times New Roman" w:hAnsi="Times New Roman" w:cs="Times New Roman"/>
          <w:bCs/>
        </w:rPr>
        <w:footnoteReference w:id="29"/>
      </w:r>
    </w:p>
    <w:p w14:paraId="6001E9CC" w14:textId="77777777" w:rsidR="005F284B" w:rsidRDefault="005F284B" w:rsidP="00726B79">
      <w:pPr>
        <w:pStyle w:val="ListParagraph"/>
        <w:ind w:left="0"/>
        <w:jc w:val="both"/>
        <w:rPr>
          <w:rFonts w:ascii="Times New Roman" w:hAnsi="Times New Roman" w:cs="Times New Roman"/>
          <w:bCs/>
        </w:rPr>
      </w:pPr>
    </w:p>
    <w:p w14:paraId="44731D50" w14:textId="77777777" w:rsidR="00726B79" w:rsidRPr="00E002C1" w:rsidRDefault="00726B79" w:rsidP="00726B79">
      <w:pPr>
        <w:pStyle w:val="ListParagraph"/>
        <w:ind w:left="0"/>
        <w:jc w:val="both"/>
        <w:rPr>
          <w:rFonts w:ascii="Times New Roman" w:hAnsi="Times New Roman" w:cs="Times New Roman"/>
          <w:bCs/>
          <w:i/>
        </w:rPr>
      </w:pPr>
      <w:r>
        <w:rPr>
          <w:rFonts w:ascii="Times New Roman" w:hAnsi="Times New Roman" w:cs="Times New Roman"/>
          <w:bCs/>
          <w:i/>
        </w:rPr>
        <w:t>Lack of framework to encourage entry and a level playing field between services-based competitors</w:t>
      </w:r>
    </w:p>
    <w:p w14:paraId="0F38569D" w14:textId="77777777" w:rsidR="00726B79" w:rsidRDefault="00726B79" w:rsidP="00726B79">
      <w:pPr>
        <w:pStyle w:val="ListParagraph"/>
        <w:ind w:left="0"/>
        <w:jc w:val="both"/>
        <w:rPr>
          <w:rFonts w:ascii="Times New Roman" w:hAnsi="Times New Roman" w:cs="Times New Roman"/>
          <w:bCs/>
        </w:rPr>
      </w:pPr>
    </w:p>
    <w:p w14:paraId="7F5F829F" w14:textId="6EE78334" w:rsidR="00726B79" w:rsidRPr="00FA306F" w:rsidRDefault="00726B79" w:rsidP="00726B79">
      <w:pPr>
        <w:pStyle w:val="ListParagraph"/>
        <w:ind w:left="0"/>
        <w:jc w:val="both"/>
        <w:rPr>
          <w:rFonts w:ascii="Times New Roman" w:hAnsi="Times New Roman" w:cs="Times New Roman"/>
          <w:b/>
          <w:bCs/>
        </w:rPr>
      </w:pPr>
      <w:r w:rsidRPr="00D372E9">
        <w:rPr>
          <w:rFonts w:ascii="Times New Roman" w:hAnsi="Times New Roman" w:cs="Times New Roman"/>
          <w:b/>
          <w:bCs/>
        </w:rPr>
        <w:t xml:space="preserve">The Senegalese telecommunications sector </w:t>
      </w:r>
      <w:r w:rsidR="00755A0F">
        <w:rPr>
          <w:rFonts w:ascii="Times New Roman" w:hAnsi="Times New Roman" w:cs="Times New Roman"/>
          <w:b/>
          <w:bCs/>
        </w:rPr>
        <w:t xml:space="preserve">does not yet have a fully-functional </w:t>
      </w:r>
      <w:r w:rsidRPr="00D372E9">
        <w:rPr>
          <w:rFonts w:ascii="Times New Roman" w:hAnsi="Times New Roman" w:cs="Times New Roman"/>
          <w:b/>
          <w:bCs/>
        </w:rPr>
        <w:t>framework to encourage entry and a level playing field between services-based competitors.</w:t>
      </w:r>
      <w:r>
        <w:rPr>
          <w:rFonts w:ascii="Times New Roman" w:hAnsi="Times New Roman" w:cs="Times New Roman"/>
          <w:bCs/>
        </w:rPr>
        <w:t xml:space="preserve"> </w:t>
      </w:r>
      <w:r w:rsidRPr="00D372E9">
        <w:rPr>
          <w:rFonts w:ascii="Times New Roman" w:hAnsi="Times New Roman" w:cs="Times New Roman"/>
        </w:rPr>
        <w:t xml:space="preserve">Senegal’s telecommunications regulatory framework is </w:t>
      </w:r>
      <w:r w:rsidR="00755A0F">
        <w:rPr>
          <w:rFonts w:ascii="Times New Roman" w:hAnsi="Times New Roman" w:cs="Times New Roman"/>
        </w:rPr>
        <w:t xml:space="preserve">still </w:t>
      </w:r>
      <w:r w:rsidRPr="00D372E9">
        <w:rPr>
          <w:rFonts w:ascii="Times New Roman" w:hAnsi="Times New Roman" w:cs="Times New Roman"/>
        </w:rPr>
        <w:t>characterized both by a</w:t>
      </w:r>
      <w:r w:rsidR="00755A0F">
        <w:rPr>
          <w:rFonts w:ascii="Times New Roman" w:hAnsi="Times New Roman" w:cs="Times New Roman"/>
        </w:rPr>
        <w:t>n</w:t>
      </w:r>
      <w:r w:rsidRPr="00D372E9">
        <w:rPr>
          <w:rFonts w:ascii="Times New Roman" w:hAnsi="Times New Roman" w:cs="Times New Roman"/>
        </w:rPr>
        <w:t xml:space="preserve"> </w:t>
      </w:r>
      <w:r w:rsidR="007D19AF">
        <w:rPr>
          <w:rFonts w:ascii="Times New Roman" w:hAnsi="Times New Roman" w:cs="Times New Roman"/>
        </w:rPr>
        <w:t>ine</w:t>
      </w:r>
      <w:r w:rsidR="007D19AF" w:rsidRPr="00D372E9">
        <w:rPr>
          <w:rFonts w:ascii="Times New Roman" w:hAnsi="Times New Roman" w:cs="Times New Roman"/>
        </w:rPr>
        <w:t>ffective</w:t>
      </w:r>
      <w:r w:rsidRPr="00D372E9">
        <w:rPr>
          <w:rFonts w:ascii="Times New Roman" w:hAnsi="Times New Roman" w:cs="Times New Roman"/>
        </w:rPr>
        <w:t xml:space="preserve"> ex ante regulation which is typically needed to facilitate entry as well as by burdensome regulation of operators without real market power.</w:t>
      </w:r>
      <w:r>
        <w:rPr>
          <w:rFonts w:ascii="Times New Roman" w:hAnsi="Times New Roman" w:cs="Times New Roman"/>
        </w:rPr>
        <w:t xml:space="preserve"> </w:t>
      </w:r>
      <w:proofErr w:type="spellStart"/>
      <w:r w:rsidRPr="00D372E9">
        <w:rPr>
          <w:rFonts w:ascii="Times New Roman" w:hAnsi="Times New Roman" w:cs="Times New Roman"/>
        </w:rPr>
        <w:t>Sonatel’s</w:t>
      </w:r>
      <w:proofErr w:type="spellEnd"/>
      <w:r w:rsidRPr="00D372E9">
        <w:rPr>
          <w:rFonts w:ascii="Times New Roman" w:hAnsi="Times New Roman" w:cs="Times New Roman"/>
        </w:rPr>
        <w:t xml:space="preserve"> position </w:t>
      </w:r>
      <w:r w:rsidR="00F86F4C">
        <w:rPr>
          <w:rFonts w:ascii="Times New Roman" w:hAnsi="Times New Roman" w:cs="Times New Roman"/>
        </w:rPr>
        <w:t xml:space="preserve">as </w:t>
      </w:r>
      <w:r w:rsidR="00F86F4C" w:rsidRPr="00911FB0">
        <w:rPr>
          <w:rFonts w:ascii="Times New Roman" w:hAnsi="Times New Roman" w:cs="Times New Roman"/>
        </w:rPr>
        <w:t>the only operator of a fixed fiber and ADSL networks</w:t>
      </w:r>
      <w:r w:rsidR="00F86F4C">
        <w:rPr>
          <w:rFonts w:ascii="Times New Roman" w:hAnsi="Times New Roman" w:cs="Times New Roman"/>
        </w:rPr>
        <w:t xml:space="preserve"> </w:t>
      </w:r>
      <w:r w:rsidR="00321BD6">
        <w:rPr>
          <w:rFonts w:ascii="Times New Roman" w:hAnsi="Times New Roman" w:cs="Times New Roman"/>
        </w:rPr>
        <w:t xml:space="preserve">stems from the </w:t>
      </w:r>
      <w:r w:rsidR="00B20F39">
        <w:rPr>
          <w:rFonts w:ascii="Times New Roman" w:hAnsi="Times New Roman" w:cs="Times New Roman"/>
        </w:rPr>
        <w:t xml:space="preserve">2011 </w:t>
      </w:r>
      <w:r w:rsidR="00321BD6">
        <w:rPr>
          <w:rFonts w:ascii="Times New Roman" w:hAnsi="Times New Roman" w:cs="Times New Roman"/>
        </w:rPr>
        <w:t>Telecommunications Code licensing regime which capped the number of ISPs until 2017</w:t>
      </w:r>
      <w:r w:rsidR="00B20F39">
        <w:rPr>
          <w:rStyle w:val="FootnoteReference"/>
          <w:rFonts w:ascii="Times New Roman" w:hAnsi="Times New Roman" w:cs="Times New Roman"/>
        </w:rPr>
        <w:footnoteReference w:id="30"/>
      </w:r>
      <w:r w:rsidR="00321BD6">
        <w:rPr>
          <w:rFonts w:ascii="Times New Roman" w:hAnsi="Times New Roman" w:cs="Times New Roman"/>
        </w:rPr>
        <w:t xml:space="preserve"> and indicates </w:t>
      </w:r>
      <w:r w:rsidRPr="00D372E9">
        <w:rPr>
          <w:rFonts w:ascii="Times New Roman" w:hAnsi="Times New Roman" w:cs="Times New Roman"/>
        </w:rPr>
        <w:t xml:space="preserve">that </w:t>
      </w:r>
      <w:r>
        <w:rPr>
          <w:rFonts w:ascii="Times New Roman" w:hAnsi="Times New Roman" w:cs="Times New Roman"/>
        </w:rPr>
        <w:t>significant market power (</w:t>
      </w:r>
      <w:r w:rsidRPr="00D372E9">
        <w:rPr>
          <w:rFonts w:ascii="Times New Roman" w:hAnsi="Times New Roman" w:cs="Times New Roman"/>
        </w:rPr>
        <w:t>SMP</w:t>
      </w:r>
      <w:r>
        <w:rPr>
          <w:rFonts w:ascii="Times New Roman" w:hAnsi="Times New Roman" w:cs="Times New Roman"/>
        </w:rPr>
        <w:t>)</w:t>
      </w:r>
      <w:r w:rsidRPr="00D372E9">
        <w:rPr>
          <w:rFonts w:ascii="Times New Roman" w:hAnsi="Times New Roman" w:cs="Times New Roman"/>
        </w:rPr>
        <w:t xml:space="preserve"> regulation has not been effective. </w:t>
      </w:r>
      <w:r w:rsidR="00F01B06">
        <w:rPr>
          <w:rFonts w:ascii="Times New Roman" w:hAnsi="Times New Roman" w:cs="Times New Roman"/>
        </w:rPr>
        <w:t xml:space="preserve">In effect, the Telecommunications Code </w:t>
      </w:r>
      <w:r w:rsidR="007A1C55">
        <w:rPr>
          <w:rFonts w:ascii="Times New Roman" w:hAnsi="Times New Roman" w:cs="Times New Roman"/>
        </w:rPr>
        <w:t xml:space="preserve">would need </w:t>
      </w:r>
      <w:r w:rsidR="003F52A4">
        <w:rPr>
          <w:rFonts w:ascii="Times New Roman" w:hAnsi="Times New Roman" w:cs="Times New Roman"/>
        </w:rPr>
        <w:t>to provide for</w:t>
      </w:r>
      <w:r w:rsidR="00B20F39" w:rsidRPr="00C91EA2">
        <w:rPr>
          <w:rFonts w:ascii="Times New Roman" w:hAnsi="Times New Roman" w:cs="Times New Roman"/>
        </w:rPr>
        <w:t xml:space="preserve"> a cost-based access pricing and procedures to</w:t>
      </w:r>
      <w:r w:rsidR="003F52A4">
        <w:rPr>
          <w:rFonts w:ascii="Times New Roman" w:hAnsi="Times New Roman" w:cs="Times New Roman"/>
        </w:rPr>
        <w:t xml:space="preserve"> minimize any access restrictions to </w:t>
      </w:r>
      <w:proofErr w:type="spellStart"/>
      <w:r w:rsidR="003F52A4">
        <w:rPr>
          <w:rFonts w:ascii="Times New Roman" w:hAnsi="Times New Roman" w:cs="Times New Roman"/>
        </w:rPr>
        <w:t>Sonatel’s</w:t>
      </w:r>
      <w:proofErr w:type="spellEnd"/>
      <w:r w:rsidR="00B20F39" w:rsidRPr="00C91EA2">
        <w:rPr>
          <w:rFonts w:ascii="Times New Roman" w:hAnsi="Times New Roman" w:cs="Times New Roman"/>
        </w:rPr>
        <w:t xml:space="preserve"> essential facilities.</w:t>
      </w:r>
      <w:r w:rsidR="00F01B06">
        <w:rPr>
          <w:rFonts w:ascii="Times New Roman" w:hAnsi="Times New Roman" w:cs="Times New Roman"/>
        </w:rPr>
        <w:t xml:space="preserve"> </w:t>
      </w:r>
      <w:r>
        <w:rPr>
          <w:rFonts w:ascii="Times New Roman" w:hAnsi="Times New Roman" w:cs="Times New Roman"/>
        </w:rPr>
        <w:t>Moreover, t</w:t>
      </w:r>
      <w:r w:rsidRPr="00D372E9">
        <w:rPr>
          <w:bCs/>
        </w:rPr>
        <w:t>h</w:t>
      </w:r>
      <w:r w:rsidRPr="00FA306F">
        <w:rPr>
          <w:rFonts w:ascii="Times New Roman" w:hAnsi="Times New Roman" w:cs="Times New Roman"/>
          <w:bCs/>
        </w:rPr>
        <w:t xml:space="preserve">e </w:t>
      </w:r>
      <w:r w:rsidR="003B6289">
        <w:rPr>
          <w:rFonts w:ascii="Times New Roman" w:hAnsi="Times New Roman" w:cs="Times New Roman"/>
          <w:bCs/>
        </w:rPr>
        <w:t xml:space="preserve">lack of an effective </w:t>
      </w:r>
      <w:r w:rsidRPr="00FA306F">
        <w:rPr>
          <w:rFonts w:ascii="Times New Roman" w:hAnsi="Times New Roman" w:cs="Times New Roman"/>
          <w:bCs/>
        </w:rPr>
        <w:t>SMP regulation</w:t>
      </w:r>
      <w:r w:rsidR="002C0BAD">
        <w:rPr>
          <w:rStyle w:val="FootnoteReference"/>
          <w:rFonts w:ascii="Times New Roman" w:hAnsi="Times New Roman" w:cs="Times New Roman"/>
        </w:rPr>
        <w:footnoteReference w:id="31"/>
      </w:r>
      <w:r w:rsidRPr="00FA306F">
        <w:rPr>
          <w:rFonts w:ascii="Times New Roman" w:hAnsi="Times New Roman" w:cs="Times New Roman"/>
          <w:bCs/>
        </w:rPr>
        <w:t xml:space="preserve"> </w:t>
      </w:r>
      <w:r w:rsidR="005E23EE">
        <w:rPr>
          <w:rStyle w:val="FootnoteReference"/>
          <w:rFonts w:ascii="Times New Roman" w:hAnsi="Times New Roman" w:cs="Times New Roman"/>
          <w:bCs/>
        </w:rPr>
        <w:footnoteReference w:id="32"/>
      </w:r>
      <w:r w:rsidRPr="00FA306F">
        <w:rPr>
          <w:rFonts w:ascii="Times New Roman" w:hAnsi="Times New Roman" w:cs="Times New Roman"/>
          <w:bCs/>
        </w:rPr>
        <w:t xml:space="preserve">have not been </w:t>
      </w:r>
      <w:r>
        <w:rPr>
          <w:rFonts w:ascii="Times New Roman" w:hAnsi="Times New Roman" w:cs="Times New Roman"/>
          <w:bCs/>
        </w:rPr>
        <w:t>compensated for by</w:t>
      </w:r>
      <w:r w:rsidRPr="00FA306F">
        <w:rPr>
          <w:rFonts w:ascii="Times New Roman" w:hAnsi="Times New Roman" w:cs="Times New Roman"/>
          <w:bCs/>
        </w:rPr>
        <w:t xml:space="preserve"> an effective ex post competition law enforcement by the National Competition Commission (NCC) or by the regulator ARTP</w:t>
      </w:r>
      <w:r>
        <w:rPr>
          <w:rFonts w:ascii="Times New Roman" w:hAnsi="Times New Roman" w:cs="Times New Roman"/>
          <w:bCs/>
        </w:rPr>
        <w:t xml:space="preserve"> (</w:t>
      </w:r>
      <w:proofErr w:type="spellStart"/>
      <w:r w:rsidRPr="00C91EA2">
        <w:rPr>
          <w:rFonts w:ascii="Times New Roman" w:hAnsi="Times New Roman" w:cs="Times New Roman"/>
          <w:color w:val="000000"/>
        </w:rPr>
        <w:t>Autorité</w:t>
      </w:r>
      <w:proofErr w:type="spellEnd"/>
      <w:r w:rsidRPr="00C91EA2">
        <w:rPr>
          <w:rFonts w:ascii="Times New Roman" w:hAnsi="Times New Roman" w:cs="Times New Roman"/>
          <w:color w:val="000000"/>
        </w:rPr>
        <w:t xml:space="preserve"> de </w:t>
      </w:r>
      <w:proofErr w:type="spellStart"/>
      <w:r w:rsidRPr="00C91EA2">
        <w:rPr>
          <w:rFonts w:ascii="Times New Roman" w:hAnsi="Times New Roman" w:cs="Times New Roman"/>
          <w:color w:val="000000"/>
        </w:rPr>
        <w:t>Régulation</w:t>
      </w:r>
      <w:proofErr w:type="spellEnd"/>
      <w:r w:rsidRPr="00C91EA2">
        <w:rPr>
          <w:rFonts w:ascii="Times New Roman" w:hAnsi="Times New Roman" w:cs="Times New Roman"/>
          <w:color w:val="000000"/>
        </w:rPr>
        <w:t xml:space="preserve"> des </w:t>
      </w:r>
      <w:proofErr w:type="spellStart"/>
      <w:r w:rsidRPr="00C91EA2">
        <w:rPr>
          <w:rFonts w:ascii="Times New Roman" w:hAnsi="Times New Roman" w:cs="Times New Roman"/>
          <w:color w:val="000000"/>
        </w:rPr>
        <w:t>Télécommunications</w:t>
      </w:r>
      <w:proofErr w:type="spellEnd"/>
      <w:r w:rsidRPr="00C91EA2">
        <w:rPr>
          <w:rFonts w:ascii="Times New Roman" w:hAnsi="Times New Roman" w:cs="Times New Roman"/>
          <w:color w:val="000000"/>
        </w:rPr>
        <w:t xml:space="preserve"> et des </w:t>
      </w:r>
      <w:proofErr w:type="spellStart"/>
      <w:r w:rsidRPr="00C91EA2">
        <w:rPr>
          <w:rFonts w:ascii="Times New Roman" w:hAnsi="Times New Roman" w:cs="Times New Roman"/>
          <w:color w:val="000000"/>
        </w:rPr>
        <w:t>Postes</w:t>
      </w:r>
      <w:proofErr w:type="spellEnd"/>
      <w:r>
        <w:rPr>
          <w:rFonts w:ascii="Times New Roman" w:hAnsi="Times New Roman" w:cs="Times New Roman"/>
          <w:color w:val="000000"/>
        </w:rPr>
        <w:t>)</w:t>
      </w:r>
      <w:r w:rsidRPr="00FA306F">
        <w:rPr>
          <w:rFonts w:ascii="Times New Roman" w:hAnsi="Times New Roman" w:cs="Times New Roman"/>
          <w:bCs/>
        </w:rPr>
        <w:t xml:space="preserve"> at the national level, nor by </w:t>
      </w:r>
      <w:r>
        <w:rPr>
          <w:rFonts w:ascii="Times New Roman" w:hAnsi="Times New Roman" w:cs="Times New Roman"/>
          <w:bCs/>
        </w:rPr>
        <w:t>the West African Economic and Monetary Union (</w:t>
      </w:r>
      <w:r w:rsidRPr="00FA306F">
        <w:rPr>
          <w:rFonts w:ascii="Times New Roman" w:hAnsi="Times New Roman" w:cs="Times New Roman"/>
          <w:bCs/>
        </w:rPr>
        <w:t>WAEMU</w:t>
      </w:r>
      <w:r>
        <w:rPr>
          <w:rFonts w:ascii="Times New Roman" w:hAnsi="Times New Roman" w:cs="Times New Roman"/>
          <w:bCs/>
        </w:rPr>
        <w:t>)</w:t>
      </w:r>
      <w:r w:rsidRPr="00FA306F">
        <w:rPr>
          <w:rFonts w:ascii="Times New Roman" w:hAnsi="Times New Roman" w:cs="Times New Roman"/>
          <w:bCs/>
        </w:rPr>
        <w:t xml:space="preserve"> at the regional level</w:t>
      </w:r>
      <w:r w:rsidRPr="0002555D">
        <w:rPr>
          <w:rFonts w:ascii="Times New Roman" w:hAnsi="Times New Roman" w:cs="Times New Roman"/>
          <w:bCs/>
        </w:rPr>
        <w:t>.</w:t>
      </w:r>
      <w:r w:rsidRPr="0002555D">
        <w:rPr>
          <w:rStyle w:val="FootnoteReference"/>
          <w:rFonts w:ascii="Times New Roman" w:hAnsi="Times New Roman" w:cs="Times New Roman"/>
          <w:bCs/>
        </w:rPr>
        <w:footnoteReference w:id="33"/>
      </w:r>
    </w:p>
    <w:p w14:paraId="0E2319CE" w14:textId="77777777" w:rsidR="00726B79" w:rsidRPr="00FA306F" w:rsidRDefault="00726B79" w:rsidP="00726B79">
      <w:pPr>
        <w:pStyle w:val="ListParagraph"/>
        <w:ind w:left="0"/>
        <w:jc w:val="both"/>
        <w:rPr>
          <w:rFonts w:ascii="Times New Roman" w:hAnsi="Times New Roman" w:cs="Times New Roman"/>
        </w:rPr>
      </w:pPr>
    </w:p>
    <w:p w14:paraId="73A1BA0A" w14:textId="77777777" w:rsidR="00726B79" w:rsidRDefault="00726B79" w:rsidP="00726B79">
      <w:pPr>
        <w:jc w:val="both"/>
        <w:rPr>
          <w:rFonts w:ascii="Times New Roman" w:hAnsi="Times New Roman" w:cs="Times New Roman"/>
        </w:rPr>
      </w:pPr>
      <w:r w:rsidRPr="00FA306F">
        <w:rPr>
          <w:rFonts w:ascii="Times New Roman" w:hAnsi="Times New Roman" w:cs="Times New Roman"/>
          <w:b/>
        </w:rPr>
        <w:t xml:space="preserve">Although </w:t>
      </w:r>
      <w:proofErr w:type="spellStart"/>
      <w:r w:rsidRPr="00FA306F">
        <w:rPr>
          <w:rFonts w:ascii="Times New Roman" w:hAnsi="Times New Roman" w:cs="Times New Roman"/>
          <w:b/>
        </w:rPr>
        <w:t>Sonatel</w:t>
      </w:r>
      <w:proofErr w:type="spellEnd"/>
      <w:r w:rsidRPr="00FA306F">
        <w:rPr>
          <w:rFonts w:ascii="Times New Roman" w:hAnsi="Times New Roman" w:cs="Times New Roman"/>
          <w:b/>
        </w:rPr>
        <w:t xml:space="preserve"> does not hold a legal monopoly over international data transmission, it controls access to the main international gatew</w:t>
      </w:r>
      <w:r w:rsidRPr="00D372E9">
        <w:rPr>
          <w:rFonts w:ascii="Times New Roman" w:hAnsi="Times New Roman" w:cs="Times New Roman"/>
          <w:b/>
        </w:rPr>
        <w:t xml:space="preserve">ay, which is not effectively regulated. </w:t>
      </w:r>
      <w:r w:rsidRPr="00D372E9">
        <w:rPr>
          <w:rFonts w:ascii="Times New Roman" w:hAnsi="Times New Roman" w:cs="Times New Roman"/>
        </w:rPr>
        <w:t>This lack of regulatory intervention by ARTP over the international gateway segment of the market has the effect of favoring the incumbent, which may further strengthen its dominant position in the market. The lack of regulation for accessing the international gateway is likely to contribute to the high cost of international calls and data transmission in Senegal</w:t>
      </w:r>
      <w:r w:rsidR="00D157E9">
        <w:rPr>
          <w:rFonts w:ascii="Times New Roman" w:hAnsi="Times New Roman" w:cs="Times New Roman"/>
        </w:rPr>
        <w:t xml:space="preserve">, with the country’s </w:t>
      </w:r>
      <w:r w:rsidR="00D157E9" w:rsidRPr="00D157E9">
        <w:rPr>
          <w:rFonts w:ascii="Times New Roman" w:hAnsi="Times New Roman" w:cs="Times New Roman"/>
        </w:rPr>
        <w:t xml:space="preserve">cost for international connectivity </w:t>
      </w:r>
      <w:r w:rsidR="00D157E9">
        <w:rPr>
          <w:rFonts w:ascii="Times New Roman" w:hAnsi="Times New Roman" w:cs="Times New Roman"/>
        </w:rPr>
        <w:t xml:space="preserve">being </w:t>
      </w:r>
      <w:r w:rsidR="00D157E9" w:rsidRPr="00D157E9">
        <w:rPr>
          <w:rFonts w:ascii="Times New Roman" w:hAnsi="Times New Roman" w:cs="Times New Roman"/>
        </w:rPr>
        <w:t>three times higher than other countries in the region</w:t>
      </w:r>
      <w:r w:rsidRPr="00D372E9">
        <w:rPr>
          <w:rFonts w:ascii="Times New Roman" w:hAnsi="Times New Roman" w:cs="Times New Roman"/>
        </w:rPr>
        <w:t>.</w:t>
      </w:r>
    </w:p>
    <w:p w14:paraId="1E6B1968" w14:textId="77777777" w:rsidR="00726B79" w:rsidRDefault="00726B79" w:rsidP="00726B79">
      <w:pPr>
        <w:jc w:val="both"/>
        <w:rPr>
          <w:rFonts w:ascii="Times New Roman" w:hAnsi="Times New Roman" w:cs="Times New Roman"/>
        </w:rPr>
      </w:pPr>
    </w:p>
    <w:p w14:paraId="2CE8E81C" w14:textId="0253AF7E" w:rsidR="00910646" w:rsidRPr="005A3486" w:rsidRDefault="002C0BAD" w:rsidP="007575D7">
      <w:pPr>
        <w:pStyle w:val="ListParagraph"/>
        <w:ind w:left="0"/>
        <w:jc w:val="both"/>
        <w:rPr>
          <w:rFonts w:ascii="Times New Roman" w:hAnsi="Times New Roman" w:cs="Times New Roman"/>
        </w:rPr>
      </w:pPr>
      <w:r w:rsidRPr="007575D7">
        <w:rPr>
          <w:rFonts w:ascii="Times New Roman" w:hAnsi="Times New Roman" w:cs="Times New Roman"/>
          <w:b/>
        </w:rPr>
        <w:t>ARTP has yet to develop rules to encourage MVNOs entry and contribution to greater access to telecom services.</w:t>
      </w:r>
      <w:r w:rsidRPr="00FE00E4">
        <w:rPr>
          <w:rFonts w:ascii="Times New Roman" w:hAnsi="Times New Roman" w:cs="Times New Roman"/>
        </w:rPr>
        <w:t xml:space="preserve"> Rules on setting adequate charges for MVNOs and establishing asymmetric obligations of non-discrimination and transparency, together with potential obligations for operators with SMP could be considered. Generally, entry of MVNOs is subject to commercial agreements and proportionate authorization regime</w:t>
      </w:r>
      <w:r>
        <w:rPr>
          <w:rFonts w:ascii="Times New Roman" w:hAnsi="Times New Roman" w:cs="Times New Roman"/>
        </w:rPr>
        <w:t xml:space="preserve">. </w:t>
      </w:r>
      <w:r w:rsidR="003B6289">
        <w:rPr>
          <w:rFonts w:ascii="Times New Roman" w:hAnsi="Times New Roman" w:cs="Times New Roman"/>
          <w:lang w:val="en-GB"/>
        </w:rPr>
        <w:t>E</w:t>
      </w:r>
      <w:r w:rsidR="00D157E9" w:rsidRPr="00D157E9">
        <w:rPr>
          <w:rFonts w:ascii="Times New Roman" w:hAnsi="Times New Roman" w:cs="Times New Roman"/>
          <w:lang w:val="en-GB"/>
        </w:rPr>
        <w:t xml:space="preserve">vidence shows </w:t>
      </w:r>
      <w:r w:rsidR="000E4F36">
        <w:rPr>
          <w:rFonts w:ascii="Times New Roman" w:hAnsi="Times New Roman" w:cs="Times New Roman"/>
          <w:lang w:val="en-GB"/>
        </w:rPr>
        <w:t xml:space="preserve">that </w:t>
      </w:r>
      <w:r w:rsidR="00D157E9" w:rsidRPr="00D157E9">
        <w:rPr>
          <w:rFonts w:ascii="Times New Roman" w:hAnsi="Times New Roman" w:cs="Times New Roman"/>
          <w:lang w:val="en-GB"/>
        </w:rPr>
        <w:t>consumers often benefit from the entrance of MVNOs in the telecommunications market, through lower prices for voice calls and text messages</w:t>
      </w:r>
      <w:r>
        <w:rPr>
          <w:rFonts w:ascii="Times New Roman" w:hAnsi="Times New Roman" w:cs="Times New Roman"/>
          <w:lang w:val="en-GB"/>
        </w:rPr>
        <w:t xml:space="preserve"> </w:t>
      </w:r>
      <w:r w:rsidR="00FC6E06" w:rsidRPr="00FC6E06">
        <w:rPr>
          <w:rFonts w:ascii="Times New Roman" w:hAnsi="Times New Roman" w:cs="Times New Roman"/>
          <w:lang w:val="en-GB"/>
        </w:rPr>
        <w:t xml:space="preserve">The recent award of three licenses through tender was subject to approval by incumbents (MVNOs licenses awarded to Groupe </w:t>
      </w:r>
      <w:proofErr w:type="spellStart"/>
      <w:r w:rsidR="00FC6E06" w:rsidRPr="00FC6E06">
        <w:rPr>
          <w:rFonts w:ascii="Times New Roman" w:hAnsi="Times New Roman" w:cs="Times New Roman"/>
          <w:lang w:val="en-GB"/>
        </w:rPr>
        <w:t>Futurs</w:t>
      </w:r>
      <w:proofErr w:type="spellEnd"/>
      <w:r w:rsidR="00FC6E06" w:rsidRPr="00FC6E06">
        <w:rPr>
          <w:rFonts w:ascii="Times New Roman" w:hAnsi="Times New Roman" w:cs="Times New Roman"/>
          <w:lang w:val="en-GB"/>
        </w:rPr>
        <w:t xml:space="preserve"> </w:t>
      </w:r>
      <w:proofErr w:type="spellStart"/>
      <w:r w:rsidR="00FC6E06" w:rsidRPr="00FC6E06">
        <w:rPr>
          <w:rFonts w:ascii="Times New Roman" w:hAnsi="Times New Roman" w:cs="Times New Roman"/>
          <w:lang w:val="en-GB"/>
        </w:rPr>
        <w:t>Médias</w:t>
      </w:r>
      <w:proofErr w:type="spellEnd"/>
      <w:r w:rsidR="00FC6E06" w:rsidRPr="00FC6E06">
        <w:rPr>
          <w:rFonts w:ascii="Times New Roman" w:hAnsi="Times New Roman" w:cs="Times New Roman"/>
          <w:lang w:val="en-GB"/>
        </w:rPr>
        <w:t xml:space="preserve"> (</w:t>
      </w:r>
      <w:proofErr w:type="spellStart"/>
      <w:r w:rsidR="00FC6E06" w:rsidRPr="00FC6E06">
        <w:rPr>
          <w:rFonts w:ascii="Times New Roman" w:hAnsi="Times New Roman" w:cs="Times New Roman"/>
          <w:lang w:val="en-GB"/>
        </w:rPr>
        <w:t>GfM</w:t>
      </w:r>
      <w:proofErr w:type="spellEnd"/>
      <w:r w:rsidR="00FC6E06" w:rsidRPr="00FC6E06">
        <w:rPr>
          <w:rFonts w:ascii="Times New Roman" w:hAnsi="Times New Roman" w:cs="Times New Roman"/>
          <w:lang w:val="en-GB"/>
        </w:rPr>
        <w:t>), which uses the brand You Mobile (</w:t>
      </w:r>
      <w:proofErr w:type="spellStart"/>
      <w:r w:rsidR="00FC6E06" w:rsidRPr="00FC6E06">
        <w:rPr>
          <w:rFonts w:ascii="Times New Roman" w:hAnsi="Times New Roman" w:cs="Times New Roman"/>
          <w:lang w:val="en-GB"/>
        </w:rPr>
        <w:t>Sonatel</w:t>
      </w:r>
      <w:proofErr w:type="spellEnd"/>
      <w:r w:rsidR="00FC6E06" w:rsidRPr="00FC6E06">
        <w:rPr>
          <w:rFonts w:ascii="Times New Roman" w:hAnsi="Times New Roman" w:cs="Times New Roman"/>
          <w:lang w:val="en-GB"/>
        </w:rPr>
        <w:t xml:space="preserve"> network), Sirius </w:t>
      </w:r>
      <w:proofErr w:type="spellStart"/>
      <w:r w:rsidR="00FC6E06" w:rsidRPr="00FC6E06">
        <w:rPr>
          <w:rFonts w:ascii="Times New Roman" w:hAnsi="Times New Roman" w:cs="Times New Roman"/>
          <w:lang w:val="en-GB"/>
        </w:rPr>
        <w:t>Télécoms</w:t>
      </w:r>
      <w:proofErr w:type="spellEnd"/>
      <w:r w:rsidR="00FC6E06" w:rsidRPr="00FC6E06">
        <w:rPr>
          <w:rFonts w:ascii="Times New Roman" w:hAnsi="Times New Roman" w:cs="Times New Roman"/>
          <w:lang w:val="en-GB"/>
        </w:rPr>
        <w:t xml:space="preserve"> (</w:t>
      </w:r>
      <w:proofErr w:type="spellStart"/>
      <w:r w:rsidR="00FC6E06" w:rsidRPr="00FC6E06">
        <w:rPr>
          <w:rFonts w:ascii="Times New Roman" w:hAnsi="Times New Roman" w:cs="Times New Roman"/>
          <w:lang w:val="en-GB"/>
        </w:rPr>
        <w:t>Tigo</w:t>
      </w:r>
      <w:proofErr w:type="spellEnd"/>
      <w:r w:rsidR="00FC6E06" w:rsidRPr="00FC6E06">
        <w:rPr>
          <w:rFonts w:ascii="Times New Roman" w:hAnsi="Times New Roman" w:cs="Times New Roman"/>
          <w:lang w:val="en-GB"/>
        </w:rPr>
        <w:t xml:space="preserve"> network) and </w:t>
      </w:r>
      <w:proofErr w:type="spellStart"/>
      <w:r w:rsidR="00FC6E06" w:rsidRPr="00FC6E06">
        <w:rPr>
          <w:rFonts w:ascii="Times New Roman" w:hAnsi="Times New Roman" w:cs="Times New Roman"/>
          <w:lang w:val="en-GB"/>
        </w:rPr>
        <w:t>Origines</w:t>
      </w:r>
      <w:proofErr w:type="spellEnd"/>
      <w:r w:rsidR="00FC6E06" w:rsidRPr="00FC6E06">
        <w:rPr>
          <w:rFonts w:ascii="Times New Roman" w:hAnsi="Times New Roman" w:cs="Times New Roman"/>
          <w:lang w:val="en-GB"/>
        </w:rPr>
        <w:t xml:space="preserve"> SA (Expresso network)</w:t>
      </w:r>
      <w:r w:rsidR="004438DC">
        <w:rPr>
          <w:rFonts w:ascii="Times New Roman" w:hAnsi="Times New Roman" w:cs="Times New Roman"/>
          <w:lang w:val="en-GB"/>
        </w:rPr>
        <w:t>)</w:t>
      </w:r>
      <w:r w:rsidR="00FC6E06" w:rsidRPr="00FC6E06">
        <w:rPr>
          <w:rFonts w:ascii="Times New Roman" w:hAnsi="Times New Roman" w:cs="Times New Roman"/>
          <w:lang w:val="en-GB"/>
        </w:rPr>
        <w:t>.</w:t>
      </w:r>
      <w:r w:rsidRPr="002C0BAD">
        <w:rPr>
          <w:rFonts w:ascii="Times New Roman" w:hAnsi="Times New Roman" w:cs="Times New Roman"/>
          <w:lang w:val="en-GB"/>
        </w:rPr>
        <w:t xml:space="preserve"> </w:t>
      </w:r>
      <w:r w:rsidRPr="00FE00E4">
        <w:rPr>
          <w:rFonts w:ascii="Times New Roman" w:hAnsi="Times New Roman" w:cs="Times New Roman"/>
        </w:rPr>
        <w:t>Senegal could also follow the example of countries where MVNOs have developed successfully under less-intrusive regulation.</w:t>
      </w:r>
      <w:r w:rsidR="00910646" w:rsidRPr="00910646">
        <w:rPr>
          <w:rFonts w:ascii="Times New Roman" w:hAnsi="Times New Roman" w:cs="Times New Roman"/>
          <w:color w:val="000000"/>
        </w:rPr>
        <w:t xml:space="preserve"> </w:t>
      </w:r>
      <w:r w:rsidR="00910646">
        <w:rPr>
          <w:rFonts w:ascii="Times New Roman" w:hAnsi="Times New Roman" w:cs="Times New Roman"/>
          <w:color w:val="000000"/>
        </w:rPr>
        <w:t>For example</w:t>
      </w:r>
      <w:r w:rsidR="00910646" w:rsidRPr="00BD08FB">
        <w:rPr>
          <w:rFonts w:ascii="Times New Roman" w:hAnsi="Times New Roman" w:cs="Times New Roman"/>
          <w:color w:val="000000"/>
        </w:rPr>
        <w:t>, the First National Bank in South Africa launched an MVNO in 2015, whic</w:t>
      </w:r>
      <w:r w:rsidR="00910646">
        <w:rPr>
          <w:rFonts w:ascii="Times New Roman" w:hAnsi="Times New Roman" w:cs="Times New Roman"/>
          <w:color w:val="000000"/>
        </w:rPr>
        <w:t>h attracted more than 200,000 custo</w:t>
      </w:r>
      <w:r w:rsidR="00910646" w:rsidRPr="00BD08FB">
        <w:rPr>
          <w:rFonts w:ascii="Times New Roman" w:hAnsi="Times New Roman" w:cs="Times New Roman"/>
          <w:color w:val="000000"/>
        </w:rPr>
        <w:t>mers in its first year</w:t>
      </w:r>
      <w:r w:rsidR="00910646">
        <w:rPr>
          <w:rFonts w:ascii="Times New Roman" w:hAnsi="Times New Roman" w:cs="Times New Roman"/>
          <w:color w:val="000000"/>
        </w:rPr>
        <w:t xml:space="preserve"> of operations</w:t>
      </w:r>
      <w:r w:rsidR="00910646" w:rsidRPr="00BD08FB">
        <w:rPr>
          <w:rFonts w:ascii="Times New Roman" w:hAnsi="Times New Roman" w:cs="Times New Roman"/>
          <w:color w:val="000000"/>
        </w:rPr>
        <w:t>. A similar move was made by Kenya’s Equity Bank, whilst traditional MVNOs</w:t>
      </w:r>
      <w:r w:rsidR="00910646">
        <w:rPr>
          <w:rFonts w:ascii="Times New Roman" w:hAnsi="Times New Roman" w:cs="Times New Roman"/>
          <w:color w:val="000000"/>
        </w:rPr>
        <w:t>,</w:t>
      </w:r>
      <w:r w:rsidR="00910646" w:rsidRPr="00BD08FB">
        <w:rPr>
          <w:rFonts w:ascii="Times New Roman" w:hAnsi="Times New Roman" w:cs="Times New Roman"/>
          <w:color w:val="000000"/>
        </w:rPr>
        <w:t xml:space="preserve"> such as </w:t>
      </w:r>
      <w:proofErr w:type="spellStart"/>
      <w:r w:rsidR="00910646" w:rsidRPr="00BD08FB">
        <w:rPr>
          <w:rFonts w:ascii="Times New Roman" w:hAnsi="Times New Roman" w:cs="Times New Roman"/>
          <w:color w:val="000000"/>
        </w:rPr>
        <w:t>Lycamobile</w:t>
      </w:r>
      <w:proofErr w:type="spellEnd"/>
      <w:r w:rsidR="00910646" w:rsidRPr="00BD08FB">
        <w:rPr>
          <w:rFonts w:ascii="Times New Roman" w:hAnsi="Times New Roman" w:cs="Times New Roman"/>
          <w:color w:val="000000"/>
        </w:rPr>
        <w:t xml:space="preserve"> have also ventured into mobile wallet and money transfer services.</w:t>
      </w:r>
    </w:p>
    <w:p w14:paraId="428252DB" w14:textId="77777777" w:rsidR="00726B79" w:rsidRPr="00C91EA2" w:rsidRDefault="00726B79" w:rsidP="00726B79">
      <w:pPr>
        <w:jc w:val="both"/>
        <w:rPr>
          <w:rFonts w:ascii="Times New Roman" w:hAnsi="Times New Roman" w:cs="Times New Roman"/>
        </w:rPr>
      </w:pPr>
    </w:p>
    <w:p w14:paraId="1CB16943" w14:textId="5BBF5205" w:rsidR="00726B79" w:rsidRPr="00C91EA2" w:rsidRDefault="00726B79" w:rsidP="00726B79">
      <w:pPr>
        <w:pStyle w:val="ListParagraph"/>
        <w:ind w:left="0"/>
        <w:jc w:val="both"/>
        <w:rPr>
          <w:rFonts w:ascii="Times New Roman" w:hAnsi="Times New Roman" w:cs="Times New Roman"/>
        </w:rPr>
      </w:pPr>
      <w:r w:rsidRPr="00C91EA2">
        <w:rPr>
          <w:rFonts w:ascii="Times New Roman" w:hAnsi="Times New Roman" w:cs="Times New Roman"/>
          <w:b/>
        </w:rPr>
        <w:t>ARTP</w:t>
      </w:r>
      <w:r w:rsidR="002E740E">
        <w:rPr>
          <w:rFonts w:ascii="Times New Roman" w:hAnsi="Times New Roman" w:cs="Times New Roman"/>
          <w:b/>
        </w:rPr>
        <w:t>’s</w:t>
      </w:r>
      <w:r w:rsidRPr="00C91EA2">
        <w:rPr>
          <w:rFonts w:ascii="Times New Roman" w:hAnsi="Times New Roman" w:cs="Times New Roman"/>
          <w:b/>
        </w:rPr>
        <w:t xml:space="preserve"> </w:t>
      </w:r>
      <w:r w:rsidR="002E740E">
        <w:rPr>
          <w:rFonts w:ascii="Times New Roman" w:hAnsi="Times New Roman" w:cs="Times New Roman"/>
          <w:b/>
        </w:rPr>
        <w:t xml:space="preserve">implementation of </w:t>
      </w:r>
      <w:r w:rsidRPr="00C91EA2">
        <w:rPr>
          <w:rFonts w:ascii="Times New Roman" w:hAnsi="Times New Roman" w:cs="Times New Roman"/>
          <w:b/>
        </w:rPr>
        <w:t xml:space="preserve">a procedure for number portability </w:t>
      </w:r>
      <w:r w:rsidR="002E740E">
        <w:rPr>
          <w:rFonts w:ascii="Times New Roman" w:hAnsi="Times New Roman" w:cs="Times New Roman"/>
          <w:b/>
        </w:rPr>
        <w:t xml:space="preserve">is a step in the right direction, </w:t>
      </w:r>
      <w:r w:rsidRPr="00C91EA2">
        <w:rPr>
          <w:rFonts w:ascii="Times New Roman" w:hAnsi="Times New Roman" w:cs="Times New Roman"/>
          <w:b/>
        </w:rPr>
        <w:t xml:space="preserve">in accordance with international best practices, </w:t>
      </w:r>
      <w:r w:rsidR="002A6D18">
        <w:rPr>
          <w:rFonts w:ascii="Times New Roman" w:hAnsi="Times New Roman" w:cs="Times New Roman"/>
          <w:b/>
        </w:rPr>
        <w:t xml:space="preserve">but </w:t>
      </w:r>
      <w:r w:rsidRPr="00C91EA2">
        <w:rPr>
          <w:rFonts w:ascii="Times New Roman" w:hAnsi="Times New Roman" w:cs="Times New Roman"/>
          <w:b/>
        </w:rPr>
        <w:t xml:space="preserve">the results have been modest so far, indicating </w:t>
      </w:r>
      <w:r>
        <w:rPr>
          <w:rFonts w:ascii="Times New Roman" w:hAnsi="Times New Roman" w:cs="Times New Roman"/>
          <w:b/>
        </w:rPr>
        <w:t xml:space="preserve">further </w:t>
      </w:r>
      <w:r w:rsidRPr="00C91EA2">
        <w:rPr>
          <w:rFonts w:ascii="Times New Roman" w:hAnsi="Times New Roman" w:cs="Times New Roman"/>
          <w:b/>
        </w:rPr>
        <w:t xml:space="preserve">regulatory </w:t>
      </w:r>
      <w:r w:rsidR="00C55699">
        <w:rPr>
          <w:rFonts w:ascii="Times New Roman" w:hAnsi="Times New Roman" w:cs="Times New Roman"/>
          <w:b/>
        </w:rPr>
        <w:t>challenges</w:t>
      </w:r>
      <w:r w:rsidRPr="00C91EA2">
        <w:rPr>
          <w:rFonts w:ascii="Times New Roman" w:hAnsi="Times New Roman" w:cs="Times New Roman"/>
          <w:b/>
        </w:rPr>
        <w:t xml:space="preserve">. </w:t>
      </w:r>
      <w:r>
        <w:rPr>
          <w:rFonts w:ascii="Times New Roman" w:hAnsi="Times New Roman" w:cs="Times New Roman"/>
        </w:rPr>
        <w:t>This is mainly related to</w:t>
      </w:r>
      <w:r w:rsidRPr="0002555D">
        <w:rPr>
          <w:rFonts w:ascii="Times New Roman" w:hAnsi="Times New Roman" w:cs="Times New Roman"/>
        </w:rPr>
        <w:t xml:space="preserve"> </w:t>
      </w:r>
      <w:r>
        <w:rPr>
          <w:rFonts w:ascii="Times New Roman" w:hAnsi="Times New Roman" w:cs="Times New Roman"/>
        </w:rPr>
        <w:t>the</w:t>
      </w:r>
      <w:r w:rsidRPr="0002555D">
        <w:rPr>
          <w:rFonts w:ascii="Times New Roman" w:hAnsi="Times New Roman" w:cs="Times New Roman"/>
        </w:rPr>
        <w:t xml:space="preserve"> high cost (10 USD) associated with number portability</w:t>
      </w:r>
      <w:r>
        <w:rPr>
          <w:rFonts w:ascii="Times New Roman" w:hAnsi="Times New Roman" w:cs="Times New Roman"/>
        </w:rPr>
        <w:t>, which apparently deter</w:t>
      </w:r>
      <w:r w:rsidR="00F37FC8">
        <w:rPr>
          <w:rFonts w:ascii="Times New Roman" w:hAnsi="Times New Roman" w:cs="Times New Roman"/>
        </w:rPr>
        <w:t>red</w:t>
      </w:r>
      <w:r>
        <w:rPr>
          <w:rFonts w:ascii="Times New Roman" w:hAnsi="Times New Roman" w:cs="Times New Roman"/>
        </w:rPr>
        <w:t xml:space="preserve"> telecommunication operators from encouraging number transfer</w:t>
      </w:r>
      <w:r w:rsidRPr="00C91EA2">
        <w:rPr>
          <w:rFonts w:ascii="Times New Roman" w:hAnsi="Times New Roman" w:cs="Times New Roman"/>
        </w:rPr>
        <w:t>.</w:t>
      </w:r>
      <w:r>
        <w:rPr>
          <w:rStyle w:val="FootnoteReference"/>
          <w:rFonts w:ascii="Times New Roman" w:hAnsi="Times New Roman" w:cs="Times New Roman"/>
        </w:rPr>
        <w:footnoteReference w:id="34"/>
      </w:r>
      <w:r>
        <w:rPr>
          <w:rFonts w:ascii="Times New Roman" w:hAnsi="Times New Roman" w:cs="Times New Roman"/>
        </w:rPr>
        <w:t xml:space="preserve"> </w:t>
      </w:r>
    </w:p>
    <w:p w14:paraId="5D1FF0AD" w14:textId="77777777" w:rsidR="00726B79" w:rsidRDefault="00726B79" w:rsidP="00726B79">
      <w:pPr>
        <w:pStyle w:val="ListParagraph"/>
        <w:ind w:left="0"/>
        <w:jc w:val="both"/>
        <w:rPr>
          <w:rFonts w:ascii="Times New Roman" w:hAnsi="Times New Roman" w:cs="Times New Roman"/>
          <w:bCs/>
        </w:rPr>
      </w:pPr>
    </w:p>
    <w:p w14:paraId="2D6105AC" w14:textId="77777777" w:rsidR="00726B79" w:rsidRPr="00E002C1" w:rsidRDefault="00726B79" w:rsidP="00726B79">
      <w:pPr>
        <w:pStyle w:val="ListParagraph"/>
        <w:ind w:left="0"/>
        <w:jc w:val="both"/>
        <w:rPr>
          <w:rFonts w:ascii="Times New Roman" w:hAnsi="Times New Roman" w:cs="Times New Roman"/>
          <w:bCs/>
          <w:i/>
        </w:rPr>
      </w:pPr>
      <w:r>
        <w:rPr>
          <w:rFonts w:ascii="Times New Roman" w:hAnsi="Times New Roman" w:cs="Times New Roman"/>
          <w:bCs/>
          <w:i/>
        </w:rPr>
        <w:t>Lack of framework to promote entry by facilities-based competitors</w:t>
      </w:r>
      <w:r w:rsidRPr="00EF78E4">
        <w:rPr>
          <w:rStyle w:val="FootnoteReference"/>
          <w:rFonts w:ascii="Times New Roman" w:hAnsi="Times New Roman" w:cs="Times New Roman"/>
        </w:rPr>
        <w:footnoteReference w:id="35"/>
      </w:r>
    </w:p>
    <w:p w14:paraId="7E2375BE" w14:textId="77777777" w:rsidR="00726B79" w:rsidRDefault="00726B79" w:rsidP="00726B79">
      <w:pPr>
        <w:pStyle w:val="ListParagraph"/>
        <w:ind w:left="0"/>
        <w:jc w:val="both"/>
        <w:rPr>
          <w:rFonts w:ascii="Times New Roman" w:hAnsi="Times New Roman" w:cs="Times New Roman"/>
          <w:bCs/>
        </w:rPr>
      </w:pPr>
    </w:p>
    <w:p w14:paraId="26B9DCEE" w14:textId="6DA36D85" w:rsidR="00F37FC8" w:rsidRDefault="00726B79" w:rsidP="00726B79">
      <w:pPr>
        <w:pStyle w:val="ListParagraph"/>
        <w:ind w:left="0"/>
        <w:jc w:val="both"/>
        <w:rPr>
          <w:rFonts w:ascii="Times New Roman" w:hAnsi="Times New Roman" w:cs="Times New Roman"/>
        </w:rPr>
      </w:pPr>
      <w:r w:rsidRPr="00C91EA2">
        <w:rPr>
          <w:rFonts w:ascii="Times New Roman" w:hAnsi="Times New Roman" w:cs="Times New Roman"/>
          <w:b/>
        </w:rPr>
        <w:t xml:space="preserve">The Senegalese telecom regulatory framework </w:t>
      </w:r>
      <w:r w:rsidR="000E4F36">
        <w:rPr>
          <w:rFonts w:ascii="Times New Roman" w:hAnsi="Times New Roman" w:cs="Times New Roman"/>
          <w:b/>
        </w:rPr>
        <w:t>will require a</w:t>
      </w:r>
      <w:r w:rsidRPr="00C91EA2">
        <w:rPr>
          <w:rFonts w:ascii="Times New Roman" w:hAnsi="Times New Roman" w:cs="Times New Roman"/>
          <w:b/>
        </w:rPr>
        <w:t xml:space="preserve"> well-defined approach </w:t>
      </w:r>
      <w:r>
        <w:rPr>
          <w:rFonts w:ascii="Times New Roman" w:hAnsi="Times New Roman" w:cs="Times New Roman"/>
          <w:b/>
        </w:rPr>
        <w:t xml:space="preserve">for regulating wholesale markets. </w:t>
      </w:r>
      <w:proofErr w:type="gramStart"/>
      <w:r w:rsidR="002E740E" w:rsidRPr="007575D7">
        <w:rPr>
          <w:rFonts w:ascii="Times New Roman" w:hAnsi="Times New Roman" w:cs="Times New Roman"/>
        </w:rPr>
        <w:t>In particular, the</w:t>
      </w:r>
      <w:proofErr w:type="gramEnd"/>
      <w:r w:rsidR="002E740E" w:rsidRPr="007575D7">
        <w:rPr>
          <w:rFonts w:ascii="Times New Roman" w:hAnsi="Times New Roman" w:cs="Times New Roman"/>
        </w:rPr>
        <w:t xml:space="preserve"> regulatory framework</w:t>
      </w:r>
      <w:r w:rsidR="002E740E">
        <w:rPr>
          <w:rFonts w:ascii="Times New Roman" w:hAnsi="Times New Roman" w:cs="Times New Roman"/>
          <w:b/>
        </w:rPr>
        <w:t xml:space="preserve"> </w:t>
      </w:r>
      <w:r w:rsidR="002E740E">
        <w:rPr>
          <w:rFonts w:ascii="Times New Roman" w:hAnsi="Times New Roman" w:cs="Times New Roman"/>
        </w:rPr>
        <w:t xml:space="preserve">still needs to develop </w:t>
      </w:r>
      <w:r w:rsidRPr="00693AF8">
        <w:rPr>
          <w:rFonts w:ascii="Times New Roman" w:hAnsi="Times New Roman" w:cs="Times New Roman"/>
        </w:rPr>
        <w:t xml:space="preserve">the adequate tools for identifying essential facilities (non-replicable assets) and </w:t>
      </w:r>
      <w:r w:rsidR="00291B24">
        <w:rPr>
          <w:rFonts w:ascii="Times New Roman" w:hAnsi="Times New Roman" w:cs="Times New Roman"/>
        </w:rPr>
        <w:t xml:space="preserve">for </w:t>
      </w:r>
      <w:r w:rsidRPr="00693AF8">
        <w:rPr>
          <w:rFonts w:ascii="Times New Roman" w:hAnsi="Times New Roman" w:cs="Times New Roman"/>
        </w:rPr>
        <w:t>allowing regulated access to those assets by competitors on a fair and non-discriminatory basis.</w:t>
      </w:r>
      <w:r>
        <w:rPr>
          <w:rFonts w:ascii="Times New Roman" w:hAnsi="Times New Roman" w:cs="Times New Roman"/>
          <w:b/>
        </w:rPr>
        <w:t xml:space="preserve"> </w:t>
      </w:r>
      <w:r w:rsidRPr="009E575E">
        <w:rPr>
          <w:rFonts w:ascii="Times New Roman" w:hAnsi="Times New Roman" w:cs="Times New Roman"/>
        </w:rPr>
        <w:t xml:space="preserve">Even though </w:t>
      </w:r>
      <w:proofErr w:type="spellStart"/>
      <w:r w:rsidRPr="009E575E">
        <w:rPr>
          <w:rFonts w:ascii="Times New Roman" w:hAnsi="Times New Roman" w:cs="Times New Roman"/>
        </w:rPr>
        <w:t>Sonatel</w:t>
      </w:r>
      <w:proofErr w:type="spellEnd"/>
      <w:r w:rsidRPr="009E575E">
        <w:rPr>
          <w:rFonts w:ascii="Times New Roman" w:hAnsi="Times New Roman" w:cs="Times New Roman"/>
        </w:rPr>
        <w:t xml:space="preserve"> has been declared a dominant operator, ARTP has not imposed conditions on infrastructure sharing.</w:t>
      </w:r>
      <w:r>
        <w:rPr>
          <w:rFonts w:ascii="Times New Roman" w:hAnsi="Times New Roman" w:cs="Times New Roman"/>
        </w:rPr>
        <w:t xml:space="preserve"> </w:t>
      </w:r>
      <w:r w:rsidRPr="00410F00">
        <w:rPr>
          <w:rFonts w:ascii="Times New Roman" w:hAnsi="Times New Roman" w:cs="Times New Roman"/>
        </w:rPr>
        <w:t xml:space="preserve">Furthermore, the Telecommunications Code </w:t>
      </w:r>
      <w:r w:rsidR="00E900A8">
        <w:rPr>
          <w:rFonts w:ascii="Times New Roman" w:hAnsi="Times New Roman" w:cs="Times New Roman"/>
        </w:rPr>
        <w:t xml:space="preserve">is unclear </w:t>
      </w:r>
      <w:r w:rsidR="003E3AD1">
        <w:rPr>
          <w:rFonts w:ascii="Times New Roman" w:hAnsi="Times New Roman" w:cs="Times New Roman"/>
        </w:rPr>
        <w:t>about</w:t>
      </w:r>
      <w:r w:rsidR="00E900A8">
        <w:rPr>
          <w:rFonts w:ascii="Times New Roman" w:hAnsi="Times New Roman" w:cs="Times New Roman"/>
        </w:rPr>
        <w:t xml:space="preserve"> the applicable procedure (or the cost) for </w:t>
      </w:r>
      <w:r w:rsidR="000122D9">
        <w:rPr>
          <w:rFonts w:ascii="Times New Roman" w:hAnsi="Times New Roman" w:cs="Times New Roman"/>
        </w:rPr>
        <w:t>setting</w:t>
      </w:r>
      <w:r w:rsidR="00F37FC8">
        <w:rPr>
          <w:rFonts w:ascii="Times New Roman" w:hAnsi="Times New Roman" w:cs="Times New Roman"/>
        </w:rPr>
        <w:t>-</w:t>
      </w:r>
      <w:r w:rsidR="000122D9">
        <w:rPr>
          <w:rFonts w:ascii="Times New Roman" w:hAnsi="Times New Roman" w:cs="Times New Roman"/>
        </w:rPr>
        <w:t xml:space="preserve">up a cable landing station or </w:t>
      </w:r>
      <w:r w:rsidR="00E900A8">
        <w:rPr>
          <w:rFonts w:ascii="Times New Roman" w:hAnsi="Times New Roman" w:cs="Times New Roman"/>
        </w:rPr>
        <w:t xml:space="preserve">accessing </w:t>
      </w:r>
      <w:r w:rsidRPr="00A77445">
        <w:rPr>
          <w:rFonts w:ascii="Times New Roman" w:hAnsi="Times New Roman" w:cs="Times New Roman"/>
        </w:rPr>
        <w:t>a submarine cable.</w:t>
      </w:r>
      <w:r w:rsidRPr="009E575E">
        <w:rPr>
          <w:rFonts w:ascii="Times New Roman" w:hAnsi="Times New Roman" w:cs="Times New Roman"/>
        </w:rPr>
        <w:t xml:space="preserve"> </w:t>
      </w:r>
      <w:r w:rsidR="006147C9" w:rsidRPr="007575D7">
        <w:rPr>
          <w:rFonts w:ascii="Times New Roman" w:hAnsi="Times New Roman" w:cs="Times New Roman"/>
        </w:rPr>
        <w:t xml:space="preserve">International experience demonstrates that where access to international gateway has been opened to competition, prices </w:t>
      </w:r>
      <w:r w:rsidR="006147C9">
        <w:rPr>
          <w:rFonts w:ascii="Times New Roman" w:hAnsi="Times New Roman" w:cs="Times New Roman"/>
        </w:rPr>
        <w:t>dropped,</w:t>
      </w:r>
      <w:r w:rsidR="006147C9" w:rsidRPr="007575D7">
        <w:rPr>
          <w:rFonts w:ascii="Times New Roman" w:hAnsi="Times New Roman" w:cs="Times New Roman"/>
        </w:rPr>
        <w:t xml:space="preserve"> and demand went</w:t>
      </w:r>
      <w:r w:rsidR="00F37FC8">
        <w:rPr>
          <w:rFonts w:ascii="Times New Roman" w:hAnsi="Times New Roman" w:cs="Times New Roman"/>
        </w:rPr>
        <w:t>-</w:t>
      </w:r>
      <w:r w:rsidR="006147C9" w:rsidRPr="007575D7">
        <w:rPr>
          <w:rFonts w:ascii="Times New Roman" w:hAnsi="Times New Roman" w:cs="Times New Roman"/>
        </w:rPr>
        <w:t>up</w:t>
      </w:r>
      <w:r w:rsidR="000E4F36">
        <w:rPr>
          <w:rFonts w:ascii="Times New Roman" w:hAnsi="Times New Roman" w:cs="Times New Roman"/>
        </w:rPr>
        <w:t xml:space="preserve">. </w:t>
      </w:r>
      <w:r w:rsidR="006147C9" w:rsidRPr="006147C9">
        <w:rPr>
          <w:rStyle w:val="FootnoteReference"/>
          <w:rFonts w:ascii="Times New Roman" w:hAnsi="Times New Roman" w:cs="Times New Roman"/>
        </w:rPr>
        <w:footnoteReference w:id="36"/>
      </w:r>
      <w:r w:rsidR="006147C9">
        <w:rPr>
          <w:rFonts w:ascii="Times New Roman" w:hAnsi="Times New Roman" w:cs="Times New Roman"/>
        </w:rPr>
        <w:t xml:space="preserve"> </w:t>
      </w:r>
      <w:r w:rsidR="000E4F36">
        <w:rPr>
          <w:rFonts w:ascii="Times New Roman" w:hAnsi="Times New Roman" w:cs="Times New Roman"/>
        </w:rPr>
        <w:t xml:space="preserve">For example, </w:t>
      </w:r>
      <w:r w:rsidR="006147C9" w:rsidRPr="006147C9">
        <w:rPr>
          <w:rFonts w:ascii="Times New Roman" w:hAnsi="Times New Roman" w:cs="Times New Roman"/>
        </w:rPr>
        <w:t>when Chile fully opened international services to competition, the weighted average call charges to major destinations declined by 50 percent between 1991 and 1998, and traffic i</w:t>
      </w:r>
      <w:r w:rsidR="006147C9">
        <w:rPr>
          <w:rFonts w:ascii="Times New Roman" w:hAnsi="Times New Roman" w:cs="Times New Roman"/>
        </w:rPr>
        <w:t>ncreased fourfold</w:t>
      </w:r>
      <w:r w:rsidR="002D34C0">
        <w:rPr>
          <w:rFonts w:ascii="Times New Roman" w:hAnsi="Times New Roman" w:cs="Times New Roman"/>
        </w:rPr>
        <w:t>;</w:t>
      </w:r>
      <w:r w:rsidR="006147C9" w:rsidRPr="00C91EA2">
        <w:rPr>
          <w:rStyle w:val="FootnoteReference"/>
          <w:rFonts w:ascii="Times New Roman" w:hAnsi="Times New Roman" w:cs="Times New Roman"/>
        </w:rPr>
        <w:footnoteReference w:id="37"/>
      </w:r>
      <w:r w:rsidR="006147C9">
        <w:rPr>
          <w:rFonts w:ascii="Times New Roman" w:hAnsi="Times New Roman" w:cs="Times New Roman"/>
        </w:rPr>
        <w:t xml:space="preserve"> Singapore’s </w:t>
      </w:r>
      <w:r w:rsidR="006147C9" w:rsidRPr="00C91EA2">
        <w:rPr>
          <w:rFonts w:ascii="Times New Roman" w:hAnsi="Times New Roman" w:cs="Times New Roman"/>
        </w:rPr>
        <w:t>opening of international gateways to competition led to more players entering the market and to a drop greater than 90 percent in international dialing charges since 2000, whilst charges for international private leased circuits dropped by around 95 percent</w:t>
      </w:r>
      <w:r w:rsidR="000E4F36">
        <w:rPr>
          <w:rFonts w:ascii="Times New Roman" w:hAnsi="Times New Roman" w:cs="Times New Roman"/>
        </w:rPr>
        <w:t>.</w:t>
      </w:r>
      <w:r w:rsidR="006147C9" w:rsidRPr="00C91EA2">
        <w:rPr>
          <w:rStyle w:val="FootnoteReference"/>
          <w:rFonts w:ascii="Times New Roman" w:hAnsi="Times New Roman" w:cs="Times New Roman"/>
        </w:rPr>
        <w:footnoteReference w:id="38"/>
      </w:r>
      <w:r w:rsidR="006147C9" w:rsidRPr="006147C9">
        <w:rPr>
          <w:rFonts w:ascii="Times New Roman" w:hAnsi="Times New Roman" w:cs="Times New Roman"/>
        </w:rPr>
        <w:t xml:space="preserve"> </w:t>
      </w:r>
      <w:r w:rsidR="003B6289">
        <w:rPr>
          <w:rFonts w:ascii="Times New Roman" w:hAnsi="Times New Roman" w:cs="Times New Roman"/>
        </w:rPr>
        <w:t>A</w:t>
      </w:r>
      <w:r w:rsidRPr="009E575E">
        <w:rPr>
          <w:rFonts w:ascii="Times New Roman" w:hAnsi="Times New Roman" w:cs="Times New Roman"/>
        </w:rPr>
        <w:t xml:space="preserve">lthough </w:t>
      </w:r>
      <w:proofErr w:type="spellStart"/>
      <w:r w:rsidRPr="009E575E">
        <w:rPr>
          <w:rFonts w:ascii="Times New Roman" w:hAnsi="Times New Roman" w:cs="Times New Roman"/>
        </w:rPr>
        <w:t>Sonatel</w:t>
      </w:r>
      <w:proofErr w:type="spellEnd"/>
      <w:r w:rsidRPr="009E575E">
        <w:rPr>
          <w:rFonts w:ascii="Times New Roman" w:hAnsi="Times New Roman" w:cs="Times New Roman"/>
        </w:rPr>
        <w:t xml:space="preserve"> does not have a legal monopoly over the operation of a su</w:t>
      </w:r>
      <w:r w:rsidRPr="00C91EA2">
        <w:rPr>
          <w:rFonts w:ascii="Times New Roman" w:hAnsi="Times New Roman" w:cs="Times New Roman"/>
        </w:rPr>
        <w:t xml:space="preserve">bmarine cable landing station, the absence of a clear regulatory framework in </w:t>
      </w:r>
      <w:r w:rsidRPr="009E575E">
        <w:rPr>
          <w:rFonts w:ascii="Times New Roman" w:hAnsi="Times New Roman" w:cs="Times New Roman"/>
        </w:rPr>
        <w:t xml:space="preserve">this regard </w:t>
      </w:r>
      <w:r w:rsidRPr="0050100E">
        <w:rPr>
          <w:rFonts w:ascii="Times New Roman" w:hAnsi="Times New Roman" w:cs="Times New Roman"/>
        </w:rPr>
        <w:t xml:space="preserve">increases uncertainty, thus limiting entry, and potentially reinforcing the incumbent’s position. </w:t>
      </w:r>
      <w:r w:rsidR="002D1C2B" w:rsidRPr="002D1C2B">
        <w:rPr>
          <w:rFonts w:ascii="Times New Roman" w:hAnsi="Times New Roman" w:cs="Times New Roman"/>
        </w:rPr>
        <w:t xml:space="preserve"> </w:t>
      </w:r>
      <w:r w:rsidR="002D1C2B" w:rsidRPr="00FE00E4">
        <w:rPr>
          <w:rFonts w:ascii="Times New Roman" w:hAnsi="Times New Roman" w:cs="Times New Roman"/>
        </w:rPr>
        <w:t>The use of government backbone infrastructure by private operators would also help operators build a national (virtual) network for data transmission services.</w:t>
      </w:r>
      <w:r w:rsidR="002D1C2B">
        <w:rPr>
          <w:rFonts w:ascii="Times New Roman" w:hAnsi="Times New Roman" w:cs="Times New Roman"/>
        </w:rPr>
        <w:t xml:space="preserve"> </w:t>
      </w:r>
      <w:r w:rsidR="00F37FC8">
        <w:rPr>
          <w:rFonts w:ascii="Times New Roman" w:hAnsi="Times New Roman" w:cs="Times New Roman"/>
        </w:rPr>
        <w:t>However</w:t>
      </w:r>
      <w:r w:rsidR="002D1C2B">
        <w:rPr>
          <w:rFonts w:ascii="Times New Roman" w:hAnsi="Times New Roman" w:cs="Times New Roman"/>
        </w:rPr>
        <w:t>, t</w:t>
      </w:r>
      <w:r w:rsidR="002D1C2B" w:rsidRPr="00007A93">
        <w:rPr>
          <w:rFonts w:ascii="Times New Roman" w:hAnsi="Times New Roman" w:cs="Times New Roman"/>
        </w:rPr>
        <w:t>he current regulatory framework lacks clarity regarding the possibility of regulating access to State-owned infrastructure under the Telecommunications Code, which has led to unused digital spare capacity.</w:t>
      </w:r>
      <w:r w:rsidR="002D1C2B">
        <w:rPr>
          <w:rStyle w:val="FootnoteReference"/>
          <w:rFonts w:ascii="Times New Roman" w:hAnsi="Times New Roman" w:cs="Times New Roman"/>
        </w:rPr>
        <w:footnoteReference w:id="39"/>
      </w:r>
      <w:r w:rsidR="002D1C2B">
        <w:rPr>
          <w:rFonts w:ascii="Times New Roman" w:hAnsi="Times New Roman" w:cs="Times New Roman"/>
        </w:rPr>
        <w:t xml:space="preserve"> </w:t>
      </w:r>
    </w:p>
    <w:p w14:paraId="207A35AB" w14:textId="77777777" w:rsidR="00726B79" w:rsidRDefault="00726B79" w:rsidP="00726B79">
      <w:pPr>
        <w:pStyle w:val="ListParagraph"/>
        <w:ind w:left="0"/>
        <w:jc w:val="both"/>
        <w:rPr>
          <w:rFonts w:ascii="Times New Roman" w:hAnsi="Times New Roman" w:cs="Times New Roman"/>
        </w:rPr>
      </w:pPr>
    </w:p>
    <w:p w14:paraId="0B69A60F" w14:textId="77777777" w:rsidR="00726B79" w:rsidRPr="00E002C1" w:rsidRDefault="00726B79" w:rsidP="00726B79">
      <w:pPr>
        <w:pStyle w:val="ListParagraph"/>
        <w:ind w:left="0"/>
        <w:jc w:val="both"/>
        <w:rPr>
          <w:rFonts w:ascii="Times New Roman" w:hAnsi="Times New Roman" w:cs="Times New Roman"/>
          <w:i/>
        </w:rPr>
      </w:pPr>
      <w:r>
        <w:rPr>
          <w:rFonts w:ascii="Times New Roman" w:hAnsi="Times New Roman" w:cs="Times New Roman"/>
          <w:i/>
        </w:rPr>
        <w:t>Restrictions in competition between last-mile providers</w:t>
      </w:r>
    </w:p>
    <w:p w14:paraId="6F14451E" w14:textId="77777777" w:rsidR="00726B79" w:rsidRPr="00C91EA2" w:rsidRDefault="00726B79" w:rsidP="00726B79">
      <w:pPr>
        <w:pStyle w:val="ListParagraph"/>
        <w:ind w:left="0"/>
        <w:jc w:val="both"/>
        <w:rPr>
          <w:rFonts w:ascii="Times New Roman" w:hAnsi="Times New Roman" w:cs="Times New Roman"/>
        </w:rPr>
      </w:pPr>
    </w:p>
    <w:p w14:paraId="719A2694" w14:textId="40F5095C" w:rsidR="006310E1" w:rsidRPr="00AF4E09" w:rsidRDefault="00726B79" w:rsidP="00726B79">
      <w:pPr>
        <w:pStyle w:val="ListParagraph"/>
        <w:ind w:left="0"/>
        <w:jc w:val="both"/>
        <w:rPr>
          <w:rFonts w:ascii="Times New Roman" w:hAnsi="Times New Roman" w:cs="Times New Roman"/>
        </w:rPr>
      </w:pPr>
      <w:r w:rsidRPr="00C91EA2">
        <w:rPr>
          <w:rFonts w:ascii="Times New Roman" w:hAnsi="Times New Roman" w:cs="Times New Roman"/>
          <w:b/>
        </w:rPr>
        <w:t xml:space="preserve">Furthermore, the way in which licenses and </w:t>
      </w:r>
      <w:r w:rsidR="00E900A8">
        <w:rPr>
          <w:rFonts w:ascii="Times New Roman" w:hAnsi="Times New Roman" w:cs="Times New Roman"/>
          <w:b/>
        </w:rPr>
        <w:t>authorizations</w:t>
      </w:r>
      <w:r w:rsidR="00E900A8" w:rsidRPr="00C91EA2">
        <w:rPr>
          <w:rFonts w:ascii="Times New Roman" w:hAnsi="Times New Roman" w:cs="Times New Roman"/>
          <w:b/>
        </w:rPr>
        <w:t xml:space="preserve"> </w:t>
      </w:r>
      <w:r w:rsidR="00D265A9">
        <w:rPr>
          <w:rFonts w:ascii="Times New Roman" w:hAnsi="Times New Roman" w:cs="Times New Roman"/>
          <w:b/>
        </w:rPr>
        <w:t xml:space="preserve">are granted </w:t>
      </w:r>
      <w:r w:rsidR="00AC148D">
        <w:rPr>
          <w:rFonts w:ascii="Times New Roman" w:hAnsi="Times New Roman" w:cs="Times New Roman"/>
          <w:b/>
        </w:rPr>
        <w:t>will require further clarifications to enhance pro-competition outcomes</w:t>
      </w:r>
      <w:r w:rsidRPr="00C91EA2">
        <w:rPr>
          <w:rFonts w:ascii="Times New Roman" w:hAnsi="Times New Roman" w:cs="Times New Roman"/>
          <w:b/>
        </w:rPr>
        <w:t xml:space="preserve">. </w:t>
      </w:r>
      <w:r w:rsidR="00AC148D">
        <w:rPr>
          <w:rFonts w:ascii="Times New Roman" w:hAnsi="Times New Roman" w:cs="Times New Roman"/>
        </w:rPr>
        <w:t>According to</w:t>
      </w:r>
      <w:r w:rsidR="006147C9" w:rsidRPr="007575D7">
        <w:rPr>
          <w:rFonts w:ascii="Times New Roman" w:hAnsi="Times New Roman" w:cs="Times New Roman"/>
        </w:rPr>
        <w:t xml:space="preserve"> </w:t>
      </w:r>
      <w:r w:rsidR="00EC76DF">
        <w:rPr>
          <w:rFonts w:ascii="Times New Roman" w:hAnsi="Times New Roman" w:cs="Times New Roman"/>
        </w:rPr>
        <w:t xml:space="preserve">the 2017 amendments to the Telecommunications Code, </w:t>
      </w:r>
      <w:r w:rsidR="00AC148D">
        <w:rPr>
          <w:rFonts w:ascii="Times New Roman" w:hAnsi="Times New Roman" w:cs="Times New Roman"/>
        </w:rPr>
        <w:t xml:space="preserve">the </w:t>
      </w:r>
      <w:r w:rsidR="00EC76DF">
        <w:rPr>
          <w:rFonts w:ascii="Times New Roman" w:hAnsi="Times New Roman" w:cs="Times New Roman"/>
        </w:rPr>
        <w:t xml:space="preserve">ISPs are </w:t>
      </w:r>
      <w:r w:rsidR="00D20206">
        <w:rPr>
          <w:rFonts w:ascii="Times New Roman" w:hAnsi="Times New Roman" w:cs="Times New Roman"/>
        </w:rPr>
        <w:t xml:space="preserve">now </w:t>
      </w:r>
      <w:r w:rsidR="00EC76DF">
        <w:rPr>
          <w:rFonts w:ascii="Times New Roman" w:hAnsi="Times New Roman" w:cs="Times New Roman"/>
        </w:rPr>
        <w:t xml:space="preserve">subject to an authorization to enter the market. </w:t>
      </w:r>
      <w:r w:rsidR="00AC148D">
        <w:rPr>
          <w:rFonts w:ascii="Times New Roman" w:hAnsi="Times New Roman" w:cs="Times New Roman"/>
        </w:rPr>
        <w:t>This</w:t>
      </w:r>
      <w:r w:rsidR="00EC76DF">
        <w:rPr>
          <w:rFonts w:ascii="Times New Roman" w:hAnsi="Times New Roman" w:cs="Times New Roman"/>
        </w:rPr>
        <w:t xml:space="preserve"> represents a</w:t>
      </w:r>
      <w:r w:rsidR="00AC148D">
        <w:rPr>
          <w:rFonts w:ascii="Times New Roman" w:hAnsi="Times New Roman" w:cs="Times New Roman"/>
        </w:rPr>
        <w:t xml:space="preserve">n important </w:t>
      </w:r>
      <w:r w:rsidR="00EC76DF" w:rsidRPr="00EC76DF">
        <w:rPr>
          <w:rFonts w:ascii="Times New Roman" w:hAnsi="Times New Roman" w:cs="Times New Roman"/>
        </w:rPr>
        <w:t>step in the right direction</w:t>
      </w:r>
      <w:r w:rsidR="00ED1D16">
        <w:rPr>
          <w:rFonts w:ascii="Times New Roman" w:hAnsi="Times New Roman" w:cs="Times New Roman"/>
        </w:rPr>
        <w:t>.</w:t>
      </w:r>
      <w:r w:rsidR="00ED1D16">
        <w:rPr>
          <w:rStyle w:val="FootnoteReference"/>
          <w:rFonts w:ascii="Times New Roman" w:hAnsi="Times New Roman" w:cs="Times New Roman"/>
        </w:rPr>
        <w:footnoteReference w:id="40"/>
      </w:r>
      <w:r w:rsidR="00ED1D16">
        <w:rPr>
          <w:rFonts w:ascii="Times New Roman" w:hAnsi="Times New Roman" w:cs="Times New Roman"/>
        </w:rPr>
        <w:t xml:space="preserve"> Going forward</w:t>
      </w:r>
      <w:r w:rsidR="00AC148D">
        <w:rPr>
          <w:rFonts w:ascii="Times New Roman" w:hAnsi="Times New Roman" w:cs="Times New Roman"/>
        </w:rPr>
        <w:t xml:space="preserve">, </w:t>
      </w:r>
      <w:r w:rsidR="00EC76DF" w:rsidRPr="00EC76DF">
        <w:rPr>
          <w:rFonts w:ascii="Times New Roman" w:hAnsi="Times New Roman" w:cs="Times New Roman"/>
        </w:rPr>
        <w:t xml:space="preserve">the </w:t>
      </w:r>
      <w:r w:rsidR="00E00287">
        <w:rPr>
          <w:rFonts w:ascii="Times New Roman" w:hAnsi="Times New Roman" w:cs="Times New Roman"/>
        </w:rPr>
        <w:t xml:space="preserve">regulatory </w:t>
      </w:r>
      <w:r w:rsidR="00EC76DF" w:rsidRPr="00EC76DF">
        <w:rPr>
          <w:rFonts w:ascii="Times New Roman" w:hAnsi="Times New Roman" w:cs="Times New Roman"/>
        </w:rPr>
        <w:t xml:space="preserve">framework </w:t>
      </w:r>
      <w:r w:rsidR="00EC76DF" w:rsidRPr="00E00287">
        <w:rPr>
          <w:rFonts w:ascii="Times New Roman" w:hAnsi="Times New Roman" w:cs="Times New Roman"/>
        </w:rPr>
        <w:t>governing the issuing of an authorization</w:t>
      </w:r>
      <w:r w:rsidR="00E00287" w:rsidRPr="007575D7">
        <w:rPr>
          <w:rFonts w:ascii="Times New Roman" w:hAnsi="Times New Roman" w:cs="Times New Roman"/>
          <w:color w:val="212121"/>
        </w:rPr>
        <w:t xml:space="preserve"> should be broadened so that it applies to all administrative procedures where no scarce resources, such as frequencies, are involved and </w:t>
      </w:r>
      <w:r w:rsidR="00AC148D" w:rsidRPr="007575D7">
        <w:rPr>
          <w:rFonts w:ascii="Times New Roman" w:hAnsi="Times New Roman" w:cs="Times New Roman"/>
          <w:color w:val="212121"/>
        </w:rPr>
        <w:t>can benefit from further clarifications</w:t>
      </w:r>
      <w:r w:rsidR="00EC76DF" w:rsidRPr="007575D7">
        <w:rPr>
          <w:rFonts w:ascii="Times New Roman" w:hAnsi="Times New Roman" w:cs="Times New Roman"/>
          <w:color w:val="212121"/>
        </w:rPr>
        <w:t xml:space="preserve">. </w:t>
      </w:r>
      <w:r w:rsidR="00E00287">
        <w:rPr>
          <w:rFonts w:ascii="Times New Roman" w:hAnsi="Times New Roman" w:cs="Times New Roman"/>
          <w:color w:val="212121"/>
        </w:rPr>
        <w:t>Further</w:t>
      </w:r>
      <w:r w:rsidR="00E00287" w:rsidRPr="007575D7">
        <w:rPr>
          <w:rFonts w:ascii="Times New Roman" w:hAnsi="Times New Roman" w:cs="Times New Roman"/>
          <w:color w:val="212121"/>
        </w:rPr>
        <w:t>, market entry by MVNOs should only be subject to a general authorization regime</w:t>
      </w:r>
      <w:r w:rsidR="00E00287">
        <w:rPr>
          <w:rFonts w:ascii="Times New Roman" w:hAnsi="Times New Roman" w:cs="Times New Roman"/>
          <w:color w:val="212121"/>
        </w:rPr>
        <w:t>, instead of</w:t>
      </w:r>
      <w:r w:rsidR="00E00287" w:rsidRPr="00E00287">
        <w:rPr>
          <w:rFonts w:ascii="Times New Roman" w:hAnsi="Times New Roman" w:cs="Times New Roman"/>
        </w:rPr>
        <w:t xml:space="preserve"> </w:t>
      </w:r>
      <w:r w:rsidR="00E00287" w:rsidRPr="00FE00E4">
        <w:rPr>
          <w:rFonts w:ascii="Times New Roman" w:hAnsi="Times New Roman" w:cs="Times New Roman"/>
        </w:rPr>
        <w:t>a cumbersome proc</w:t>
      </w:r>
      <w:r w:rsidR="00E00287">
        <w:rPr>
          <w:rFonts w:ascii="Times New Roman" w:hAnsi="Times New Roman" w:cs="Times New Roman"/>
        </w:rPr>
        <w:t>edure as provided by the current licensing regime.</w:t>
      </w:r>
    </w:p>
    <w:p w14:paraId="50F6FBB5" w14:textId="77777777" w:rsidR="006310E1" w:rsidRDefault="006310E1" w:rsidP="00726B79">
      <w:pPr>
        <w:pStyle w:val="ListParagraph"/>
        <w:ind w:left="0"/>
        <w:jc w:val="both"/>
        <w:rPr>
          <w:rFonts w:ascii="Times New Roman" w:eastAsia="Times New Roman" w:hAnsi="Times New Roman" w:cs="Times New Roman"/>
          <w:lang w:eastAsia="fr-FR"/>
        </w:rPr>
      </w:pPr>
    </w:p>
    <w:p w14:paraId="11DB7B81" w14:textId="77777777" w:rsidR="00726B79" w:rsidRPr="0002555D" w:rsidRDefault="00726B79" w:rsidP="00726B79">
      <w:pPr>
        <w:pStyle w:val="ListParagraph"/>
        <w:ind w:left="0"/>
        <w:jc w:val="both"/>
        <w:rPr>
          <w:rFonts w:ascii="Times New Roman" w:hAnsi="Times New Roman" w:cs="Times New Roman"/>
          <w:bCs/>
          <w:i/>
        </w:rPr>
      </w:pPr>
      <w:r>
        <w:rPr>
          <w:rFonts w:ascii="Times New Roman" w:eastAsia="Times New Roman" w:hAnsi="Times New Roman" w:cs="Times New Roman"/>
          <w:i/>
          <w:lang w:eastAsia="fr-FR"/>
        </w:rPr>
        <w:t>Spectrum management</w:t>
      </w:r>
    </w:p>
    <w:p w14:paraId="2C1DC979" w14:textId="77777777" w:rsidR="00726B79" w:rsidRDefault="00726B79" w:rsidP="00726B79">
      <w:pPr>
        <w:pStyle w:val="ListParagraph"/>
        <w:ind w:left="0"/>
        <w:jc w:val="both"/>
        <w:rPr>
          <w:rFonts w:ascii="Times New Roman" w:hAnsi="Times New Roman" w:cs="Times New Roman"/>
          <w:bCs/>
        </w:rPr>
      </w:pPr>
    </w:p>
    <w:p w14:paraId="0DC6F6FC" w14:textId="030E635A" w:rsidR="00FE71A6" w:rsidRDefault="00726B79" w:rsidP="00726B79">
      <w:pPr>
        <w:pStyle w:val="ListParagraph"/>
        <w:ind w:left="0"/>
        <w:jc w:val="both"/>
        <w:rPr>
          <w:rFonts w:ascii="Times New Roman" w:hAnsi="Times New Roman" w:cs="Times New Roman"/>
        </w:rPr>
      </w:pPr>
      <w:r>
        <w:rPr>
          <w:rFonts w:ascii="Times New Roman" w:hAnsi="Times New Roman" w:cs="Times New Roman"/>
          <w:b/>
        </w:rPr>
        <w:t>S</w:t>
      </w:r>
      <w:r w:rsidRPr="00C91EA2">
        <w:rPr>
          <w:rFonts w:ascii="Times New Roman" w:hAnsi="Times New Roman" w:cs="Times New Roman"/>
          <w:b/>
        </w:rPr>
        <w:t xml:space="preserve">enegal </w:t>
      </w:r>
      <w:r w:rsidR="002E740E">
        <w:rPr>
          <w:rFonts w:ascii="Times New Roman" w:hAnsi="Times New Roman" w:cs="Times New Roman"/>
          <w:b/>
        </w:rPr>
        <w:t xml:space="preserve">should take full advantage of the existence of available adequate radio spectrum to </w:t>
      </w:r>
      <w:r w:rsidRPr="00C91EA2">
        <w:rPr>
          <w:rFonts w:ascii="Times New Roman" w:hAnsi="Times New Roman" w:cs="Times New Roman"/>
          <w:b/>
        </w:rPr>
        <w:t xml:space="preserve">deploy a full 4G </w:t>
      </w:r>
      <w:r w:rsidR="00CD6A39" w:rsidRPr="00C91EA2">
        <w:rPr>
          <w:rFonts w:ascii="Times New Roman" w:hAnsi="Times New Roman" w:cs="Times New Roman"/>
          <w:b/>
        </w:rPr>
        <w:t>network and</w:t>
      </w:r>
      <w:r w:rsidR="002E740E">
        <w:rPr>
          <w:rFonts w:ascii="Times New Roman" w:hAnsi="Times New Roman" w:cs="Times New Roman"/>
          <w:b/>
        </w:rPr>
        <w:t xml:space="preserve"> assign the respective </w:t>
      </w:r>
      <w:r>
        <w:rPr>
          <w:rFonts w:ascii="Times New Roman" w:hAnsi="Times New Roman" w:cs="Times New Roman"/>
          <w:b/>
        </w:rPr>
        <w:t>radio frequencies competitively</w:t>
      </w:r>
      <w:r w:rsidRPr="00C91EA2">
        <w:rPr>
          <w:rFonts w:ascii="Times New Roman" w:hAnsi="Times New Roman" w:cs="Times New Roman"/>
        </w:rPr>
        <w:t>.</w:t>
      </w:r>
      <w:r w:rsidR="006F5DB3" w:rsidRPr="006F5DB3">
        <w:rPr>
          <w:rFonts w:ascii="Times New Roman" w:hAnsi="Times New Roman" w:cs="Times New Roman"/>
        </w:rPr>
        <w:t xml:space="preserve"> </w:t>
      </w:r>
      <w:r w:rsidR="006F5DB3" w:rsidRPr="00FE00E4">
        <w:rPr>
          <w:rFonts w:ascii="Times New Roman" w:hAnsi="Times New Roman" w:cs="Times New Roman"/>
        </w:rPr>
        <w:t xml:space="preserve">Granting access to spectrum to those operators that will </w:t>
      </w:r>
      <w:r w:rsidR="004D2531">
        <w:rPr>
          <w:rFonts w:ascii="Times New Roman" w:hAnsi="Times New Roman" w:cs="Times New Roman"/>
        </w:rPr>
        <w:t xml:space="preserve">it </w:t>
      </w:r>
      <w:r w:rsidR="006F5DB3" w:rsidRPr="00FE00E4">
        <w:rPr>
          <w:rFonts w:ascii="Times New Roman" w:hAnsi="Times New Roman" w:cs="Times New Roman"/>
        </w:rPr>
        <w:t xml:space="preserve">in the most efficient way is important to </w:t>
      </w:r>
      <w:r w:rsidR="004D2531">
        <w:rPr>
          <w:rFonts w:ascii="Times New Roman" w:hAnsi="Times New Roman" w:cs="Times New Roman"/>
        </w:rPr>
        <w:t xml:space="preserve">reap the </w:t>
      </w:r>
      <w:r w:rsidR="006F5DB3" w:rsidRPr="00FE00E4">
        <w:rPr>
          <w:rFonts w:ascii="Times New Roman" w:hAnsi="Times New Roman" w:cs="Times New Roman"/>
        </w:rPr>
        <w:t>benefit</w:t>
      </w:r>
      <w:r w:rsidR="004D2531">
        <w:rPr>
          <w:rFonts w:ascii="Times New Roman" w:hAnsi="Times New Roman" w:cs="Times New Roman"/>
        </w:rPr>
        <w:t>s</w:t>
      </w:r>
      <w:r w:rsidR="006F5DB3" w:rsidRPr="00FE00E4">
        <w:rPr>
          <w:rFonts w:ascii="Times New Roman" w:hAnsi="Times New Roman" w:cs="Times New Roman"/>
        </w:rPr>
        <w:t xml:space="preserve"> from wireless broadband technologies. For this, it is important to ensure a competitive selection process that minimizes potential negative effects on competition either by granting a first-mover advantage to an operator or applying methods that can alter the competitive environment and reinforce dominance. </w:t>
      </w:r>
      <w:r w:rsidR="006F5DB3">
        <w:rPr>
          <w:rFonts w:ascii="Times New Roman" w:hAnsi="Times New Roman" w:cs="Times New Roman"/>
        </w:rPr>
        <w:t xml:space="preserve">It is also important that spectrum </w:t>
      </w:r>
      <w:r w:rsidR="006F5DB3" w:rsidRPr="00F777D7">
        <w:rPr>
          <w:rFonts w:ascii="Times New Roman" w:hAnsi="Times New Roman" w:cs="Times New Roman"/>
        </w:rPr>
        <w:t xml:space="preserve">fees </w:t>
      </w:r>
      <w:r w:rsidR="006F5DB3">
        <w:rPr>
          <w:rFonts w:ascii="Times New Roman" w:hAnsi="Times New Roman" w:cs="Times New Roman"/>
        </w:rPr>
        <w:t xml:space="preserve">are clearly calculated, and that their value is aligned with other countries from the region, </w:t>
      </w:r>
      <w:proofErr w:type="gramStart"/>
      <w:r w:rsidR="006F5DB3">
        <w:rPr>
          <w:rFonts w:ascii="Times New Roman" w:hAnsi="Times New Roman" w:cs="Times New Roman"/>
        </w:rPr>
        <w:t>in order to</w:t>
      </w:r>
      <w:proofErr w:type="gramEnd"/>
      <w:r w:rsidR="006F5DB3">
        <w:rPr>
          <w:rFonts w:ascii="Times New Roman" w:hAnsi="Times New Roman" w:cs="Times New Roman"/>
        </w:rPr>
        <w:t xml:space="preserve"> foster market entry and limit the risks of MNOs passing-on the costs incurred to consumers</w:t>
      </w:r>
      <w:r w:rsidR="002E740E" w:rsidRPr="002E740E">
        <w:rPr>
          <w:rFonts w:ascii="Times New Roman" w:hAnsi="Times New Roman" w:cs="Times New Roman"/>
        </w:rPr>
        <w:t>.</w:t>
      </w:r>
      <w:r w:rsidR="002E740E">
        <w:rPr>
          <w:rFonts w:ascii="Times New Roman" w:hAnsi="Times New Roman" w:cs="Times New Roman"/>
        </w:rPr>
        <w:t xml:space="preserve"> I</w:t>
      </w:r>
      <w:r w:rsidR="00D32D55">
        <w:rPr>
          <w:rFonts w:ascii="Times New Roman" w:hAnsi="Times New Roman" w:cs="Times New Roman"/>
        </w:rPr>
        <w:t xml:space="preserve">n 2016, Senegal </w:t>
      </w:r>
      <w:proofErr w:type="gramStart"/>
      <w:r w:rsidR="00D32D55">
        <w:rPr>
          <w:rFonts w:ascii="Times New Roman" w:hAnsi="Times New Roman" w:cs="Times New Roman"/>
        </w:rPr>
        <w:t>lagged behind</w:t>
      </w:r>
      <w:proofErr w:type="gramEnd"/>
      <w:r w:rsidR="00D32D55">
        <w:rPr>
          <w:rFonts w:ascii="Times New Roman" w:hAnsi="Times New Roman" w:cs="Times New Roman"/>
        </w:rPr>
        <w:t xml:space="preserve"> </w:t>
      </w:r>
      <w:r w:rsidR="00D32D55" w:rsidRPr="00D32D55">
        <w:rPr>
          <w:rFonts w:ascii="Times New Roman" w:hAnsi="Times New Roman" w:cs="Times New Roman"/>
        </w:rPr>
        <w:t xml:space="preserve">32 African countries </w:t>
      </w:r>
      <w:r w:rsidR="00D32D55">
        <w:rPr>
          <w:rFonts w:ascii="Times New Roman" w:hAnsi="Times New Roman" w:cs="Times New Roman"/>
        </w:rPr>
        <w:t xml:space="preserve">that </w:t>
      </w:r>
      <w:r w:rsidR="00D32D55" w:rsidRPr="00D32D55">
        <w:rPr>
          <w:rFonts w:ascii="Times New Roman" w:hAnsi="Times New Roman" w:cs="Times New Roman"/>
        </w:rPr>
        <w:t>had already developed 4G networks, including neighboring countries suc</w:t>
      </w:r>
      <w:r w:rsidR="00D32D55">
        <w:rPr>
          <w:rFonts w:ascii="Times New Roman" w:hAnsi="Times New Roman" w:cs="Times New Roman"/>
        </w:rPr>
        <w:t>h as Ivory Coast, Ghana, Gambia and</w:t>
      </w:r>
      <w:r w:rsidR="00D32D55" w:rsidRPr="00D32D55">
        <w:rPr>
          <w:rFonts w:ascii="Times New Roman" w:hAnsi="Times New Roman" w:cs="Times New Roman"/>
        </w:rPr>
        <w:t xml:space="preserve"> Benin</w:t>
      </w:r>
      <w:r w:rsidR="00D32D55">
        <w:rPr>
          <w:rFonts w:ascii="Times New Roman" w:hAnsi="Times New Roman" w:cs="Times New Roman"/>
        </w:rPr>
        <w:t>.</w:t>
      </w:r>
      <w:r w:rsidR="00D32D55" w:rsidRPr="00D32D55">
        <w:rPr>
          <w:rFonts w:ascii="Times New Roman" w:hAnsi="Times New Roman" w:cs="Times New Roman"/>
        </w:rPr>
        <w:t xml:space="preserve"> </w:t>
      </w:r>
      <w:r>
        <w:rPr>
          <w:rFonts w:ascii="Times New Roman" w:hAnsi="Times New Roman" w:cs="Times New Roman"/>
        </w:rPr>
        <w:t xml:space="preserve">So far, only the former telecoms incumbent, </w:t>
      </w:r>
      <w:proofErr w:type="spellStart"/>
      <w:r>
        <w:rPr>
          <w:rFonts w:ascii="Times New Roman" w:hAnsi="Times New Roman" w:cs="Times New Roman"/>
        </w:rPr>
        <w:t>Sonatel</w:t>
      </w:r>
      <w:proofErr w:type="spellEnd"/>
      <w:r>
        <w:rPr>
          <w:rFonts w:ascii="Times New Roman" w:hAnsi="Times New Roman" w:cs="Times New Roman"/>
        </w:rPr>
        <w:t xml:space="preserve">, has been awarded frequency rights to deploy a 4G network. This assignment resulted from a direct negotiation between the </w:t>
      </w:r>
      <w:r w:rsidR="003B24ED">
        <w:rPr>
          <w:rFonts w:ascii="Times New Roman" w:hAnsi="Times New Roman" w:cs="Times New Roman"/>
        </w:rPr>
        <w:t>Government</w:t>
      </w:r>
      <w:r>
        <w:rPr>
          <w:rFonts w:ascii="Times New Roman" w:hAnsi="Times New Roman" w:cs="Times New Roman"/>
        </w:rPr>
        <w:t xml:space="preserve"> and </w:t>
      </w:r>
      <w:proofErr w:type="spellStart"/>
      <w:r>
        <w:rPr>
          <w:rFonts w:ascii="Times New Roman" w:hAnsi="Times New Roman" w:cs="Times New Roman"/>
        </w:rPr>
        <w:t>Sonatel</w:t>
      </w:r>
      <w:proofErr w:type="spellEnd"/>
      <w:r>
        <w:rPr>
          <w:rFonts w:ascii="Times New Roman" w:hAnsi="Times New Roman" w:cs="Times New Roman"/>
        </w:rPr>
        <w:t xml:space="preserve"> concerning the renewal of its </w:t>
      </w:r>
      <w:r w:rsidRPr="00883CBD">
        <w:rPr>
          <w:rFonts w:ascii="Times New Roman" w:hAnsi="Times New Roman" w:cs="Times New Roman"/>
        </w:rPr>
        <w:t>global license (fix</w:t>
      </w:r>
      <w:r>
        <w:rPr>
          <w:rFonts w:ascii="Times New Roman" w:hAnsi="Times New Roman" w:cs="Times New Roman"/>
        </w:rPr>
        <w:t>ed</w:t>
      </w:r>
      <w:r w:rsidRPr="00883CBD">
        <w:rPr>
          <w:rFonts w:ascii="Times New Roman" w:hAnsi="Times New Roman" w:cs="Times New Roman"/>
        </w:rPr>
        <w:t xml:space="preserve"> and mobile) in 2016</w:t>
      </w:r>
      <w:r w:rsidR="00284485">
        <w:rPr>
          <w:rFonts w:ascii="Times New Roman" w:hAnsi="Times New Roman" w:cs="Times New Roman"/>
        </w:rPr>
        <w:t xml:space="preserve"> following a failed attempt to assign spectrum competitively</w:t>
      </w:r>
      <w:r>
        <w:rPr>
          <w:rFonts w:ascii="Times New Roman" w:hAnsi="Times New Roman" w:cs="Times New Roman"/>
        </w:rPr>
        <w:t>. Th</w:t>
      </w:r>
      <w:r w:rsidR="00D32D55">
        <w:rPr>
          <w:rFonts w:ascii="Times New Roman" w:hAnsi="Times New Roman" w:cs="Times New Roman"/>
        </w:rPr>
        <w:t>is</w:t>
      </w:r>
      <w:r>
        <w:rPr>
          <w:rFonts w:ascii="Times New Roman" w:hAnsi="Times New Roman" w:cs="Times New Roman"/>
        </w:rPr>
        <w:t xml:space="preserve"> </w:t>
      </w:r>
      <w:r w:rsidR="00D32D55">
        <w:rPr>
          <w:rFonts w:ascii="Times New Roman" w:hAnsi="Times New Roman" w:cs="Times New Roman"/>
        </w:rPr>
        <w:t xml:space="preserve">ad hoc form of assignment may not lead to better value for money, as there is no competition for the spectrum rights. Furthermore, it can strengthen </w:t>
      </w:r>
      <w:proofErr w:type="spellStart"/>
      <w:r w:rsidR="00D32D55">
        <w:rPr>
          <w:rFonts w:ascii="Times New Roman" w:hAnsi="Times New Roman" w:cs="Times New Roman"/>
        </w:rPr>
        <w:t>Sonatel’s</w:t>
      </w:r>
      <w:proofErr w:type="spellEnd"/>
      <w:r w:rsidR="00D32D55">
        <w:rPr>
          <w:rFonts w:ascii="Times New Roman" w:hAnsi="Times New Roman" w:cs="Times New Roman"/>
        </w:rPr>
        <w:t xml:space="preserve"> market power and weaken its competitors, by giving </w:t>
      </w:r>
      <w:r w:rsidR="003C1E57">
        <w:rPr>
          <w:rFonts w:ascii="Times New Roman" w:hAnsi="Times New Roman" w:cs="Times New Roman"/>
        </w:rPr>
        <w:t>the incumbent a</w:t>
      </w:r>
      <w:r w:rsidR="00D32D55">
        <w:rPr>
          <w:rFonts w:ascii="Times New Roman" w:hAnsi="Times New Roman" w:cs="Times New Roman"/>
        </w:rPr>
        <w:t xml:space="preserve"> time advantage </w:t>
      </w:r>
      <w:r w:rsidR="003C1E57">
        <w:rPr>
          <w:rFonts w:ascii="Times New Roman" w:hAnsi="Times New Roman" w:cs="Times New Roman"/>
        </w:rPr>
        <w:t xml:space="preserve">vis-à-vis its competitors in terms of consolidation of </w:t>
      </w:r>
      <w:r w:rsidR="00D32D55" w:rsidRPr="00C91EA2">
        <w:rPr>
          <w:rFonts w:ascii="Times New Roman" w:hAnsi="Times New Roman" w:cs="Times New Roman"/>
        </w:rPr>
        <w:t>a 4G network</w:t>
      </w:r>
      <w:r w:rsidR="003C1E57">
        <w:rPr>
          <w:rFonts w:ascii="Times New Roman" w:hAnsi="Times New Roman" w:cs="Times New Roman"/>
        </w:rPr>
        <w:t>. In addition</w:t>
      </w:r>
      <w:r w:rsidRPr="00883CBD">
        <w:rPr>
          <w:rFonts w:ascii="Times New Roman" w:hAnsi="Times New Roman" w:cs="Times New Roman"/>
        </w:rPr>
        <w:t xml:space="preserve">, it appears that the </w:t>
      </w:r>
      <w:r w:rsidR="003B24ED">
        <w:rPr>
          <w:rFonts w:ascii="Times New Roman" w:hAnsi="Times New Roman" w:cs="Times New Roman"/>
        </w:rPr>
        <w:t>Government</w:t>
      </w:r>
      <w:r w:rsidRPr="00883CBD">
        <w:rPr>
          <w:rFonts w:ascii="Times New Roman" w:hAnsi="Times New Roman" w:cs="Times New Roman"/>
        </w:rPr>
        <w:t xml:space="preserve"> has chosen to sideline ARTP by directly negotiating with </w:t>
      </w:r>
      <w:proofErr w:type="spellStart"/>
      <w:r w:rsidRPr="00883CBD">
        <w:rPr>
          <w:rFonts w:ascii="Times New Roman" w:hAnsi="Times New Roman" w:cs="Times New Roman"/>
        </w:rPr>
        <w:t>Sonatel</w:t>
      </w:r>
      <w:proofErr w:type="spellEnd"/>
      <w:r>
        <w:rPr>
          <w:rFonts w:ascii="Times New Roman" w:hAnsi="Times New Roman" w:cs="Times New Roman"/>
        </w:rPr>
        <w:t xml:space="preserve">, which </w:t>
      </w:r>
      <w:r w:rsidR="00B95382">
        <w:rPr>
          <w:rFonts w:ascii="Times New Roman" w:hAnsi="Times New Roman" w:cs="Times New Roman"/>
        </w:rPr>
        <w:t>may affect the technical</w:t>
      </w:r>
      <w:r>
        <w:rPr>
          <w:rFonts w:ascii="Times New Roman" w:hAnsi="Times New Roman" w:cs="Times New Roman"/>
        </w:rPr>
        <w:t xml:space="preserve"> independence of the telecoms regulator</w:t>
      </w:r>
      <w:r w:rsidRPr="00883CBD">
        <w:rPr>
          <w:rFonts w:ascii="Times New Roman" w:hAnsi="Times New Roman" w:cs="Times New Roman"/>
        </w:rPr>
        <w:t xml:space="preserve">. </w:t>
      </w:r>
    </w:p>
    <w:p w14:paraId="24FDD4BA" w14:textId="77777777" w:rsidR="00FE71A6" w:rsidRDefault="00FE71A6" w:rsidP="00726B79">
      <w:pPr>
        <w:pStyle w:val="ListParagraph"/>
        <w:ind w:left="0"/>
        <w:jc w:val="both"/>
        <w:rPr>
          <w:rFonts w:ascii="Times New Roman" w:hAnsi="Times New Roman" w:cs="Times New Roman"/>
        </w:rPr>
      </w:pPr>
    </w:p>
    <w:p w14:paraId="3355FFEC" w14:textId="48BBF9F1" w:rsidR="0098148E" w:rsidRDefault="00726B79" w:rsidP="00021E5E">
      <w:pPr>
        <w:pStyle w:val="ListParagraph"/>
        <w:ind w:left="0"/>
        <w:jc w:val="both"/>
        <w:rPr>
          <w:rFonts w:ascii="Times New Roman" w:hAnsi="Times New Roman" w:cs="Times New Roman"/>
        </w:rPr>
      </w:pPr>
      <w:r w:rsidRPr="00FE71A6">
        <w:rPr>
          <w:rFonts w:ascii="Times New Roman" w:hAnsi="Times New Roman" w:cs="Times New Roman"/>
          <w:b/>
        </w:rPr>
        <w:t xml:space="preserve">Safeguarding against concentration of spectrum in the hands of a few players </w:t>
      </w:r>
      <w:r w:rsidR="00305C3A">
        <w:rPr>
          <w:rFonts w:ascii="Times New Roman" w:hAnsi="Times New Roman" w:cs="Times New Roman"/>
          <w:b/>
        </w:rPr>
        <w:t>may</w:t>
      </w:r>
      <w:r w:rsidR="00305C3A" w:rsidRPr="00FE71A6">
        <w:rPr>
          <w:rFonts w:ascii="Times New Roman" w:hAnsi="Times New Roman" w:cs="Times New Roman"/>
          <w:b/>
        </w:rPr>
        <w:t xml:space="preserve"> </w:t>
      </w:r>
      <w:r w:rsidRPr="00FE71A6">
        <w:rPr>
          <w:rFonts w:ascii="Times New Roman" w:hAnsi="Times New Roman" w:cs="Times New Roman"/>
          <w:b/>
        </w:rPr>
        <w:t>also allow for a more efficient use of spectrum</w:t>
      </w:r>
      <w:r w:rsidRPr="00883CBD">
        <w:rPr>
          <w:rFonts w:ascii="Times New Roman" w:hAnsi="Times New Roman" w:cs="Times New Roman"/>
        </w:rPr>
        <w:t xml:space="preserve">. </w:t>
      </w:r>
      <w:r w:rsidR="004D2531">
        <w:rPr>
          <w:rFonts w:ascii="Times New Roman" w:hAnsi="Times New Roman" w:cs="Times New Roman"/>
        </w:rPr>
        <w:t>N</w:t>
      </w:r>
      <w:r w:rsidR="0098148E">
        <w:rPr>
          <w:rFonts w:ascii="Times New Roman" w:hAnsi="Times New Roman" w:cs="Times New Roman"/>
        </w:rPr>
        <w:t xml:space="preserve">o spectrum licenses have been assigned to newcomers, </w:t>
      </w:r>
      <w:r w:rsidR="0098148E" w:rsidRPr="00F777D7">
        <w:rPr>
          <w:rFonts w:ascii="Times New Roman" w:eastAsia="Times New Roman" w:hAnsi="Times New Roman" w:cs="Times New Roman"/>
          <w:lang w:eastAsia="fr-FR"/>
        </w:rPr>
        <w:t>but given available spectrum, Senegal could benefit from reassessing its spectrum management policy and optimize its use for the delivery of current and future services.</w:t>
      </w:r>
      <w:r w:rsidR="0098148E">
        <w:rPr>
          <w:rFonts w:ascii="Times New Roman" w:eastAsia="Times New Roman" w:hAnsi="Times New Roman" w:cs="Times New Roman"/>
          <w:lang w:eastAsia="fr-FR"/>
        </w:rPr>
        <w:t xml:space="preserve"> In tandem, Senegal could also benefit from the introduction of market-based </w:t>
      </w:r>
      <w:r w:rsidR="0098148E" w:rsidRPr="00CA265C">
        <w:rPr>
          <w:rFonts w:ascii="Times New Roman" w:eastAsia="Times New Roman" w:hAnsi="Times New Roman" w:cs="Times New Roman"/>
          <w:lang w:eastAsia="fr-FR"/>
        </w:rPr>
        <w:t>mechanisms that could encourage a more efficient use of spectrum</w:t>
      </w:r>
      <w:r w:rsidR="0098148E">
        <w:rPr>
          <w:rFonts w:ascii="Times New Roman" w:eastAsia="Times New Roman" w:hAnsi="Times New Roman" w:cs="Times New Roman"/>
          <w:lang w:eastAsia="fr-FR"/>
        </w:rPr>
        <w:t>, namely by opening the possibility for spectrum trading and leasing, subject to ARTP’s monitoring, and by increasing the flexibility of ARTP’s licenses by not locking them to a specific technology</w:t>
      </w:r>
      <w:r w:rsidR="004D2531">
        <w:rPr>
          <w:rFonts w:ascii="Times New Roman" w:eastAsia="Times New Roman" w:hAnsi="Times New Roman" w:cs="Times New Roman"/>
          <w:lang w:eastAsia="fr-FR"/>
        </w:rPr>
        <w:t xml:space="preserve"> (</w:t>
      </w:r>
      <w:r w:rsidR="0098148E">
        <w:rPr>
          <w:rFonts w:ascii="Times New Roman" w:eastAsia="Times New Roman" w:hAnsi="Times New Roman" w:cs="Times New Roman"/>
          <w:lang w:eastAsia="fr-FR"/>
        </w:rPr>
        <w:t>unless necessary for interference reasons</w:t>
      </w:r>
      <w:r w:rsidR="004D2531">
        <w:rPr>
          <w:rFonts w:ascii="Times New Roman" w:eastAsia="Times New Roman" w:hAnsi="Times New Roman" w:cs="Times New Roman"/>
          <w:lang w:eastAsia="fr-FR"/>
        </w:rPr>
        <w:t>)</w:t>
      </w:r>
      <w:r w:rsidR="0098148E">
        <w:rPr>
          <w:rFonts w:ascii="Times New Roman" w:eastAsia="Times New Roman" w:hAnsi="Times New Roman" w:cs="Times New Roman"/>
          <w:lang w:eastAsia="fr-FR"/>
        </w:rPr>
        <w:t xml:space="preserve">. Furthermore, </w:t>
      </w:r>
      <w:r w:rsidR="00B36A3C">
        <w:rPr>
          <w:rFonts w:ascii="Times New Roman" w:eastAsia="Times New Roman" w:hAnsi="Times New Roman" w:cs="Times New Roman"/>
          <w:lang w:eastAsia="fr-FR"/>
        </w:rPr>
        <w:t xml:space="preserve">a framework governing unlicensed spectrum is not yet in place, but </w:t>
      </w:r>
      <w:r w:rsidR="00C70463">
        <w:rPr>
          <w:rFonts w:ascii="Times New Roman" w:eastAsia="Times New Roman" w:hAnsi="Times New Roman" w:cs="Times New Roman"/>
          <w:lang w:eastAsia="fr-FR"/>
        </w:rPr>
        <w:t xml:space="preserve">this </w:t>
      </w:r>
      <w:r w:rsidR="00B36A3C">
        <w:rPr>
          <w:rFonts w:ascii="Times New Roman" w:eastAsia="Times New Roman" w:hAnsi="Times New Roman" w:cs="Times New Roman"/>
          <w:lang w:eastAsia="fr-FR"/>
        </w:rPr>
        <w:t xml:space="preserve">becomes increasingly important </w:t>
      </w:r>
      <w:proofErr w:type="gramStart"/>
      <w:r w:rsidR="0098148E">
        <w:rPr>
          <w:rFonts w:ascii="Times New Roman" w:eastAsia="Times New Roman" w:hAnsi="Times New Roman" w:cs="Times New Roman"/>
          <w:lang w:eastAsia="fr-FR"/>
        </w:rPr>
        <w:t>in light of</w:t>
      </w:r>
      <w:proofErr w:type="gramEnd"/>
      <w:r w:rsidR="0098148E">
        <w:rPr>
          <w:rFonts w:ascii="Times New Roman" w:eastAsia="Times New Roman" w:hAnsi="Times New Roman" w:cs="Times New Roman"/>
          <w:lang w:eastAsia="fr-FR"/>
        </w:rPr>
        <w:t xml:space="preserve"> recent technological developments, such as th</w:t>
      </w:r>
      <w:r w:rsidR="0040371A">
        <w:rPr>
          <w:rFonts w:ascii="Times New Roman" w:eastAsia="Times New Roman" w:hAnsi="Times New Roman" w:cs="Times New Roman"/>
          <w:lang w:eastAsia="fr-FR"/>
        </w:rPr>
        <w:t>e Internet of Things</w:t>
      </w:r>
      <w:r w:rsidR="004D2531">
        <w:rPr>
          <w:rFonts w:ascii="Times New Roman" w:eastAsia="Times New Roman" w:hAnsi="Times New Roman" w:cs="Times New Roman"/>
          <w:lang w:eastAsia="fr-FR"/>
        </w:rPr>
        <w:t xml:space="preserve"> (IoT)</w:t>
      </w:r>
      <w:r w:rsidR="0040371A">
        <w:rPr>
          <w:rFonts w:ascii="Times New Roman" w:eastAsia="Times New Roman" w:hAnsi="Times New Roman" w:cs="Times New Roman"/>
          <w:lang w:eastAsia="fr-FR"/>
        </w:rPr>
        <w:t>, which relies</w:t>
      </w:r>
      <w:r w:rsidR="0098148E">
        <w:rPr>
          <w:rFonts w:ascii="Times New Roman" w:eastAsia="Times New Roman" w:hAnsi="Times New Roman" w:cs="Times New Roman"/>
          <w:lang w:eastAsia="fr-FR"/>
        </w:rPr>
        <w:t xml:space="preserve"> on </w:t>
      </w:r>
      <w:r w:rsidR="004D2531">
        <w:rPr>
          <w:rFonts w:ascii="Times New Roman" w:eastAsia="Times New Roman" w:hAnsi="Times New Roman" w:cs="Times New Roman"/>
          <w:lang w:eastAsia="fr-FR"/>
        </w:rPr>
        <w:t xml:space="preserve">the availability of </w:t>
      </w:r>
      <w:r w:rsidR="0098148E">
        <w:rPr>
          <w:rFonts w:ascii="Times New Roman" w:eastAsia="Times New Roman" w:hAnsi="Times New Roman" w:cs="Times New Roman"/>
          <w:lang w:eastAsia="fr-FR"/>
        </w:rPr>
        <w:t>unlicensed spectrum</w:t>
      </w:r>
      <w:r w:rsidR="00B36A3C">
        <w:rPr>
          <w:rFonts w:ascii="Times New Roman" w:eastAsia="Times New Roman" w:hAnsi="Times New Roman" w:cs="Times New Roman"/>
          <w:lang w:eastAsia="fr-FR"/>
        </w:rPr>
        <w:t>.</w:t>
      </w:r>
      <w:r w:rsidR="0098148E">
        <w:rPr>
          <w:rFonts w:ascii="Times New Roman" w:eastAsia="Times New Roman" w:hAnsi="Times New Roman" w:cs="Times New Roman"/>
          <w:lang w:eastAsia="fr-FR"/>
        </w:rPr>
        <w:t xml:space="preserve"> </w:t>
      </w:r>
    </w:p>
    <w:p w14:paraId="1BC69506" w14:textId="77777777" w:rsidR="005259F3" w:rsidRDefault="005259F3" w:rsidP="00021E5E">
      <w:pPr>
        <w:pStyle w:val="ListParagraph"/>
        <w:ind w:left="0"/>
        <w:jc w:val="both"/>
        <w:rPr>
          <w:rFonts w:ascii="Times New Roman" w:hAnsi="Times New Roman" w:cs="Times New Roman"/>
        </w:rPr>
      </w:pPr>
    </w:p>
    <w:p w14:paraId="2C4FD3E8" w14:textId="2201E378" w:rsidR="005259F3" w:rsidRDefault="005259F3" w:rsidP="00021E5E">
      <w:pPr>
        <w:pStyle w:val="ListParagraph"/>
        <w:ind w:left="0"/>
        <w:jc w:val="both"/>
        <w:rPr>
          <w:rFonts w:ascii="Times New Roman" w:hAnsi="Times New Roman" w:cs="Times New Roman"/>
        </w:rPr>
      </w:pPr>
      <w:r w:rsidRPr="00C96D82">
        <w:rPr>
          <w:rFonts w:ascii="Times New Roman" w:hAnsi="Times New Roman" w:cs="Times New Roman"/>
          <w:b/>
        </w:rPr>
        <w:t>Further, the need for adequate resources of ARTP coupled with an institutional structure</w:t>
      </w:r>
      <w:r w:rsidR="00AD2546">
        <w:rPr>
          <w:rFonts w:ascii="Times New Roman" w:hAnsi="Times New Roman" w:cs="Times New Roman"/>
          <w:b/>
        </w:rPr>
        <w:t xml:space="preserve"> and technical capabilities</w:t>
      </w:r>
      <w:r>
        <w:rPr>
          <w:rFonts w:ascii="Times New Roman" w:hAnsi="Times New Roman" w:cs="Times New Roman"/>
        </w:rPr>
        <w:t xml:space="preserve"> </w:t>
      </w:r>
      <w:r w:rsidRPr="00C538DB">
        <w:rPr>
          <w:rFonts w:ascii="Times New Roman" w:hAnsi="Times New Roman" w:cs="Times New Roman"/>
          <w:b/>
        </w:rPr>
        <w:t xml:space="preserve">that </w:t>
      </w:r>
      <w:r w:rsidR="00AD2546">
        <w:rPr>
          <w:rFonts w:ascii="Times New Roman" w:hAnsi="Times New Roman" w:cs="Times New Roman"/>
          <w:b/>
        </w:rPr>
        <w:t>are</w:t>
      </w:r>
      <w:r w:rsidRPr="00C538DB">
        <w:rPr>
          <w:rFonts w:ascii="Times New Roman" w:hAnsi="Times New Roman" w:cs="Times New Roman"/>
          <w:b/>
        </w:rPr>
        <w:t xml:space="preserve"> shielded from undue public and private influence</w:t>
      </w:r>
      <w:r>
        <w:rPr>
          <w:rFonts w:ascii="Times New Roman" w:hAnsi="Times New Roman" w:cs="Times New Roman"/>
        </w:rPr>
        <w:t xml:space="preserve"> </w:t>
      </w:r>
      <w:r w:rsidRPr="007575D7">
        <w:rPr>
          <w:rFonts w:ascii="Times New Roman" w:hAnsi="Times New Roman" w:cs="Times New Roman"/>
          <w:b/>
        </w:rPr>
        <w:t>would ensure a more effective application of the current regulatory framework</w:t>
      </w:r>
      <w:r>
        <w:rPr>
          <w:rFonts w:ascii="Times New Roman" w:hAnsi="Times New Roman" w:cs="Times New Roman"/>
        </w:rPr>
        <w:t>.</w:t>
      </w:r>
      <w:r w:rsidR="00067E68">
        <w:rPr>
          <w:rFonts w:ascii="Times New Roman" w:hAnsi="Times New Roman" w:cs="Times New Roman"/>
        </w:rPr>
        <w:t xml:space="preserve"> </w:t>
      </w:r>
      <w:r w:rsidR="00914D1E">
        <w:rPr>
          <w:rFonts w:ascii="Times New Roman" w:hAnsi="Times New Roman" w:cs="Times New Roman"/>
        </w:rPr>
        <w:t>For instance</w:t>
      </w:r>
      <w:r w:rsidR="00067E68">
        <w:rPr>
          <w:rFonts w:ascii="Times New Roman" w:hAnsi="Times New Roman" w:cs="Times New Roman"/>
        </w:rPr>
        <w:t>, decisions on licenses and authorizations are taken by a non-independent Commission consisting of representatives of the Government and the President of the Republic.</w:t>
      </w:r>
      <w:r w:rsidR="00067E68">
        <w:rPr>
          <w:rStyle w:val="FootnoteReference"/>
          <w:rFonts w:ascii="Times New Roman" w:hAnsi="Times New Roman" w:cs="Times New Roman"/>
        </w:rPr>
        <w:footnoteReference w:id="41"/>
      </w:r>
      <w:r w:rsidR="00067E68">
        <w:rPr>
          <w:rFonts w:ascii="Times New Roman" w:hAnsi="Times New Roman" w:cs="Times New Roman"/>
        </w:rPr>
        <w:t xml:space="preserve"> </w:t>
      </w:r>
      <w:r w:rsidR="00914D1E">
        <w:rPr>
          <w:rFonts w:ascii="Times New Roman" w:hAnsi="Times New Roman" w:cs="Times New Roman"/>
        </w:rPr>
        <w:t>In addition, the Board of ARTP is often overshadowed by ARTP’s Director General, a body which is directly appointed by the Executive with far-reaching investigative and organizational powers.</w:t>
      </w:r>
      <w:r w:rsidR="00914D1E">
        <w:rPr>
          <w:rStyle w:val="FootnoteReference"/>
          <w:rFonts w:ascii="Times New Roman" w:hAnsi="Times New Roman" w:cs="Times New Roman"/>
        </w:rPr>
        <w:footnoteReference w:id="42"/>
      </w:r>
      <w:r w:rsidR="00914D1E">
        <w:rPr>
          <w:rFonts w:ascii="Times New Roman" w:hAnsi="Times New Roman" w:cs="Times New Roman"/>
        </w:rPr>
        <w:t xml:space="preserve"> </w:t>
      </w:r>
    </w:p>
    <w:p w14:paraId="0D814520" w14:textId="77777777" w:rsidR="003E3AD1" w:rsidRDefault="003E3AD1" w:rsidP="00021E5E">
      <w:pPr>
        <w:pStyle w:val="ListParagraph"/>
        <w:ind w:left="0"/>
        <w:jc w:val="both"/>
        <w:rPr>
          <w:rFonts w:ascii="Times New Roman" w:hAnsi="Times New Roman" w:cs="Times New Roman"/>
        </w:rPr>
      </w:pPr>
    </w:p>
    <w:p w14:paraId="334587EF" w14:textId="78B44D09" w:rsidR="003E3AD1" w:rsidRDefault="003E3AD1" w:rsidP="003E3AD1">
      <w:pPr>
        <w:pStyle w:val="ListParagraph"/>
        <w:ind w:left="0"/>
        <w:jc w:val="both"/>
        <w:rPr>
          <w:rFonts w:ascii="Times New Roman" w:hAnsi="Times New Roman" w:cs="Times New Roman"/>
          <w:szCs w:val="22"/>
        </w:rPr>
      </w:pPr>
      <w:r>
        <w:rPr>
          <w:rFonts w:ascii="Times New Roman" w:hAnsi="Times New Roman" w:cs="Times New Roman"/>
          <w:b/>
          <w:szCs w:val="22"/>
        </w:rPr>
        <w:t>Finally, l</w:t>
      </w:r>
      <w:r w:rsidRPr="00C96D82">
        <w:rPr>
          <w:rFonts w:ascii="Times New Roman" w:hAnsi="Times New Roman" w:cs="Times New Roman"/>
          <w:b/>
          <w:szCs w:val="22"/>
        </w:rPr>
        <w:t xml:space="preserve">imited information at the consumer level (households and businesses) can hinder the estimations of potential costs and benefits stemming from </w:t>
      </w:r>
      <w:r w:rsidR="003B24ED">
        <w:rPr>
          <w:rFonts w:ascii="Times New Roman" w:hAnsi="Times New Roman" w:cs="Times New Roman"/>
          <w:b/>
          <w:szCs w:val="22"/>
        </w:rPr>
        <w:t>Government</w:t>
      </w:r>
      <w:r w:rsidRPr="00C96D82">
        <w:rPr>
          <w:rFonts w:ascii="Times New Roman" w:hAnsi="Times New Roman" w:cs="Times New Roman"/>
          <w:b/>
          <w:szCs w:val="22"/>
        </w:rPr>
        <w:t xml:space="preserve"> interventions.</w:t>
      </w:r>
      <w:r>
        <w:rPr>
          <w:rFonts w:ascii="Times New Roman" w:hAnsi="Times New Roman" w:cs="Times New Roman"/>
          <w:szCs w:val="22"/>
        </w:rPr>
        <w:t xml:space="preserve"> In this regard, </w:t>
      </w:r>
      <w:r w:rsidRPr="00C4767D">
        <w:rPr>
          <w:rFonts w:ascii="Times New Roman" w:hAnsi="Times New Roman" w:cs="Times New Roman"/>
          <w:szCs w:val="22"/>
        </w:rPr>
        <w:t xml:space="preserve">business and household surveys </w:t>
      </w:r>
      <w:r>
        <w:rPr>
          <w:rFonts w:ascii="Times New Roman" w:hAnsi="Times New Roman" w:cs="Times New Roman"/>
          <w:szCs w:val="22"/>
        </w:rPr>
        <w:t>including</w:t>
      </w:r>
      <w:r w:rsidRPr="00C4767D">
        <w:rPr>
          <w:rFonts w:ascii="Times New Roman" w:hAnsi="Times New Roman" w:cs="Times New Roman"/>
          <w:szCs w:val="22"/>
        </w:rPr>
        <w:t xml:space="preserve"> relevant questions to allow the </w:t>
      </w:r>
      <w:r w:rsidR="003B24ED">
        <w:rPr>
          <w:rFonts w:ascii="Times New Roman" w:hAnsi="Times New Roman" w:cs="Times New Roman"/>
          <w:szCs w:val="22"/>
        </w:rPr>
        <w:t>Government</w:t>
      </w:r>
      <w:r w:rsidRPr="00C4767D">
        <w:rPr>
          <w:rFonts w:ascii="Times New Roman" w:hAnsi="Times New Roman" w:cs="Times New Roman"/>
          <w:szCs w:val="22"/>
        </w:rPr>
        <w:t xml:space="preserve"> to conduct quantitative assessments of the effects of their policies</w:t>
      </w:r>
      <w:r>
        <w:rPr>
          <w:rFonts w:ascii="Times New Roman" w:hAnsi="Times New Roman" w:cs="Times New Roman"/>
          <w:szCs w:val="22"/>
        </w:rPr>
        <w:t xml:space="preserve"> </w:t>
      </w:r>
      <w:r w:rsidRPr="00C4767D">
        <w:rPr>
          <w:rFonts w:ascii="Times New Roman" w:hAnsi="Times New Roman" w:cs="Times New Roman"/>
          <w:szCs w:val="22"/>
        </w:rPr>
        <w:t xml:space="preserve">could </w:t>
      </w:r>
      <w:r>
        <w:rPr>
          <w:rFonts w:ascii="Times New Roman" w:hAnsi="Times New Roman" w:cs="Times New Roman"/>
          <w:szCs w:val="22"/>
        </w:rPr>
        <w:t>be implemented</w:t>
      </w:r>
      <w:r w:rsidRPr="00C4767D">
        <w:rPr>
          <w:rFonts w:ascii="Times New Roman" w:hAnsi="Times New Roman" w:cs="Times New Roman"/>
          <w:szCs w:val="22"/>
        </w:rPr>
        <w:t>.</w:t>
      </w:r>
    </w:p>
    <w:p w14:paraId="0D7CB538" w14:textId="77777777" w:rsidR="003E3AD1" w:rsidRDefault="003E3AD1" w:rsidP="00021E5E">
      <w:pPr>
        <w:pStyle w:val="ListParagraph"/>
        <w:ind w:left="0"/>
        <w:jc w:val="both"/>
        <w:rPr>
          <w:rFonts w:ascii="Times New Roman" w:hAnsi="Times New Roman" w:cs="Times New Roman"/>
        </w:rPr>
      </w:pPr>
    </w:p>
    <w:p w14:paraId="0440CD36" w14:textId="3C4AD8DF" w:rsidR="00726B79" w:rsidRDefault="00726B79" w:rsidP="002D1818">
      <w:pPr>
        <w:jc w:val="both"/>
        <w:rPr>
          <w:rFonts w:ascii="Times New Roman" w:hAnsi="Times New Roman" w:cs="Times New Roman"/>
        </w:rPr>
      </w:pPr>
    </w:p>
    <w:p w14:paraId="1E6EBBCE" w14:textId="77777777" w:rsidR="00AF4E09" w:rsidRDefault="00AF4E09" w:rsidP="002D1818">
      <w:pPr>
        <w:jc w:val="both"/>
        <w:rPr>
          <w:rFonts w:ascii="Times New Roman" w:hAnsi="Times New Roman" w:cs="Times New Roman"/>
        </w:rPr>
      </w:pPr>
    </w:p>
    <w:p w14:paraId="450D3602" w14:textId="77777777" w:rsidR="00831C53" w:rsidRPr="00831C53" w:rsidRDefault="00831C53" w:rsidP="00831C53">
      <w:pPr>
        <w:jc w:val="both"/>
        <w:rPr>
          <w:rFonts w:ascii="Times New Roman" w:hAnsi="Times New Roman" w:cs="Times New Roman"/>
          <w:bCs/>
        </w:rPr>
      </w:pPr>
      <w:r w:rsidRPr="00831C53">
        <w:rPr>
          <w:rFonts w:ascii="Times New Roman" w:hAnsi="Times New Roman" w:cs="Times New Roman"/>
          <w:b/>
          <w:bCs/>
          <w:color w:val="548DD4" w:themeColor="text2" w:themeTint="99"/>
          <w:szCs w:val="22"/>
        </w:rPr>
        <w:t xml:space="preserve">A proposed agenda of pro-competition reforms </w:t>
      </w:r>
    </w:p>
    <w:p w14:paraId="26DDB6B5" w14:textId="77777777" w:rsidR="00C05FF3" w:rsidRPr="00C91EA2" w:rsidRDefault="00C05FF3" w:rsidP="002D1818">
      <w:pPr>
        <w:jc w:val="both"/>
        <w:rPr>
          <w:rFonts w:ascii="Times New Roman" w:hAnsi="Times New Roman" w:cs="Times New Roman"/>
        </w:rPr>
      </w:pPr>
    </w:p>
    <w:p w14:paraId="22B6F846" w14:textId="642E9223" w:rsidR="002D1818" w:rsidRDefault="00BD0DA9" w:rsidP="002D1818">
      <w:pPr>
        <w:jc w:val="both"/>
        <w:rPr>
          <w:rFonts w:ascii="Times New Roman" w:hAnsi="Times New Roman"/>
          <w:b/>
        </w:rPr>
        <w:sectPr w:rsidR="002D1818" w:rsidSect="00EF64E0">
          <w:footerReference w:type="even" r:id="rId18"/>
          <w:footerReference w:type="default" r:id="rId19"/>
          <w:pgSz w:w="11900" w:h="16840"/>
          <w:pgMar w:top="1440" w:right="1800" w:bottom="1440" w:left="1800" w:header="708" w:footer="708" w:gutter="0"/>
          <w:pgNumType w:fmt="lowerRoman" w:start="1"/>
          <w:cols w:space="708"/>
          <w:titlePg/>
          <w:docGrid w:linePitch="360"/>
        </w:sectPr>
      </w:pPr>
      <w:r>
        <w:rPr>
          <w:rFonts w:ascii="Times New Roman" w:hAnsi="Times New Roman" w:cs="Times New Roman"/>
        </w:rPr>
        <w:t>T</w:t>
      </w:r>
      <w:r w:rsidR="002D1818">
        <w:rPr>
          <w:rFonts w:ascii="Times New Roman" w:hAnsi="Times New Roman" w:cs="Times New Roman"/>
          <w:bCs/>
        </w:rPr>
        <w:t xml:space="preserve">o tackle economy-wide and sector specific competition policy issues, </w:t>
      </w:r>
      <w:r w:rsidR="002D1818" w:rsidRPr="00431E09">
        <w:rPr>
          <w:rFonts w:ascii="Times New Roman" w:hAnsi="Times New Roman" w:cs="Times New Roman"/>
          <w:b/>
          <w:bCs/>
        </w:rPr>
        <w:t>the following tables provide a series of actionable and prioritized pro-competition solutions</w:t>
      </w:r>
      <w:r w:rsidR="00FC1F70">
        <w:rPr>
          <w:rFonts w:ascii="Times New Roman" w:hAnsi="Times New Roman" w:cs="Times New Roman"/>
          <w:b/>
          <w:bCs/>
        </w:rPr>
        <w:t xml:space="preserve"> </w:t>
      </w:r>
      <w:r w:rsidR="00FC1F70" w:rsidRPr="006C07AF">
        <w:rPr>
          <w:rFonts w:ascii="Times New Roman" w:hAnsi="Times New Roman" w:cs="Times New Roman"/>
          <w:bCs/>
        </w:rPr>
        <w:t>based on their feasibility in the short and medium-term</w:t>
      </w:r>
      <w:r w:rsidR="002D1818" w:rsidRPr="006C07AF">
        <w:rPr>
          <w:rFonts w:ascii="Times New Roman" w:hAnsi="Times New Roman" w:cs="Times New Roman"/>
          <w:bCs/>
        </w:rPr>
        <w:t xml:space="preserve"> that are aiming</w:t>
      </w:r>
      <w:r w:rsidR="002D1818" w:rsidRPr="00431E09">
        <w:rPr>
          <w:rFonts w:ascii="Times New Roman" w:hAnsi="Times New Roman" w:cs="Times New Roman"/>
          <w:b/>
          <w:bCs/>
        </w:rPr>
        <w:t xml:space="preserve"> to (i) </w:t>
      </w:r>
      <w:r w:rsidR="002D1818" w:rsidRPr="00431E09">
        <w:rPr>
          <w:rFonts w:ascii="Times New Roman" w:hAnsi="Times New Roman"/>
          <w:b/>
        </w:rPr>
        <w:t>promote a level playing field</w:t>
      </w:r>
      <w:r w:rsidR="002D1818">
        <w:rPr>
          <w:rFonts w:ascii="Times New Roman" w:hAnsi="Times New Roman"/>
          <w:b/>
        </w:rPr>
        <w:t xml:space="preserve"> in selected sectors </w:t>
      </w:r>
      <w:r w:rsidR="00C73AE6">
        <w:rPr>
          <w:rFonts w:ascii="Times New Roman" w:hAnsi="Times New Roman"/>
          <w:b/>
        </w:rPr>
        <w:t>(</w:t>
      </w:r>
      <w:r w:rsidR="002D1818">
        <w:rPr>
          <w:rFonts w:ascii="Times New Roman" w:hAnsi="Times New Roman"/>
          <w:b/>
        </w:rPr>
        <w:t>groundnuts and telecommunications sectors</w:t>
      </w:r>
      <w:r w:rsidR="00C73AE6">
        <w:rPr>
          <w:rFonts w:ascii="Times New Roman" w:hAnsi="Times New Roman"/>
          <w:b/>
        </w:rPr>
        <w:t>)</w:t>
      </w:r>
      <w:r w:rsidR="002D1818" w:rsidRPr="00431E09">
        <w:rPr>
          <w:rFonts w:ascii="Times New Roman" w:hAnsi="Times New Roman"/>
          <w:b/>
        </w:rPr>
        <w:t xml:space="preserve">; and (ii) enhance the effectiveness of </w:t>
      </w:r>
      <w:r w:rsidR="002D1818">
        <w:rPr>
          <w:rFonts w:ascii="Times New Roman" w:hAnsi="Times New Roman"/>
          <w:b/>
        </w:rPr>
        <w:t xml:space="preserve">current </w:t>
      </w:r>
      <w:r w:rsidR="002D1818" w:rsidRPr="00431E09">
        <w:rPr>
          <w:rFonts w:ascii="Times New Roman" w:hAnsi="Times New Roman"/>
          <w:b/>
        </w:rPr>
        <w:t>competition policy and law</w:t>
      </w:r>
      <w:r w:rsidR="002D1818">
        <w:rPr>
          <w:rFonts w:ascii="Times New Roman" w:hAnsi="Times New Roman"/>
          <w:b/>
        </w:rPr>
        <w:t>.</w:t>
      </w:r>
    </w:p>
    <w:p w14:paraId="605F69F2" w14:textId="77777777" w:rsidR="002D1818" w:rsidRDefault="002D1818" w:rsidP="00931F86">
      <w:pPr>
        <w:pStyle w:val="Caption"/>
        <w:keepNext/>
        <w:numPr>
          <w:ilvl w:val="0"/>
          <w:numId w:val="142"/>
        </w:numPr>
        <w:rPr>
          <w:rFonts w:ascii="Times New Roman" w:hAnsi="Times New Roman"/>
        </w:rPr>
      </w:pPr>
      <w:bookmarkStart w:id="32" w:name="_Toc498020506"/>
      <w:r>
        <w:rPr>
          <w:rFonts w:ascii="Times New Roman" w:hAnsi="Times New Roman"/>
        </w:rPr>
        <w:t>Groundnuts</w:t>
      </w:r>
    </w:p>
    <w:p w14:paraId="477064EC" w14:textId="77777777" w:rsidR="005A26C7" w:rsidRPr="00752E04" w:rsidRDefault="005A26C7" w:rsidP="002D1818"/>
    <w:p w14:paraId="3DDC7CD0" w14:textId="5CBCE7B8" w:rsidR="002D1818" w:rsidRPr="00C91EA2" w:rsidRDefault="002D1818" w:rsidP="002D1818">
      <w:pPr>
        <w:pStyle w:val="Caption"/>
        <w:keepNext/>
        <w:rPr>
          <w:rFonts w:ascii="Times New Roman" w:hAnsi="Times New Roman"/>
        </w:rPr>
      </w:pPr>
      <w:bookmarkStart w:id="33" w:name="_Toc520725688"/>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1</w:t>
      </w:r>
      <w:r w:rsidRPr="00C91EA2">
        <w:rPr>
          <w:rFonts w:ascii="Times New Roman" w:hAnsi="Times New Roman"/>
        </w:rPr>
        <w:fldChar w:fldCharType="end"/>
      </w:r>
      <w:r w:rsidRPr="00C91EA2">
        <w:rPr>
          <w:rFonts w:ascii="Times New Roman" w:hAnsi="Times New Roman"/>
        </w:rPr>
        <w:t>: Recommendations on market solutions to address key bottlenecks in the groundnut value chain</w:t>
      </w:r>
      <w:bookmarkEnd w:id="32"/>
      <w:bookmarkEnd w:id="33"/>
    </w:p>
    <w:tbl>
      <w:tblPr>
        <w:tblW w:w="5000" w:type="pct"/>
        <w:tblCellMar>
          <w:left w:w="0" w:type="dxa"/>
          <w:right w:w="0" w:type="dxa"/>
        </w:tblCellMar>
        <w:tblLook w:val="0420" w:firstRow="1" w:lastRow="0" w:firstColumn="0" w:lastColumn="0" w:noHBand="0" w:noVBand="1"/>
      </w:tblPr>
      <w:tblGrid>
        <w:gridCol w:w="7235"/>
        <w:gridCol w:w="603"/>
        <w:gridCol w:w="427"/>
        <w:gridCol w:w="2566"/>
        <w:gridCol w:w="236"/>
        <w:gridCol w:w="223"/>
        <w:gridCol w:w="1654"/>
      </w:tblGrid>
      <w:tr w:rsidR="005A26C7" w:rsidRPr="00C91EA2" w14:paraId="47A4AB04" w14:textId="77777777" w:rsidTr="002321B6">
        <w:trPr>
          <w:trHeight w:val="23"/>
        </w:trPr>
        <w:tc>
          <w:tcPr>
            <w:tcW w:w="3193" w:type="pct"/>
            <w:gridSpan w:val="3"/>
            <w:tcBorders>
              <w:top w:val="single" w:sz="6" w:space="0" w:color="002245"/>
              <w:left w:val="single" w:sz="6" w:space="0" w:color="002245"/>
              <w:bottom w:val="single" w:sz="6" w:space="0" w:color="002245"/>
              <w:right w:val="nil"/>
            </w:tcBorders>
            <w:shd w:val="clear" w:color="auto" w:fill="002345"/>
            <w:tcMar>
              <w:top w:w="72" w:type="dxa"/>
              <w:left w:w="144" w:type="dxa"/>
              <w:bottom w:w="72" w:type="dxa"/>
              <w:right w:w="144" w:type="dxa"/>
            </w:tcMar>
            <w:hideMark/>
          </w:tcPr>
          <w:p w14:paraId="4EAD118D" w14:textId="77777777" w:rsidR="005A26C7" w:rsidRPr="00C91EA2" w:rsidRDefault="005A26C7" w:rsidP="002321B6">
            <w:pPr>
              <w:jc w:val="center"/>
              <w:rPr>
                <w:rFonts w:ascii="Times New Roman" w:hAnsi="Times New Roman" w:cs="Times New Roman"/>
                <w:b/>
                <w:sz w:val="20"/>
              </w:rPr>
            </w:pPr>
            <w:r w:rsidRPr="00C91EA2">
              <w:rPr>
                <w:rFonts w:ascii="Times New Roman" w:hAnsi="Times New Roman" w:cs="Times New Roman"/>
                <w:b/>
                <w:sz w:val="20"/>
              </w:rPr>
              <w:t>Recommendation</w:t>
            </w:r>
          </w:p>
        </w:tc>
        <w:tc>
          <w:tcPr>
            <w:tcW w:w="1168" w:type="pct"/>
            <w:gridSpan w:val="3"/>
            <w:tcBorders>
              <w:top w:val="single" w:sz="6" w:space="0" w:color="002245"/>
              <w:left w:val="nil"/>
              <w:bottom w:val="single" w:sz="6" w:space="0" w:color="002245"/>
              <w:right w:val="nil"/>
            </w:tcBorders>
            <w:shd w:val="clear" w:color="auto" w:fill="002345"/>
            <w:tcMar>
              <w:top w:w="72" w:type="dxa"/>
              <w:left w:w="144" w:type="dxa"/>
              <w:bottom w:w="72" w:type="dxa"/>
              <w:right w:w="144" w:type="dxa"/>
            </w:tcMar>
            <w:hideMark/>
          </w:tcPr>
          <w:p w14:paraId="60872DD4" w14:textId="77777777" w:rsidR="005A26C7" w:rsidRPr="00C91EA2" w:rsidRDefault="005A26C7" w:rsidP="002321B6">
            <w:pPr>
              <w:jc w:val="center"/>
              <w:rPr>
                <w:rFonts w:ascii="Times New Roman" w:hAnsi="Times New Roman" w:cs="Times New Roman"/>
                <w:b/>
                <w:sz w:val="20"/>
              </w:rPr>
            </w:pPr>
            <w:r>
              <w:rPr>
                <w:rFonts w:ascii="Times New Roman" w:hAnsi="Times New Roman" w:cs="Times New Roman"/>
                <w:b/>
                <w:bCs/>
                <w:sz w:val="20"/>
              </w:rPr>
              <w:t>Responsibility</w:t>
            </w:r>
          </w:p>
        </w:tc>
        <w:tc>
          <w:tcPr>
            <w:tcW w:w="639" w:type="pct"/>
            <w:tcBorders>
              <w:top w:val="single" w:sz="6" w:space="0" w:color="002245"/>
              <w:left w:val="nil"/>
              <w:bottom w:val="single" w:sz="6" w:space="0" w:color="002245"/>
              <w:right w:val="single" w:sz="6" w:space="0" w:color="002245"/>
            </w:tcBorders>
            <w:shd w:val="clear" w:color="auto" w:fill="002345"/>
            <w:tcMar>
              <w:top w:w="72" w:type="dxa"/>
              <w:left w:w="144" w:type="dxa"/>
              <w:bottom w:w="72" w:type="dxa"/>
              <w:right w:w="144" w:type="dxa"/>
            </w:tcMar>
            <w:hideMark/>
          </w:tcPr>
          <w:p w14:paraId="3CF61587" w14:textId="77777777" w:rsidR="005A26C7" w:rsidRPr="00C91EA2" w:rsidRDefault="005A26C7" w:rsidP="002321B6">
            <w:pPr>
              <w:jc w:val="center"/>
              <w:rPr>
                <w:rFonts w:ascii="Times New Roman" w:hAnsi="Times New Roman" w:cs="Times New Roman"/>
                <w:b/>
                <w:sz w:val="20"/>
              </w:rPr>
            </w:pPr>
            <w:r w:rsidRPr="00C91EA2">
              <w:rPr>
                <w:rFonts w:ascii="Times New Roman" w:hAnsi="Times New Roman" w:cs="Times New Roman"/>
                <w:b/>
                <w:bCs/>
                <w:sz w:val="20"/>
              </w:rPr>
              <w:t>Priority</w:t>
            </w:r>
          </w:p>
        </w:tc>
      </w:tr>
      <w:tr w:rsidR="005A26C7" w:rsidRPr="00C91EA2" w14:paraId="582B3B2C" w14:textId="77777777" w:rsidTr="002321B6">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1341A387" w14:textId="77777777" w:rsidR="005A26C7" w:rsidRPr="00C91EA2" w:rsidRDefault="005A26C7" w:rsidP="002321B6">
            <w:pPr>
              <w:jc w:val="center"/>
              <w:rPr>
                <w:rFonts w:ascii="Times New Roman" w:hAnsi="Times New Roman" w:cs="Times New Roman"/>
                <w:sz w:val="20"/>
              </w:rPr>
            </w:pPr>
            <w:r w:rsidRPr="00C91EA2">
              <w:rPr>
                <w:rFonts w:ascii="Times New Roman" w:hAnsi="Times New Roman" w:cs="Times New Roman"/>
                <w:sz w:val="20"/>
              </w:rPr>
              <w:t>Certified seed availability</w:t>
            </w:r>
          </w:p>
        </w:tc>
      </w:tr>
      <w:tr w:rsidR="005A26C7" w:rsidRPr="00C91EA2" w14:paraId="5E5994FE" w14:textId="77777777" w:rsidTr="00A7388C">
        <w:trPr>
          <w:trHeight w:val="238"/>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0D89EB9E" w14:textId="77777777" w:rsidR="005A26C7" w:rsidRPr="00C91EA2" w:rsidRDefault="00A7388C" w:rsidP="007575D7">
            <w:pPr>
              <w:jc w:val="both"/>
              <w:rPr>
                <w:rFonts w:ascii="Times New Roman" w:hAnsi="Times New Roman" w:cs="Times New Roman"/>
                <w:sz w:val="20"/>
              </w:rPr>
            </w:pPr>
            <w:r>
              <w:rPr>
                <w:rFonts w:ascii="Times New Roman" w:hAnsi="Times New Roman" w:cs="Times New Roman"/>
                <w:sz w:val="20"/>
              </w:rPr>
              <w:t xml:space="preserve">1.1 </w:t>
            </w:r>
            <w:r w:rsidR="005A26C7" w:rsidRPr="00C91EA2">
              <w:rPr>
                <w:rFonts w:ascii="Times New Roman" w:hAnsi="Times New Roman" w:cs="Times New Roman"/>
                <w:sz w:val="20"/>
              </w:rPr>
              <w:t>Review reasons that ISRA does not produce sufficient pre-base seed to fulfil market demand.</w:t>
            </w: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7F20BDB3" w14:textId="77777777" w:rsidR="005A26C7" w:rsidRPr="00C91EA2" w:rsidRDefault="00E5479E" w:rsidP="002321B6">
            <w:pPr>
              <w:rPr>
                <w:rFonts w:ascii="Times New Roman" w:hAnsi="Times New Roman" w:cs="Times New Roman"/>
                <w:sz w:val="20"/>
              </w:rPr>
            </w:pPr>
            <w:r>
              <w:rPr>
                <w:rFonts w:ascii="Times New Roman" w:hAnsi="Times New Roman" w:cs="Times New Roman"/>
                <w:sz w:val="20"/>
              </w:rPr>
              <w:t>Ministry of Agriculture and Rural Equipment (</w:t>
            </w:r>
            <w:r w:rsidR="005A26C7">
              <w:rPr>
                <w:rFonts w:ascii="Times New Roman" w:hAnsi="Times New Roman" w:cs="Times New Roman"/>
                <w:sz w:val="20"/>
              </w:rPr>
              <w:t>MAER</w:t>
            </w:r>
            <w:r>
              <w:rPr>
                <w:rFonts w:ascii="Times New Roman" w:hAnsi="Times New Roman" w:cs="Times New Roman"/>
                <w:sz w:val="20"/>
              </w:rPr>
              <w:t>)</w:t>
            </w:r>
            <w:r w:rsidR="005A26C7">
              <w:rPr>
                <w:rFonts w:ascii="Times New Roman" w:hAnsi="Times New Roman" w:cs="Times New Roman"/>
                <w:sz w:val="20"/>
              </w:rPr>
              <w:t>, ISRA</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261A69CD" w14:textId="77777777" w:rsidR="005A26C7" w:rsidRPr="00C91EA2" w:rsidRDefault="005A26C7" w:rsidP="002321B6">
            <w:pPr>
              <w:rPr>
                <w:rFonts w:ascii="Times New Roman" w:hAnsi="Times New Roman" w:cs="Times New Roman"/>
                <w:sz w:val="20"/>
              </w:rPr>
            </w:pPr>
            <w:r w:rsidRPr="00C91EA2">
              <w:rPr>
                <w:rFonts w:ascii="Times New Roman" w:hAnsi="Times New Roman" w:cs="Times New Roman"/>
                <w:sz w:val="20"/>
              </w:rPr>
              <w:t>High</w:t>
            </w:r>
          </w:p>
        </w:tc>
      </w:tr>
      <w:tr w:rsidR="00A7388C" w:rsidRPr="00C91EA2" w14:paraId="7692D802" w14:textId="77777777" w:rsidTr="00A7388C">
        <w:trPr>
          <w:trHeight w:val="307"/>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tcPr>
          <w:p w14:paraId="195B30F5" w14:textId="2A29B663" w:rsidR="00A7388C" w:rsidRDefault="00A7388C" w:rsidP="007575D7">
            <w:pPr>
              <w:jc w:val="both"/>
              <w:rPr>
                <w:rFonts w:ascii="Times New Roman" w:hAnsi="Times New Roman" w:cs="Times New Roman"/>
                <w:sz w:val="20"/>
              </w:rPr>
            </w:pPr>
            <w:r>
              <w:rPr>
                <w:rFonts w:ascii="Times New Roman" w:hAnsi="Times New Roman" w:cs="Times New Roman"/>
                <w:sz w:val="20"/>
              </w:rPr>
              <w:t xml:space="preserve">1.2 </w:t>
            </w:r>
            <w:r w:rsidRPr="00C91EA2">
              <w:rPr>
                <w:rFonts w:ascii="Times New Roman" w:hAnsi="Times New Roman" w:cs="Times New Roman"/>
                <w:sz w:val="20"/>
              </w:rPr>
              <w:t>Implement a pricing mechanism for pre-base seed that allows ISRA to satisfy demand for seed and cover costs</w:t>
            </w:r>
            <w:r w:rsidR="006A7588">
              <w:rPr>
                <w:rFonts w:ascii="Times New Roman" w:hAnsi="Times New Roman" w:cs="Times New Roman"/>
                <w:sz w:val="20"/>
              </w:rPr>
              <w:t>.</w:t>
            </w:r>
            <w:r w:rsidR="002F7A24">
              <w:rPr>
                <w:rFonts w:ascii="Times New Roman" w:hAnsi="Times New Roman" w:cs="Times New Roman"/>
                <w:sz w:val="20"/>
              </w:rPr>
              <w:t xml:space="preserve"> </w:t>
            </w:r>
            <w:r w:rsidR="002F7A24" w:rsidRPr="007575D7">
              <w:rPr>
                <w:rFonts w:ascii="Times New Roman" w:hAnsi="Times New Roman" w:cs="Times New Roman"/>
                <w:sz w:val="20"/>
              </w:rPr>
              <w:t xml:space="preserve"> </w:t>
            </w:r>
            <w:r w:rsidR="004D5D37">
              <w:rPr>
                <w:rFonts w:ascii="Times New Roman" w:hAnsi="Times New Roman" w:cs="Times New Roman"/>
                <w:sz w:val="20"/>
              </w:rPr>
              <w:t>As a complementary measure</w:t>
            </w:r>
            <w:r w:rsidR="002F7A24" w:rsidRPr="007575D7">
              <w:rPr>
                <w:rFonts w:ascii="Times New Roman" w:hAnsi="Times New Roman" w:cs="Times New Roman"/>
                <w:sz w:val="20"/>
              </w:rPr>
              <w:t xml:space="preserve">, </w:t>
            </w:r>
            <w:r w:rsidR="004D5D37">
              <w:rPr>
                <w:rFonts w:ascii="Times New Roman" w:hAnsi="Times New Roman" w:cs="Times New Roman"/>
                <w:sz w:val="20"/>
              </w:rPr>
              <w:t>p</w:t>
            </w:r>
            <w:r w:rsidR="002F7A24" w:rsidRPr="007575D7">
              <w:rPr>
                <w:rFonts w:ascii="Times New Roman" w:hAnsi="Times New Roman" w:cs="Times New Roman"/>
                <w:sz w:val="20"/>
              </w:rPr>
              <w:t>ut in place mechanisms of traceability and transparency, e.g. a seed e-platform</w:t>
            </w:r>
            <w:r w:rsidR="002F7A24">
              <w:rPr>
                <w:rFonts w:ascii="Times New Roman" w:hAnsi="Times New Roman" w:cs="Times New Roman"/>
                <w:sz w:val="20"/>
              </w:rPr>
              <w:t>.</w:t>
            </w:r>
          </w:p>
          <w:p w14:paraId="2DB5C4F8" w14:textId="142638BC" w:rsidR="00CF3A57" w:rsidRPr="00C91EA2" w:rsidRDefault="00CF3A57" w:rsidP="007575D7">
            <w:pPr>
              <w:jc w:val="both"/>
              <w:rPr>
                <w:rFonts w:ascii="Times New Roman" w:hAnsi="Times New Roman" w:cs="Times New Roman"/>
                <w:sz w:val="20"/>
              </w:rPr>
            </w:pP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tcPr>
          <w:p w14:paraId="315218C4" w14:textId="77777777" w:rsidR="00A7388C" w:rsidRDefault="00A7388C" w:rsidP="002321B6">
            <w:pPr>
              <w:rPr>
                <w:rFonts w:ascii="Times New Roman" w:hAnsi="Times New Roman" w:cs="Times New Roman"/>
                <w:sz w:val="20"/>
              </w:rPr>
            </w:pPr>
            <w:r>
              <w:rPr>
                <w:rFonts w:ascii="Times New Roman" w:hAnsi="Times New Roman" w:cs="Times New Roman"/>
                <w:sz w:val="20"/>
              </w:rPr>
              <w:t>MAER, ISRA</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tcPr>
          <w:p w14:paraId="358CD34C"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High</w:t>
            </w:r>
          </w:p>
        </w:tc>
      </w:tr>
      <w:tr w:rsidR="00A7388C" w:rsidRPr="00C91EA2" w14:paraId="4BC24E34" w14:textId="77777777" w:rsidTr="00A7388C">
        <w:trPr>
          <w:trHeight w:val="23"/>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511CA43B" w14:textId="1D46B72E" w:rsidR="00A7388C" w:rsidRDefault="00A7388C" w:rsidP="007575D7">
            <w:pPr>
              <w:jc w:val="both"/>
              <w:rPr>
                <w:rFonts w:ascii="Times New Roman" w:hAnsi="Times New Roman" w:cs="Times New Roman"/>
                <w:sz w:val="20"/>
              </w:rPr>
            </w:pPr>
            <w:r>
              <w:rPr>
                <w:rFonts w:ascii="Times New Roman" w:hAnsi="Times New Roman" w:cs="Times New Roman"/>
                <w:sz w:val="20"/>
              </w:rPr>
              <w:t xml:space="preserve">1.3 </w:t>
            </w:r>
            <w:r w:rsidRPr="00C91EA2">
              <w:rPr>
                <w:rFonts w:ascii="Times New Roman" w:hAnsi="Times New Roman" w:cs="Times New Roman"/>
                <w:sz w:val="20"/>
              </w:rPr>
              <w:t>Consider whether ISRA could provide breeder seed to private players to allow for increased production</w:t>
            </w:r>
            <w:r w:rsidR="006A7588">
              <w:rPr>
                <w:rFonts w:ascii="Times New Roman" w:hAnsi="Times New Roman" w:cs="Times New Roman"/>
                <w:sz w:val="20"/>
              </w:rPr>
              <w:t>.</w:t>
            </w:r>
            <w:r w:rsidR="00340811">
              <w:rPr>
                <w:rFonts w:ascii="Times New Roman" w:hAnsi="Times New Roman" w:cs="Times New Roman"/>
                <w:sz w:val="20"/>
              </w:rPr>
              <w:t xml:space="preserve"> </w:t>
            </w:r>
            <w:r w:rsidR="00BD00DB">
              <w:rPr>
                <w:rFonts w:ascii="Times New Roman" w:hAnsi="Times New Roman" w:cs="Times New Roman"/>
                <w:sz w:val="20"/>
              </w:rPr>
              <w:t>As a complementary measure</w:t>
            </w:r>
            <w:r w:rsidR="00340811">
              <w:rPr>
                <w:rFonts w:ascii="Times New Roman" w:hAnsi="Times New Roman" w:cs="Times New Roman"/>
                <w:sz w:val="20"/>
              </w:rPr>
              <w:t xml:space="preserve">, </w:t>
            </w:r>
            <w:r w:rsidR="00340811" w:rsidRPr="007575D7">
              <w:rPr>
                <w:rFonts w:ascii="Times New Roman" w:hAnsi="Times New Roman" w:cs="Times New Roman"/>
                <w:sz w:val="20"/>
              </w:rPr>
              <w:t>identify ISRA’s public good elements and allocate funds.</w:t>
            </w:r>
          </w:p>
          <w:p w14:paraId="7A75B6EA" w14:textId="76EF304B" w:rsidR="00CF3A57" w:rsidRPr="00C91EA2" w:rsidRDefault="00CF3A57" w:rsidP="007575D7">
            <w:pPr>
              <w:jc w:val="both"/>
              <w:rPr>
                <w:rFonts w:ascii="Times New Roman" w:hAnsi="Times New Roman" w:cs="Times New Roman"/>
                <w:sz w:val="20"/>
              </w:rPr>
            </w:pP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10F72852"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MAER, ISRA</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74D28842" w14:textId="3CEE1091" w:rsidR="00A7388C" w:rsidRPr="00C91EA2" w:rsidRDefault="00A925CC" w:rsidP="002321B6">
            <w:pPr>
              <w:rPr>
                <w:rFonts w:ascii="Times New Roman" w:hAnsi="Times New Roman" w:cs="Times New Roman"/>
                <w:sz w:val="20"/>
              </w:rPr>
            </w:pPr>
            <w:r w:rsidRPr="00C91EA2">
              <w:rPr>
                <w:rFonts w:ascii="Times New Roman" w:hAnsi="Times New Roman" w:cs="Times New Roman"/>
                <w:sz w:val="20"/>
              </w:rPr>
              <w:t xml:space="preserve">High </w:t>
            </w:r>
          </w:p>
        </w:tc>
      </w:tr>
      <w:tr w:rsidR="00A7388C" w:rsidRPr="00C91EA2" w14:paraId="4CF0195D" w14:textId="77777777" w:rsidTr="00A7388C">
        <w:trPr>
          <w:trHeight w:val="56"/>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0D3B7B72" w14:textId="13FE4EA4" w:rsidR="00A7388C" w:rsidRDefault="00A7388C" w:rsidP="006A7588">
            <w:pPr>
              <w:rPr>
                <w:rFonts w:ascii="Times New Roman" w:hAnsi="Times New Roman" w:cs="Times New Roman"/>
                <w:sz w:val="20"/>
              </w:rPr>
            </w:pPr>
            <w:r>
              <w:rPr>
                <w:rFonts w:ascii="Times New Roman" w:hAnsi="Times New Roman" w:cs="Times New Roman"/>
                <w:sz w:val="20"/>
              </w:rPr>
              <w:t xml:space="preserve">1.4 </w:t>
            </w:r>
            <w:r w:rsidRPr="00C91EA2">
              <w:rPr>
                <w:rFonts w:ascii="Times New Roman" w:hAnsi="Times New Roman" w:cs="Times New Roman"/>
                <w:sz w:val="20"/>
              </w:rPr>
              <w:t xml:space="preserve">Refine and operationalize subsidy schemes </w:t>
            </w:r>
            <w:r w:rsidR="006A7588">
              <w:rPr>
                <w:rFonts w:ascii="Times New Roman" w:hAnsi="Times New Roman" w:cs="Times New Roman"/>
                <w:sz w:val="20"/>
              </w:rPr>
              <w:t>that</w:t>
            </w:r>
            <w:r w:rsidR="006A7588" w:rsidRPr="00C91EA2">
              <w:rPr>
                <w:rFonts w:ascii="Times New Roman" w:hAnsi="Times New Roman" w:cs="Times New Roman"/>
                <w:sz w:val="20"/>
              </w:rPr>
              <w:t xml:space="preserve"> </w:t>
            </w:r>
            <w:r w:rsidRPr="00C91EA2">
              <w:rPr>
                <w:rFonts w:ascii="Times New Roman" w:hAnsi="Times New Roman" w:cs="Times New Roman"/>
                <w:sz w:val="20"/>
              </w:rPr>
              <w:t>allow for competition between distributors/seed companies</w:t>
            </w:r>
            <w:r w:rsidR="006A7588">
              <w:rPr>
                <w:rFonts w:ascii="Times New Roman" w:hAnsi="Times New Roman" w:cs="Times New Roman"/>
                <w:sz w:val="20"/>
              </w:rPr>
              <w:t>,</w:t>
            </w:r>
            <w:r w:rsidRPr="00C91EA2">
              <w:rPr>
                <w:rFonts w:ascii="Times New Roman" w:hAnsi="Times New Roman" w:cs="Times New Roman"/>
                <w:sz w:val="20"/>
              </w:rPr>
              <w:t xml:space="preserve"> e.g. voucher scheme</w:t>
            </w:r>
            <w:r w:rsidR="006A7588">
              <w:rPr>
                <w:rFonts w:ascii="Times New Roman" w:hAnsi="Times New Roman" w:cs="Times New Roman"/>
                <w:sz w:val="20"/>
              </w:rPr>
              <w:t>.</w:t>
            </w:r>
          </w:p>
          <w:p w14:paraId="783EEF0A" w14:textId="4910312E" w:rsidR="00CF3A57" w:rsidRPr="00C91EA2" w:rsidRDefault="00CF3A57" w:rsidP="006A7588">
            <w:pPr>
              <w:rPr>
                <w:rFonts w:ascii="Times New Roman" w:hAnsi="Times New Roman" w:cs="Times New Roman"/>
                <w:sz w:val="20"/>
              </w:rPr>
            </w:pP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21653DC8"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MAER</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43FFF1E8"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High</w:t>
            </w:r>
          </w:p>
        </w:tc>
      </w:tr>
      <w:tr w:rsidR="00A7388C" w:rsidRPr="00C91EA2" w14:paraId="4A39998E" w14:textId="77777777" w:rsidTr="00A7388C">
        <w:trPr>
          <w:trHeight w:val="23"/>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1334B697" w14:textId="77777777" w:rsidR="00A7388C" w:rsidRDefault="00A7388C" w:rsidP="007575D7">
            <w:pPr>
              <w:jc w:val="both"/>
              <w:rPr>
                <w:rFonts w:ascii="Times New Roman" w:hAnsi="Times New Roman" w:cs="Times New Roman"/>
                <w:sz w:val="20"/>
              </w:rPr>
            </w:pPr>
            <w:r>
              <w:rPr>
                <w:rFonts w:ascii="Times New Roman" w:hAnsi="Times New Roman" w:cs="Times New Roman"/>
                <w:sz w:val="20"/>
              </w:rPr>
              <w:t xml:space="preserve">1.5 </w:t>
            </w:r>
            <w:r w:rsidRPr="00C91EA2">
              <w:rPr>
                <w:rFonts w:ascii="Times New Roman" w:hAnsi="Times New Roman" w:cs="Times New Roman"/>
                <w:sz w:val="20"/>
              </w:rPr>
              <w:t xml:space="preserve">Allow private sector to choose geographical allocation of seeds based on demand, except in the case of market failures. </w:t>
            </w:r>
          </w:p>
          <w:p w14:paraId="3209D496" w14:textId="559A156C" w:rsidR="00CF3A57" w:rsidRPr="00C91EA2" w:rsidRDefault="00CF3A57" w:rsidP="007575D7">
            <w:pPr>
              <w:jc w:val="both"/>
              <w:rPr>
                <w:rFonts w:ascii="Times New Roman" w:hAnsi="Times New Roman" w:cs="Times New Roman"/>
                <w:sz w:val="20"/>
              </w:rPr>
            </w:pP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3E2D4320"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MAER</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69750B26"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Medium</w:t>
            </w:r>
          </w:p>
        </w:tc>
      </w:tr>
      <w:tr w:rsidR="00A7388C" w:rsidRPr="00C91EA2" w14:paraId="7B3589AA" w14:textId="77777777" w:rsidTr="00A7388C">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1EC4B3E1" w14:textId="77777777" w:rsidR="00A7388C" w:rsidRPr="00C91EA2" w:rsidRDefault="00A7388C" w:rsidP="002321B6">
            <w:pPr>
              <w:jc w:val="center"/>
              <w:rPr>
                <w:rFonts w:ascii="Times New Roman" w:hAnsi="Times New Roman" w:cs="Times New Roman"/>
                <w:sz w:val="20"/>
              </w:rPr>
            </w:pPr>
            <w:r w:rsidRPr="00C91EA2">
              <w:rPr>
                <w:rFonts w:ascii="Times New Roman" w:hAnsi="Times New Roman" w:cs="Times New Roman"/>
                <w:sz w:val="20"/>
              </w:rPr>
              <w:t>Fertilizer availability</w:t>
            </w:r>
          </w:p>
        </w:tc>
      </w:tr>
      <w:tr w:rsidR="00A7388C" w:rsidRPr="00C91EA2" w14:paraId="4B386AFC" w14:textId="77777777" w:rsidTr="00A7388C">
        <w:trPr>
          <w:trHeight w:val="23"/>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2A3D9B71" w14:textId="22F22471" w:rsidR="00A7388C" w:rsidRDefault="00A7388C" w:rsidP="007575D7">
            <w:pPr>
              <w:jc w:val="both"/>
              <w:rPr>
                <w:rFonts w:ascii="Times New Roman" w:hAnsi="Times New Roman" w:cs="Times New Roman"/>
                <w:sz w:val="20"/>
              </w:rPr>
            </w:pPr>
            <w:r>
              <w:rPr>
                <w:rFonts w:ascii="Times New Roman" w:hAnsi="Times New Roman" w:cs="Times New Roman"/>
                <w:sz w:val="20"/>
              </w:rPr>
              <w:t xml:space="preserve">1.6 </w:t>
            </w:r>
            <w:r w:rsidRPr="00C91EA2">
              <w:rPr>
                <w:rFonts w:ascii="Times New Roman" w:hAnsi="Times New Roman" w:cs="Times New Roman"/>
                <w:sz w:val="20"/>
              </w:rPr>
              <w:t>Review the costs and benefits of maintaining restrictive formula specifications</w:t>
            </w:r>
            <w:r w:rsidR="006521A7">
              <w:rPr>
                <w:rFonts w:ascii="Times New Roman" w:hAnsi="Times New Roman" w:cs="Times New Roman"/>
                <w:sz w:val="20"/>
              </w:rPr>
              <w:t xml:space="preserve"> in </w:t>
            </w:r>
            <w:r w:rsidR="003B24ED">
              <w:rPr>
                <w:rFonts w:ascii="Times New Roman" w:hAnsi="Times New Roman" w:cs="Times New Roman"/>
                <w:sz w:val="20"/>
              </w:rPr>
              <w:t>Government</w:t>
            </w:r>
            <w:r w:rsidR="001A549E">
              <w:rPr>
                <w:rFonts w:ascii="Times New Roman" w:hAnsi="Times New Roman" w:cs="Times New Roman"/>
                <w:sz w:val="20"/>
              </w:rPr>
              <w:t xml:space="preserve"> </w:t>
            </w:r>
            <w:r w:rsidR="006521A7">
              <w:rPr>
                <w:rFonts w:ascii="Times New Roman" w:hAnsi="Times New Roman" w:cs="Times New Roman"/>
                <w:sz w:val="20"/>
              </w:rPr>
              <w:t>tenders</w:t>
            </w:r>
            <w:r w:rsidRPr="00C91EA2">
              <w:rPr>
                <w:rFonts w:ascii="Times New Roman" w:hAnsi="Times New Roman" w:cs="Times New Roman"/>
                <w:sz w:val="20"/>
              </w:rPr>
              <w:t>.</w:t>
            </w:r>
          </w:p>
          <w:p w14:paraId="4FEF312C" w14:textId="3D1D5B1F" w:rsidR="00CF3A57" w:rsidRPr="00C91EA2" w:rsidRDefault="00CF3A57" w:rsidP="007575D7">
            <w:pPr>
              <w:jc w:val="both"/>
              <w:rPr>
                <w:rFonts w:ascii="Times New Roman" w:hAnsi="Times New Roman" w:cs="Times New Roman"/>
                <w:sz w:val="20"/>
              </w:rPr>
            </w:pP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263E4CE9"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MAER</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3F195E03"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High</w:t>
            </w:r>
          </w:p>
        </w:tc>
      </w:tr>
      <w:tr w:rsidR="004B3D88" w:rsidRPr="00C91EA2" w14:paraId="25CEB7E4" w14:textId="77777777" w:rsidTr="00A7388C">
        <w:trPr>
          <w:trHeight w:val="23"/>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43FECD13" w14:textId="77777777" w:rsidR="004B3D88" w:rsidRDefault="004B3D88" w:rsidP="004B3D88">
            <w:pPr>
              <w:rPr>
                <w:rFonts w:ascii="Times New Roman" w:hAnsi="Times New Roman" w:cs="Times New Roman"/>
                <w:sz w:val="20"/>
              </w:rPr>
            </w:pPr>
            <w:r>
              <w:rPr>
                <w:rFonts w:ascii="Times New Roman" w:hAnsi="Times New Roman" w:cs="Times New Roman"/>
                <w:sz w:val="20"/>
              </w:rPr>
              <w:t xml:space="preserve">1.7 </w:t>
            </w:r>
            <w:r w:rsidRPr="00C91EA2">
              <w:rPr>
                <w:rFonts w:ascii="Times New Roman" w:hAnsi="Times New Roman" w:cs="Times New Roman"/>
                <w:sz w:val="20"/>
              </w:rPr>
              <w:t>Consider allowing bulk blends</w:t>
            </w:r>
            <w:r>
              <w:rPr>
                <w:rFonts w:ascii="Times New Roman" w:hAnsi="Times New Roman" w:cs="Times New Roman"/>
                <w:sz w:val="20"/>
              </w:rPr>
              <w:t xml:space="preserve"> for tenders.</w:t>
            </w:r>
          </w:p>
          <w:p w14:paraId="4E6D33D7" w14:textId="6A89D009" w:rsidR="00CF3A57" w:rsidRPr="00C91EA2" w:rsidRDefault="00CF3A57" w:rsidP="004B3D88">
            <w:pPr>
              <w:rPr>
                <w:rFonts w:ascii="Times New Roman" w:hAnsi="Times New Roman" w:cs="Times New Roman"/>
                <w:sz w:val="20"/>
              </w:rPr>
            </w:pP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4E6AA755" w14:textId="77777777" w:rsidR="004B3D88" w:rsidRPr="00C91EA2" w:rsidRDefault="004B3D88" w:rsidP="004B3D88">
            <w:pPr>
              <w:rPr>
                <w:rFonts w:ascii="Times New Roman" w:hAnsi="Times New Roman" w:cs="Times New Roman"/>
                <w:sz w:val="20"/>
              </w:rPr>
            </w:pPr>
            <w:r>
              <w:rPr>
                <w:rFonts w:ascii="Times New Roman" w:hAnsi="Times New Roman" w:cs="Times New Roman"/>
                <w:sz w:val="20"/>
              </w:rPr>
              <w:t>MAER</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6CA234C1" w14:textId="3E6CD6F9" w:rsidR="004B3D88" w:rsidRPr="00C91EA2" w:rsidRDefault="004B3D88" w:rsidP="004B3D88">
            <w:pPr>
              <w:rPr>
                <w:rFonts w:ascii="Times New Roman" w:hAnsi="Times New Roman" w:cs="Times New Roman"/>
                <w:sz w:val="20"/>
              </w:rPr>
            </w:pPr>
            <w:r w:rsidRPr="005E08B7">
              <w:rPr>
                <w:rFonts w:ascii="Times New Roman" w:hAnsi="Times New Roman" w:cs="Times New Roman"/>
                <w:sz w:val="20"/>
              </w:rPr>
              <w:t>High</w:t>
            </w:r>
          </w:p>
        </w:tc>
      </w:tr>
      <w:tr w:rsidR="004B3D88" w:rsidRPr="00C91EA2" w14:paraId="111705BD" w14:textId="77777777" w:rsidTr="00A7388C">
        <w:trPr>
          <w:trHeight w:val="23"/>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28DAD184" w14:textId="77777777" w:rsidR="004B3D88" w:rsidRDefault="004B3D88" w:rsidP="007575D7">
            <w:pPr>
              <w:jc w:val="both"/>
              <w:rPr>
                <w:rFonts w:ascii="Times New Roman" w:hAnsi="Times New Roman" w:cs="Times New Roman"/>
                <w:sz w:val="20"/>
              </w:rPr>
            </w:pPr>
            <w:r>
              <w:rPr>
                <w:rFonts w:ascii="Times New Roman" w:hAnsi="Times New Roman" w:cs="Times New Roman"/>
                <w:sz w:val="20"/>
              </w:rPr>
              <w:t xml:space="preserve">1.8 </w:t>
            </w:r>
            <w:r w:rsidRPr="00C91EA2">
              <w:rPr>
                <w:rFonts w:ascii="Times New Roman" w:hAnsi="Times New Roman" w:cs="Times New Roman"/>
                <w:sz w:val="20"/>
              </w:rPr>
              <w:t>Formally delink tender award</w:t>
            </w:r>
            <w:r>
              <w:rPr>
                <w:rFonts w:ascii="Times New Roman" w:hAnsi="Times New Roman" w:cs="Times New Roman"/>
                <w:sz w:val="20"/>
              </w:rPr>
              <w:t xml:space="preserve"> for subsidized fertilizer distribution</w:t>
            </w:r>
            <w:r w:rsidRPr="00C91EA2">
              <w:rPr>
                <w:rFonts w:ascii="Times New Roman" w:hAnsi="Times New Roman" w:cs="Times New Roman"/>
                <w:sz w:val="20"/>
              </w:rPr>
              <w:t xml:space="preserve"> from bidder’s choice of supplier</w:t>
            </w:r>
            <w:r>
              <w:rPr>
                <w:rFonts w:ascii="Times New Roman" w:hAnsi="Times New Roman" w:cs="Times New Roman"/>
                <w:sz w:val="20"/>
              </w:rPr>
              <w:t>.</w:t>
            </w:r>
          </w:p>
          <w:p w14:paraId="06716F56" w14:textId="7F52DC4F" w:rsidR="00CF3A57" w:rsidRPr="00C91EA2" w:rsidRDefault="00CF3A57" w:rsidP="007575D7">
            <w:pPr>
              <w:jc w:val="both"/>
              <w:rPr>
                <w:rFonts w:ascii="Times New Roman" w:hAnsi="Times New Roman" w:cs="Times New Roman"/>
                <w:sz w:val="20"/>
              </w:rPr>
            </w:pP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48C8F0FC" w14:textId="77777777" w:rsidR="004B3D88" w:rsidRPr="00C91EA2" w:rsidRDefault="004B3D88" w:rsidP="004B3D88">
            <w:pPr>
              <w:rPr>
                <w:rFonts w:ascii="Times New Roman" w:hAnsi="Times New Roman" w:cs="Times New Roman"/>
                <w:sz w:val="20"/>
              </w:rPr>
            </w:pPr>
            <w:r>
              <w:rPr>
                <w:rFonts w:ascii="Times New Roman" w:hAnsi="Times New Roman" w:cs="Times New Roman"/>
                <w:sz w:val="20"/>
              </w:rPr>
              <w:t>MAER</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5FD1DCF8" w14:textId="707FD2B7" w:rsidR="004B3D88" w:rsidRPr="00C91EA2" w:rsidRDefault="004B3D88" w:rsidP="004B3D88">
            <w:pPr>
              <w:rPr>
                <w:rFonts w:ascii="Times New Roman" w:hAnsi="Times New Roman" w:cs="Times New Roman"/>
                <w:sz w:val="20"/>
              </w:rPr>
            </w:pPr>
            <w:r w:rsidRPr="005E08B7">
              <w:rPr>
                <w:rFonts w:ascii="Times New Roman" w:hAnsi="Times New Roman" w:cs="Times New Roman"/>
                <w:sz w:val="20"/>
              </w:rPr>
              <w:t>High</w:t>
            </w:r>
          </w:p>
        </w:tc>
      </w:tr>
      <w:tr w:rsidR="00A7388C" w:rsidRPr="00C91EA2" w14:paraId="34CC2A33" w14:textId="77777777" w:rsidTr="007575D7">
        <w:trPr>
          <w:trHeight w:val="390"/>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23E83462" w14:textId="77777777" w:rsidR="00A7388C" w:rsidRDefault="00A7388C" w:rsidP="007575D7">
            <w:pPr>
              <w:jc w:val="both"/>
              <w:rPr>
                <w:rFonts w:ascii="Times New Roman" w:hAnsi="Times New Roman" w:cs="Times New Roman"/>
                <w:sz w:val="20"/>
              </w:rPr>
            </w:pPr>
            <w:r>
              <w:rPr>
                <w:rFonts w:ascii="Times New Roman" w:hAnsi="Times New Roman" w:cs="Times New Roman"/>
                <w:sz w:val="20"/>
              </w:rPr>
              <w:t xml:space="preserve">1.9 </w:t>
            </w:r>
            <w:r w:rsidRPr="00C91EA2">
              <w:rPr>
                <w:rFonts w:ascii="Times New Roman" w:hAnsi="Times New Roman" w:cs="Times New Roman"/>
                <w:sz w:val="20"/>
              </w:rPr>
              <w:t>Operationalize subsidy schemes which allow for competition between distributors and greater choice for consumers, e.g. voucher scheme</w:t>
            </w:r>
            <w:r w:rsidR="006A7588">
              <w:rPr>
                <w:rFonts w:ascii="Times New Roman" w:hAnsi="Times New Roman" w:cs="Times New Roman"/>
                <w:sz w:val="20"/>
              </w:rPr>
              <w:t>.</w:t>
            </w:r>
          </w:p>
          <w:p w14:paraId="3B43EFDD" w14:textId="53955B9B" w:rsidR="00CF3A57" w:rsidRPr="00C91EA2" w:rsidRDefault="00CF3A57" w:rsidP="007575D7">
            <w:pPr>
              <w:jc w:val="both"/>
              <w:rPr>
                <w:rFonts w:ascii="Times New Roman" w:hAnsi="Times New Roman" w:cs="Times New Roman"/>
                <w:sz w:val="20"/>
              </w:rPr>
            </w:pP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3855C0B6"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MAER</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4CCECE46"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High</w:t>
            </w:r>
          </w:p>
        </w:tc>
      </w:tr>
      <w:tr w:rsidR="00093A9A" w:rsidRPr="00C91EA2" w14:paraId="149988FB" w14:textId="77777777" w:rsidTr="00A7388C">
        <w:trPr>
          <w:trHeight w:val="196"/>
        </w:trPr>
        <w:tc>
          <w:tcPr>
            <w:tcW w:w="3193"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tcPr>
          <w:p w14:paraId="10D25A2E" w14:textId="58D2513A" w:rsidR="00093A9A" w:rsidRDefault="001A71EF" w:rsidP="007575D7">
            <w:pPr>
              <w:pStyle w:val="HTMLPreformatted"/>
              <w:shd w:val="clear" w:color="auto" w:fill="FFFFFF"/>
              <w:jc w:val="both"/>
              <w:rPr>
                <w:rFonts w:ascii="Times New Roman" w:eastAsiaTheme="minorEastAsia" w:hAnsi="Times New Roman" w:cs="Times New Roman"/>
                <w:szCs w:val="24"/>
              </w:rPr>
            </w:pPr>
            <w:r>
              <w:rPr>
                <w:rFonts w:ascii="Times New Roman" w:hAnsi="Times New Roman" w:cs="Times New Roman"/>
              </w:rPr>
              <w:t xml:space="preserve">1.10 </w:t>
            </w:r>
            <w:r w:rsidR="008A6D28">
              <w:rPr>
                <w:rFonts w:ascii="Times New Roman" w:hAnsi="Times New Roman" w:cs="Times New Roman"/>
              </w:rPr>
              <w:t xml:space="preserve">As a complementary measure, </w:t>
            </w:r>
            <w:r w:rsidR="008A6D28">
              <w:rPr>
                <w:rFonts w:ascii="Times New Roman" w:eastAsiaTheme="minorEastAsia" w:hAnsi="Times New Roman" w:cs="Times New Roman"/>
                <w:szCs w:val="24"/>
              </w:rPr>
              <w:t>c</w:t>
            </w:r>
            <w:r w:rsidR="00F37750" w:rsidRPr="00F37750">
              <w:rPr>
                <w:rFonts w:ascii="Times New Roman" w:eastAsiaTheme="minorEastAsia" w:hAnsi="Times New Roman" w:cs="Times New Roman"/>
                <w:szCs w:val="24"/>
              </w:rPr>
              <w:t>onsider s</w:t>
            </w:r>
            <w:r w:rsidR="00A925CC" w:rsidRPr="007575D7">
              <w:rPr>
                <w:rFonts w:ascii="Times New Roman" w:eastAsiaTheme="minorEastAsia" w:hAnsi="Times New Roman" w:cs="Times New Roman" w:hint="eastAsia"/>
                <w:szCs w:val="24"/>
              </w:rPr>
              <w:t xml:space="preserve">tate support for inputs </w:t>
            </w:r>
            <w:r w:rsidR="00A925CC">
              <w:rPr>
                <w:rFonts w:ascii="Times New Roman" w:eastAsiaTheme="minorEastAsia" w:hAnsi="Times New Roman" w:cs="Times New Roman"/>
                <w:szCs w:val="24"/>
              </w:rPr>
              <w:t xml:space="preserve">(fertilizers and seeds) </w:t>
            </w:r>
            <w:r w:rsidR="00A925CC" w:rsidRPr="007575D7">
              <w:rPr>
                <w:rFonts w:ascii="Times New Roman" w:eastAsiaTheme="minorEastAsia" w:hAnsi="Times New Roman" w:cs="Times New Roman" w:hint="eastAsia"/>
                <w:szCs w:val="24"/>
              </w:rPr>
              <w:t>in the context of contract</w:t>
            </w:r>
            <w:r w:rsidR="00A925CC">
              <w:rPr>
                <w:rFonts w:ascii="Times New Roman" w:eastAsiaTheme="minorEastAsia" w:hAnsi="Times New Roman" w:cs="Times New Roman"/>
                <w:szCs w:val="24"/>
              </w:rPr>
              <w:t xml:space="preserve"> farming schemes </w:t>
            </w:r>
            <w:r w:rsidR="00A925CC" w:rsidRPr="007575D7">
              <w:rPr>
                <w:rFonts w:ascii="Times New Roman" w:eastAsiaTheme="minorEastAsia" w:hAnsi="Times New Roman" w:cs="Times New Roman" w:hint="eastAsia"/>
                <w:szCs w:val="24"/>
              </w:rPr>
              <w:t xml:space="preserve">to promote diversification, </w:t>
            </w:r>
            <w:r w:rsidR="00A925CC">
              <w:rPr>
                <w:rFonts w:ascii="Times New Roman" w:eastAsiaTheme="minorEastAsia" w:hAnsi="Times New Roman" w:cs="Times New Roman"/>
                <w:szCs w:val="24"/>
              </w:rPr>
              <w:t xml:space="preserve">and </w:t>
            </w:r>
            <w:r w:rsidR="00A925CC" w:rsidRPr="007575D7">
              <w:rPr>
                <w:rFonts w:ascii="Times New Roman" w:eastAsiaTheme="minorEastAsia" w:hAnsi="Times New Roman" w:cs="Times New Roman" w:hint="eastAsia"/>
                <w:szCs w:val="24"/>
              </w:rPr>
              <w:t xml:space="preserve">the dissemination of </w:t>
            </w:r>
            <w:r w:rsidR="00383C5E">
              <w:rPr>
                <w:rFonts w:ascii="Times New Roman" w:eastAsiaTheme="minorEastAsia" w:hAnsi="Times New Roman" w:cs="Times New Roman"/>
                <w:szCs w:val="24"/>
              </w:rPr>
              <w:t>climate</w:t>
            </w:r>
            <w:r w:rsidR="008A6D28">
              <w:rPr>
                <w:rFonts w:ascii="Times New Roman" w:eastAsiaTheme="minorEastAsia" w:hAnsi="Times New Roman" w:cs="Times New Roman"/>
                <w:szCs w:val="24"/>
              </w:rPr>
              <w:t xml:space="preserve">-smart agricultural </w:t>
            </w:r>
            <w:r w:rsidR="00A925CC" w:rsidRPr="007575D7">
              <w:rPr>
                <w:rFonts w:ascii="Times New Roman" w:eastAsiaTheme="minorEastAsia" w:hAnsi="Times New Roman" w:cs="Times New Roman" w:hint="eastAsia"/>
                <w:szCs w:val="24"/>
              </w:rPr>
              <w:t>technologies</w:t>
            </w:r>
            <w:r w:rsidR="00A925CC">
              <w:rPr>
                <w:rFonts w:ascii="Times New Roman" w:eastAsiaTheme="minorEastAsia" w:hAnsi="Times New Roman" w:cs="Times New Roman"/>
                <w:szCs w:val="24"/>
              </w:rPr>
              <w:t>, especially</w:t>
            </w:r>
            <w:r w:rsidR="00A925CC" w:rsidRPr="007575D7">
              <w:rPr>
                <w:rFonts w:ascii="Times New Roman" w:eastAsiaTheme="minorEastAsia" w:hAnsi="Times New Roman" w:cs="Times New Roman" w:hint="eastAsia"/>
                <w:szCs w:val="24"/>
              </w:rPr>
              <w:t xml:space="preserve"> to boost production in areas affected by climate shocks.</w:t>
            </w:r>
          </w:p>
          <w:p w14:paraId="177BA70B" w14:textId="4CB32D01" w:rsidR="00CF3A57" w:rsidRPr="00A925CC" w:rsidRDefault="00CF3A57" w:rsidP="007575D7">
            <w:pPr>
              <w:pStyle w:val="HTMLPreformatted"/>
              <w:shd w:val="clear" w:color="auto" w:fill="FFFFFF"/>
              <w:jc w:val="both"/>
              <w:rPr>
                <w:rFonts w:ascii="Times New Roman" w:hAnsi="Times New Roman" w:cs="Times New Roman"/>
              </w:rPr>
            </w:pPr>
          </w:p>
        </w:tc>
        <w:tc>
          <w:tcPr>
            <w:tcW w:w="1168" w:type="pct"/>
            <w:gridSpan w:val="3"/>
            <w:tcBorders>
              <w:top w:val="single" w:sz="6" w:space="0" w:color="002245"/>
              <w:left w:val="nil"/>
              <w:bottom w:val="single" w:sz="6" w:space="0" w:color="002245"/>
              <w:right w:val="nil"/>
            </w:tcBorders>
            <w:tcMar>
              <w:top w:w="72" w:type="dxa"/>
              <w:left w:w="144" w:type="dxa"/>
              <w:bottom w:w="72" w:type="dxa"/>
              <w:right w:w="144" w:type="dxa"/>
            </w:tcMar>
          </w:tcPr>
          <w:p w14:paraId="7DC41387" w14:textId="77777777" w:rsidR="00093A9A" w:rsidRDefault="001A71EF" w:rsidP="002321B6">
            <w:pPr>
              <w:rPr>
                <w:rFonts w:ascii="Times New Roman" w:hAnsi="Times New Roman" w:cs="Times New Roman"/>
                <w:sz w:val="20"/>
              </w:rPr>
            </w:pPr>
            <w:r>
              <w:rPr>
                <w:rFonts w:ascii="Times New Roman" w:hAnsi="Times New Roman" w:cs="Times New Roman"/>
                <w:sz w:val="20"/>
              </w:rPr>
              <w:t>MAER, ISRA</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tcPr>
          <w:p w14:paraId="662E2DA2" w14:textId="77777777" w:rsidR="00093A9A" w:rsidRPr="00C91EA2" w:rsidRDefault="001A71EF" w:rsidP="002321B6">
            <w:pPr>
              <w:rPr>
                <w:rFonts w:ascii="Times New Roman" w:hAnsi="Times New Roman" w:cs="Times New Roman"/>
                <w:sz w:val="20"/>
              </w:rPr>
            </w:pPr>
            <w:r>
              <w:rPr>
                <w:rFonts w:ascii="Times New Roman" w:hAnsi="Times New Roman" w:cs="Times New Roman"/>
                <w:sz w:val="20"/>
              </w:rPr>
              <w:t>High</w:t>
            </w:r>
          </w:p>
        </w:tc>
      </w:tr>
      <w:tr w:rsidR="00A7388C" w:rsidRPr="00C91EA2" w14:paraId="7158278A" w14:textId="77777777" w:rsidTr="002321B6">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6128B297" w14:textId="77777777" w:rsidR="00A7388C" w:rsidRPr="00C91EA2" w:rsidRDefault="00A7388C" w:rsidP="002321B6">
            <w:pPr>
              <w:jc w:val="center"/>
              <w:rPr>
                <w:rFonts w:ascii="Times New Roman" w:hAnsi="Times New Roman" w:cs="Times New Roman"/>
                <w:sz w:val="20"/>
              </w:rPr>
            </w:pPr>
            <w:r w:rsidRPr="00C91EA2">
              <w:rPr>
                <w:rFonts w:ascii="Times New Roman" w:hAnsi="Times New Roman" w:cs="Times New Roman"/>
                <w:sz w:val="20"/>
              </w:rPr>
              <w:t>Farmer incomes</w:t>
            </w:r>
          </w:p>
        </w:tc>
      </w:tr>
      <w:tr w:rsidR="00A7388C" w:rsidRPr="00C91EA2" w14:paraId="3B2DDA0A" w14:textId="77777777" w:rsidTr="007575D7">
        <w:trPr>
          <w:trHeight w:val="431"/>
        </w:trPr>
        <w:tc>
          <w:tcPr>
            <w:tcW w:w="3028"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5DF1CD6C" w14:textId="7C0576A5" w:rsidR="00A7388C" w:rsidRPr="00C91EA2" w:rsidRDefault="00A7388C" w:rsidP="002321B6">
            <w:pPr>
              <w:rPr>
                <w:rFonts w:ascii="Times New Roman" w:hAnsi="Times New Roman" w:cs="Times New Roman"/>
                <w:sz w:val="20"/>
              </w:rPr>
            </w:pPr>
            <w:r>
              <w:rPr>
                <w:rFonts w:ascii="Times New Roman" w:hAnsi="Times New Roman" w:cs="Times New Roman"/>
                <w:sz w:val="20"/>
              </w:rPr>
              <w:t>1.1</w:t>
            </w:r>
            <w:r w:rsidR="001A71EF">
              <w:rPr>
                <w:rFonts w:ascii="Times New Roman" w:hAnsi="Times New Roman" w:cs="Times New Roman"/>
                <w:sz w:val="20"/>
              </w:rPr>
              <w:t>1</w:t>
            </w:r>
            <w:r>
              <w:rPr>
                <w:rFonts w:ascii="Times New Roman" w:hAnsi="Times New Roman" w:cs="Times New Roman"/>
                <w:sz w:val="20"/>
              </w:rPr>
              <w:t xml:space="preserve"> </w:t>
            </w:r>
            <w:r w:rsidRPr="00C91EA2">
              <w:rPr>
                <w:rFonts w:ascii="Times New Roman" w:hAnsi="Times New Roman" w:cs="Times New Roman"/>
                <w:sz w:val="20"/>
              </w:rPr>
              <w:t>Consider reforming export restrictions</w:t>
            </w:r>
            <w:r w:rsidR="00C21B78">
              <w:rPr>
                <w:rFonts w:ascii="Times New Roman" w:hAnsi="Times New Roman" w:cs="Times New Roman"/>
                <w:sz w:val="20"/>
              </w:rPr>
              <w:t xml:space="preserve">, such as </w:t>
            </w:r>
            <w:r w:rsidR="006651DD">
              <w:rPr>
                <w:rFonts w:ascii="Times New Roman" w:hAnsi="Times New Roman" w:cs="Times New Roman"/>
                <w:sz w:val="20"/>
              </w:rPr>
              <w:t xml:space="preserve">the </w:t>
            </w:r>
            <w:r w:rsidR="00C21B78">
              <w:rPr>
                <w:rFonts w:ascii="Times New Roman" w:hAnsi="Times New Roman" w:cs="Times New Roman"/>
                <w:sz w:val="20"/>
              </w:rPr>
              <w:t>export tax on groundnuts.</w:t>
            </w:r>
          </w:p>
        </w:tc>
        <w:tc>
          <w:tcPr>
            <w:tcW w:w="1333"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20627E7B" w14:textId="78A59DE9" w:rsidR="00A7388C" w:rsidRPr="00C91EA2" w:rsidRDefault="003B24ED" w:rsidP="002321B6">
            <w:pPr>
              <w:rPr>
                <w:rFonts w:ascii="Times New Roman" w:hAnsi="Times New Roman" w:cs="Times New Roman"/>
                <w:sz w:val="20"/>
              </w:rPr>
            </w:pPr>
            <w:r>
              <w:rPr>
                <w:rFonts w:ascii="Times New Roman" w:hAnsi="Times New Roman" w:cs="Times New Roman"/>
                <w:sz w:val="20"/>
              </w:rPr>
              <w:t>Government</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7D9AEAC7"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High</w:t>
            </w:r>
          </w:p>
        </w:tc>
      </w:tr>
      <w:tr w:rsidR="00A7388C" w:rsidRPr="00C91EA2" w14:paraId="066874E5" w14:textId="77777777" w:rsidTr="002321B6">
        <w:trPr>
          <w:trHeight w:val="532"/>
        </w:trPr>
        <w:tc>
          <w:tcPr>
            <w:tcW w:w="3028"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5BEF8AAA" w14:textId="04A7EB29" w:rsidR="00A7388C" w:rsidRDefault="00A7388C" w:rsidP="007575D7">
            <w:pPr>
              <w:jc w:val="both"/>
              <w:rPr>
                <w:rFonts w:ascii="Times New Roman" w:hAnsi="Times New Roman" w:cs="Times New Roman"/>
                <w:sz w:val="20"/>
              </w:rPr>
            </w:pPr>
            <w:r>
              <w:rPr>
                <w:rFonts w:ascii="Times New Roman" w:hAnsi="Times New Roman" w:cs="Times New Roman"/>
                <w:sz w:val="20"/>
              </w:rPr>
              <w:t>1.1</w:t>
            </w:r>
            <w:r w:rsidR="001A71EF">
              <w:rPr>
                <w:rFonts w:ascii="Times New Roman" w:hAnsi="Times New Roman" w:cs="Times New Roman"/>
                <w:sz w:val="20"/>
              </w:rPr>
              <w:t>2</w:t>
            </w:r>
            <w:r>
              <w:rPr>
                <w:rFonts w:ascii="Times New Roman" w:hAnsi="Times New Roman" w:cs="Times New Roman"/>
                <w:sz w:val="20"/>
              </w:rPr>
              <w:t xml:space="preserve"> </w:t>
            </w:r>
            <w:r w:rsidRPr="00C91EA2">
              <w:rPr>
                <w:rFonts w:ascii="Times New Roman" w:hAnsi="Times New Roman" w:cs="Times New Roman"/>
                <w:sz w:val="20"/>
              </w:rPr>
              <w:t xml:space="preserve">Review the role of the CNIA in the development of the sector. Develop guidelines on its mandate to rationalize its involvement in determining market parameters (e.g. prices and geographic allocation) and on exchange of information </w:t>
            </w:r>
            <w:proofErr w:type="gramStart"/>
            <w:r w:rsidRPr="00C91EA2">
              <w:rPr>
                <w:rFonts w:ascii="Times New Roman" w:hAnsi="Times New Roman" w:cs="Times New Roman"/>
                <w:sz w:val="20"/>
              </w:rPr>
              <w:t>in order to</w:t>
            </w:r>
            <w:proofErr w:type="gramEnd"/>
            <w:r w:rsidRPr="00C91EA2">
              <w:rPr>
                <w:rFonts w:ascii="Times New Roman" w:hAnsi="Times New Roman" w:cs="Times New Roman"/>
                <w:sz w:val="20"/>
              </w:rPr>
              <w:t xml:space="preserve"> minimize the risk of facilitating anticompetitive outcomes</w:t>
            </w:r>
            <w:r>
              <w:rPr>
                <w:rFonts w:ascii="Times New Roman" w:hAnsi="Times New Roman" w:cs="Times New Roman"/>
                <w:sz w:val="20"/>
              </w:rPr>
              <w:t>.</w:t>
            </w:r>
          </w:p>
          <w:p w14:paraId="69129450" w14:textId="62907BF0" w:rsidR="00CF3A57" w:rsidRPr="00C91EA2" w:rsidRDefault="00CF3A57" w:rsidP="007575D7">
            <w:pPr>
              <w:jc w:val="both"/>
              <w:rPr>
                <w:rFonts w:ascii="Times New Roman" w:hAnsi="Times New Roman" w:cs="Times New Roman"/>
                <w:sz w:val="20"/>
              </w:rPr>
            </w:pPr>
          </w:p>
        </w:tc>
        <w:tc>
          <w:tcPr>
            <w:tcW w:w="1333"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08D0A35F"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CNIA, CNIA stakeholders, MAER</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471832FA"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High</w:t>
            </w:r>
          </w:p>
        </w:tc>
      </w:tr>
      <w:tr w:rsidR="00A7388C" w:rsidRPr="00C91EA2" w14:paraId="6839AA41" w14:textId="77777777" w:rsidTr="002321B6">
        <w:trPr>
          <w:trHeight w:val="584"/>
        </w:trPr>
        <w:tc>
          <w:tcPr>
            <w:tcW w:w="3028"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70592106" w14:textId="38F52C95" w:rsidR="00A7388C" w:rsidRPr="00C91EA2" w:rsidRDefault="00A7388C" w:rsidP="007575D7">
            <w:pPr>
              <w:jc w:val="both"/>
              <w:rPr>
                <w:rFonts w:ascii="Times New Roman" w:hAnsi="Times New Roman" w:cs="Times New Roman"/>
                <w:sz w:val="20"/>
              </w:rPr>
            </w:pPr>
            <w:r>
              <w:rPr>
                <w:rFonts w:ascii="Times New Roman" w:hAnsi="Times New Roman" w:cs="Times New Roman"/>
                <w:sz w:val="20"/>
              </w:rPr>
              <w:t>1.1</w:t>
            </w:r>
            <w:r w:rsidR="001A71EF">
              <w:rPr>
                <w:rFonts w:ascii="Times New Roman" w:hAnsi="Times New Roman" w:cs="Times New Roman"/>
                <w:sz w:val="20"/>
              </w:rPr>
              <w:t>3</w:t>
            </w:r>
            <w:r>
              <w:rPr>
                <w:rFonts w:ascii="Times New Roman" w:hAnsi="Times New Roman" w:cs="Times New Roman"/>
                <w:sz w:val="20"/>
              </w:rPr>
              <w:t xml:space="preserve"> </w:t>
            </w:r>
            <w:r w:rsidRPr="00C91EA2">
              <w:rPr>
                <w:rFonts w:ascii="Times New Roman" w:hAnsi="Times New Roman" w:cs="Times New Roman"/>
                <w:sz w:val="20"/>
              </w:rPr>
              <w:t>Review membership of the CNIA and develop guidance to ensure adequate representation of producers and new/potential entrants</w:t>
            </w:r>
            <w:r>
              <w:rPr>
                <w:rFonts w:ascii="Times New Roman" w:hAnsi="Times New Roman" w:cs="Times New Roman"/>
                <w:sz w:val="20"/>
              </w:rPr>
              <w:t>.</w:t>
            </w:r>
            <w:r w:rsidRPr="00C91EA2">
              <w:rPr>
                <w:rFonts w:ascii="Times New Roman" w:hAnsi="Times New Roman" w:cs="Times New Roman"/>
                <w:sz w:val="20"/>
              </w:rPr>
              <w:t xml:space="preserve"> </w:t>
            </w:r>
          </w:p>
        </w:tc>
        <w:tc>
          <w:tcPr>
            <w:tcW w:w="1333"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2654C6FC"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CNIA, CNIA stakeholders</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D62894A"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High</w:t>
            </w:r>
          </w:p>
        </w:tc>
      </w:tr>
      <w:tr w:rsidR="00A7388C" w:rsidRPr="00C91EA2" w14:paraId="73DD10BC" w14:textId="77777777" w:rsidTr="002321B6">
        <w:trPr>
          <w:trHeight w:val="584"/>
        </w:trPr>
        <w:tc>
          <w:tcPr>
            <w:tcW w:w="3028"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07457FAB" w14:textId="30BC1BCF" w:rsidR="00F36360" w:rsidRDefault="00A7388C" w:rsidP="007575D7">
            <w:pPr>
              <w:pStyle w:val="HTMLPreformatted"/>
              <w:shd w:val="clear" w:color="auto" w:fill="FFFFFF"/>
              <w:jc w:val="both"/>
              <w:rPr>
                <w:rFonts w:ascii="inherit" w:hAnsi="inherit"/>
                <w:color w:val="212121"/>
              </w:rPr>
            </w:pPr>
            <w:r>
              <w:rPr>
                <w:rFonts w:ascii="Times New Roman" w:hAnsi="Times New Roman" w:cs="Times New Roman"/>
              </w:rPr>
              <w:t>1.1</w:t>
            </w:r>
            <w:r w:rsidR="001A71EF">
              <w:rPr>
                <w:rFonts w:ascii="Times New Roman" w:hAnsi="Times New Roman" w:cs="Times New Roman"/>
              </w:rPr>
              <w:t>4</w:t>
            </w:r>
            <w:r>
              <w:rPr>
                <w:rFonts w:ascii="Times New Roman" w:hAnsi="Times New Roman" w:cs="Times New Roman"/>
              </w:rPr>
              <w:t xml:space="preserve"> </w:t>
            </w:r>
            <w:r w:rsidR="00F36360" w:rsidRPr="007575D7">
              <w:rPr>
                <w:rFonts w:ascii="Times New Roman" w:eastAsiaTheme="minorEastAsia" w:hAnsi="Times New Roman" w:cs="Times New Roman"/>
                <w:szCs w:val="24"/>
              </w:rPr>
              <w:t>Remove restrictions that limit the number of buyers in a specific area (e</w:t>
            </w:r>
            <w:r w:rsidR="006651DD">
              <w:rPr>
                <w:rFonts w:ascii="Times New Roman" w:eastAsiaTheme="minorEastAsia" w:hAnsi="Times New Roman" w:cs="Times New Roman"/>
                <w:szCs w:val="24"/>
              </w:rPr>
              <w:t>.</w:t>
            </w:r>
            <w:r w:rsidR="00F36360" w:rsidRPr="007575D7">
              <w:rPr>
                <w:rFonts w:ascii="Times New Roman" w:eastAsiaTheme="minorEastAsia" w:hAnsi="Times New Roman" w:cs="Times New Roman"/>
                <w:szCs w:val="24"/>
              </w:rPr>
              <w:t>g</w:t>
            </w:r>
            <w:r w:rsidR="006651DD">
              <w:rPr>
                <w:rFonts w:ascii="Times New Roman" w:eastAsiaTheme="minorEastAsia" w:hAnsi="Times New Roman" w:cs="Times New Roman"/>
                <w:szCs w:val="24"/>
              </w:rPr>
              <w:t>.,</w:t>
            </w:r>
            <w:r w:rsidR="00F36360" w:rsidRPr="007575D7">
              <w:rPr>
                <w:rFonts w:ascii="Times New Roman" w:eastAsiaTheme="minorEastAsia" w:hAnsi="Times New Roman" w:cs="Times New Roman"/>
                <w:szCs w:val="24"/>
              </w:rPr>
              <w:t xml:space="preserve"> collection point restrictions specified by CNIA), including those affecting exporters</w:t>
            </w:r>
            <w:r w:rsidR="00F36360">
              <w:rPr>
                <w:rFonts w:ascii="Times New Roman" w:eastAsiaTheme="minorEastAsia" w:hAnsi="Times New Roman" w:cs="Times New Roman"/>
                <w:szCs w:val="24"/>
              </w:rPr>
              <w:t>.</w:t>
            </w:r>
          </w:p>
          <w:p w14:paraId="103F86DC" w14:textId="42996B42" w:rsidR="00A7388C" w:rsidRPr="00C91EA2" w:rsidRDefault="00A7388C" w:rsidP="002321B6">
            <w:pPr>
              <w:rPr>
                <w:rFonts w:ascii="Times New Roman" w:hAnsi="Times New Roman" w:cs="Times New Roman"/>
                <w:sz w:val="20"/>
              </w:rPr>
            </w:pPr>
          </w:p>
        </w:tc>
        <w:tc>
          <w:tcPr>
            <w:tcW w:w="1333"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70256130"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CNIA, MAER</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650E6246"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Medium</w:t>
            </w:r>
          </w:p>
        </w:tc>
      </w:tr>
      <w:tr w:rsidR="00A7388C" w:rsidRPr="00C91EA2" w14:paraId="35CCDB4B" w14:textId="77777777" w:rsidTr="002321B6">
        <w:trPr>
          <w:trHeight w:val="584"/>
        </w:trPr>
        <w:tc>
          <w:tcPr>
            <w:tcW w:w="3028"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02D7FF6D" w14:textId="12B49720" w:rsidR="006D3557" w:rsidRDefault="00A7388C" w:rsidP="007575D7">
            <w:pPr>
              <w:pStyle w:val="HTMLPreformatted"/>
              <w:shd w:val="clear" w:color="auto" w:fill="FFFFFF"/>
              <w:jc w:val="both"/>
              <w:rPr>
                <w:rFonts w:ascii="inherit" w:hAnsi="inherit"/>
                <w:color w:val="212121"/>
              </w:rPr>
            </w:pPr>
            <w:r>
              <w:rPr>
                <w:rFonts w:ascii="Times New Roman" w:hAnsi="Times New Roman" w:cs="Times New Roman"/>
              </w:rPr>
              <w:t>1.1</w:t>
            </w:r>
            <w:r w:rsidR="001A71EF">
              <w:rPr>
                <w:rFonts w:ascii="Times New Roman" w:hAnsi="Times New Roman" w:cs="Times New Roman"/>
              </w:rPr>
              <w:t>5</w:t>
            </w:r>
            <w:r>
              <w:rPr>
                <w:rFonts w:ascii="Times New Roman" w:hAnsi="Times New Roman" w:cs="Times New Roman"/>
              </w:rPr>
              <w:t xml:space="preserve"> </w:t>
            </w:r>
            <w:r w:rsidR="006D3557" w:rsidRPr="007575D7">
              <w:rPr>
                <w:rFonts w:ascii="Times New Roman" w:eastAsiaTheme="minorEastAsia" w:hAnsi="Times New Roman" w:cs="Times New Roman"/>
                <w:szCs w:val="24"/>
              </w:rPr>
              <w:t>Strengthen the efficiency of input distribution markets and access to finance during sowing seasons</w:t>
            </w:r>
            <w:r w:rsidR="006D3557">
              <w:rPr>
                <w:rFonts w:ascii="Times New Roman" w:eastAsiaTheme="minorEastAsia" w:hAnsi="Times New Roman" w:cs="Times New Roman"/>
                <w:szCs w:val="24"/>
              </w:rPr>
              <w:t>.</w:t>
            </w:r>
          </w:p>
          <w:p w14:paraId="336EA747" w14:textId="7A6CC19A" w:rsidR="00A7388C" w:rsidRPr="00C91EA2" w:rsidRDefault="00A7388C" w:rsidP="002321B6">
            <w:pPr>
              <w:rPr>
                <w:rFonts w:ascii="Times New Roman" w:hAnsi="Times New Roman" w:cs="Times New Roman"/>
                <w:sz w:val="20"/>
              </w:rPr>
            </w:pPr>
          </w:p>
        </w:tc>
        <w:tc>
          <w:tcPr>
            <w:tcW w:w="1333"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37142EDB"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MAER</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C564CCB"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Medium</w:t>
            </w:r>
          </w:p>
        </w:tc>
      </w:tr>
      <w:tr w:rsidR="00F36360" w:rsidRPr="00C91EA2" w14:paraId="4A1900BB" w14:textId="77777777" w:rsidTr="002321B6">
        <w:trPr>
          <w:trHeight w:val="584"/>
        </w:trPr>
        <w:tc>
          <w:tcPr>
            <w:tcW w:w="3028"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tcPr>
          <w:p w14:paraId="0F059408" w14:textId="394C1CEB" w:rsidR="006D3557" w:rsidRDefault="006D3557" w:rsidP="007575D7">
            <w:pPr>
              <w:pStyle w:val="HTMLPreformatted"/>
              <w:shd w:val="clear" w:color="auto" w:fill="FFFFFF"/>
              <w:jc w:val="both"/>
              <w:rPr>
                <w:rFonts w:ascii="inherit" w:hAnsi="inherit"/>
                <w:color w:val="212121"/>
              </w:rPr>
            </w:pPr>
            <w:r>
              <w:rPr>
                <w:rFonts w:ascii="Times New Roman" w:hAnsi="Times New Roman" w:cs="Times New Roman"/>
              </w:rPr>
              <w:t>1.16</w:t>
            </w:r>
            <w:r w:rsidR="006651DD">
              <w:rPr>
                <w:rFonts w:ascii="Times New Roman" w:hAnsi="Times New Roman" w:cs="Times New Roman"/>
              </w:rPr>
              <w:t xml:space="preserve"> As a complementary measure,</w:t>
            </w:r>
            <w:r>
              <w:rPr>
                <w:rFonts w:ascii="Times New Roman" w:hAnsi="Times New Roman" w:cs="Times New Roman"/>
              </w:rPr>
              <w:t xml:space="preserve"> </w:t>
            </w:r>
            <w:r w:rsidR="006651DD">
              <w:rPr>
                <w:rFonts w:ascii="Times New Roman" w:eastAsiaTheme="minorEastAsia" w:hAnsi="Times New Roman" w:cs="Times New Roman"/>
                <w:szCs w:val="24"/>
              </w:rPr>
              <w:t>p</w:t>
            </w:r>
            <w:r w:rsidRPr="007575D7">
              <w:rPr>
                <w:rFonts w:ascii="Times New Roman" w:eastAsiaTheme="minorEastAsia" w:hAnsi="Times New Roman" w:cs="Times New Roman"/>
                <w:szCs w:val="24"/>
              </w:rPr>
              <w:t>romote contract farming and better risk sharing between producers and buyers by encouraging them to become involved in production</w:t>
            </w:r>
            <w:r>
              <w:rPr>
                <w:rFonts w:ascii="Times New Roman" w:eastAsiaTheme="minorEastAsia" w:hAnsi="Times New Roman" w:cs="Times New Roman"/>
                <w:szCs w:val="24"/>
              </w:rPr>
              <w:t xml:space="preserve"> </w:t>
            </w:r>
            <w:r w:rsidRPr="003D5CA9">
              <w:rPr>
                <w:rFonts w:ascii="Times New Roman" w:eastAsiaTheme="minorEastAsia" w:hAnsi="Times New Roman" w:cs="Times New Roman"/>
                <w:szCs w:val="24"/>
              </w:rPr>
              <w:t>financing</w:t>
            </w:r>
            <w:r>
              <w:rPr>
                <w:rFonts w:ascii="Times New Roman" w:eastAsiaTheme="minorEastAsia" w:hAnsi="Times New Roman" w:cs="Times New Roman"/>
                <w:szCs w:val="24"/>
              </w:rPr>
              <w:t>.</w:t>
            </w:r>
          </w:p>
          <w:p w14:paraId="640CAAD4" w14:textId="77777777" w:rsidR="00F36360" w:rsidRDefault="00F36360" w:rsidP="002321B6">
            <w:pPr>
              <w:rPr>
                <w:rFonts w:ascii="Times New Roman" w:hAnsi="Times New Roman" w:cs="Times New Roman"/>
                <w:sz w:val="20"/>
              </w:rPr>
            </w:pPr>
          </w:p>
        </w:tc>
        <w:tc>
          <w:tcPr>
            <w:tcW w:w="1333" w:type="pct"/>
            <w:gridSpan w:val="4"/>
            <w:tcBorders>
              <w:top w:val="single" w:sz="6" w:space="0" w:color="002245"/>
              <w:left w:val="nil"/>
              <w:bottom w:val="single" w:sz="6" w:space="0" w:color="002245"/>
              <w:right w:val="nil"/>
            </w:tcBorders>
            <w:tcMar>
              <w:top w:w="72" w:type="dxa"/>
              <w:left w:w="144" w:type="dxa"/>
              <w:bottom w:w="72" w:type="dxa"/>
              <w:right w:w="144" w:type="dxa"/>
            </w:tcMar>
          </w:tcPr>
          <w:p w14:paraId="5502827F" w14:textId="77777777" w:rsidR="00F36360" w:rsidRDefault="006D3557" w:rsidP="002321B6">
            <w:pPr>
              <w:rPr>
                <w:rFonts w:ascii="Times New Roman" w:hAnsi="Times New Roman" w:cs="Times New Roman"/>
                <w:sz w:val="20"/>
              </w:rPr>
            </w:pPr>
            <w:r>
              <w:rPr>
                <w:rFonts w:ascii="Times New Roman" w:hAnsi="Times New Roman" w:cs="Times New Roman"/>
                <w:sz w:val="20"/>
              </w:rPr>
              <w:t>CNIA, CNIA stakeholders</w:t>
            </w:r>
          </w:p>
        </w:tc>
        <w:tc>
          <w:tcPr>
            <w:tcW w:w="639" w:type="pct"/>
            <w:tcBorders>
              <w:top w:val="single" w:sz="6" w:space="0" w:color="002245"/>
              <w:left w:val="nil"/>
              <w:bottom w:val="single" w:sz="6" w:space="0" w:color="002245"/>
              <w:right w:val="single" w:sz="6" w:space="0" w:color="002245"/>
            </w:tcBorders>
            <w:tcMar>
              <w:top w:w="72" w:type="dxa"/>
              <w:left w:w="144" w:type="dxa"/>
              <w:bottom w:w="72" w:type="dxa"/>
              <w:right w:w="144" w:type="dxa"/>
            </w:tcMar>
          </w:tcPr>
          <w:p w14:paraId="5C552929" w14:textId="77777777" w:rsidR="00F36360" w:rsidRPr="00C91EA2" w:rsidRDefault="006D3557" w:rsidP="002321B6">
            <w:pPr>
              <w:rPr>
                <w:rFonts w:ascii="Times New Roman" w:hAnsi="Times New Roman" w:cs="Times New Roman"/>
                <w:sz w:val="20"/>
              </w:rPr>
            </w:pPr>
            <w:r>
              <w:rPr>
                <w:rFonts w:ascii="Times New Roman" w:hAnsi="Times New Roman" w:cs="Times New Roman"/>
                <w:sz w:val="20"/>
              </w:rPr>
              <w:t>High</w:t>
            </w:r>
          </w:p>
        </w:tc>
      </w:tr>
      <w:tr w:rsidR="00A7388C" w:rsidRPr="00C91EA2" w14:paraId="2D373B2C" w14:textId="77777777" w:rsidTr="002321B6">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3C3DE2EC" w14:textId="77777777" w:rsidR="00A7388C" w:rsidRPr="00C91EA2" w:rsidRDefault="00A7388C" w:rsidP="002321B6">
            <w:pPr>
              <w:jc w:val="center"/>
              <w:rPr>
                <w:rFonts w:ascii="Times New Roman" w:hAnsi="Times New Roman" w:cs="Times New Roman"/>
                <w:sz w:val="20"/>
              </w:rPr>
            </w:pPr>
            <w:r w:rsidRPr="00C91EA2">
              <w:rPr>
                <w:rFonts w:ascii="Times New Roman" w:hAnsi="Times New Roman" w:cs="Times New Roman"/>
                <w:sz w:val="20"/>
              </w:rPr>
              <w:t>Throughput for local processors and building local value addition</w:t>
            </w:r>
            <w:r w:rsidR="00F37750">
              <w:rPr>
                <w:rStyle w:val="FootnoteReference"/>
                <w:rFonts w:ascii="Times New Roman" w:hAnsi="Times New Roman" w:cs="Times New Roman"/>
                <w:sz w:val="20"/>
              </w:rPr>
              <w:footnoteReference w:id="43"/>
            </w:r>
          </w:p>
        </w:tc>
      </w:tr>
      <w:tr w:rsidR="00A7388C" w:rsidRPr="00C91EA2" w14:paraId="0EF44912" w14:textId="77777777" w:rsidTr="002321B6">
        <w:trPr>
          <w:trHeight w:val="584"/>
        </w:trPr>
        <w:tc>
          <w:tcPr>
            <w:tcW w:w="5000" w:type="pct"/>
            <w:gridSpan w:val="7"/>
            <w:tcBorders>
              <w:top w:val="single" w:sz="6" w:space="0" w:color="002245"/>
              <w:left w:val="single" w:sz="6" w:space="0" w:color="002245"/>
              <w:bottom w:val="single" w:sz="6" w:space="0" w:color="002245"/>
              <w:right w:val="single" w:sz="6" w:space="0" w:color="002245"/>
            </w:tcBorders>
            <w:tcMar>
              <w:top w:w="72" w:type="dxa"/>
              <w:left w:w="144" w:type="dxa"/>
              <w:bottom w:w="72" w:type="dxa"/>
              <w:right w:w="144" w:type="dxa"/>
            </w:tcMar>
            <w:hideMark/>
          </w:tcPr>
          <w:p w14:paraId="3AE5CCBE" w14:textId="77777777" w:rsidR="00A7388C" w:rsidRPr="00C91EA2" w:rsidRDefault="00A7388C" w:rsidP="002321B6">
            <w:pPr>
              <w:jc w:val="center"/>
              <w:rPr>
                <w:rFonts w:ascii="Times New Roman" w:hAnsi="Times New Roman" w:cs="Times New Roman"/>
                <w:sz w:val="20"/>
              </w:rPr>
            </w:pPr>
            <w:r w:rsidRPr="00C91EA2">
              <w:rPr>
                <w:rFonts w:ascii="Times New Roman" w:hAnsi="Times New Roman" w:cs="Times New Roman"/>
                <w:sz w:val="20"/>
              </w:rPr>
              <w:t>Overall drivers of throughput for local processors and building local value addition:</w:t>
            </w:r>
          </w:p>
          <w:p w14:paraId="1CEC72FC" w14:textId="77777777" w:rsidR="00A7388C" w:rsidRPr="00C91EA2" w:rsidRDefault="00A7388C" w:rsidP="002321B6">
            <w:pPr>
              <w:numPr>
                <w:ilvl w:val="0"/>
                <w:numId w:val="120"/>
              </w:numPr>
              <w:jc w:val="center"/>
              <w:rPr>
                <w:rFonts w:ascii="Times New Roman" w:hAnsi="Times New Roman" w:cs="Times New Roman"/>
                <w:sz w:val="20"/>
              </w:rPr>
            </w:pPr>
            <w:r w:rsidRPr="00C91EA2">
              <w:rPr>
                <w:rFonts w:ascii="Times New Roman" w:hAnsi="Times New Roman" w:cs="Times New Roman"/>
                <w:sz w:val="20"/>
              </w:rPr>
              <w:t>Competition in local processing drives efficient allocation of resources and boosts productivity</w:t>
            </w:r>
          </w:p>
          <w:p w14:paraId="3603FED8" w14:textId="77777777" w:rsidR="00A7388C" w:rsidRPr="00C91EA2" w:rsidRDefault="00A7388C" w:rsidP="002321B6">
            <w:pPr>
              <w:numPr>
                <w:ilvl w:val="0"/>
                <w:numId w:val="120"/>
              </w:numPr>
              <w:jc w:val="center"/>
              <w:rPr>
                <w:rFonts w:ascii="Times New Roman" w:hAnsi="Times New Roman" w:cs="Times New Roman"/>
                <w:sz w:val="20"/>
              </w:rPr>
            </w:pPr>
            <w:r w:rsidRPr="00C91EA2">
              <w:rPr>
                <w:rFonts w:ascii="Times New Roman" w:hAnsi="Times New Roman" w:cs="Times New Roman"/>
                <w:sz w:val="20"/>
              </w:rPr>
              <w:t>Competition in market for buying from farmers encourages participation of efficient firms in local processing</w:t>
            </w:r>
          </w:p>
          <w:p w14:paraId="52548161" w14:textId="77777777" w:rsidR="00A7388C" w:rsidRPr="00C91EA2" w:rsidRDefault="00A7388C" w:rsidP="002321B6">
            <w:pPr>
              <w:jc w:val="center"/>
              <w:rPr>
                <w:rFonts w:ascii="Times New Roman" w:hAnsi="Times New Roman" w:cs="Times New Roman"/>
                <w:sz w:val="20"/>
              </w:rPr>
            </w:pPr>
            <w:r w:rsidRPr="00C91EA2">
              <w:rPr>
                <w:rFonts w:ascii="Times New Roman" w:hAnsi="Times New Roman" w:cs="Times New Roman"/>
                <w:sz w:val="20"/>
              </w:rPr>
              <w:t>These drivers can be achieved through implementing recommendations above– plus the following additional reforms…</w:t>
            </w:r>
          </w:p>
        </w:tc>
      </w:tr>
      <w:tr w:rsidR="00A7388C" w:rsidRPr="00C91EA2" w14:paraId="2611544C" w14:textId="77777777" w:rsidTr="00A7388C">
        <w:trPr>
          <w:trHeight w:val="584"/>
        </w:trPr>
        <w:tc>
          <w:tcPr>
            <w:tcW w:w="2795"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4CA4016B" w14:textId="37FE3378" w:rsidR="0001612B" w:rsidRPr="007575D7" w:rsidRDefault="00A7388C" w:rsidP="007575D7">
            <w:pPr>
              <w:pStyle w:val="HTMLPreformatted"/>
              <w:shd w:val="clear" w:color="auto" w:fill="FFFFFF"/>
              <w:jc w:val="both"/>
              <w:rPr>
                <w:rFonts w:ascii="Times New Roman" w:eastAsiaTheme="minorEastAsia" w:hAnsi="Times New Roman" w:cs="Times New Roman"/>
                <w:szCs w:val="24"/>
              </w:rPr>
            </w:pPr>
            <w:r>
              <w:rPr>
                <w:rFonts w:ascii="Times New Roman" w:hAnsi="Times New Roman" w:cs="Times New Roman"/>
              </w:rPr>
              <w:t>1.1</w:t>
            </w:r>
            <w:r w:rsidR="001A71EF">
              <w:rPr>
                <w:rFonts w:ascii="Times New Roman" w:hAnsi="Times New Roman" w:cs="Times New Roman"/>
              </w:rPr>
              <w:t>7</w:t>
            </w:r>
            <w:r>
              <w:rPr>
                <w:rFonts w:ascii="Times New Roman" w:hAnsi="Times New Roman" w:cs="Times New Roman"/>
              </w:rPr>
              <w:t xml:space="preserve"> </w:t>
            </w:r>
            <w:r w:rsidR="0001612B" w:rsidRPr="007575D7">
              <w:rPr>
                <w:rFonts w:ascii="Times New Roman" w:eastAsiaTheme="minorEastAsia" w:hAnsi="Times New Roman" w:cs="Times New Roman"/>
                <w:szCs w:val="24"/>
              </w:rPr>
              <w:t xml:space="preserve">Accelerate incentives to increase the production of quality seeds to ensure adequate volumes for the local industry. </w:t>
            </w:r>
            <w:r w:rsidR="0001612B">
              <w:rPr>
                <w:rFonts w:ascii="Times New Roman" w:eastAsiaTheme="minorEastAsia" w:hAnsi="Times New Roman" w:cs="Times New Roman"/>
                <w:szCs w:val="24"/>
              </w:rPr>
              <w:t>Hence, f</w:t>
            </w:r>
            <w:r w:rsidR="0001612B" w:rsidRPr="007575D7">
              <w:rPr>
                <w:rFonts w:ascii="Times New Roman" w:eastAsiaTheme="minorEastAsia" w:hAnsi="Times New Roman" w:cs="Times New Roman"/>
                <w:szCs w:val="24"/>
              </w:rPr>
              <w:t>acilitate competition between oil producers and other buyers, including exporters</w:t>
            </w:r>
            <w:r w:rsidR="0001612B">
              <w:rPr>
                <w:rFonts w:ascii="Times New Roman" w:eastAsiaTheme="minorEastAsia" w:hAnsi="Times New Roman" w:cs="Times New Roman"/>
                <w:szCs w:val="24"/>
              </w:rPr>
              <w:t>.</w:t>
            </w:r>
          </w:p>
          <w:p w14:paraId="4AD74375" w14:textId="75744E28" w:rsidR="00A7388C" w:rsidRPr="00C91EA2" w:rsidRDefault="00A7388C" w:rsidP="002321B6">
            <w:pPr>
              <w:rPr>
                <w:rFonts w:ascii="Times New Roman" w:hAnsi="Times New Roman" w:cs="Times New Roman"/>
                <w:sz w:val="20"/>
              </w:rPr>
            </w:pPr>
          </w:p>
        </w:tc>
        <w:tc>
          <w:tcPr>
            <w:tcW w:w="1389"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3F43B453"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MAER</w:t>
            </w:r>
          </w:p>
        </w:tc>
        <w:tc>
          <w:tcPr>
            <w:tcW w:w="816" w:type="pct"/>
            <w:gridSpan w:val="3"/>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23699F4F"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High</w:t>
            </w:r>
          </w:p>
        </w:tc>
      </w:tr>
      <w:tr w:rsidR="00A7388C" w:rsidRPr="00C91EA2" w14:paraId="14516E7F" w14:textId="77777777" w:rsidTr="00A7388C">
        <w:trPr>
          <w:trHeight w:val="584"/>
        </w:trPr>
        <w:tc>
          <w:tcPr>
            <w:tcW w:w="2795"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01DB9CBD" w14:textId="4214DC21" w:rsidR="00A7388C" w:rsidRPr="00C91EA2" w:rsidRDefault="00A7388C" w:rsidP="007575D7">
            <w:pPr>
              <w:jc w:val="both"/>
              <w:rPr>
                <w:rFonts w:ascii="Times New Roman" w:hAnsi="Times New Roman" w:cs="Times New Roman"/>
                <w:sz w:val="20"/>
              </w:rPr>
            </w:pPr>
            <w:r>
              <w:rPr>
                <w:rFonts w:ascii="Times New Roman" w:hAnsi="Times New Roman" w:cs="Times New Roman"/>
                <w:sz w:val="20"/>
              </w:rPr>
              <w:t>1.1</w:t>
            </w:r>
            <w:r w:rsidR="001A71EF">
              <w:rPr>
                <w:rFonts w:ascii="Times New Roman" w:hAnsi="Times New Roman" w:cs="Times New Roman"/>
                <w:sz w:val="20"/>
              </w:rPr>
              <w:t>8</w:t>
            </w:r>
            <w:r>
              <w:rPr>
                <w:rFonts w:ascii="Times New Roman" w:hAnsi="Times New Roman" w:cs="Times New Roman"/>
                <w:sz w:val="20"/>
              </w:rPr>
              <w:t xml:space="preserve"> </w:t>
            </w:r>
            <w:r w:rsidR="00F26996" w:rsidRPr="007575D7">
              <w:rPr>
                <w:rFonts w:ascii="Times New Roman" w:hAnsi="Times New Roman" w:cs="Times New Roman"/>
                <w:sz w:val="20"/>
              </w:rPr>
              <w:t>Set clear objectives for state support to the industry through transparent criteria to minimize distortions, in the framework of contracts.</w:t>
            </w:r>
          </w:p>
        </w:tc>
        <w:tc>
          <w:tcPr>
            <w:tcW w:w="1389"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6118A9D1" w14:textId="77777777" w:rsidR="00A7388C" w:rsidRPr="00C91EA2" w:rsidRDefault="00A7388C" w:rsidP="002321B6">
            <w:pPr>
              <w:rPr>
                <w:rFonts w:ascii="Times New Roman" w:hAnsi="Times New Roman" w:cs="Times New Roman"/>
                <w:sz w:val="20"/>
              </w:rPr>
            </w:pPr>
            <w:r>
              <w:rPr>
                <w:rFonts w:ascii="Times New Roman" w:hAnsi="Times New Roman" w:cs="Times New Roman"/>
                <w:sz w:val="20"/>
              </w:rPr>
              <w:t>MAER, Ministry of Finance</w:t>
            </w:r>
          </w:p>
        </w:tc>
        <w:tc>
          <w:tcPr>
            <w:tcW w:w="816" w:type="pct"/>
            <w:gridSpan w:val="3"/>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0A37A8BF"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High</w:t>
            </w:r>
          </w:p>
        </w:tc>
      </w:tr>
      <w:tr w:rsidR="00E73215" w:rsidRPr="00C91EA2" w14:paraId="3D0AD2CD" w14:textId="77777777" w:rsidTr="00FE2A31">
        <w:trPr>
          <w:trHeight w:val="354"/>
        </w:trPr>
        <w:tc>
          <w:tcPr>
            <w:tcW w:w="2795"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0284EA7E" w14:textId="77777777" w:rsidR="00CF3A57" w:rsidRDefault="00E73215" w:rsidP="007575D7">
            <w:pPr>
              <w:jc w:val="both"/>
              <w:rPr>
                <w:rFonts w:ascii="Times New Roman" w:hAnsi="Times New Roman" w:cs="Times New Roman"/>
                <w:sz w:val="20"/>
              </w:rPr>
            </w:pPr>
            <w:r>
              <w:rPr>
                <w:rFonts w:ascii="Times New Roman" w:hAnsi="Times New Roman" w:cs="Times New Roman"/>
                <w:sz w:val="20"/>
              </w:rPr>
              <w:t>1.1</w:t>
            </w:r>
            <w:r w:rsidR="001A71EF">
              <w:rPr>
                <w:rFonts w:ascii="Times New Roman" w:hAnsi="Times New Roman" w:cs="Times New Roman"/>
                <w:sz w:val="20"/>
              </w:rPr>
              <w:t>9</w:t>
            </w:r>
            <w:r>
              <w:rPr>
                <w:rFonts w:ascii="Times New Roman" w:hAnsi="Times New Roman" w:cs="Times New Roman"/>
                <w:sz w:val="20"/>
              </w:rPr>
              <w:t xml:space="preserve">. </w:t>
            </w:r>
            <w:r w:rsidRPr="00C91EA2">
              <w:rPr>
                <w:rFonts w:ascii="Times New Roman" w:hAnsi="Times New Roman" w:cs="Times New Roman"/>
                <w:sz w:val="20"/>
              </w:rPr>
              <w:t>Consider removing set minimum farmgate price</w:t>
            </w:r>
            <w:r>
              <w:rPr>
                <w:rFonts w:ascii="Times New Roman" w:hAnsi="Times New Roman" w:cs="Times New Roman"/>
                <w:sz w:val="20"/>
              </w:rPr>
              <w:t>, while putting in place mechanisms to protect producers’ income (</w:t>
            </w:r>
            <w:r w:rsidR="00372E8D">
              <w:rPr>
                <w:rFonts w:ascii="Times New Roman" w:hAnsi="Times New Roman" w:cs="Times New Roman"/>
                <w:sz w:val="20"/>
              </w:rPr>
              <w:t>e.g.</w:t>
            </w:r>
            <w:r w:rsidR="00372E8D" w:rsidRPr="00372E8D">
              <w:rPr>
                <w:rFonts w:ascii="Times New Roman" w:hAnsi="Times New Roman" w:cs="Times New Roman"/>
                <w:sz w:val="20"/>
              </w:rPr>
              <w:t xml:space="preserve"> </w:t>
            </w:r>
            <w:r w:rsidR="00372E8D" w:rsidRPr="007575D7">
              <w:rPr>
                <w:rFonts w:ascii="Times New Roman" w:hAnsi="Times New Roman" w:cs="Times New Roman"/>
                <w:sz w:val="20"/>
              </w:rPr>
              <w:t>social protection measures; production and export insurance; warehouse receipt</w:t>
            </w:r>
            <w:r w:rsidR="002D7C75">
              <w:rPr>
                <w:rFonts w:ascii="Times New Roman" w:hAnsi="Times New Roman" w:cs="Times New Roman"/>
                <w:sz w:val="20"/>
              </w:rPr>
              <w:t>s</w:t>
            </w:r>
            <w:r>
              <w:rPr>
                <w:rFonts w:ascii="Times New Roman" w:hAnsi="Times New Roman" w:cs="Times New Roman"/>
                <w:sz w:val="20"/>
              </w:rPr>
              <w:t>).</w:t>
            </w:r>
          </w:p>
          <w:p w14:paraId="1308C014" w14:textId="53864489" w:rsidR="00E73215" w:rsidRPr="00C91EA2" w:rsidRDefault="00E73215" w:rsidP="007575D7">
            <w:pPr>
              <w:jc w:val="both"/>
              <w:rPr>
                <w:rFonts w:ascii="Times New Roman" w:hAnsi="Times New Roman" w:cs="Times New Roman"/>
                <w:sz w:val="20"/>
              </w:rPr>
            </w:pPr>
          </w:p>
        </w:tc>
        <w:tc>
          <w:tcPr>
            <w:tcW w:w="1389"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51BD6CBF" w14:textId="61002771" w:rsidR="00E73215" w:rsidRPr="00C91EA2" w:rsidRDefault="00E73215" w:rsidP="00E73215">
            <w:pPr>
              <w:rPr>
                <w:rFonts w:ascii="Times New Roman" w:hAnsi="Times New Roman" w:cs="Times New Roman"/>
                <w:sz w:val="20"/>
              </w:rPr>
            </w:pPr>
            <w:r>
              <w:rPr>
                <w:rFonts w:ascii="Times New Roman" w:hAnsi="Times New Roman" w:cs="Times New Roman"/>
                <w:sz w:val="20"/>
              </w:rPr>
              <w:t>CNIA, MAER</w:t>
            </w:r>
          </w:p>
        </w:tc>
        <w:tc>
          <w:tcPr>
            <w:tcW w:w="816" w:type="pct"/>
            <w:gridSpan w:val="3"/>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6B01BF0A" w14:textId="5DF5F490" w:rsidR="00E73215" w:rsidRPr="00C91EA2" w:rsidRDefault="00E73215" w:rsidP="00E73215">
            <w:pPr>
              <w:rPr>
                <w:rFonts w:ascii="Times New Roman" w:hAnsi="Times New Roman" w:cs="Times New Roman"/>
                <w:sz w:val="20"/>
              </w:rPr>
            </w:pPr>
            <w:r w:rsidRPr="00C91EA2">
              <w:rPr>
                <w:rFonts w:ascii="Times New Roman" w:hAnsi="Times New Roman" w:cs="Times New Roman"/>
                <w:sz w:val="20"/>
              </w:rPr>
              <w:t>Medium</w:t>
            </w:r>
          </w:p>
        </w:tc>
      </w:tr>
      <w:tr w:rsidR="00E73215" w:rsidRPr="00C91EA2" w14:paraId="2613E0A6" w14:textId="77777777" w:rsidTr="00FE2A31">
        <w:trPr>
          <w:trHeight w:val="354"/>
        </w:trPr>
        <w:tc>
          <w:tcPr>
            <w:tcW w:w="2795" w:type="pct"/>
            <w:tcBorders>
              <w:top w:val="single" w:sz="6" w:space="0" w:color="002245"/>
              <w:left w:val="single" w:sz="6" w:space="0" w:color="002245"/>
              <w:bottom w:val="single" w:sz="6" w:space="0" w:color="002245"/>
              <w:right w:val="nil"/>
            </w:tcBorders>
            <w:tcMar>
              <w:top w:w="72" w:type="dxa"/>
              <w:left w:w="144" w:type="dxa"/>
              <w:bottom w:w="72" w:type="dxa"/>
              <w:right w:w="144" w:type="dxa"/>
            </w:tcMar>
          </w:tcPr>
          <w:p w14:paraId="42F5CAC2" w14:textId="3FB42256" w:rsidR="00E73215" w:rsidRDefault="001A71EF" w:rsidP="007575D7">
            <w:pPr>
              <w:jc w:val="both"/>
              <w:rPr>
                <w:rFonts w:ascii="Times New Roman" w:hAnsi="Times New Roman" w:cs="Times New Roman"/>
                <w:sz w:val="20"/>
              </w:rPr>
            </w:pPr>
            <w:r>
              <w:rPr>
                <w:rFonts w:ascii="Times New Roman" w:hAnsi="Times New Roman" w:cs="Times New Roman"/>
                <w:sz w:val="20"/>
              </w:rPr>
              <w:t>1.20</w:t>
            </w:r>
            <w:r w:rsidR="00E73215">
              <w:rPr>
                <w:rFonts w:ascii="Times New Roman" w:hAnsi="Times New Roman" w:cs="Times New Roman"/>
                <w:sz w:val="20"/>
              </w:rPr>
              <w:t xml:space="preserve">. </w:t>
            </w:r>
            <w:r w:rsidR="00CB3737">
              <w:rPr>
                <w:rFonts w:ascii="Times New Roman" w:hAnsi="Times New Roman" w:cs="Times New Roman"/>
                <w:sz w:val="20"/>
              </w:rPr>
              <w:t>As a complementary measure, c</w:t>
            </w:r>
            <w:r w:rsidR="00E73215">
              <w:rPr>
                <w:rFonts w:ascii="Times New Roman" w:hAnsi="Times New Roman" w:cs="Times New Roman"/>
                <w:sz w:val="20"/>
              </w:rPr>
              <w:t xml:space="preserve">onsider investing in improving </w:t>
            </w:r>
            <w:r w:rsidR="00B770A8" w:rsidRPr="007575D7">
              <w:rPr>
                <w:rFonts w:ascii="Times New Roman" w:hAnsi="Times New Roman" w:cs="Times New Roman" w:hint="eastAsia"/>
                <w:sz w:val="20"/>
              </w:rPr>
              <w:t xml:space="preserve">quality standards and mechanisms for the detection and control of aflatoxin; </w:t>
            </w:r>
            <w:r w:rsidR="00B770A8" w:rsidRPr="007575D7">
              <w:rPr>
                <w:rFonts w:ascii="Times New Roman" w:hAnsi="Times New Roman" w:cs="Times New Roman"/>
                <w:sz w:val="20"/>
              </w:rPr>
              <w:t>setting</w:t>
            </w:r>
            <w:r w:rsidR="00B770A8">
              <w:rPr>
                <w:rFonts w:ascii="Times New Roman" w:hAnsi="Times New Roman" w:cs="Times New Roman"/>
                <w:sz w:val="20"/>
              </w:rPr>
              <w:t xml:space="preserve"> a strategy to respond the growing demand of the confectionery industry</w:t>
            </w:r>
            <w:r w:rsidR="00B770A8" w:rsidRPr="007575D7">
              <w:rPr>
                <w:rFonts w:ascii="Times New Roman" w:hAnsi="Times New Roman" w:cs="Times New Roman"/>
                <w:sz w:val="20"/>
              </w:rPr>
              <w:t xml:space="preserve">; and </w:t>
            </w:r>
            <w:r w:rsidR="00B770A8">
              <w:rPr>
                <w:rFonts w:ascii="Times New Roman" w:hAnsi="Times New Roman" w:cs="Times New Roman"/>
                <w:sz w:val="20"/>
              </w:rPr>
              <w:t>leveraging on</w:t>
            </w:r>
            <w:r w:rsidR="00B770A8" w:rsidRPr="00B9039B">
              <w:rPr>
                <w:rFonts w:ascii="Times New Roman" w:hAnsi="Times New Roman" w:cs="Times New Roman"/>
                <w:sz w:val="20"/>
              </w:rPr>
              <w:t xml:space="preserve"> digital economy opportunities to reduce costs and increase productivity</w:t>
            </w:r>
            <w:r w:rsidR="00B770A8">
              <w:rPr>
                <w:rFonts w:ascii="Times New Roman" w:hAnsi="Times New Roman" w:cs="Times New Roman"/>
                <w:sz w:val="20"/>
              </w:rPr>
              <w:t>.</w:t>
            </w:r>
          </w:p>
          <w:p w14:paraId="6345D92A" w14:textId="7605435A" w:rsidR="00CF3A57" w:rsidRDefault="00CF3A57" w:rsidP="007575D7">
            <w:pPr>
              <w:jc w:val="both"/>
              <w:rPr>
                <w:rFonts w:ascii="Times New Roman" w:hAnsi="Times New Roman" w:cs="Times New Roman"/>
                <w:sz w:val="20"/>
              </w:rPr>
            </w:pPr>
          </w:p>
        </w:tc>
        <w:tc>
          <w:tcPr>
            <w:tcW w:w="1389" w:type="pct"/>
            <w:gridSpan w:val="3"/>
            <w:tcBorders>
              <w:top w:val="single" w:sz="6" w:space="0" w:color="002245"/>
              <w:left w:val="nil"/>
              <w:bottom w:val="single" w:sz="6" w:space="0" w:color="002245"/>
              <w:right w:val="nil"/>
            </w:tcBorders>
            <w:tcMar>
              <w:top w:w="72" w:type="dxa"/>
              <w:left w:w="144" w:type="dxa"/>
              <w:bottom w:w="72" w:type="dxa"/>
              <w:right w:w="144" w:type="dxa"/>
            </w:tcMar>
          </w:tcPr>
          <w:p w14:paraId="09A9002B" w14:textId="77777777" w:rsidR="00E73215" w:rsidRDefault="00E73215" w:rsidP="00E73215">
            <w:pPr>
              <w:rPr>
                <w:rFonts w:ascii="Times New Roman" w:hAnsi="Times New Roman" w:cs="Times New Roman"/>
                <w:sz w:val="20"/>
              </w:rPr>
            </w:pPr>
            <w:r>
              <w:rPr>
                <w:rFonts w:ascii="Times New Roman" w:hAnsi="Times New Roman" w:cs="Times New Roman"/>
                <w:sz w:val="20"/>
              </w:rPr>
              <w:t>MAER</w:t>
            </w:r>
            <w:r w:rsidR="00B770A8">
              <w:rPr>
                <w:rFonts w:ascii="Times New Roman" w:hAnsi="Times New Roman" w:cs="Times New Roman"/>
                <w:sz w:val="20"/>
              </w:rPr>
              <w:t>, Ministry of Finance</w:t>
            </w:r>
          </w:p>
        </w:tc>
        <w:tc>
          <w:tcPr>
            <w:tcW w:w="816" w:type="pct"/>
            <w:gridSpan w:val="3"/>
            <w:tcBorders>
              <w:top w:val="single" w:sz="6" w:space="0" w:color="002245"/>
              <w:left w:val="nil"/>
              <w:bottom w:val="single" w:sz="6" w:space="0" w:color="002245"/>
              <w:right w:val="single" w:sz="6" w:space="0" w:color="002245"/>
            </w:tcBorders>
            <w:tcMar>
              <w:top w:w="72" w:type="dxa"/>
              <w:left w:w="144" w:type="dxa"/>
              <w:bottom w:w="72" w:type="dxa"/>
              <w:right w:w="144" w:type="dxa"/>
            </w:tcMar>
          </w:tcPr>
          <w:p w14:paraId="33783848" w14:textId="77777777" w:rsidR="00E73215" w:rsidRPr="00C91EA2" w:rsidRDefault="00E73215" w:rsidP="00E73215">
            <w:pPr>
              <w:rPr>
                <w:rFonts w:ascii="Times New Roman" w:hAnsi="Times New Roman" w:cs="Times New Roman"/>
                <w:sz w:val="20"/>
              </w:rPr>
            </w:pPr>
            <w:r>
              <w:rPr>
                <w:rFonts w:ascii="Times New Roman" w:hAnsi="Times New Roman" w:cs="Times New Roman"/>
                <w:sz w:val="20"/>
              </w:rPr>
              <w:t>High</w:t>
            </w:r>
          </w:p>
        </w:tc>
      </w:tr>
      <w:tr w:rsidR="00A7388C" w:rsidRPr="00C91EA2" w14:paraId="406CB0FF" w14:textId="77777777" w:rsidTr="002321B6">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639E0683" w14:textId="77777777" w:rsidR="00A7388C" w:rsidRPr="00C91EA2" w:rsidRDefault="00A7388C" w:rsidP="002321B6">
            <w:pPr>
              <w:jc w:val="center"/>
              <w:rPr>
                <w:rFonts w:ascii="Times New Roman" w:hAnsi="Times New Roman" w:cs="Times New Roman"/>
                <w:sz w:val="20"/>
              </w:rPr>
            </w:pPr>
            <w:r w:rsidRPr="00C91EA2">
              <w:rPr>
                <w:rFonts w:ascii="Times New Roman" w:hAnsi="Times New Roman" w:cs="Times New Roman"/>
                <w:sz w:val="20"/>
              </w:rPr>
              <w:t>Consumer prices for oil</w:t>
            </w:r>
          </w:p>
        </w:tc>
      </w:tr>
      <w:tr w:rsidR="00A7388C" w:rsidRPr="00C91EA2" w14:paraId="757DFD63" w14:textId="77777777" w:rsidTr="002321B6">
        <w:trPr>
          <w:trHeight w:val="23"/>
        </w:trPr>
        <w:tc>
          <w:tcPr>
            <w:tcW w:w="2795"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24CF0593" w14:textId="7C9617E7" w:rsidR="00A7388C" w:rsidRPr="00C91EA2" w:rsidRDefault="00A7388C" w:rsidP="002321B6">
            <w:pPr>
              <w:rPr>
                <w:rFonts w:ascii="Times New Roman" w:hAnsi="Times New Roman" w:cs="Times New Roman"/>
                <w:sz w:val="20"/>
              </w:rPr>
            </w:pPr>
            <w:r>
              <w:rPr>
                <w:rFonts w:ascii="Times New Roman" w:hAnsi="Times New Roman" w:cs="Times New Roman"/>
                <w:sz w:val="20"/>
              </w:rPr>
              <w:t>1.</w:t>
            </w:r>
            <w:r w:rsidR="008E27F1">
              <w:rPr>
                <w:rFonts w:ascii="Times New Roman" w:hAnsi="Times New Roman" w:cs="Times New Roman"/>
                <w:sz w:val="20"/>
              </w:rPr>
              <w:t>21</w:t>
            </w:r>
            <w:r>
              <w:rPr>
                <w:rFonts w:ascii="Times New Roman" w:hAnsi="Times New Roman" w:cs="Times New Roman"/>
                <w:sz w:val="20"/>
              </w:rPr>
              <w:t xml:space="preserve"> </w:t>
            </w:r>
            <w:r w:rsidRPr="00C91EA2">
              <w:rPr>
                <w:rFonts w:ascii="Times New Roman" w:hAnsi="Times New Roman" w:cs="Times New Roman"/>
                <w:sz w:val="20"/>
              </w:rPr>
              <w:t xml:space="preserve">In addition to previous recommendations… </w:t>
            </w:r>
          </w:p>
          <w:p w14:paraId="35159133" w14:textId="77777777" w:rsidR="00A7388C" w:rsidRPr="00C91EA2" w:rsidRDefault="00A7388C" w:rsidP="007575D7">
            <w:pPr>
              <w:jc w:val="both"/>
              <w:rPr>
                <w:rFonts w:ascii="Times New Roman" w:hAnsi="Times New Roman" w:cs="Times New Roman"/>
                <w:sz w:val="20"/>
              </w:rPr>
            </w:pPr>
            <w:r w:rsidRPr="00C91EA2">
              <w:rPr>
                <w:rFonts w:ascii="Times New Roman" w:hAnsi="Times New Roman" w:cs="Times New Roman"/>
                <w:sz w:val="20"/>
              </w:rPr>
              <w:t>Consider removing import tariffs on crude (and potentially refined) vegetable oil</w:t>
            </w:r>
            <w:r>
              <w:rPr>
                <w:rFonts w:ascii="Times New Roman" w:hAnsi="Times New Roman" w:cs="Times New Roman"/>
                <w:sz w:val="20"/>
              </w:rPr>
              <w:t>.</w:t>
            </w:r>
          </w:p>
        </w:tc>
        <w:tc>
          <w:tcPr>
            <w:tcW w:w="1480" w:type="pct"/>
            <w:gridSpan w:val="4"/>
            <w:tcBorders>
              <w:top w:val="single" w:sz="6" w:space="0" w:color="002245"/>
              <w:left w:val="nil"/>
              <w:bottom w:val="single" w:sz="6" w:space="0" w:color="002245"/>
              <w:right w:val="nil"/>
            </w:tcBorders>
            <w:shd w:val="clear" w:color="auto" w:fill="FFFFFF"/>
            <w:tcMar>
              <w:top w:w="72" w:type="dxa"/>
              <w:left w:w="144" w:type="dxa"/>
              <w:bottom w:w="72" w:type="dxa"/>
              <w:right w:w="144" w:type="dxa"/>
            </w:tcMar>
            <w:hideMark/>
          </w:tcPr>
          <w:p w14:paraId="17701F3B" w14:textId="251FF0E1" w:rsidR="00A7388C" w:rsidRPr="00C91EA2" w:rsidRDefault="003B24ED" w:rsidP="002321B6">
            <w:pPr>
              <w:rPr>
                <w:rFonts w:ascii="Times New Roman" w:hAnsi="Times New Roman" w:cs="Times New Roman"/>
                <w:sz w:val="20"/>
              </w:rPr>
            </w:pPr>
            <w:r>
              <w:rPr>
                <w:rFonts w:ascii="Times New Roman" w:hAnsi="Times New Roman" w:cs="Times New Roman"/>
                <w:sz w:val="20"/>
              </w:rPr>
              <w:t>Government</w:t>
            </w:r>
          </w:p>
        </w:tc>
        <w:tc>
          <w:tcPr>
            <w:tcW w:w="725" w:type="pct"/>
            <w:gridSpan w:val="2"/>
            <w:tcBorders>
              <w:top w:val="single" w:sz="6" w:space="0" w:color="002245"/>
              <w:left w:val="nil"/>
              <w:bottom w:val="single" w:sz="6" w:space="0" w:color="002245"/>
              <w:right w:val="single" w:sz="6" w:space="0" w:color="002245"/>
            </w:tcBorders>
            <w:shd w:val="clear" w:color="auto" w:fill="FFFFFF"/>
            <w:tcMar>
              <w:top w:w="72" w:type="dxa"/>
              <w:left w:w="144" w:type="dxa"/>
              <w:bottom w:w="72" w:type="dxa"/>
              <w:right w:w="144" w:type="dxa"/>
            </w:tcMar>
            <w:hideMark/>
          </w:tcPr>
          <w:p w14:paraId="436ADBC5" w14:textId="77777777" w:rsidR="00A7388C" w:rsidRPr="00C91EA2" w:rsidRDefault="00A7388C" w:rsidP="002321B6">
            <w:pPr>
              <w:rPr>
                <w:rFonts w:ascii="Times New Roman" w:hAnsi="Times New Roman" w:cs="Times New Roman"/>
                <w:sz w:val="20"/>
              </w:rPr>
            </w:pPr>
            <w:r w:rsidRPr="00C91EA2">
              <w:rPr>
                <w:rFonts w:ascii="Times New Roman" w:hAnsi="Times New Roman" w:cs="Times New Roman"/>
                <w:sz w:val="20"/>
              </w:rPr>
              <w:t>Medium</w:t>
            </w:r>
          </w:p>
        </w:tc>
      </w:tr>
    </w:tbl>
    <w:p w14:paraId="1E8266C6" w14:textId="0CCE5BEB" w:rsidR="00D9497D" w:rsidRDefault="00D9497D" w:rsidP="002D1818">
      <w:pPr>
        <w:rPr>
          <w:rFonts w:ascii="Times New Roman" w:hAnsi="Times New Roman" w:cs="Times New Roman"/>
        </w:rPr>
      </w:pPr>
    </w:p>
    <w:p w14:paraId="63A9011D" w14:textId="749559AC" w:rsidR="00BE28E3" w:rsidRDefault="00BE28E3" w:rsidP="002D1818">
      <w:pPr>
        <w:rPr>
          <w:rFonts w:ascii="Times New Roman" w:hAnsi="Times New Roman" w:cs="Times New Roman"/>
        </w:rPr>
      </w:pPr>
    </w:p>
    <w:p w14:paraId="209E16BE" w14:textId="342425D1" w:rsidR="001A5142" w:rsidRDefault="001A5142" w:rsidP="002D1818">
      <w:pPr>
        <w:rPr>
          <w:rFonts w:ascii="Times New Roman" w:hAnsi="Times New Roman" w:cs="Times New Roman"/>
        </w:rPr>
      </w:pPr>
    </w:p>
    <w:p w14:paraId="69CB8383" w14:textId="77777777" w:rsidR="001A5142" w:rsidRPr="00C91EA2" w:rsidRDefault="001A5142" w:rsidP="002D1818">
      <w:pPr>
        <w:rPr>
          <w:rFonts w:ascii="Times New Roman" w:hAnsi="Times New Roman" w:cs="Times New Roman"/>
        </w:rPr>
      </w:pPr>
    </w:p>
    <w:p w14:paraId="1D523ED1" w14:textId="77777777" w:rsidR="002D1818" w:rsidRPr="00931F86" w:rsidRDefault="002D1818" w:rsidP="00931F86">
      <w:pPr>
        <w:pStyle w:val="ListParagraph"/>
        <w:numPr>
          <w:ilvl w:val="0"/>
          <w:numId w:val="142"/>
        </w:numPr>
        <w:rPr>
          <w:rFonts w:ascii="Times New Roman" w:hAnsi="Times New Roman" w:cs="Times New Roman"/>
          <w:b/>
          <w:sz w:val="20"/>
          <w:szCs w:val="20"/>
        </w:rPr>
      </w:pPr>
      <w:r w:rsidRPr="00931F86">
        <w:rPr>
          <w:rFonts w:ascii="Times New Roman" w:hAnsi="Times New Roman" w:cs="Times New Roman"/>
          <w:b/>
          <w:sz w:val="20"/>
          <w:szCs w:val="20"/>
        </w:rPr>
        <w:t xml:space="preserve">Telecommunications </w:t>
      </w:r>
    </w:p>
    <w:p w14:paraId="77408BFF" w14:textId="77777777" w:rsidR="002D1818" w:rsidRPr="00C91EA2" w:rsidRDefault="002D1818" w:rsidP="002D1818">
      <w:pPr>
        <w:rPr>
          <w:rFonts w:ascii="Times New Roman" w:hAnsi="Times New Roman" w:cs="Times New Roman"/>
        </w:rPr>
      </w:pPr>
    </w:p>
    <w:p w14:paraId="0247BF0F" w14:textId="1C15FE4C" w:rsidR="002D1818" w:rsidRDefault="002D1818" w:rsidP="002D1818">
      <w:pPr>
        <w:pStyle w:val="Caption"/>
        <w:keepNext/>
        <w:rPr>
          <w:rFonts w:ascii="Times New Roman" w:hAnsi="Times New Roman"/>
        </w:rPr>
      </w:pPr>
      <w:bookmarkStart w:id="34" w:name="_Toc498020507"/>
      <w:bookmarkStart w:id="35" w:name="_Toc520725689"/>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2</w:t>
      </w:r>
      <w:r w:rsidRPr="00C91EA2">
        <w:rPr>
          <w:rFonts w:ascii="Times New Roman" w:hAnsi="Times New Roman"/>
        </w:rPr>
        <w:fldChar w:fldCharType="end"/>
      </w:r>
      <w:r w:rsidRPr="00C91EA2">
        <w:rPr>
          <w:rFonts w:ascii="Times New Roman" w:hAnsi="Times New Roman"/>
        </w:rPr>
        <w:t xml:space="preserve">: Recommendations </w:t>
      </w:r>
      <w:bookmarkEnd w:id="34"/>
      <w:r w:rsidR="00287C82">
        <w:rPr>
          <w:rFonts w:ascii="Times New Roman" w:hAnsi="Times New Roman"/>
        </w:rPr>
        <w:t>for the telecommunications sector</w:t>
      </w:r>
      <w:bookmarkEnd w:id="35"/>
    </w:p>
    <w:p w14:paraId="34895546" w14:textId="73C4AC97" w:rsidR="00BA1D0A" w:rsidRDefault="00BA1D0A" w:rsidP="007575D7"/>
    <w:tbl>
      <w:tblPr>
        <w:tblStyle w:val="ListTable3-Accent1"/>
        <w:tblW w:w="0" w:type="auto"/>
        <w:tblLook w:val="0420" w:firstRow="1" w:lastRow="0" w:firstColumn="0" w:lastColumn="0" w:noHBand="0" w:noVBand="1"/>
      </w:tblPr>
      <w:tblGrid>
        <w:gridCol w:w="7105"/>
        <w:gridCol w:w="3060"/>
        <w:gridCol w:w="2785"/>
      </w:tblGrid>
      <w:tr w:rsidR="00BA1D0A" w:rsidRPr="00C91EA2" w14:paraId="6966FE18" w14:textId="77777777" w:rsidTr="007575D7">
        <w:trPr>
          <w:cnfStyle w:val="100000000000" w:firstRow="1" w:lastRow="0" w:firstColumn="0" w:lastColumn="0" w:oddVBand="0" w:evenVBand="0" w:oddHBand="0" w:evenHBand="0" w:firstRowFirstColumn="0" w:firstRowLastColumn="0" w:lastRowFirstColumn="0" w:lastRowLastColumn="0"/>
          <w:trHeight w:val="217"/>
        </w:trPr>
        <w:tc>
          <w:tcPr>
            <w:tcW w:w="7105" w:type="dxa"/>
            <w:hideMark/>
          </w:tcPr>
          <w:p w14:paraId="4AC06F64" w14:textId="2DF2750A" w:rsidR="00BA1D0A" w:rsidRPr="00C91EA2" w:rsidRDefault="00BA1D0A" w:rsidP="007575D7">
            <w:pPr>
              <w:jc w:val="center"/>
              <w:rPr>
                <w:rFonts w:ascii="Times New Roman" w:hAnsi="Times New Roman" w:cs="Times New Roman"/>
                <w:sz w:val="20"/>
              </w:rPr>
            </w:pPr>
            <w:r w:rsidRPr="00C91EA2">
              <w:rPr>
                <w:rFonts w:ascii="Times New Roman" w:hAnsi="Times New Roman" w:cs="Times New Roman"/>
                <w:b w:val="0"/>
                <w:bCs w:val="0"/>
                <w:sz w:val="20"/>
              </w:rPr>
              <w:t>Recommendation</w:t>
            </w:r>
            <w:r>
              <w:rPr>
                <w:rFonts w:ascii="Times New Roman" w:hAnsi="Times New Roman" w:cs="Times New Roman"/>
                <w:b w:val="0"/>
                <w:bCs w:val="0"/>
                <w:sz w:val="20"/>
              </w:rPr>
              <w:t>s</w:t>
            </w:r>
          </w:p>
        </w:tc>
        <w:tc>
          <w:tcPr>
            <w:tcW w:w="3060" w:type="dxa"/>
            <w:hideMark/>
          </w:tcPr>
          <w:p w14:paraId="537E1BD4" w14:textId="77777777" w:rsidR="00BA1D0A" w:rsidRPr="00C91EA2" w:rsidRDefault="00BA1D0A" w:rsidP="007575D7">
            <w:pPr>
              <w:jc w:val="center"/>
              <w:rPr>
                <w:rFonts w:ascii="Times New Roman" w:hAnsi="Times New Roman" w:cs="Times New Roman"/>
                <w:sz w:val="20"/>
              </w:rPr>
            </w:pPr>
            <w:r>
              <w:rPr>
                <w:rFonts w:ascii="Times New Roman" w:hAnsi="Times New Roman" w:cs="Times New Roman"/>
                <w:b w:val="0"/>
                <w:bCs w:val="0"/>
                <w:sz w:val="20"/>
                <w:lang w:val="en-GB"/>
              </w:rPr>
              <w:t>Respons</w:t>
            </w:r>
            <w:r w:rsidRPr="00C91EA2">
              <w:rPr>
                <w:rFonts w:ascii="Times New Roman" w:hAnsi="Times New Roman" w:cs="Times New Roman"/>
                <w:b w:val="0"/>
                <w:bCs w:val="0"/>
                <w:sz w:val="20"/>
                <w:lang w:val="en-GB"/>
              </w:rPr>
              <w:t>ibility</w:t>
            </w:r>
          </w:p>
        </w:tc>
        <w:tc>
          <w:tcPr>
            <w:tcW w:w="2785" w:type="dxa"/>
            <w:hideMark/>
          </w:tcPr>
          <w:p w14:paraId="27FE7F51" w14:textId="77777777" w:rsidR="00BA1D0A" w:rsidRPr="00C91EA2" w:rsidRDefault="00BA1D0A" w:rsidP="007575D7">
            <w:pPr>
              <w:jc w:val="center"/>
              <w:rPr>
                <w:rFonts w:ascii="Times New Roman" w:hAnsi="Times New Roman" w:cs="Times New Roman"/>
                <w:sz w:val="20"/>
              </w:rPr>
            </w:pPr>
            <w:r>
              <w:rPr>
                <w:rFonts w:ascii="Times New Roman" w:hAnsi="Times New Roman" w:cs="Times New Roman"/>
                <w:b w:val="0"/>
                <w:bCs w:val="0"/>
                <w:sz w:val="20"/>
                <w:lang w:val="en-GB"/>
              </w:rPr>
              <w:t>Priori</w:t>
            </w:r>
            <w:r w:rsidRPr="00C91EA2">
              <w:rPr>
                <w:rFonts w:ascii="Times New Roman" w:hAnsi="Times New Roman" w:cs="Times New Roman"/>
                <w:b w:val="0"/>
                <w:bCs w:val="0"/>
                <w:sz w:val="20"/>
                <w:lang w:val="en-GB"/>
              </w:rPr>
              <w:t>ty</w:t>
            </w:r>
          </w:p>
        </w:tc>
      </w:tr>
      <w:tr w:rsidR="00BA1D0A" w:rsidRPr="00C91EA2" w14:paraId="33EE7820" w14:textId="77777777" w:rsidTr="00BA1D0A">
        <w:trPr>
          <w:cnfStyle w:val="000000100000" w:firstRow="0" w:lastRow="0" w:firstColumn="0" w:lastColumn="0" w:oddVBand="0" w:evenVBand="0" w:oddHBand="1" w:evenHBand="0" w:firstRowFirstColumn="0" w:firstRowLastColumn="0" w:lastRowFirstColumn="0" w:lastRowLastColumn="0"/>
          <w:trHeight w:val="175"/>
        </w:trPr>
        <w:tc>
          <w:tcPr>
            <w:tcW w:w="0" w:type="auto"/>
            <w:gridSpan w:val="3"/>
            <w:shd w:val="clear" w:color="auto" w:fill="C6D9F1" w:themeFill="text2" w:themeFillTint="33"/>
          </w:tcPr>
          <w:p w14:paraId="2F2EDD59" w14:textId="29C4D66E" w:rsidR="00BA1D0A" w:rsidRPr="00C91EA2" w:rsidRDefault="00A33EAD" w:rsidP="00BA1D0A">
            <w:pPr>
              <w:jc w:val="center"/>
              <w:rPr>
                <w:rFonts w:ascii="Times New Roman" w:hAnsi="Times New Roman" w:cs="Times New Roman"/>
                <w:b/>
                <w:bCs/>
                <w:sz w:val="20"/>
                <w:lang w:val="en-GB"/>
              </w:rPr>
            </w:pPr>
            <w:r>
              <w:rPr>
                <w:rFonts w:ascii="Times New Roman" w:hAnsi="Times New Roman" w:cs="Times New Roman"/>
                <w:b/>
                <w:bCs/>
                <w:sz w:val="20"/>
              </w:rPr>
              <w:t>E</w:t>
            </w:r>
            <w:r w:rsidR="00BA1D0A" w:rsidRPr="00911A0A">
              <w:rPr>
                <w:rFonts w:ascii="Times New Roman" w:hAnsi="Times New Roman" w:cs="Times New Roman"/>
                <w:b/>
                <w:bCs/>
                <w:sz w:val="20"/>
              </w:rPr>
              <w:t>ntry and level playing field between services-based competitors</w:t>
            </w:r>
          </w:p>
        </w:tc>
      </w:tr>
      <w:tr w:rsidR="00BA1D0A" w:rsidRPr="00C91EA2" w14:paraId="777A2873" w14:textId="77777777" w:rsidTr="007575D7">
        <w:trPr>
          <w:trHeight w:val="649"/>
        </w:trPr>
        <w:tc>
          <w:tcPr>
            <w:tcW w:w="7105" w:type="dxa"/>
          </w:tcPr>
          <w:p w14:paraId="4C1031ED" w14:textId="393EBB12" w:rsidR="00BA1D0A" w:rsidRDefault="00BA1D0A" w:rsidP="00BA1D0A">
            <w:pPr>
              <w:jc w:val="both"/>
              <w:rPr>
                <w:rFonts w:ascii="Times New Roman" w:hAnsi="Times New Roman" w:cs="Times New Roman"/>
                <w:color w:val="000000"/>
                <w:sz w:val="20"/>
              </w:rPr>
            </w:pPr>
            <w:r>
              <w:rPr>
                <w:rFonts w:ascii="Times New Roman" w:hAnsi="Times New Roman" w:cs="Times New Roman"/>
                <w:color w:val="000000"/>
                <w:sz w:val="20"/>
              </w:rPr>
              <w:t xml:space="preserve">2.1 </w:t>
            </w:r>
            <w:r w:rsidRPr="00911A0A">
              <w:rPr>
                <w:rFonts w:ascii="Times New Roman" w:hAnsi="Times New Roman" w:cs="Times New Roman"/>
                <w:color w:val="000000"/>
                <w:sz w:val="20"/>
              </w:rPr>
              <w:t xml:space="preserve">Focus regulation on markets that need it. Markets should meet the ‘three criteria </w:t>
            </w:r>
            <w:proofErr w:type="gramStart"/>
            <w:r w:rsidRPr="00911A0A">
              <w:rPr>
                <w:rFonts w:ascii="Times New Roman" w:hAnsi="Times New Roman" w:cs="Times New Roman"/>
                <w:color w:val="000000"/>
                <w:sz w:val="20"/>
              </w:rPr>
              <w:t>test</w:t>
            </w:r>
            <w:proofErr w:type="gramEnd"/>
            <w:r w:rsidRPr="00911A0A">
              <w:rPr>
                <w:rFonts w:ascii="Times New Roman" w:hAnsi="Times New Roman" w:cs="Times New Roman"/>
                <w:color w:val="000000"/>
                <w:sz w:val="20"/>
              </w:rPr>
              <w:t>’: (1) high and non-transitory barriers to entry; (2) market structure does not tend towards effective competition; (3) inadequacy of competition law to tackle market failure</w:t>
            </w:r>
            <w:r w:rsidR="007B7E10">
              <w:rPr>
                <w:rFonts w:ascii="Times New Roman" w:hAnsi="Times New Roman" w:cs="Times New Roman"/>
                <w:color w:val="000000"/>
                <w:sz w:val="20"/>
              </w:rPr>
              <w:t>s</w:t>
            </w:r>
            <w:r w:rsidRPr="00911A0A">
              <w:rPr>
                <w:rFonts w:ascii="Times New Roman" w:hAnsi="Times New Roman" w:cs="Times New Roman"/>
                <w:color w:val="000000"/>
                <w:sz w:val="20"/>
              </w:rPr>
              <w:t>.</w:t>
            </w:r>
          </w:p>
          <w:p w14:paraId="5E832077" w14:textId="3C48B338" w:rsidR="007B7E10" w:rsidRDefault="007B7E10" w:rsidP="00BA1D0A">
            <w:pPr>
              <w:jc w:val="both"/>
              <w:rPr>
                <w:rFonts w:ascii="Times New Roman" w:hAnsi="Times New Roman" w:cs="Times New Roman"/>
                <w:color w:val="000000"/>
                <w:sz w:val="20"/>
              </w:rPr>
            </w:pPr>
          </w:p>
        </w:tc>
        <w:tc>
          <w:tcPr>
            <w:tcW w:w="3060" w:type="dxa"/>
          </w:tcPr>
          <w:p w14:paraId="678161F3" w14:textId="77777777" w:rsidR="00BA1D0A"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 xml:space="preserve">Government </w:t>
            </w:r>
            <w:r w:rsidRPr="00C91EA2">
              <w:rPr>
                <w:rFonts w:ascii="Times New Roman" w:hAnsi="Times New Roman" w:cs="Times New Roman"/>
                <w:color w:val="000000"/>
                <w:sz w:val="20"/>
              </w:rPr>
              <w:t>and Parliament</w:t>
            </w:r>
          </w:p>
        </w:tc>
        <w:tc>
          <w:tcPr>
            <w:tcW w:w="2785" w:type="dxa"/>
          </w:tcPr>
          <w:p w14:paraId="6997969E"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High</w:t>
            </w:r>
          </w:p>
        </w:tc>
      </w:tr>
      <w:tr w:rsidR="00BA1D0A" w:rsidRPr="00C91EA2" w14:paraId="00D7E846" w14:textId="77777777" w:rsidTr="007575D7">
        <w:trPr>
          <w:cnfStyle w:val="000000100000" w:firstRow="0" w:lastRow="0" w:firstColumn="0" w:lastColumn="0" w:oddVBand="0" w:evenVBand="0" w:oddHBand="1" w:evenHBand="0" w:firstRowFirstColumn="0" w:firstRowLastColumn="0" w:lastRowFirstColumn="0" w:lastRowLastColumn="0"/>
          <w:trHeight w:val="1700"/>
        </w:trPr>
        <w:tc>
          <w:tcPr>
            <w:tcW w:w="7105" w:type="dxa"/>
          </w:tcPr>
          <w:p w14:paraId="246ECA0D" w14:textId="77777777" w:rsidR="00BA1D0A" w:rsidRDefault="00BA1D0A" w:rsidP="00BA1D0A">
            <w:pPr>
              <w:jc w:val="both"/>
              <w:rPr>
                <w:rFonts w:ascii="Times New Roman" w:hAnsi="Times New Roman" w:cs="Times New Roman"/>
                <w:color w:val="000000"/>
                <w:sz w:val="20"/>
              </w:rPr>
            </w:pPr>
            <w:r>
              <w:rPr>
                <w:rFonts w:ascii="Times New Roman" w:hAnsi="Times New Roman" w:cs="Times New Roman"/>
                <w:color w:val="000000"/>
                <w:sz w:val="20"/>
              </w:rPr>
              <w:t xml:space="preserve">2.2 </w:t>
            </w:r>
            <w:r w:rsidRPr="00911A0A">
              <w:rPr>
                <w:rFonts w:ascii="Times New Roman" w:hAnsi="Times New Roman" w:cs="Times New Roman"/>
                <w:color w:val="000000"/>
                <w:sz w:val="20"/>
              </w:rPr>
              <w:t>Refocus ex ante regulation on SMP operators. Alleviate the regulatory burden that falls on operators without SMP</w:t>
            </w:r>
            <w:r>
              <w:rPr>
                <w:rFonts w:ascii="Times New Roman" w:hAnsi="Times New Roman" w:cs="Times New Roman"/>
                <w:color w:val="000000"/>
                <w:sz w:val="20"/>
              </w:rPr>
              <w:t>.</w:t>
            </w:r>
          </w:p>
          <w:p w14:paraId="2CFF0E58" w14:textId="77777777" w:rsidR="00BA1D0A" w:rsidRDefault="00BA1D0A" w:rsidP="00BA1D0A">
            <w:pPr>
              <w:jc w:val="both"/>
              <w:rPr>
                <w:rFonts w:ascii="Times New Roman" w:hAnsi="Times New Roman" w:cs="Times New Roman"/>
                <w:color w:val="000000"/>
                <w:sz w:val="20"/>
              </w:rPr>
            </w:pPr>
            <w:r w:rsidRPr="00105B4B">
              <w:rPr>
                <w:rFonts w:ascii="Times New Roman" w:hAnsi="Times New Roman" w:cs="Times New Roman"/>
                <w:color w:val="000000"/>
                <w:sz w:val="20"/>
              </w:rPr>
              <w:t xml:space="preserve">ARTP could consider (i) imposing obligations on </w:t>
            </w:r>
            <w:proofErr w:type="spellStart"/>
            <w:r w:rsidRPr="00105B4B">
              <w:rPr>
                <w:rFonts w:ascii="Times New Roman" w:hAnsi="Times New Roman" w:cs="Times New Roman"/>
                <w:color w:val="000000"/>
                <w:sz w:val="20"/>
              </w:rPr>
              <w:t>Sonatel</w:t>
            </w:r>
            <w:proofErr w:type="spellEnd"/>
            <w:r w:rsidRPr="00105B4B">
              <w:rPr>
                <w:rFonts w:ascii="Times New Roman" w:hAnsi="Times New Roman" w:cs="Times New Roman"/>
                <w:color w:val="000000"/>
                <w:sz w:val="20"/>
              </w:rPr>
              <w:t xml:space="preserve"> to grant fair, transparent and non-discriminatory access to the non-replicable infrastructure and assets it owns (including civil engineering, such as ducts and poles); and (ii) setting-up lower termination rates to mitigate the club effects which currently favor </w:t>
            </w:r>
            <w:proofErr w:type="spellStart"/>
            <w:r w:rsidRPr="00105B4B">
              <w:rPr>
                <w:rFonts w:ascii="Times New Roman" w:hAnsi="Times New Roman" w:cs="Times New Roman"/>
                <w:color w:val="000000"/>
                <w:sz w:val="20"/>
              </w:rPr>
              <w:t>Sonatel’s</w:t>
            </w:r>
            <w:proofErr w:type="spellEnd"/>
            <w:r w:rsidRPr="00105B4B">
              <w:rPr>
                <w:rFonts w:ascii="Times New Roman" w:hAnsi="Times New Roman" w:cs="Times New Roman"/>
                <w:color w:val="000000"/>
                <w:sz w:val="20"/>
              </w:rPr>
              <w:t xml:space="preserve"> network and increase the risks of anticompetitive behavior.</w:t>
            </w:r>
          </w:p>
          <w:p w14:paraId="6C7987ED" w14:textId="4D7F702B" w:rsidR="007B7E10" w:rsidRDefault="007B7E10" w:rsidP="00BA1D0A">
            <w:pPr>
              <w:jc w:val="both"/>
              <w:rPr>
                <w:rFonts w:ascii="Times New Roman" w:hAnsi="Times New Roman" w:cs="Times New Roman"/>
                <w:color w:val="000000"/>
                <w:sz w:val="20"/>
              </w:rPr>
            </w:pPr>
          </w:p>
        </w:tc>
        <w:tc>
          <w:tcPr>
            <w:tcW w:w="3060" w:type="dxa"/>
          </w:tcPr>
          <w:p w14:paraId="0D607082" w14:textId="77777777" w:rsidR="00BA1D0A"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ARTP</w:t>
            </w:r>
          </w:p>
        </w:tc>
        <w:tc>
          <w:tcPr>
            <w:tcW w:w="2785" w:type="dxa"/>
          </w:tcPr>
          <w:p w14:paraId="47C8E3CC"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High</w:t>
            </w:r>
          </w:p>
        </w:tc>
      </w:tr>
      <w:tr w:rsidR="00BA1D0A" w:rsidRPr="00C91EA2" w14:paraId="251AC35E" w14:textId="77777777" w:rsidTr="007575D7">
        <w:trPr>
          <w:trHeight w:val="649"/>
        </w:trPr>
        <w:tc>
          <w:tcPr>
            <w:tcW w:w="7105" w:type="dxa"/>
          </w:tcPr>
          <w:p w14:paraId="213B033D" w14:textId="77777777" w:rsidR="00BA1D0A" w:rsidRDefault="00BA1D0A" w:rsidP="00BA1D0A">
            <w:pPr>
              <w:jc w:val="both"/>
              <w:rPr>
                <w:rFonts w:ascii="Times New Roman" w:hAnsi="Times New Roman" w:cs="Times New Roman"/>
                <w:color w:val="000000"/>
                <w:sz w:val="20"/>
              </w:rPr>
            </w:pPr>
            <w:r>
              <w:rPr>
                <w:rFonts w:ascii="Times New Roman" w:hAnsi="Times New Roman" w:cs="Times New Roman"/>
                <w:color w:val="000000"/>
                <w:sz w:val="20"/>
              </w:rPr>
              <w:t xml:space="preserve">2.3 </w:t>
            </w:r>
            <w:r w:rsidRPr="00911A0A">
              <w:rPr>
                <w:rFonts w:ascii="Times New Roman" w:hAnsi="Times New Roman" w:cs="Times New Roman"/>
                <w:color w:val="000000"/>
                <w:sz w:val="20"/>
              </w:rPr>
              <w:t>Analyze effective competition to declare SMP. Considering eliminating in the Telecommunications Code 25-percent-market-share presumption of dominance or replacing it by a rebuttable presumption of 40%.</w:t>
            </w:r>
          </w:p>
          <w:p w14:paraId="75F66CC4" w14:textId="030CE85E" w:rsidR="007B7E10" w:rsidRDefault="007B7E10" w:rsidP="00BA1D0A">
            <w:pPr>
              <w:jc w:val="both"/>
              <w:rPr>
                <w:rFonts w:ascii="Times New Roman" w:hAnsi="Times New Roman" w:cs="Times New Roman"/>
                <w:color w:val="000000"/>
                <w:sz w:val="20"/>
              </w:rPr>
            </w:pPr>
          </w:p>
        </w:tc>
        <w:tc>
          <w:tcPr>
            <w:tcW w:w="3060" w:type="dxa"/>
          </w:tcPr>
          <w:p w14:paraId="09B782E9" w14:textId="77777777" w:rsidR="00BA1D0A"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 xml:space="preserve">Government </w:t>
            </w:r>
            <w:r w:rsidRPr="00C91EA2">
              <w:rPr>
                <w:rFonts w:ascii="Times New Roman" w:hAnsi="Times New Roman" w:cs="Times New Roman"/>
                <w:color w:val="000000"/>
                <w:sz w:val="20"/>
              </w:rPr>
              <w:t>and Parliament</w:t>
            </w:r>
          </w:p>
        </w:tc>
        <w:tc>
          <w:tcPr>
            <w:tcW w:w="2785" w:type="dxa"/>
          </w:tcPr>
          <w:p w14:paraId="6025CC48"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Medium</w:t>
            </w:r>
          </w:p>
        </w:tc>
      </w:tr>
      <w:tr w:rsidR="00BA1D0A" w:rsidRPr="00C91EA2" w14:paraId="1D8FBF1A" w14:textId="77777777" w:rsidTr="007575D7">
        <w:trPr>
          <w:cnfStyle w:val="000000100000" w:firstRow="0" w:lastRow="0" w:firstColumn="0" w:lastColumn="0" w:oddVBand="0" w:evenVBand="0" w:oddHBand="1" w:evenHBand="0" w:firstRowFirstColumn="0" w:firstRowLastColumn="0" w:lastRowFirstColumn="0" w:lastRowLastColumn="0"/>
          <w:trHeight w:val="649"/>
        </w:trPr>
        <w:tc>
          <w:tcPr>
            <w:tcW w:w="7105" w:type="dxa"/>
          </w:tcPr>
          <w:p w14:paraId="6153524B" w14:textId="77777777" w:rsidR="00A33EAD" w:rsidRDefault="00BA1D0A" w:rsidP="00BA1D0A">
            <w:pPr>
              <w:jc w:val="both"/>
              <w:rPr>
                <w:rFonts w:ascii="Times New Roman" w:hAnsi="Times New Roman" w:cs="Times New Roman"/>
                <w:color w:val="000000"/>
                <w:sz w:val="20"/>
              </w:rPr>
            </w:pPr>
            <w:r>
              <w:rPr>
                <w:rFonts w:ascii="Times New Roman" w:hAnsi="Times New Roman" w:cs="Times New Roman"/>
                <w:color w:val="000000"/>
                <w:sz w:val="20"/>
              </w:rPr>
              <w:t xml:space="preserve">2.4 </w:t>
            </w:r>
            <w:r w:rsidRPr="00911A0A">
              <w:rPr>
                <w:rFonts w:ascii="Times New Roman" w:hAnsi="Times New Roman" w:cs="Times New Roman"/>
                <w:color w:val="000000"/>
                <w:sz w:val="20"/>
              </w:rPr>
              <w:t xml:space="preserve">Boost the technical independence of ARTP.  </w:t>
            </w:r>
          </w:p>
          <w:p w14:paraId="0EC5C57E" w14:textId="3AC021A6" w:rsidR="00BA1D0A" w:rsidRPr="00105B4B" w:rsidRDefault="00BA1D0A" w:rsidP="00BA1D0A">
            <w:pPr>
              <w:jc w:val="both"/>
              <w:rPr>
                <w:rFonts w:ascii="Times New Roman" w:hAnsi="Times New Roman"/>
                <w:color w:val="000000"/>
              </w:rPr>
            </w:pPr>
            <w:r w:rsidRPr="00105B4B">
              <w:rPr>
                <w:rFonts w:ascii="Times New Roman" w:hAnsi="Times New Roman" w:cs="Times New Roman"/>
                <w:color w:val="000000"/>
                <w:sz w:val="20"/>
              </w:rPr>
              <w:t>Ensure check and balances and implement a transparent and technical selection process to appoint</w:t>
            </w:r>
            <w:r w:rsidR="00CD6A39">
              <w:rPr>
                <w:rFonts w:ascii="Times New Roman" w:hAnsi="Times New Roman" w:cs="Times New Roman"/>
                <w:color w:val="000000"/>
                <w:sz w:val="20"/>
              </w:rPr>
              <w:t xml:space="preserve"> Board members and the Director</w:t>
            </w:r>
            <w:r w:rsidRPr="00105B4B">
              <w:rPr>
                <w:rFonts w:ascii="Times New Roman" w:hAnsi="Times New Roman" w:cs="Times New Roman"/>
                <w:color w:val="000000"/>
                <w:sz w:val="20"/>
              </w:rPr>
              <w:t xml:space="preserve"> and involve the President of the Republic in the selection of all Board members</w:t>
            </w:r>
            <w:r w:rsidRPr="00264199">
              <w:rPr>
                <w:rFonts w:ascii="Times New Roman" w:hAnsi="Times New Roman"/>
                <w:b/>
                <w:bCs/>
                <w:color w:val="000000"/>
              </w:rPr>
              <w:t>.</w:t>
            </w:r>
          </w:p>
          <w:p w14:paraId="501EC137" w14:textId="77777777" w:rsidR="00BA1D0A" w:rsidRDefault="00BA1D0A" w:rsidP="00BA1D0A">
            <w:pPr>
              <w:jc w:val="both"/>
              <w:rPr>
                <w:rFonts w:ascii="Times New Roman" w:hAnsi="Times New Roman" w:cs="Times New Roman"/>
                <w:color w:val="000000"/>
                <w:sz w:val="20"/>
              </w:rPr>
            </w:pPr>
            <w:r w:rsidRPr="00911A0A">
              <w:rPr>
                <w:rFonts w:ascii="Times New Roman" w:hAnsi="Times New Roman" w:cs="Times New Roman"/>
                <w:color w:val="000000"/>
                <w:sz w:val="20"/>
              </w:rPr>
              <w:t>Undertake a functional review of ARTP to identify areas for making its mandate more effective.</w:t>
            </w:r>
          </w:p>
          <w:p w14:paraId="3D494CB5" w14:textId="35D1E3D9" w:rsidR="007B7E10" w:rsidRDefault="007B7E10" w:rsidP="00BA1D0A">
            <w:pPr>
              <w:jc w:val="both"/>
              <w:rPr>
                <w:rFonts w:ascii="Times New Roman" w:hAnsi="Times New Roman" w:cs="Times New Roman"/>
                <w:color w:val="000000"/>
                <w:sz w:val="20"/>
              </w:rPr>
            </w:pPr>
          </w:p>
        </w:tc>
        <w:tc>
          <w:tcPr>
            <w:tcW w:w="3060" w:type="dxa"/>
          </w:tcPr>
          <w:p w14:paraId="4010827D" w14:textId="77777777" w:rsidR="00BA1D0A"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 xml:space="preserve">Government </w:t>
            </w:r>
            <w:r w:rsidRPr="00C91EA2">
              <w:rPr>
                <w:rFonts w:ascii="Times New Roman" w:hAnsi="Times New Roman" w:cs="Times New Roman"/>
                <w:color w:val="000000"/>
                <w:sz w:val="20"/>
              </w:rPr>
              <w:t>and Parliament</w:t>
            </w:r>
          </w:p>
        </w:tc>
        <w:tc>
          <w:tcPr>
            <w:tcW w:w="2785" w:type="dxa"/>
          </w:tcPr>
          <w:p w14:paraId="546ABADE"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High</w:t>
            </w:r>
          </w:p>
        </w:tc>
      </w:tr>
      <w:tr w:rsidR="00BA1D0A" w:rsidRPr="00C91EA2" w14:paraId="2549BCB4" w14:textId="77777777" w:rsidTr="007575D7">
        <w:trPr>
          <w:trHeight w:val="649"/>
        </w:trPr>
        <w:tc>
          <w:tcPr>
            <w:tcW w:w="7105" w:type="dxa"/>
          </w:tcPr>
          <w:p w14:paraId="327B8B6E" w14:textId="77777777" w:rsidR="00BA1D0A" w:rsidRDefault="00BA1D0A" w:rsidP="00BA1D0A">
            <w:pPr>
              <w:jc w:val="both"/>
              <w:rPr>
                <w:rFonts w:ascii="Times New Roman" w:hAnsi="Times New Roman" w:cs="Times New Roman"/>
                <w:color w:val="000000"/>
                <w:sz w:val="20"/>
              </w:rPr>
            </w:pPr>
            <w:r>
              <w:rPr>
                <w:rFonts w:ascii="Times New Roman" w:hAnsi="Times New Roman" w:cs="Times New Roman"/>
                <w:color w:val="000000"/>
                <w:sz w:val="20"/>
              </w:rPr>
              <w:t xml:space="preserve">2.5 </w:t>
            </w:r>
            <w:r w:rsidRPr="00911A0A">
              <w:rPr>
                <w:rFonts w:ascii="Times New Roman" w:hAnsi="Times New Roman" w:cs="Times New Roman"/>
                <w:color w:val="000000"/>
                <w:sz w:val="20"/>
              </w:rPr>
              <w:t>Adopt the bylaws necessary to ensure the effectiveness of the Telecommunications Code to open markets to competition (e.g. applicable costs to termination rates and charges for access to infrastructure, spectrum assignment rules and fees, integrate asymmetric regulation principle).</w:t>
            </w:r>
          </w:p>
          <w:p w14:paraId="2EA303DD" w14:textId="4E8DD6F0" w:rsidR="007B7E10" w:rsidRPr="00BB17ED" w:rsidRDefault="007B7E10" w:rsidP="00BA1D0A">
            <w:pPr>
              <w:jc w:val="both"/>
              <w:rPr>
                <w:rFonts w:ascii="Times New Roman" w:hAnsi="Times New Roman" w:cs="Times New Roman"/>
                <w:color w:val="000000"/>
                <w:sz w:val="20"/>
              </w:rPr>
            </w:pPr>
          </w:p>
        </w:tc>
        <w:tc>
          <w:tcPr>
            <w:tcW w:w="3060" w:type="dxa"/>
          </w:tcPr>
          <w:p w14:paraId="3ED810B3"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Ministry of Post and Telecommunications (</w:t>
            </w:r>
            <w:r w:rsidRPr="00C91EA2">
              <w:rPr>
                <w:rFonts w:ascii="Times New Roman" w:hAnsi="Times New Roman" w:cs="Times New Roman"/>
                <w:color w:val="000000"/>
                <w:sz w:val="20"/>
              </w:rPr>
              <w:t>MPT</w:t>
            </w:r>
            <w:r>
              <w:rPr>
                <w:rFonts w:ascii="Times New Roman" w:hAnsi="Times New Roman" w:cs="Times New Roman"/>
                <w:color w:val="000000"/>
                <w:sz w:val="20"/>
              </w:rPr>
              <w:t>)</w:t>
            </w:r>
          </w:p>
        </w:tc>
        <w:tc>
          <w:tcPr>
            <w:tcW w:w="2785" w:type="dxa"/>
          </w:tcPr>
          <w:p w14:paraId="02056D96"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BA1D0A" w:rsidRPr="00C91EA2" w14:paraId="0DFB420D" w14:textId="77777777" w:rsidTr="007575D7">
        <w:trPr>
          <w:cnfStyle w:val="000000100000" w:firstRow="0" w:lastRow="0" w:firstColumn="0" w:lastColumn="0" w:oddVBand="0" w:evenVBand="0" w:oddHBand="1" w:evenHBand="0" w:firstRowFirstColumn="0" w:firstRowLastColumn="0" w:lastRowFirstColumn="0" w:lastRowLastColumn="0"/>
          <w:trHeight w:val="649"/>
        </w:trPr>
        <w:tc>
          <w:tcPr>
            <w:tcW w:w="7105" w:type="dxa"/>
            <w:hideMark/>
          </w:tcPr>
          <w:p w14:paraId="18D91B7D" w14:textId="77777777" w:rsidR="00BA1D0A" w:rsidRPr="00C91EA2" w:rsidRDefault="00BA1D0A" w:rsidP="00BA1D0A">
            <w:pPr>
              <w:jc w:val="both"/>
              <w:rPr>
                <w:rFonts w:ascii="Times New Roman" w:hAnsi="Times New Roman" w:cs="Times New Roman"/>
                <w:color w:val="000000"/>
                <w:sz w:val="20"/>
              </w:rPr>
            </w:pPr>
            <w:r>
              <w:rPr>
                <w:rFonts w:ascii="Times New Roman" w:hAnsi="Times New Roman" w:cs="Times New Roman"/>
                <w:color w:val="000000"/>
                <w:sz w:val="20"/>
              </w:rPr>
              <w:t>2.6 Strengthen</w:t>
            </w:r>
            <w:r w:rsidRPr="00911A0A">
              <w:rPr>
                <w:rFonts w:ascii="Times New Roman" w:hAnsi="Times New Roman" w:cs="Times New Roman"/>
                <w:color w:val="000000"/>
                <w:sz w:val="20"/>
              </w:rPr>
              <w:t xml:space="preserve"> powers to investigate and sanction anticompetitive conduct (e.g. margin squeeze, refusal to deal)</w:t>
            </w:r>
          </w:p>
        </w:tc>
        <w:tc>
          <w:tcPr>
            <w:tcW w:w="3060" w:type="dxa"/>
            <w:hideMark/>
          </w:tcPr>
          <w:p w14:paraId="5C004993"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ARTP</w:t>
            </w:r>
            <w:r>
              <w:rPr>
                <w:rFonts w:ascii="Times New Roman" w:hAnsi="Times New Roman" w:cs="Times New Roman"/>
                <w:color w:val="000000"/>
                <w:sz w:val="20"/>
              </w:rPr>
              <w:t xml:space="preserve"> </w:t>
            </w:r>
            <w:r w:rsidRPr="00D373FB">
              <w:rPr>
                <w:rFonts w:ascii="Times New Roman" w:hAnsi="Times New Roman" w:cs="Times New Roman"/>
                <w:color w:val="000000"/>
                <w:sz w:val="20"/>
              </w:rPr>
              <w:t>with support of MTP</w:t>
            </w:r>
          </w:p>
        </w:tc>
        <w:tc>
          <w:tcPr>
            <w:tcW w:w="2785" w:type="dxa"/>
            <w:hideMark/>
          </w:tcPr>
          <w:p w14:paraId="12136AF7"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Low</w:t>
            </w:r>
          </w:p>
        </w:tc>
      </w:tr>
      <w:tr w:rsidR="00BA1D0A" w:rsidRPr="00C91EA2" w14:paraId="716217EB" w14:textId="77777777" w:rsidTr="007575D7">
        <w:trPr>
          <w:trHeight w:val="649"/>
        </w:trPr>
        <w:tc>
          <w:tcPr>
            <w:tcW w:w="7105" w:type="dxa"/>
          </w:tcPr>
          <w:p w14:paraId="7B21A8A9" w14:textId="77777777" w:rsidR="00BA1D0A" w:rsidRPr="00374E4E" w:rsidRDefault="00BA1D0A" w:rsidP="00BA1D0A">
            <w:pPr>
              <w:jc w:val="both"/>
              <w:rPr>
                <w:rFonts w:ascii="Times New Roman" w:hAnsi="Times New Roman"/>
                <w:color w:val="000000"/>
              </w:rPr>
            </w:pPr>
            <w:r>
              <w:rPr>
                <w:rFonts w:ascii="Times New Roman" w:hAnsi="Times New Roman" w:cs="Times New Roman"/>
                <w:color w:val="000000"/>
                <w:sz w:val="20"/>
              </w:rPr>
              <w:t>2.7</w:t>
            </w:r>
            <w:r w:rsidRPr="00105B4B">
              <w:rPr>
                <w:rFonts w:ascii="Times New Roman" w:hAnsi="Times New Roman" w:cs="Times New Roman"/>
                <w:color w:val="000000"/>
                <w:sz w:val="20"/>
              </w:rPr>
              <w:t xml:space="preserve"> Promote a clarification or a change in regional rules regarding the competences of Senegal’s authorities with powers to enforce the national competition rules (notably, the National Competition Commission and the ARTP in the telecom sector) vis-à-vis the WAEMU Commission</w:t>
            </w:r>
          </w:p>
          <w:p w14:paraId="55506796" w14:textId="77777777" w:rsidR="00BA1D0A" w:rsidRDefault="00BA1D0A" w:rsidP="00BA1D0A">
            <w:pPr>
              <w:jc w:val="both"/>
              <w:rPr>
                <w:rFonts w:ascii="Times New Roman" w:hAnsi="Times New Roman" w:cs="Times New Roman"/>
                <w:color w:val="000000"/>
                <w:sz w:val="20"/>
              </w:rPr>
            </w:pPr>
          </w:p>
        </w:tc>
        <w:tc>
          <w:tcPr>
            <w:tcW w:w="3060" w:type="dxa"/>
          </w:tcPr>
          <w:p w14:paraId="08A2B9A4" w14:textId="07A208FD"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Government and Parliament</w:t>
            </w:r>
          </w:p>
        </w:tc>
        <w:tc>
          <w:tcPr>
            <w:tcW w:w="2785" w:type="dxa"/>
          </w:tcPr>
          <w:p w14:paraId="65B87B61" w14:textId="77777777" w:rsidR="00BA1D0A"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High</w:t>
            </w:r>
          </w:p>
        </w:tc>
      </w:tr>
      <w:tr w:rsidR="00BA1D0A" w:rsidRPr="00C91EA2" w14:paraId="472DC43A" w14:textId="77777777" w:rsidTr="007575D7">
        <w:trPr>
          <w:cnfStyle w:val="000000100000" w:firstRow="0" w:lastRow="0" w:firstColumn="0" w:lastColumn="0" w:oddVBand="0" w:evenVBand="0" w:oddHBand="1" w:evenHBand="0" w:firstRowFirstColumn="0" w:firstRowLastColumn="0" w:lastRowFirstColumn="0" w:lastRowLastColumn="0"/>
          <w:trHeight w:val="649"/>
        </w:trPr>
        <w:tc>
          <w:tcPr>
            <w:tcW w:w="7105" w:type="dxa"/>
          </w:tcPr>
          <w:p w14:paraId="5B3C90D9" w14:textId="77777777" w:rsidR="00BA1D0A" w:rsidRPr="00105B4B" w:rsidRDefault="00BA1D0A" w:rsidP="00BA1D0A">
            <w:pPr>
              <w:jc w:val="both"/>
              <w:rPr>
                <w:rFonts w:ascii="Times New Roman" w:hAnsi="Times New Roman" w:cs="Times New Roman"/>
                <w:color w:val="000000"/>
                <w:sz w:val="20"/>
              </w:rPr>
            </w:pPr>
            <w:r>
              <w:rPr>
                <w:rFonts w:ascii="Times New Roman" w:hAnsi="Times New Roman" w:cs="Times New Roman"/>
                <w:color w:val="000000"/>
                <w:sz w:val="20"/>
              </w:rPr>
              <w:t>2.8</w:t>
            </w:r>
            <w:r w:rsidRPr="00105B4B">
              <w:rPr>
                <w:rFonts w:ascii="Times New Roman" w:hAnsi="Times New Roman" w:cs="Times New Roman"/>
                <w:color w:val="000000"/>
                <w:sz w:val="20"/>
              </w:rPr>
              <w:t xml:space="preserve"> Develop mechanisms of collaboration both at the regional level (National Competition Commission (NCC)/ ARTP with the WAEMU Commission), and at the national level (NCC, ARTP, other sectoral regulators). This collaboration could involve memoranda of understanding (MoUs) on how these bodies will exercise their functions when dealing with issues involving the enforcement of competition rules, exchange of information, development and exchanging of skills and expertise, etc.</w:t>
            </w:r>
          </w:p>
          <w:p w14:paraId="3D8DC60D" w14:textId="77777777" w:rsidR="00BA1D0A" w:rsidRDefault="00BA1D0A" w:rsidP="00BA1D0A">
            <w:pPr>
              <w:jc w:val="both"/>
              <w:rPr>
                <w:rFonts w:ascii="Times New Roman" w:hAnsi="Times New Roman" w:cs="Times New Roman"/>
                <w:color w:val="000000"/>
                <w:sz w:val="20"/>
              </w:rPr>
            </w:pPr>
          </w:p>
        </w:tc>
        <w:tc>
          <w:tcPr>
            <w:tcW w:w="3060" w:type="dxa"/>
          </w:tcPr>
          <w:p w14:paraId="02F3A5D0"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ARTP, NCC, WAEMU Commission</w:t>
            </w:r>
          </w:p>
        </w:tc>
        <w:tc>
          <w:tcPr>
            <w:tcW w:w="2785" w:type="dxa"/>
          </w:tcPr>
          <w:p w14:paraId="582CBBCE" w14:textId="77777777" w:rsidR="00BA1D0A"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High</w:t>
            </w:r>
          </w:p>
        </w:tc>
      </w:tr>
      <w:tr w:rsidR="00BA1D0A" w:rsidRPr="00C91EA2" w14:paraId="0AC8FD59" w14:textId="77777777" w:rsidTr="00BA1D0A">
        <w:trPr>
          <w:trHeight w:val="161"/>
        </w:trPr>
        <w:tc>
          <w:tcPr>
            <w:tcW w:w="0" w:type="auto"/>
            <w:gridSpan w:val="3"/>
            <w:shd w:val="clear" w:color="auto" w:fill="C6D9F1" w:themeFill="text2" w:themeFillTint="33"/>
            <w:hideMark/>
          </w:tcPr>
          <w:p w14:paraId="41CDAF40" w14:textId="46D79105" w:rsidR="00BA1D0A" w:rsidRPr="00C91EA2" w:rsidRDefault="00A33EAD" w:rsidP="00BA1D0A">
            <w:pPr>
              <w:jc w:val="center"/>
              <w:rPr>
                <w:rFonts w:ascii="Times New Roman" w:hAnsi="Times New Roman" w:cs="Times New Roman"/>
                <w:sz w:val="20"/>
              </w:rPr>
            </w:pPr>
            <w:r>
              <w:rPr>
                <w:rFonts w:ascii="Times New Roman" w:hAnsi="Times New Roman" w:cs="Times New Roman"/>
                <w:b/>
                <w:bCs/>
                <w:sz w:val="20"/>
              </w:rPr>
              <w:t>E</w:t>
            </w:r>
            <w:r w:rsidR="00BA1D0A" w:rsidRPr="00D373FB">
              <w:rPr>
                <w:rFonts w:ascii="Times New Roman" w:hAnsi="Times New Roman" w:cs="Times New Roman"/>
                <w:b/>
                <w:bCs/>
                <w:sz w:val="20"/>
              </w:rPr>
              <w:t>ntry by facilities-based competitors</w:t>
            </w:r>
          </w:p>
        </w:tc>
      </w:tr>
      <w:tr w:rsidR="00BA1D0A" w:rsidRPr="00C91EA2" w14:paraId="2329DC76" w14:textId="77777777" w:rsidTr="007575D7">
        <w:trPr>
          <w:cnfStyle w:val="000000100000" w:firstRow="0" w:lastRow="0" w:firstColumn="0" w:lastColumn="0" w:oddVBand="0" w:evenVBand="0" w:oddHBand="1" w:evenHBand="0" w:firstRowFirstColumn="0" w:firstRowLastColumn="0" w:lastRowFirstColumn="0" w:lastRowLastColumn="0"/>
          <w:trHeight w:val="530"/>
        </w:trPr>
        <w:tc>
          <w:tcPr>
            <w:tcW w:w="7105" w:type="dxa"/>
            <w:hideMark/>
          </w:tcPr>
          <w:p w14:paraId="2C8C248D" w14:textId="77777777" w:rsidR="00BA1D0A" w:rsidRDefault="00BA1D0A" w:rsidP="00BA1D0A">
            <w:pPr>
              <w:jc w:val="both"/>
              <w:rPr>
                <w:rFonts w:ascii="Times New Roman" w:hAnsi="Times New Roman" w:cs="Times New Roman"/>
                <w:color w:val="000000"/>
                <w:sz w:val="20"/>
              </w:rPr>
            </w:pPr>
            <w:r>
              <w:rPr>
                <w:rFonts w:ascii="Times New Roman" w:hAnsi="Times New Roman" w:cs="Times New Roman"/>
                <w:color w:val="000000"/>
                <w:sz w:val="20"/>
              </w:rPr>
              <w:t>2.9</w:t>
            </w:r>
            <w:r w:rsidRPr="00C91EA2">
              <w:rPr>
                <w:rFonts w:ascii="Times New Roman" w:hAnsi="Times New Roman" w:cs="Times New Roman"/>
                <w:color w:val="000000"/>
                <w:sz w:val="20"/>
              </w:rPr>
              <w:t xml:space="preserve"> </w:t>
            </w:r>
            <w:r>
              <w:rPr>
                <w:rFonts w:ascii="Times New Roman" w:hAnsi="Times New Roman" w:cs="Times New Roman"/>
                <w:color w:val="000000"/>
                <w:sz w:val="20"/>
              </w:rPr>
              <w:t>I</w:t>
            </w:r>
            <w:r w:rsidRPr="00D373FB">
              <w:rPr>
                <w:rFonts w:ascii="Times New Roman" w:hAnsi="Times New Roman" w:cs="Times New Roman"/>
                <w:color w:val="000000"/>
                <w:sz w:val="20"/>
              </w:rPr>
              <w:t xml:space="preserve">dentify services where regulation can allow for facilities-based competition or support services-based competition. </w:t>
            </w:r>
          </w:p>
          <w:p w14:paraId="711583C5" w14:textId="3F013647" w:rsidR="007B7E10" w:rsidRPr="00C91EA2" w:rsidRDefault="007B7E10" w:rsidP="00BA1D0A">
            <w:pPr>
              <w:jc w:val="both"/>
              <w:rPr>
                <w:rFonts w:ascii="Times New Roman" w:hAnsi="Times New Roman" w:cs="Times New Roman"/>
                <w:color w:val="000000"/>
                <w:sz w:val="20"/>
              </w:rPr>
            </w:pPr>
          </w:p>
        </w:tc>
        <w:tc>
          <w:tcPr>
            <w:tcW w:w="3060" w:type="dxa"/>
            <w:hideMark/>
          </w:tcPr>
          <w:p w14:paraId="616D15CC"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MPT</w:t>
            </w:r>
          </w:p>
        </w:tc>
        <w:tc>
          <w:tcPr>
            <w:tcW w:w="2785" w:type="dxa"/>
            <w:hideMark/>
          </w:tcPr>
          <w:p w14:paraId="30EA2F6B"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BA1D0A" w:rsidRPr="00C91EA2" w14:paraId="1F769EEF" w14:textId="77777777" w:rsidTr="007575D7">
        <w:trPr>
          <w:trHeight w:val="413"/>
        </w:trPr>
        <w:tc>
          <w:tcPr>
            <w:tcW w:w="7105" w:type="dxa"/>
            <w:hideMark/>
          </w:tcPr>
          <w:p w14:paraId="64C4B52B" w14:textId="77777777" w:rsidR="00BA1D0A" w:rsidRDefault="00BA1D0A" w:rsidP="00BA1D0A">
            <w:pPr>
              <w:jc w:val="both"/>
              <w:rPr>
                <w:rFonts w:ascii="Times New Roman" w:hAnsi="Times New Roman" w:cs="Times New Roman"/>
                <w:color w:val="000000"/>
                <w:sz w:val="20"/>
              </w:rPr>
            </w:pPr>
            <w:r w:rsidRPr="00C91EA2">
              <w:rPr>
                <w:rFonts w:ascii="Times New Roman" w:hAnsi="Times New Roman" w:cs="Times New Roman"/>
                <w:color w:val="000000"/>
                <w:sz w:val="20"/>
              </w:rPr>
              <w:t>2.</w:t>
            </w:r>
            <w:r>
              <w:rPr>
                <w:rFonts w:ascii="Times New Roman" w:hAnsi="Times New Roman" w:cs="Times New Roman"/>
                <w:color w:val="000000"/>
                <w:sz w:val="20"/>
              </w:rPr>
              <w:t>10</w:t>
            </w:r>
            <w:r w:rsidRPr="00C91EA2">
              <w:rPr>
                <w:rFonts w:ascii="Times New Roman" w:hAnsi="Times New Roman" w:cs="Times New Roman"/>
                <w:color w:val="000000"/>
                <w:sz w:val="20"/>
              </w:rPr>
              <w:t xml:space="preserve"> </w:t>
            </w:r>
            <w:r w:rsidRPr="00D373FB">
              <w:rPr>
                <w:rFonts w:ascii="Times New Roman" w:hAnsi="Times New Roman" w:cs="Times New Roman"/>
                <w:color w:val="000000"/>
                <w:sz w:val="20"/>
              </w:rPr>
              <w:t xml:space="preserve">Evaluate developing a framework for broadband support that prevents negative effects on private investment. </w:t>
            </w:r>
          </w:p>
          <w:p w14:paraId="17FB6460" w14:textId="6A47EFBA" w:rsidR="007B7E10" w:rsidRPr="00C91EA2" w:rsidRDefault="007B7E10" w:rsidP="00BA1D0A">
            <w:pPr>
              <w:jc w:val="both"/>
              <w:rPr>
                <w:rFonts w:ascii="Times New Roman" w:hAnsi="Times New Roman" w:cs="Times New Roman"/>
                <w:color w:val="000000"/>
                <w:sz w:val="20"/>
              </w:rPr>
            </w:pPr>
          </w:p>
        </w:tc>
        <w:tc>
          <w:tcPr>
            <w:tcW w:w="3060" w:type="dxa"/>
            <w:hideMark/>
          </w:tcPr>
          <w:p w14:paraId="2246719F"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2785" w:type="dxa"/>
            <w:hideMark/>
          </w:tcPr>
          <w:p w14:paraId="0381A3D4"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High</w:t>
            </w:r>
          </w:p>
        </w:tc>
      </w:tr>
      <w:tr w:rsidR="00BA1D0A" w:rsidRPr="00C91EA2" w14:paraId="56BB5A04" w14:textId="77777777" w:rsidTr="007575D7">
        <w:trPr>
          <w:cnfStyle w:val="000000100000" w:firstRow="0" w:lastRow="0" w:firstColumn="0" w:lastColumn="0" w:oddVBand="0" w:evenVBand="0" w:oddHBand="1" w:evenHBand="0" w:firstRowFirstColumn="0" w:firstRowLastColumn="0" w:lastRowFirstColumn="0" w:lastRowLastColumn="0"/>
          <w:trHeight w:val="560"/>
        </w:trPr>
        <w:tc>
          <w:tcPr>
            <w:tcW w:w="7105" w:type="dxa"/>
            <w:hideMark/>
          </w:tcPr>
          <w:p w14:paraId="352320F6" w14:textId="77777777" w:rsidR="00BA1D0A" w:rsidRDefault="00BA1D0A" w:rsidP="00BA1D0A">
            <w:pPr>
              <w:jc w:val="both"/>
              <w:rPr>
                <w:rFonts w:ascii="Times New Roman" w:hAnsi="Times New Roman" w:cs="Times New Roman"/>
                <w:color w:val="000000"/>
                <w:sz w:val="20"/>
                <w:lang w:val="en-GB"/>
              </w:rPr>
            </w:pPr>
            <w:r>
              <w:rPr>
                <w:rFonts w:ascii="Times New Roman" w:hAnsi="Times New Roman" w:cs="Times New Roman"/>
                <w:color w:val="000000"/>
                <w:sz w:val="20"/>
              </w:rPr>
              <w:t>2.11</w:t>
            </w:r>
            <w:r w:rsidRPr="00C91EA2">
              <w:rPr>
                <w:rFonts w:ascii="Times New Roman" w:hAnsi="Times New Roman" w:cs="Times New Roman"/>
                <w:color w:val="000000"/>
                <w:sz w:val="20"/>
                <w:lang w:val="en-GB"/>
              </w:rPr>
              <w:t xml:space="preserve"> </w:t>
            </w:r>
            <w:r w:rsidRPr="00D373FB">
              <w:rPr>
                <w:rFonts w:ascii="Times New Roman" w:hAnsi="Times New Roman" w:cs="Times New Roman"/>
                <w:color w:val="000000"/>
                <w:sz w:val="20"/>
                <w:lang w:val="en-GB"/>
              </w:rPr>
              <w:t>Prevent cross-subsidization between competitive and non-competitive market segments. Identify public service obligations.</w:t>
            </w:r>
          </w:p>
          <w:p w14:paraId="24BC0307" w14:textId="2A485CF6" w:rsidR="007B7E10" w:rsidRPr="00C91EA2" w:rsidRDefault="007B7E10" w:rsidP="00BA1D0A">
            <w:pPr>
              <w:jc w:val="both"/>
              <w:rPr>
                <w:rFonts w:ascii="Times New Roman" w:hAnsi="Times New Roman" w:cs="Times New Roman"/>
                <w:color w:val="000000"/>
                <w:sz w:val="20"/>
              </w:rPr>
            </w:pPr>
          </w:p>
        </w:tc>
        <w:tc>
          <w:tcPr>
            <w:tcW w:w="3060" w:type="dxa"/>
            <w:hideMark/>
          </w:tcPr>
          <w:p w14:paraId="5BCCF2F7"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2785" w:type="dxa"/>
            <w:hideMark/>
          </w:tcPr>
          <w:p w14:paraId="6091DC3F"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High</w:t>
            </w:r>
          </w:p>
        </w:tc>
      </w:tr>
      <w:tr w:rsidR="00BA1D0A" w:rsidRPr="00C91EA2" w14:paraId="185D115A" w14:textId="77777777" w:rsidTr="007575D7">
        <w:trPr>
          <w:trHeight w:val="543"/>
        </w:trPr>
        <w:tc>
          <w:tcPr>
            <w:tcW w:w="7105" w:type="dxa"/>
            <w:hideMark/>
          </w:tcPr>
          <w:p w14:paraId="0F6F7CCC" w14:textId="5568BA3C" w:rsidR="00BA1D0A" w:rsidRDefault="00BA1D0A" w:rsidP="00BA1D0A">
            <w:pPr>
              <w:jc w:val="both"/>
              <w:rPr>
                <w:rFonts w:ascii="Times New Roman" w:hAnsi="Times New Roman" w:cs="Times New Roman"/>
                <w:color w:val="000000"/>
                <w:sz w:val="20"/>
              </w:rPr>
            </w:pPr>
            <w:r>
              <w:rPr>
                <w:rFonts w:ascii="Times New Roman" w:hAnsi="Times New Roman" w:cs="Times New Roman"/>
                <w:color w:val="000000"/>
                <w:sz w:val="20"/>
              </w:rPr>
              <w:t>2.12</w:t>
            </w:r>
            <w:r w:rsidRPr="00C91EA2">
              <w:rPr>
                <w:rFonts w:ascii="Times New Roman" w:hAnsi="Times New Roman" w:cs="Times New Roman"/>
                <w:color w:val="000000"/>
                <w:sz w:val="20"/>
              </w:rPr>
              <w:t xml:space="preserve"> </w:t>
            </w:r>
            <w:r w:rsidRPr="00D373FB">
              <w:rPr>
                <w:rFonts w:ascii="Times New Roman" w:hAnsi="Times New Roman" w:cs="Times New Roman"/>
                <w:color w:val="000000"/>
                <w:sz w:val="20"/>
              </w:rPr>
              <w:t>Consider implementing principles of the “Ladder of investment” to accompany the entry of new players, notably ISPs, MVNO</w:t>
            </w:r>
            <w:r w:rsidR="007B7E10">
              <w:rPr>
                <w:rFonts w:ascii="Times New Roman" w:hAnsi="Times New Roman" w:cs="Times New Roman"/>
                <w:color w:val="000000"/>
                <w:sz w:val="20"/>
              </w:rPr>
              <w:t>s.</w:t>
            </w:r>
          </w:p>
          <w:p w14:paraId="6C793254" w14:textId="317FD086" w:rsidR="007B7E10" w:rsidRPr="00C91EA2" w:rsidRDefault="007B7E10" w:rsidP="00BA1D0A">
            <w:pPr>
              <w:jc w:val="both"/>
              <w:rPr>
                <w:rFonts w:ascii="Times New Roman" w:hAnsi="Times New Roman" w:cs="Times New Roman"/>
                <w:color w:val="000000"/>
                <w:sz w:val="20"/>
              </w:rPr>
            </w:pPr>
          </w:p>
        </w:tc>
        <w:tc>
          <w:tcPr>
            <w:tcW w:w="3060" w:type="dxa"/>
            <w:hideMark/>
          </w:tcPr>
          <w:p w14:paraId="008CA96B"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2785" w:type="dxa"/>
            <w:hideMark/>
          </w:tcPr>
          <w:p w14:paraId="2F4C2CBD"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Med</w:t>
            </w:r>
            <w:r>
              <w:rPr>
                <w:rFonts w:ascii="Times New Roman" w:hAnsi="Times New Roman" w:cs="Times New Roman"/>
                <w:color w:val="000000"/>
                <w:sz w:val="20"/>
              </w:rPr>
              <w:t>ium</w:t>
            </w:r>
          </w:p>
        </w:tc>
      </w:tr>
      <w:tr w:rsidR="00BA1D0A" w:rsidRPr="00C91EA2" w14:paraId="09CA915F" w14:textId="77777777" w:rsidTr="007575D7">
        <w:trPr>
          <w:cnfStyle w:val="000000100000" w:firstRow="0" w:lastRow="0" w:firstColumn="0" w:lastColumn="0" w:oddVBand="0" w:evenVBand="0" w:oddHBand="1" w:evenHBand="0" w:firstRowFirstColumn="0" w:firstRowLastColumn="0" w:lastRowFirstColumn="0" w:lastRowLastColumn="0"/>
          <w:trHeight w:val="543"/>
        </w:trPr>
        <w:tc>
          <w:tcPr>
            <w:tcW w:w="7105" w:type="dxa"/>
          </w:tcPr>
          <w:p w14:paraId="3A286BCF" w14:textId="77777777" w:rsidR="00BA1D0A" w:rsidRDefault="00A33EAD" w:rsidP="00BA1D0A">
            <w:pPr>
              <w:jc w:val="both"/>
              <w:rPr>
                <w:rFonts w:ascii="Times New Roman" w:hAnsi="Times New Roman" w:cs="Times New Roman"/>
                <w:sz w:val="20"/>
              </w:rPr>
            </w:pPr>
            <w:r>
              <w:rPr>
                <w:rFonts w:ascii="Times New Roman" w:hAnsi="Times New Roman" w:cs="Times New Roman"/>
                <w:sz w:val="20"/>
              </w:rPr>
              <w:t xml:space="preserve">2.13 </w:t>
            </w:r>
            <w:r w:rsidR="00BA1D0A">
              <w:rPr>
                <w:rFonts w:ascii="Times New Roman" w:hAnsi="Times New Roman" w:cs="Times New Roman"/>
                <w:sz w:val="20"/>
              </w:rPr>
              <w:t xml:space="preserve">Clarify the regulatory regime applicable to State-owned </w:t>
            </w:r>
            <w:proofErr w:type="spellStart"/>
            <w:r w:rsidR="00BA1D0A">
              <w:rPr>
                <w:rFonts w:ascii="Times New Roman" w:hAnsi="Times New Roman" w:cs="Times New Roman"/>
                <w:sz w:val="20"/>
              </w:rPr>
              <w:t>infrastructureto</w:t>
            </w:r>
            <w:proofErr w:type="spellEnd"/>
            <w:r w:rsidR="00BA1D0A">
              <w:rPr>
                <w:rFonts w:ascii="Times New Roman" w:hAnsi="Times New Roman" w:cs="Times New Roman"/>
                <w:sz w:val="20"/>
              </w:rPr>
              <w:t xml:space="preserve"> facilitate access </w:t>
            </w:r>
            <w:r w:rsidR="00BA1D0A" w:rsidRPr="00D373FB">
              <w:rPr>
                <w:rFonts w:ascii="Times New Roman" w:hAnsi="Times New Roman" w:cs="Times New Roman"/>
                <w:sz w:val="20"/>
              </w:rPr>
              <w:t xml:space="preserve">(e.g. network of the </w:t>
            </w:r>
            <w:proofErr w:type="spellStart"/>
            <w:r w:rsidR="00BA1D0A" w:rsidRPr="00D373FB">
              <w:rPr>
                <w:rFonts w:ascii="Times New Roman" w:hAnsi="Times New Roman" w:cs="Times New Roman"/>
                <w:sz w:val="20"/>
              </w:rPr>
              <w:t>Agence</w:t>
            </w:r>
            <w:proofErr w:type="spellEnd"/>
            <w:r w:rsidR="00BA1D0A" w:rsidRPr="00D373FB">
              <w:rPr>
                <w:rFonts w:ascii="Times New Roman" w:hAnsi="Times New Roman" w:cs="Times New Roman"/>
                <w:sz w:val="20"/>
              </w:rPr>
              <w:t xml:space="preserve"> de </w:t>
            </w:r>
            <w:proofErr w:type="spellStart"/>
            <w:r w:rsidR="00BA1D0A" w:rsidRPr="00D373FB">
              <w:rPr>
                <w:rFonts w:ascii="Times New Roman" w:hAnsi="Times New Roman" w:cs="Times New Roman"/>
                <w:sz w:val="20"/>
              </w:rPr>
              <w:t>l’Informatique</w:t>
            </w:r>
            <w:proofErr w:type="spellEnd"/>
            <w:r w:rsidR="00BA1D0A" w:rsidRPr="00D373FB">
              <w:rPr>
                <w:rFonts w:ascii="Times New Roman" w:hAnsi="Times New Roman" w:cs="Times New Roman"/>
                <w:sz w:val="20"/>
              </w:rPr>
              <w:t xml:space="preserve"> de </w:t>
            </w:r>
            <w:proofErr w:type="spellStart"/>
            <w:r w:rsidR="00BA1D0A" w:rsidRPr="00D373FB">
              <w:rPr>
                <w:rFonts w:ascii="Times New Roman" w:hAnsi="Times New Roman" w:cs="Times New Roman"/>
                <w:sz w:val="20"/>
              </w:rPr>
              <w:t>l’État</w:t>
            </w:r>
            <w:proofErr w:type="spellEnd"/>
            <w:r w:rsidR="00BA1D0A" w:rsidRPr="00D373FB">
              <w:rPr>
                <w:rFonts w:ascii="Times New Roman" w:hAnsi="Times New Roman" w:cs="Times New Roman"/>
                <w:sz w:val="20"/>
              </w:rPr>
              <w:t xml:space="preserve"> - ADIE).</w:t>
            </w:r>
          </w:p>
          <w:p w14:paraId="456F5BA3" w14:textId="238ED905" w:rsidR="007B7E10" w:rsidRPr="00C91EA2" w:rsidRDefault="007B7E10" w:rsidP="00BA1D0A">
            <w:pPr>
              <w:jc w:val="both"/>
              <w:rPr>
                <w:rFonts w:ascii="Times New Roman" w:hAnsi="Times New Roman" w:cs="Times New Roman"/>
                <w:color w:val="000000"/>
                <w:sz w:val="20"/>
              </w:rPr>
            </w:pPr>
          </w:p>
        </w:tc>
        <w:tc>
          <w:tcPr>
            <w:tcW w:w="3060" w:type="dxa"/>
          </w:tcPr>
          <w:p w14:paraId="5C1B454E"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2785" w:type="dxa"/>
          </w:tcPr>
          <w:p w14:paraId="1D3EB5A1"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Medium</w:t>
            </w:r>
          </w:p>
        </w:tc>
      </w:tr>
      <w:tr w:rsidR="00BA1D0A" w:rsidRPr="00C91EA2" w14:paraId="24DEEBA4" w14:textId="77777777" w:rsidTr="007575D7">
        <w:trPr>
          <w:trHeight w:val="543"/>
        </w:trPr>
        <w:tc>
          <w:tcPr>
            <w:tcW w:w="7105" w:type="dxa"/>
          </w:tcPr>
          <w:p w14:paraId="1605C640" w14:textId="77777777" w:rsidR="00BA1D0A" w:rsidRDefault="00BA1D0A" w:rsidP="00BA1D0A">
            <w:pPr>
              <w:jc w:val="both"/>
              <w:rPr>
                <w:rFonts w:ascii="Times New Roman" w:hAnsi="Times New Roman" w:cs="Times New Roman"/>
                <w:sz w:val="20"/>
              </w:rPr>
            </w:pPr>
            <w:r>
              <w:rPr>
                <w:rFonts w:ascii="Times New Roman" w:hAnsi="Times New Roman" w:cs="Times New Roman"/>
                <w:sz w:val="20"/>
              </w:rPr>
              <w:t xml:space="preserve">2.14 </w:t>
            </w:r>
            <w:r w:rsidRPr="00FF1F10">
              <w:rPr>
                <w:rFonts w:ascii="Times New Roman" w:hAnsi="Times New Roman" w:cs="Times New Roman"/>
                <w:sz w:val="20"/>
              </w:rPr>
              <w:t xml:space="preserve">Consider regulating </w:t>
            </w:r>
            <w:proofErr w:type="spellStart"/>
            <w:r w:rsidRPr="00FF1F10">
              <w:rPr>
                <w:rFonts w:ascii="Times New Roman" w:hAnsi="Times New Roman" w:cs="Times New Roman"/>
                <w:sz w:val="20"/>
              </w:rPr>
              <w:t>Sonatel’s</w:t>
            </w:r>
            <w:proofErr w:type="spellEnd"/>
            <w:r w:rsidRPr="00FF1F10">
              <w:rPr>
                <w:rFonts w:ascii="Times New Roman" w:hAnsi="Times New Roman" w:cs="Times New Roman"/>
                <w:sz w:val="20"/>
              </w:rPr>
              <w:t xml:space="preserve"> passive infrastructure under open access principles (considering essential facilities).</w:t>
            </w:r>
          </w:p>
          <w:p w14:paraId="1DB17214" w14:textId="77777777" w:rsidR="003222F8" w:rsidRDefault="003222F8" w:rsidP="00BA1D0A">
            <w:pPr>
              <w:jc w:val="both"/>
              <w:rPr>
                <w:rFonts w:ascii="Times New Roman" w:hAnsi="Times New Roman" w:cs="Times New Roman"/>
                <w:sz w:val="20"/>
              </w:rPr>
            </w:pPr>
          </w:p>
          <w:p w14:paraId="4D0E2E8A" w14:textId="77777777" w:rsidR="003222F8" w:rsidRDefault="003222F8" w:rsidP="00BA1D0A">
            <w:pPr>
              <w:jc w:val="both"/>
              <w:rPr>
                <w:rFonts w:ascii="Times New Roman" w:hAnsi="Times New Roman" w:cs="Times New Roman"/>
                <w:sz w:val="20"/>
              </w:rPr>
            </w:pPr>
          </w:p>
          <w:p w14:paraId="2EAC3367" w14:textId="77777777" w:rsidR="003222F8" w:rsidRDefault="003222F8" w:rsidP="00BA1D0A">
            <w:pPr>
              <w:jc w:val="both"/>
              <w:rPr>
                <w:rFonts w:ascii="Times New Roman" w:hAnsi="Times New Roman" w:cs="Times New Roman"/>
                <w:sz w:val="20"/>
              </w:rPr>
            </w:pPr>
          </w:p>
          <w:p w14:paraId="3B379F9C" w14:textId="3A22680F" w:rsidR="003222F8" w:rsidRPr="00C91EA2" w:rsidRDefault="003222F8" w:rsidP="00BA1D0A">
            <w:pPr>
              <w:jc w:val="both"/>
              <w:rPr>
                <w:rFonts w:ascii="Times New Roman" w:hAnsi="Times New Roman" w:cs="Times New Roman"/>
                <w:color w:val="000000"/>
                <w:sz w:val="20"/>
              </w:rPr>
            </w:pPr>
          </w:p>
        </w:tc>
        <w:tc>
          <w:tcPr>
            <w:tcW w:w="3060" w:type="dxa"/>
          </w:tcPr>
          <w:p w14:paraId="5FF3030E"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2785" w:type="dxa"/>
          </w:tcPr>
          <w:p w14:paraId="08C912B2"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Medium</w:t>
            </w:r>
          </w:p>
        </w:tc>
      </w:tr>
      <w:tr w:rsidR="008F07B7" w:rsidRPr="00C91EA2" w14:paraId="2596C578" w14:textId="77777777" w:rsidTr="008261B2">
        <w:trPr>
          <w:cnfStyle w:val="000000100000" w:firstRow="0" w:lastRow="0" w:firstColumn="0" w:lastColumn="0" w:oddVBand="0" w:evenVBand="0" w:oddHBand="1" w:evenHBand="0" w:firstRowFirstColumn="0" w:firstRowLastColumn="0" w:lastRowFirstColumn="0" w:lastRowLastColumn="0"/>
          <w:trHeight w:val="300"/>
        </w:trPr>
        <w:tc>
          <w:tcPr>
            <w:tcW w:w="12950" w:type="dxa"/>
            <w:gridSpan w:val="3"/>
            <w:shd w:val="clear" w:color="auto" w:fill="4F81BD" w:themeFill="accent1"/>
            <w:hideMark/>
          </w:tcPr>
          <w:p w14:paraId="2316325C" w14:textId="46B11B77" w:rsidR="008F07B7" w:rsidRPr="00287C82" w:rsidRDefault="00A33EAD" w:rsidP="007575D7">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C</w:t>
            </w:r>
            <w:r w:rsidR="008F07B7" w:rsidRPr="00D6708A">
              <w:rPr>
                <w:rFonts w:ascii="Times New Roman" w:hAnsi="Times New Roman" w:cs="Times New Roman"/>
                <w:b/>
                <w:color w:val="FFFFFF" w:themeColor="background1"/>
                <w:sz w:val="20"/>
              </w:rPr>
              <w:t>ompetition between last mile providers e.g. ISPs/MVNOs</w:t>
            </w:r>
          </w:p>
        </w:tc>
      </w:tr>
      <w:tr w:rsidR="00BA1D0A" w:rsidRPr="00C91EA2" w14:paraId="443FEBAE" w14:textId="77777777" w:rsidTr="007575D7">
        <w:trPr>
          <w:trHeight w:val="1539"/>
        </w:trPr>
        <w:tc>
          <w:tcPr>
            <w:tcW w:w="7105" w:type="dxa"/>
            <w:hideMark/>
          </w:tcPr>
          <w:p w14:paraId="24226277" w14:textId="77777777" w:rsidR="00BA1D0A" w:rsidRPr="00D6708A" w:rsidRDefault="00BA1D0A" w:rsidP="00BA1D0A">
            <w:pPr>
              <w:rPr>
                <w:rFonts w:ascii="Times New Roman" w:hAnsi="Times New Roman" w:cs="Times New Roman"/>
                <w:color w:val="000000"/>
                <w:sz w:val="20"/>
              </w:rPr>
            </w:pPr>
            <w:r>
              <w:rPr>
                <w:rFonts w:ascii="Times New Roman" w:hAnsi="Times New Roman" w:cs="Times New Roman"/>
                <w:bCs/>
                <w:color w:val="000000"/>
                <w:sz w:val="20"/>
              </w:rPr>
              <w:t>2.15</w:t>
            </w:r>
            <w:r w:rsidRPr="009123D0">
              <w:rPr>
                <w:rFonts w:ascii="Times New Roman" w:hAnsi="Times New Roman" w:cs="Times New Roman"/>
                <w:bCs/>
                <w:color w:val="000000"/>
                <w:sz w:val="20"/>
              </w:rPr>
              <w:t xml:space="preserve"> </w:t>
            </w:r>
            <w:r w:rsidRPr="00D6708A">
              <w:rPr>
                <w:rFonts w:ascii="Times New Roman" w:hAnsi="Times New Roman" w:cs="Times New Roman"/>
                <w:color w:val="000000"/>
                <w:sz w:val="20"/>
              </w:rPr>
              <w:t>Rationalize administrative control of entry for ISPs and MVNOs.</w:t>
            </w:r>
          </w:p>
          <w:p w14:paraId="562828D9" w14:textId="77777777" w:rsidR="00BA1D0A" w:rsidRPr="00105B4B" w:rsidRDefault="00BA1D0A" w:rsidP="00BA1D0A">
            <w:pPr>
              <w:rPr>
                <w:rFonts w:ascii="Times New Roman" w:hAnsi="Times New Roman" w:cs="Times New Roman"/>
                <w:color w:val="000000"/>
                <w:sz w:val="20"/>
              </w:rPr>
            </w:pPr>
          </w:p>
          <w:p w14:paraId="5DB400D2" w14:textId="77777777" w:rsidR="00BA1D0A" w:rsidRPr="00A44531" w:rsidRDefault="00BA1D0A" w:rsidP="007575D7">
            <w:pPr>
              <w:pStyle w:val="ListParagraph"/>
              <w:numPr>
                <w:ilvl w:val="0"/>
                <w:numId w:val="147"/>
              </w:numPr>
              <w:jc w:val="both"/>
              <w:rPr>
                <w:rFonts w:ascii="Times New Roman" w:hAnsi="Times New Roman" w:cs="Times New Roman"/>
                <w:color w:val="000000"/>
                <w:sz w:val="20"/>
              </w:rPr>
            </w:pPr>
            <w:r w:rsidRPr="00105B4B">
              <w:rPr>
                <w:rFonts w:ascii="Times New Roman" w:hAnsi="Times New Roman" w:cs="Times New Roman"/>
                <w:color w:val="000000"/>
                <w:sz w:val="20"/>
              </w:rPr>
              <w:t>The</w:t>
            </w:r>
            <w:r w:rsidRPr="00A44531">
              <w:rPr>
                <w:rFonts w:ascii="Times New Roman" w:hAnsi="Times New Roman" w:cs="Times New Roman"/>
                <w:b/>
                <w:bCs/>
                <w:color w:val="000000"/>
                <w:sz w:val="20"/>
              </w:rPr>
              <w:t xml:space="preserve"> </w:t>
            </w:r>
            <w:r w:rsidRPr="00105B4B">
              <w:rPr>
                <w:rFonts w:ascii="Times New Roman" w:hAnsi="Times New Roman" w:cs="Times New Roman"/>
                <w:color w:val="000000"/>
                <w:sz w:val="20"/>
              </w:rPr>
              <w:t>scope of the authorization regime should be broadened so that it applies to all administrative procedures where no scarce resources, such as frequencies, are involved. Market entry by MVNOs should only be subject to a general authorization regime</w:t>
            </w:r>
          </w:p>
          <w:p w14:paraId="5D905905" w14:textId="77777777" w:rsidR="00BA1D0A" w:rsidRPr="00F3546A" w:rsidRDefault="00BA1D0A" w:rsidP="007575D7">
            <w:pPr>
              <w:pStyle w:val="ListParagraph"/>
              <w:numPr>
                <w:ilvl w:val="0"/>
                <w:numId w:val="147"/>
              </w:numPr>
              <w:jc w:val="both"/>
              <w:rPr>
                <w:rFonts w:ascii="Times New Roman" w:hAnsi="Times New Roman" w:cs="Times New Roman"/>
                <w:color w:val="000000"/>
                <w:sz w:val="20"/>
              </w:rPr>
            </w:pPr>
            <w:r w:rsidRPr="00F3546A">
              <w:rPr>
                <w:rFonts w:ascii="Times New Roman" w:hAnsi="Times New Roman" w:cs="Times New Roman"/>
                <w:color w:val="000000"/>
                <w:sz w:val="20"/>
              </w:rPr>
              <w:t>Continue the process of streamlining entry by setting a general authorization regime with minimal requirements at any time for the facilities-based or services-based operators without quantitative limitation and without geographical restriction.</w:t>
            </w:r>
          </w:p>
          <w:p w14:paraId="05B401C4" w14:textId="0F6ED364" w:rsidR="00BA1D0A" w:rsidRPr="00F3546A" w:rsidRDefault="00BA1D0A" w:rsidP="007575D7">
            <w:pPr>
              <w:pStyle w:val="ListParagraph"/>
              <w:numPr>
                <w:ilvl w:val="0"/>
                <w:numId w:val="147"/>
              </w:numPr>
              <w:jc w:val="both"/>
              <w:rPr>
                <w:rFonts w:ascii="Times New Roman" w:hAnsi="Times New Roman" w:cs="Times New Roman"/>
                <w:color w:val="000000"/>
                <w:sz w:val="20"/>
              </w:rPr>
            </w:pPr>
            <w:r w:rsidRPr="00F3546A">
              <w:rPr>
                <w:rFonts w:ascii="Times New Roman" w:hAnsi="Times New Roman" w:cs="Times New Roman"/>
                <w:color w:val="000000"/>
                <w:sz w:val="20"/>
              </w:rPr>
              <w:t>Only scarce frequencies, some infrastructure segments and some areas (low density) (which would be identified by ARTP after in-depth specific analysis)</w:t>
            </w:r>
            <w:r>
              <w:rPr>
                <w:rFonts w:ascii="Times New Roman" w:hAnsi="Times New Roman" w:cs="Times New Roman"/>
                <w:color w:val="000000"/>
                <w:sz w:val="20"/>
              </w:rPr>
              <w:t xml:space="preserve"> should</w:t>
            </w:r>
            <w:r w:rsidRPr="00F3546A">
              <w:rPr>
                <w:rFonts w:ascii="Times New Roman" w:hAnsi="Times New Roman" w:cs="Times New Roman"/>
                <w:color w:val="000000"/>
                <w:sz w:val="20"/>
              </w:rPr>
              <w:t xml:space="preserve"> require calls for tenders</w:t>
            </w:r>
            <w:r w:rsidR="007B7E10">
              <w:rPr>
                <w:rFonts w:ascii="Times New Roman" w:hAnsi="Times New Roman" w:cs="Times New Roman"/>
                <w:color w:val="000000"/>
                <w:sz w:val="20"/>
              </w:rPr>
              <w:t>.</w:t>
            </w:r>
          </w:p>
          <w:p w14:paraId="65B473B9" w14:textId="33C42A49" w:rsidR="00BA1D0A" w:rsidRPr="00F3546A" w:rsidRDefault="00BA1D0A" w:rsidP="00BA1D0A">
            <w:pPr>
              <w:pStyle w:val="ListParagraph"/>
              <w:numPr>
                <w:ilvl w:val="0"/>
                <w:numId w:val="147"/>
              </w:numPr>
              <w:rPr>
                <w:rFonts w:ascii="Times New Roman" w:hAnsi="Times New Roman" w:cs="Times New Roman"/>
                <w:color w:val="000000"/>
                <w:sz w:val="20"/>
              </w:rPr>
            </w:pPr>
            <w:r>
              <w:rPr>
                <w:rFonts w:ascii="Times New Roman" w:hAnsi="Times New Roman" w:cs="Times New Roman"/>
                <w:color w:val="000000"/>
                <w:sz w:val="20"/>
              </w:rPr>
              <w:t>There should be no decision</w:t>
            </w:r>
            <w:r w:rsidRPr="00F3546A">
              <w:rPr>
                <w:rFonts w:ascii="Times New Roman" w:hAnsi="Times New Roman" w:cs="Times New Roman"/>
                <w:color w:val="000000"/>
                <w:sz w:val="20"/>
              </w:rPr>
              <w:t xml:space="preserve"> on </w:t>
            </w:r>
            <w:r>
              <w:rPr>
                <w:rFonts w:ascii="Times New Roman" w:hAnsi="Times New Roman" w:cs="Times New Roman"/>
                <w:color w:val="000000"/>
                <w:sz w:val="20"/>
              </w:rPr>
              <w:t xml:space="preserve">the </w:t>
            </w:r>
            <w:r w:rsidRPr="00F3546A">
              <w:rPr>
                <w:rFonts w:ascii="Times New Roman" w:hAnsi="Times New Roman" w:cs="Times New Roman"/>
                <w:color w:val="000000"/>
                <w:sz w:val="20"/>
              </w:rPr>
              <w:t>number of market players when no scarce resources (spectrum) are involved</w:t>
            </w:r>
            <w:r w:rsidR="007B7E10">
              <w:rPr>
                <w:rFonts w:ascii="Times New Roman" w:hAnsi="Times New Roman" w:cs="Times New Roman"/>
                <w:color w:val="000000"/>
                <w:sz w:val="20"/>
              </w:rPr>
              <w:t>.</w:t>
            </w:r>
          </w:p>
          <w:p w14:paraId="56C870E6" w14:textId="2D28AAD3" w:rsidR="00BA1D0A" w:rsidRPr="00C91EA2" w:rsidRDefault="00BA1D0A" w:rsidP="007575D7">
            <w:pPr>
              <w:numPr>
                <w:ilvl w:val="0"/>
                <w:numId w:val="95"/>
              </w:numPr>
              <w:jc w:val="both"/>
              <w:rPr>
                <w:rFonts w:ascii="Times New Roman" w:hAnsi="Times New Roman" w:cs="Times New Roman"/>
                <w:color w:val="000000"/>
                <w:sz w:val="20"/>
              </w:rPr>
            </w:pPr>
            <w:r w:rsidRPr="00D6708A">
              <w:rPr>
                <w:rFonts w:ascii="Times New Roman" w:hAnsi="Times New Roman" w:cs="Times New Roman"/>
                <w:color w:val="000000"/>
                <w:sz w:val="20"/>
              </w:rPr>
              <w:t xml:space="preserve">Ensure a technical and agile assessment for granting licenses by ARTP and the </w:t>
            </w:r>
            <w:r w:rsidRPr="0084733E">
              <w:rPr>
                <w:rFonts w:ascii="Times New Roman" w:hAnsi="Times New Roman" w:cs="Times New Roman"/>
                <w:color w:val="000000"/>
                <w:sz w:val="20"/>
              </w:rPr>
              <w:t>Commission with representatives from the Government and the President of the Republic</w:t>
            </w:r>
            <w:r w:rsidR="007B7E10">
              <w:rPr>
                <w:rFonts w:ascii="Times New Roman" w:hAnsi="Times New Roman" w:cs="Times New Roman"/>
                <w:color w:val="000000"/>
                <w:sz w:val="20"/>
              </w:rPr>
              <w:t>.</w:t>
            </w:r>
          </w:p>
        </w:tc>
        <w:tc>
          <w:tcPr>
            <w:tcW w:w="3060" w:type="dxa"/>
            <w:hideMark/>
          </w:tcPr>
          <w:p w14:paraId="62A00896"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MPT and ARTP</w:t>
            </w:r>
          </w:p>
        </w:tc>
        <w:tc>
          <w:tcPr>
            <w:tcW w:w="2785" w:type="dxa"/>
            <w:hideMark/>
          </w:tcPr>
          <w:p w14:paraId="307644F3"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8F07B7" w:rsidRPr="00C91EA2" w14:paraId="2BD649F0" w14:textId="77777777" w:rsidTr="008261B2">
        <w:trPr>
          <w:cnfStyle w:val="000000100000" w:firstRow="0" w:lastRow="0" w:firstColumn="0" w:lastColumn="0" w:oddVBand="0" w:evenVBand="0" w:oddHBand="1" w:evenHBand="0" w:firstRowFirstColumn="0" w:firstRowLastColumn="0" w:lastRowFirstColumn="0" w:lastRowLastColumn="0"/>
          <w:trHeight w:val="200"/>
        </w:trPr>
        <w:tc>
          <w:tcPr>
            <w:tcW w:w="12950" w:type="dxa"/>
            <w:gridSpan w:val="3"/>
            <w:shd w:val="clear" w:color="auto" w:fill="4F81BD" w:themeFill="accent1"/>
            <w:hideMark/>
          </w:tcPr>
          <w:p w14:paraId="40B67E9F" w14:textId="782009D3" w:rsidR="008F07B7" w:rsidRPr="00287C82" w:rsidRDefault="00A33EAD" w:rsidP="007575D7">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w:t>
            </w:r>
            <w:r w:rsidR="008F07B7" w:rsidRPr="00D6708A">
              <w:rPr>
                <w:rFonts w:ascii="Times New Roman" w:hAnsi="Times New Roman" w:cs="Times New Roman"/>
                <w:b/>
                <w:color w:val="FFFFFF" w:themeColor="background1"/>
                <w:sz w:val="20"/>
              </w:rPr>
              <w:t>pectrum management</w:t>
            </w:r>
          </w:p>
          <w:p w14:paraId="6A828286" w14:textId="10C05140" w:rsidR="008F07B7" w:rsidRPr="00287C82" w:rsidRDefault="008F07B7" w:rsidP="00BA1D0A">
            <w:pPr>
              <w:rPr>
                <w:rFonts w:ascii="Times New Roman" w:hAnsi="Times New Roman" w:cs="Times New Roman"/>
                <w:b/>
                <w:color w:val="FFFFFF" w:themeColor="background1"/>
                <w:sz w:val="20"/>
              </w:rPr>
            </w:pPr>
          </w:p>
        </w:tc>
      </w:tr>
      <w:tr w:rsidR="00BA1D0A" w:rsidRPr="00C91EA2" w14:paraId="6BE8D21F" w14:textId="77777777" w:rsidTr="007575D7">
        <w:trPr>
          <w:trHeight w:val="802"/>
        </w:trPr>
        <w:tc>
          <w:tcPr>
            <w:tcW w:w="7105" w:type="dxa"/>
            <w:hideMark/>
          </w:tcPr>
          <w:p w14:paraId="4FCC0989" w14:textId="2DBD691D" w:rsidR="00BA1D0A" w:rsidRPr="00D6708A" w:rsidRDefault="00BA1D0A" w:rsidP="007575D7">
            <w:pPr>
              <w:jc w:val="both"/>
              <w:rPr>
                <w:rFonts w:ascii="Times New Roman" w:hAnsi="Times New Roman" w:cs="Times New Roman"/>
                <w:color w:val="000000"/>
                <w:sz w:val="20"/>
              </w:rPr>
            </w:pPr>
            <w:r>
              <w:rPr>
                <w:rFonts w:ascii="Times New Roman" w:hAnsi="Times New Roman" w:cs="Times New Roman"/>
                <w:color w:val="000000"/>
                <w:sz w:val="20"/>
              </w:rPr>
              <w:t xml:space="preserve">2.16 </w:t>
            </w:r>
            <w:r w:rsidRPr="00105B4B">
              <w:rPr>
                <w:rFonts w:ascii="Times New Roman" w:hAnsi="Times New Roman" w:cs="Times New Roman"/>
                <w:color w:val="000000"/>
                <w:sz w:val="20"/>
              </w:rPr>
              <w:t>Design a spectrum management policy so to facilitate the access to spectrum to those operators that will use spectrum in the most efficient way and considering technology neutrality.</w:t>
            </w:r>
            <w:r w:rsidRPr="00FC6157">
              <w:rPr>
                <w:rFonts w:ascii="Times New Roman" w:hAnsi="Times New Roman"/>
                <w:b/>
                <w:bCs/>
                <w:color w:val="000000"/>
              </w:rPr>
              <w:t xml:space="preserve"> </w:t>
            </w:r>
            <w:r w:rsidRPr="00C91EA2">
              <w:rPr>
                <w:rFonts w:ascii="Times New Roman" w:hAnsi="Times New Roman" w:cs="Times New Roman"/>
                <w:color w:val="000000"/>
                <w:sz w:val="20"/>
              </w:rPr>
              <w:t xml:space="preserve"> </w:t>
            </w:r>
          </w:p>
          <w:p w14:paraId="6196A8A1" w14:textId="77777777" w:rsidR="00BA1D0A" w:rsidRPr="00F3546A" w:rsidRDefault="00BA1D0A" w:rsidP="007575D7">
            <w:pPr>
              <w:pStyle w:val="ListParagraph"/>
              <w:rPr>
                <w:rFonts w:ascii="Times New Roman" w:hAnsi="Times New Roman" w:cs="Times New Roman"/>
                <w:color w:val="000000"/>
                <w:sz w:val="20"/>
              </w:rPr>
            </w:pPr>
          </w:p>
        </w:tc>
        <w:tc>
          <w:tcPr>
            <w:tcW w:w="3060" w:type="dxa"/>
            <w:hideMark/>
          </w:tcPr>
          <w:p w14:paraId="6BD01CD9"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MPT and ARTP</w:t>
            </w:r>
          </w:p>
        </w:tc>
        <w:tc>
          <w:tcPr>
            <w:tcW w:w="2785" w:type="dxa"/>
            <w:hideMark/>
          </w:tcPr>
          <w:p w14:paraId="29EFB468"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BA1D0A" w:rsidRPr="00C91EA2" w14:paraId="69EA0CE8" w14:textId="77777777" w:rsidTr="007575D7">
        <w:trPr>
          <w:cnfStyle w:val="000000100000" w:firstRow="0" w:lastRow="0" w:firstColumn="0" w:lastColumn="0" w:oddVBand="0" w:evenVBand="0" w:oddHBand="1" w:evenHBand="0" w:firstRowFirstColumn="0" w:firstRowLastColumn="0" w:lastRowFirstColumn="0" w:lastRowLastColumn="0"/>
          <w:trHeight w:val="730"/>
        </w:trPr>
        <w:tc>
          <w:tcPr>
            <w:tcW w:w="7105" w:type="dxa"/>
            <w:hideMark/>
          </w:tcPr>
          <w:p w14:paraId="5DD1CF05" w14:textId="567644CA" w:rsidR="00BA1D0A" w:rsidRPr="00C91EA2" w:rsidRDefault="00BA1D0A" w:rsidP="00BA1D0A">
            <w:pPr>
              <w:rPr>
                <w:rFonts w:ascii="Times New Roman" w:hAnsi="Times New Roman" w:cs="Times New Roman"/>
                <w:color w:val="000000"/>
                <w:sz w:val="20"/>
              </w:rPr>
            </w:pPr>
            <w:r>
              <w:rPr>
                <w:rFonts w:ascii="Times New Roman" w:hAnsi="Times New Roman" w:cs="Times New Roman"/>
                <w:color w:val="000000"/>
                <w:sz w:val="20"/>
              </w:rPr>
              <w:t>2.17</w:t>
            </w:r>
            <w:r w:rsidRPr="00C91EA2">
              <w:rPr>
                <w:rFonts w:ascii="Times New Roman" w:hAnsi="Times New Roman" w:cs="Times New Roman"/>
                <w:color w:val="000000"/>
                <w:sz w:val="20"/>
              </w:rPr>
              <w:t xml:space="preserve"> </w:t>
            </w:r>
            <w:r w:rsidRPr="00D6708A">
              <w:rPr>
                <w:rFonts w:ascii="Times New Roman" w:hAnsi="Times New Roman" w:cs="Times New Roman"/>
                <w:color w:val="000000"/>
                <w:sz w:val="20"/>
              </w:rPr>
              <w:t>Design and adopt open competitive tenders for spectrum assignment, with provisions to allow for new entry</w:t>
            </w:r>
            <w:r>
              <w:rPr>
                <w:rFonts w:ascii="Times New Roman" w:hAnsi="Times New Roman" w:cs="Times New Roman"/>
                <w:color w:val="000000"/>
                <w:sz w:val="20"/>
              </w:rPr>
              <w:t>.</w:t>
            </w:r>
          </w:p>
        </w:tc>
        <w:tc>
          <w:tcPr>
            <w:tcW w:w="3060" w:type="dxa"/>
            <w:hideMark/>
          </w:tcPr>
          <w:p w14:paraId="54FFD20D" w14:textId="3ADF3FEA" w:rsidR="00BA1D0A" w:rsidRPr="00C91EA2" w:rsidRDefault="00BA1D0A" w:rsidP="007575D7">
            <w:pPr>
              <w:jc w:val="center"/>
              <w:rPr>
                <w:rFonts w:ascii="Times New Roman" w:hAnsi="Times New Roman" w:cs="Times New Roman"/>
                <w:color w:val="000000"/>
                <w:sz w:val="20"/>
              </w:rPr>
            </w:pPr>
            <w:r w:rsidRPr="00D6708A">
              <w:rPr>
                <w:rFonts w:ascii="Times New Roman" w:hAnsi="Times New Roman" w:cs="Times New Roman"/>
                <w:color w:val="000000"/>
                <w:sz w:val="20"/>
              </w:rPr>
              <w:t>ARTP &amp; spectrum management agency (MPT)</w:t>
            </w:r>
          </w:p>
        </w:tc>
        <w:tc>
          <w:tcPr>
            <w:tcW w:w="2785" w:type="dxa"/>
            <w:hideMark/>
          </w:tcPr>
          <w:p w14:paraId="752A1164"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BA1D0A" w:rsidRPr="00C91EA2" w14:paraId="222028F8" w14:textId="77777777" w:rsidTr="007575D7">
        <w:trPr>
          <w:trHeight w:val="967"/>
        </w:trPr>
        <w:tc>
          <w:tcPr>
            <w:tcW w:w="7105" w:type="dxa"/>
            <w:hideMark/>
          </w:tcPr>
          <w:p w14:paraId="52FE098E" w14:textId="204AFA77" w:rsidR="00BA1D0A" w:rsidRDefault="00BA1D0A" w:rsidP="007575D7">
            <w:pPr>
              <w:jc w:val="both"/>
              <w:rPr>
                <w:rFonts w:ascii="Times New Roman" w:hAnsi="Times New Roman" w:cs="Times New Roman"/>
                <w:color w:val="000000"/>
                <w:sz w:val="20"/>
              </w:rPr>
            </w:pPr>
            <w:r>
              <w:rPr>
                <w:rFonts w:ascii="Times New Roman" w:hAnsi="Times New Roman" w:cs="Times New Roman"/>
                <w:color w:val="000000"/>
                <w:sz w:val="20"/>
              </w:rPr>
              <w:t>2.18</w:t>
            </w:r>
            <w:r w:rsidRPr="00C91EA2">
              <w:rPr>
                <w:rFonts w:ascii="Times New Roman" w:hAnsi="Times New Roman" w:cs="Times New Roman"/>
                <w:color w:val="000000"/>
                <w:sz w:val="20"/>
              </w:rPr>
              <w:t xml:space="preserve"> </w:t>
            </w:r>
            <w:r w:rsidRPr="00A66014">
              <w:rPr>
                <w:rFonts w:ascii="Times New Roman" w:hAnsi="Times New Roman" w:cs="Times New Roman"/>
                <w:color w:val="000000"/>
                <w:sz w:val="20"/>
              </w:rPr>
              <w:t>Review and reform spectrum pricing principles to incentivize efficient use of spectrum – including separating management fees (based on administrative costs) from usage fees (based on either market-determined or administratively-calculated economic value)</w:t>
            </w:r>
            <w:r w:rsidR="007B7E10">
              <w:rPr>
                <w:rFonts w:ascii="Times New Roman" w:hAnsi="Times New Roman" w:cs="Times New Roman"/>
                <w:color w:val="000000"/>
                <w:sz w:val="20"/>
              </w:rPr>
              <w:t xml:space="preserve">; </w:t>
            </w:r>
            <w:r w:rsidR="007B7E10" w:rsidRPr="00847F11">
              <w:rPr>
                <w:rFonts w:ascii="Times New Roman" w:hAnsi="Times New Roman" w:cs="Times New Roman"/>
                <w:color w:val="000000"/>
                <w:sz w:val="20"/>
              </w:rPr>
              <w:t>allowing for spectrum trading and leasing subject to ARTP’s monitoring; and adopt more flexible spectrum licenses that do not lock operators into a particular technology (unless jus</w:t>
            </w:r>
            <w:r w:rsidR="007B7E10">
              <w:rPr>
                <w:rFonts w:ascii="Times New Roman" w:hAnsi="Times New Roman" w:cs="Times New Roman"/>
                <w:color w:val="000000"/>
                <w:sz w:val="20"/>
              </w:rPr>
              <w:t>tified by interference reasons)</w:t>
            </w:r>
            <w:r w:rsidRPr="00A66014">
              <w:rPr>
                <w:rFonts w:ascii="Times New Roman" w:hAnsi="Times New Roman" w:cs="Times New Roman"/>
                <w:color w:val="000000"/>
                <w:sz w:val="20"/>
              </w:rPr>
              <w:t>.</w:t>
            </w:r>
          </w:p>
          <w:p w14:paraId="76C16E4A" w14:textId="77777777" w:rsidR="00BA1D0A" w:rsidRPr="00C91EA2" w:rsidRDefault="00BA1D0A" w:rsidP="00BA1D0A">
            <w:pPr>
              <w:rPr>
                <w:rFonts w:ascii="Times New Roman" w:hAnsi="Times New Roman" w:cs="Times New Roman"/>
                <w:color w:val="000000"/>
                <w:sz w:val="20"/>
              </w:rPr>
            </w:pPr>
          </w:p>
        </w:tc>
        <w:tc>
          <w:tcPr>
            <w:tcW w:w="3060" w:type="dxa"/>
            <w:hideMark/>
          </w:tcPr>
          <w:p w14:paraId="75B107B0" w14:textId="21A3D20C"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ARTP &amp; spectrum management agency (MPT)</w:t>
            </w:r>
          </w:p>
        </w:tc>
        <w:tc>
          <w:tcPr>
            <w:tcW w:w="2785" w:type="dxa"/>
            <w:hideMark/>
          </w:tcPr>
          <w:p w14:paraId="2380E00D" w14:textId="77777777" w:rsidR="00BA1D0A" w:rsidRPr="00C91EA2"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Medium</w:t>
            </w:r>
          </w:p>
        </w:tc>
      </w:tr>
      <w:tr w:rsidR="00BA1D0A" w:rsidRPr="00C91EA2" w14:paraId="5C926AE2" w14:textId="77777777" w:rsidTr="007575D7">
        <w:trPr>
          <w:cnfStyle w:val="000000100000" w:firstRow="0" w:lastRow="0" w:firstColumn="0" w:lastColumn="0" w:oddVBand="0" w:evenVBand="0" w:oddHBand="1" w:evenHBand="0" w:firstRowFirstColumn="0" w:firstRowLastColumn="0" w:lastRowFirstColumn="0" w:lastRowLastColumn="0"/>
          <w:trHeight w:val="622"/>
        </w:trPr>
        <w:tc>
          <w:tcPr>
            <w:tcW w:w="7105" w:type="dxa"/>
          </w:tcPr>
          <w:p w14:paraId="46D06831" w14:textId="77777777" w:rsidR="00BA1D0A" w:rsidRPr="00105B4B" w:rsidRDefault="00BA1D0A" w:rsidP="007575D7">
            <w:pPr>
              <w:jc w:val="both"/>
              <w:rPr>
                <w:rFonts w:ascii="Times New Roman" w:hAnsi="Times New Roman" w:cs="Times New Roman"/>
                <w:color w:val="000000"/>
                <w:sz w:val="20"/>
              </w:rPr>
            </w:pPr>
            <w:r>
              <w:rPr>
                <w:rFonts w:ascii="Times New Roman" w:hAnsi="Times New Roman" w:cs="Times New Roman"/>
                <w:color w:val="000000"/>
                <w:sz w:val="20"/>
              </w:rPr>
              <w:t xml:space="preserve">2.19 </w:t>
            </w:r>
            <w:r w:rsidRPr="00105B4B">
              <w:rPr>
                <w:rFonts w:ascii="Times New Roman" w:hAnsi="Times New Roman" w:cs="Times New Roman"/>
                <w:color w:val="000000"/>
                <w:sz w:val="20"/>
              </w:rPr>
              <w:t>Develop a framework for unlicensed spectrum that can address the challenges posed by new technological developments (e.g. Internet of Things)</w:t>
            </w:r>
          </w:p>
          <w:p w14:paraId="4439FF2F" w14:textId="77777777" w:rsidR="00BA1D0A" w:rsidRDefault="00BA1D0A" w:rsidP="00BA1D0A">
            <w:pPr>
              <w:rPr>
                <w:rFonts w:ascii="Times New Roman" w:hAnsi="Times New Roman" w:cs="Times New Roman"/>
                <w:color w:val="000000"/>
                <w:sz w:val="20"/>
              </w:rPr>
            </w:pPr>
          </w:p>
        </w:tc>
        <w:tc>
          <w:tcPr>
            <w:tcW w:w="3060" w:type="dxa"/>
          </w:tcPr>
          <w:p w14:paraId="7FFF90AD"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ARTP &amp; spectrum management agency (MPT)</w:t>
            </w:r>
          </w:p>
        </w:tc>
        <w:tc>
          <w:tcPr>
            <w:tcW w:w="2785" w:type="dxa"/>
          </w:tcPr>
          <w:p w14:paraId="0A5E3E8D" w14:textId="24BDC843" w:rsidR="00BA1D0A" w:rsidRDefault="00BA1D0A" w:rsidP="007575D7">
            <w:pPr>
              <w:jc w:val="center"/>
              <w:rPr>
                <w:rFonts w:ascii="Times New Roman" w:hAnsi="Times New Roman" w:cs="Times New Roman"/>
                <w:color w:val="000000"/>
                <w:sz w:val="20"/>
              </w:rPr>
            </w:pPr>
            <w:r>
              <w:rPr>
                <w:rFonts w:ascii="Times New Roman" w:hAnsi="Times New Roman" w:cs="Times New Roman"/>
                <w:color w:val="000000"/>
                <w:sz w:val="20"/>
              </w:rPr>
              <w:t>Medium</w:t>
            </w:r>
          </w:p>
        </w:tc>
      </w:tr>
      <w:tr w:rsidR="00BA1D0A" w:rsidRPr="00C91EA2" w14:paraId="25E6F769" w14:textId="77777777" w:rsidTr="007575D7">
        <w:trPr>
          <w:trHeight w:val="787"/>
        </w:trPr>
        <w:tc>
          <w:tcPr>
            <w:tcW w:w="7105" w:type="dxa"/>
            <w:hideMark/>
          </w:tcPr>
          <w:p w14:paraId="781B3AC3" w14:textId="19D243B7" w:rsidR="00BA1D0A" w:rsidRPr="00C91EA2" w:rsidRDefault="00BA1D0A" w:rsidP="00BA1D0A">
            <w:pPr>
              <w:rPr>
                <w:rFonts w:ascii="Times New Roman" w:hAnsi="Times New Roman" w:cs="Times New Roman"/>
                <w:color w:val="000000"/>
                <w:sz w:val="20"/>
              </w:rPr>
            </w:pPr>
            <w:r>
              <w:rPr>
                <w:rFonts w:ascii="Times New Roman" w:hAnsi="Times New Roman" w:cs="Times New Roman"/>
                <w:color w:val="000000"/>
                <w:sz w:val="20"/>
              </w:rPr>
              <w:t>2.20</w:t>
            </w:r>
            <w:r w:rsidRPr="00C91EA2">
              <w:rPr>
                <w:rFonts w:ascii="Times New Roman" w:hAnsi="Times New Roman" w:cs="Times New Roman"/>
                <w:color w:val="000000"/>
                <w:sz w:val="20"/>
              </w:rPr>
              <w:t xml:space="preserve"> </w:t>
            </w:r>
            <w:r w:rsidRPr="00A66014">
              <w:rPr>
                <w:rFonts w:ascii="Times New Roman" w:hAnsi="Times New Roman" w:cs="Times New Roman"/>
                <w:color w:val="000000"/>
                <w:sz w:val="20"/>
              </w:rPr>
              <w:t>Design a package of measures and launch a process to allow for entry of a fourth mobile 4G+ operator</w:t>
            </w:r>
          </w:p>
        </w:tc>
        <w:tc>
          <w:tcPr>
            <w:tcW w:w="3060" w:type="dxa"/>
            <w:hideMark/>
          </w:tcPr>
          <w:p w14:paraId="47AA42CD" w14:textId="1FB88B22"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ARTP &amp; spectrum management agency (MPT)</w:t>
            </w:r>
          </w:p>
        </w:tc>
        <w:tc>
          <w:tcPr>
            <w:tcW w:w="2785" w:type="dxa"/>
            <w:hideMark/>
          </w:tcPr>
          <w:p w14:paraId="69D184F7" w14:textId="77777777" w:rsidR="00BA1D0A" w:rsidRPr="00C91EA2" w:rsidRDefault="00BA1D0A" w:rsidP="007575D7">
            <w:pPr>
              <w:jc w:val="center"/>
              <w:rPr>
                <w:rFonts w:ascii="Times New Roman" w:hAnsi="Times New Roman" w:cs="Times New Roman"/>
                <w:color w:val="000000"/>
                <w:sz w:val="20"/>
              </w:rPr>
            </w:pPr>
            <w:r w:rsidRPr="00C91EA2">
              <w:rPr>
                <w:rFonts w:ascii="Times New Roman" w:hAnsi="Times New Roman" w:cs="Times New Roman"/>
                <w:color w:val="000000"/>
                <w:sz w:val="20"/>
              </w:rPr>
              <w:t>Medium</w:t>
            </w:r>
          </w:p>
        </w:tc>
      </w:tr>
    </w:tbl>
    <w:p w14:paraId="5B1E05FB" w14:textId="7B63BB26" w:rsidR="00BA1D0A" w:rsidRDefault="00BA1D0A" w:rsidP="007575D7"/>
    <w:p w14:paraId="3C0F99BD" w14:textId="77777777" w:rsidR="00BA1D0A" w:rsidRPr="007575D7" w:rsidRDefault="00BA1D0A" w:rsidP="007575D7"/>
    <w:p w14:paraId="6D968D42" w14:textId="77777777" w:rsidR="002D1818" w:rsidRDefault="002D1818" w:rsidP="002D1818">
      <w:pPr>
        <w:rPr>
          <w:rFonts w:ascii="Times New Roman" w:hAnsi="Times New Roman" w:cs="Times New Roman"/>
        </w:rPr>
      </w:pPr>
    </w:p>
    <w:p w14:paraId="43B60E91" w14:textId="77777777" w:rsidR="002D1818" w:rsidRPr="00931F86" w:rsidRDefault="0018643A" w:rsidP="00931F86">
      <w:pPr>
        <w:pStyle w:val="ListParagraph"/>
        <w:numPr>
          <w:ilvl w:val="0"/>
          <w:numId w:val="142"/>
        </w:numPr>
        <w:rPr>
          <w:rFonts w:ascii="Times New Roman" w:hAnsi="Times New Roman" w:cs="Times New Roman"/>
          <w:b/>
          <w:sz w:val="20"/>
          <w:szCs w:val="20"/>
        </w:rPr>
      </w:pPr>
      <w:r>
        <w:rPr>
          <w:rFonts w:ascii="Times New Roman" w:hAnsi="Times New Roman" w:cs="Times New Roman"/>
          <w:b/>
          <w:sz w:val="20"/>
          <w:szCs w:val="20"/>
        </w:rPr>
        <w:t>Cross-cutting pro-competition regulations, c</w:t>
      </w:r>
      <w:r w:rsidR="002D1818" w:rsidRPr="00931F86">
        <w:rPr>
          <w:rFonts w:ascii="Times New Roman" w:hAnsi="Times New Roman" w:cs="Times New Roman"/>
          <w:b/>
          <w:sz w:val="20"/>
          <w:szCs w:val="20"/>
        </w:rPr>
        <w:t>ompetition policy and law</w:t>
      </w:r>
    </w:p>
    <w:p w14:paraId="3A59B89A" w14:textId="77777777" w:rsidR="002D1818" w:rsidRPr="00752E04" w:rsidRDefault="002D1818" w:rsidP="002D1818">
      <w:pPr>
        <w:rPr>
          <w:rFonts w:ascii="Times New Roman" w:hAnsi="Times New Roman" w:cs="Times New Roman"/>
          <w:b/>
          <w:sz w:val="20"/>
          <w:szCs w:val="20"/>
        </w:rPr>
      </w:pPr>
    </w:p>
    <w:p w14:paraId="1F0BC350" w14:textId="431FEC12" w:rsidR="002D1818" w:rsidRPr="00C91EA2" w:rsidRDefault="002D1818" w:rsidP="00287C82">
      <w:pPr>
        <w:pStyle w:val="Caption"/>
        <w:keepNext/>
        <w:rPr>
          <w:rFonts w:ascii="Times New Roman" w:hAnsi="Times New Roman"/>
        </w:rPr>
      </w:pPr>
      <w:bookmarkStart w:id="36" w:name="_Toc498020510"/>
      <w:bookmarkStart w:id="37" w:name="_Toc520725690"/>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3</w:t>
      </w:r>
      <w:r w:rsidRPr="00C91EA2">
        <w:rPr>
          <w:rFonts w:ascii="Times New Roman" w:hAnsi="Times New Roman"/>
        </w:rPr>
        <w:fldChar w:fldCharType="end"/>
      </w:r>
      <w:r w:rsidRPr="00C91EA2">
        <w:rPr>
          <w:rFonts w:ascii="Times New Roman" w:hAnsi="Times New Roman"/>
        </w:rPr>
        <w:t xml:space="preserve">: Recommendations to improve </w:t>
      </w:r>
      <w:r w:rsidR="0018643A">
        <w:rPr>
          <w:rFonts w:ascii="Times New Roman" w:hAnsi="Times New Roman"/>
        </w:rPr>
        <w:t xml:space="preserve">pro-competition regulations and </w:t>
      </w:r>
      <w:r w:rsidRPr="00C91EA2">
        <w:rPr>
          <w:rFonts w:ascii="Times New Roman" w:hAnsi="Times New Roman"/>
        </w:rPr>
        <w:t xml:space="preserve">the </w:t>
      </w:r>
      <w:r>
        <w:rPr>
          <w:rFonts w:ascii="Times New Roman" w:hAnsi="Times New Roman"/>
        </w:rPr>
        <w:t xml:space="preserve">competition policy and </w:t>
      </w:r>
      <w:r w:rsidRPr="00C91EA2">
        <w:rPr>
          <w:rFonts w:ascii="Times New Roman" w:hAnsi="Times New Roman"/>
        </w:rPr>
        <w:t>legal framework</w:t>
      </w:r>
      <w:bookmarkEnd w:id="36"/>
      <w:bookmarkEnd w:id="37"/>
    </w:p>
    <w:tbl>
      <w:tblPr>
        <w:tblW w:w="13094" w:type="dxa"/>
        <w:tblInd w:w="-113" w:type="dxa"/>
        <w:tblLayout w:type="fixed"/>
        <w:tblCellMar>
          <w:left w:w="0" w:type="dxa"/>
          <w:right w:w="0" w:type="dxa"/>
        </w:tblCellMar>
        <w:tblLook w:val="04A0" w:firstRow="1" w:lastRow="0" w:firstColumn="1" w:lastColumn="0" w:noHBand="0" w:noVBand="1"/>
      </w:tblPr>
      <w:tblGrid>
        <w:gridCol w:w="10309"/>
        <w:gridCol w:w="1701"/>
        <w:gridCol w:w="149"/>
        <w:gridCol w:w="894"/>
        <w:gridCol w:w="41"/>
      </w:tblGrid>
      <w:tr w:rsidR="00EF64E0" w14:paraId="5068E39E" w14:textId="77777777" w:rsidTr="00C538DB">
        <w:trPr>
          <w:gridAfter w:val="1"/>
          <w:wAfter w:w="41" w:type="dxa"/>
        </w:trPr>
        <w:tc>
          <w:tcPr>
            <w:tcW w:w="10309" w:type="dxa"/>
            <w:tcBorders>
              <w:top w:val="single" w:sz="8" w:space="0" w:color="4472C4"/>
              <w:left w:val="single" w:sz="8" w:space="0" w:color="4472C4"/>
              <w:bottom w:val="nil"/>
              <w:right w:val="nil"/>
            </w:tcBorders>
            <w:shd w:val="clear" w:color="auto" w:fill="4472C4"/>
            <w:tcMar>
              <w:top w:w="0" w:type="dxa"/>
              <w:left w:w="108" w:type="dxa"/>
              <w:bottom w:w="0" w:type="dxa"/>
              <w:right w:w="108" w:type="dxa"/>
            </w:tcMar>
            <w:hideMark/>
          </w:tcPr>
          <w:p w14:paraId="2150A5F6" w14:textId="77777777" w:rsidR="002D1818" w:rsidRDefault="002D1818" w:rsidP="00A933E4">
            <w:pPr>
              <w:rPr>
                <w:rFonts w:ascii="Times New Roman" w:eastAsiaTheme="minorHAnsi" w:hAnsi="Times New Roman"/>
                <w:b/>
                <w:bCs/>
                <w:color w:val="FFFFFF"/>
                <w:sz w:val="20"/>
                <w:szCs w:val="20"/>
                <w:lang w:val="en-GB"/>
              </w:rPr>
            </w:pPr>
            <w:r>
              <w:rPr>
                <w:rFonts w:ascii="Times New Roman" w:hAnsi="Times New Roman"/>
                <w:b/>
                <w:bCs/>
                <w:color w:val="FFFFFF"/>
                <w:sz w:val="20"/>
                <w:szCs w:val="20"/>
                <w:lang w:val="en-GB"/>
              </w:rPr>
              <w:t>Recommendation</w:t>
            </w:r>
          </w:p>
        </w:tc>
        <w:tc>
          <w:tcPr>
            <w:tcW w:w="1850" w:type="dxa"/>
            <w:gridSpan w:val="2"/>
            <w:tcBorders>
              <w:top w:val="single" w:sz="8" w:space="0" w:color="4472C4"/>
              <w:left w:val="nil"/>
              <w:bottom w:val="nil"/>
              <w:right w:val="nil"/>
            </w:tcBorders>
            <w:shd w:val="clear" w:color="auto" w:fill="4472C4"/>
            <w:tcMar>
              <w:top w:w="0" w:type="dxa"/>
              <w:left w:w="108" w:type="dxa"/>
              <w:bottom w:w="0" w:type="dxa"/>
              <w:right w:w="108" w:type="dxa"/>
            </w:tcMar>
            <w:hideMark/>
          </w:tcPr>
          <w:p w14:paraId="2DFB964D" w14:textId="77777777" w:rsidR="002D1818" w:rsidRDefault="002D1818" w:rsidP="00A933E4">
            <w:pPr>
              <w:rPr>
                <w:rFonts w:ascii="Times New Roman" w:hAnsi="Times New Roman"/>
                <w:b/>
                <w:bCs/>
                <w:color w:val="FFFFFF"/>
                <w:sz w:val="20"/>
                <w:szCs w:val="20"/>
                <w:lang w:val="en-GB"/>
              </w:rPr>
            </w:pPr>
            <w:r>
              <w:rPr>
                <w:rFonts w:ascii="Times New Roman" w:hAnsi="Times New Roman"/>
                <w:b/>
                <w:bCs/>
                <w:color w:val="FFFFFF"/>
                <w:sz w:val="20"/>
                <w:szCs w:val="20"/>
                <w:lang w:val="en-GB"/>
              </w:rPr>
              <w:t>Responsibility</w:t>
            </w:r>
          </w:p>
        </w:tc>
        <w:tc>
          <w:tcPr>
            <w:tcW w:w="894" w:type="dxa"/>
            <w:tcBorders>
              <w:top w:val="single" w:sz="8" w:space="0" w:color="4472C4"/>
              <w:left w:val="nil"/>
              <w:bottom w:val="nil"/>
              <w:right w:val="single" w:sz="8" w:space="0" w:color="4472C4"/>
            </w:tcBorders>
            <w:shd w:val="clear" w:color="auto" w:fill="4472C4"/>
            <w:tcMar>
              <w:top w:w="0" w:type="dxa"/>
              <w:left w:w="108" w:type="dxa"/>
              <w:bottom w:w="0" w:type="dxa"/>
              <w:right w:w="108" w:type="dxa"/>
            </w:tcMar>
            <w:hideMark/>
          </w:tcPr>
          <w:p w14:paraId="27C1C9D6" w14:textId="77777777" w:rsidR="002D1818" w:rsidRDefault="002D1818" w:rsidP="00A933E4">
            <w:pPr>
              <w:rPr>
                <w:rFonts w:ascii="Times New Roman" w:hAnsi="Times New Roman"/>
                <w:b/>
                <w:bCs/>
                <w:color w:val="FFFFFF"/>
                <w:sz w:val="20"/>
                <w:szCs w:val="20"/>
                <w:lang w:val="en-GB"/>
              </w:rPr>
            </w:pPr>
            <w:r>
              <w:rPr>
                <w:rFonts w:ascii="Times New Roman" w:hAnsi="Times New Roman"/>
                <w:b/>
                <w:bCs/>
                <w:color w:val="FFFFFF"/>
                <w:sz w:val="20"/>
                <w:szCs w:val="20"/>
                <w:lang w:val="en-GB"/>
              </w:rPr>
              <w:t>Priority</w:t>
            </w:r>
          </w:p>
        </w:tc>
      </w:tr>
      <w:tr w:rsidR="00754C5E" w14:paraId="546CE3C7" w14:textId="77777777" w:rsidTr="00C538DB">
        <w:trPr>
          <w:gridAfter w:val="1"/>
          <w:wAfter w:w="41" w:type="dxa"/>
        </w:trPr>
        <w:tc>
          <w:tcPr>
            <w:tcW w:w="13053" w:type="dxa"/>
            <w:gridSpan w:val="4"/>
            <w:tcBorders>
              <w:top w:val="single" w:sz="8" w:space="0" w:color="4472C4"/>
              <w:left w:val="single" w:sz="8" w:space="0" w:color="4472C4"/>
              <w:bottom w:val="single" w:sz="8" w:space="0" w:color="4472C4"/>
              <w:right w:val="nil"/>
            </w:tcBorders>
            <w:shd w:val="clear" w:color="auto" w:fill="D5DCE4"/>
            <w:tcMar>
              <w:top w:w="0" w:type="dxa"/>
              <w:left w:w="108" w:type="dxa"/>
              <w:bottom w:w="0" w:type="dxa"/>
              <w:right w:w="108" w:type="dxa"/>
            </w:tcMar>
          </w:tcPr>
          <w:p w14:paraId="62F10C2C" w14:textId="77777777" w:rsidR="00754C5E" w:rsidRDefault="0018643A" w:rsidP="00A933E4">
            <w:pPr>
              <w:jc w:val="center"/>
              <w:rPr>
                <w:rFonts w:ascii="Times New Roman" w:hAnsi="Times New Roman"/>
                <w:b/>
                <w:bCs/>
                <w:sz w:val="20"/>
                <w:szCs w:val="20"/>
                <w:lang w:val="en-GB"/>
              </w:rPr>
            </w:pPr>
            <w:r>
              <w:rPr>
                <w:rFonts w:ascii="Times New Roman" w:hAnsi="Times New Roman"/>
                <w:b/>
                <w:bCs/>
                <w:sz w:val="20"/>
                <w:szCs w:val="20"/>
                <w:lang w:val="en-GB"/>
              </w:rPr>
              <w:t>Cross-cutting pro-competition regulations</w:t>
            </w:r>
          </w:p>
        </w:tc>
      </w:tr>
      <w:tr w:rsidR="00EF64E0" w14:paraId="55F47BD1" w14:textId="77777777" w:rsidTr="00C538DB">
        <w:tc>
          <w:tcPr>
            <w:tcW w:w="10309" w:type="dxa"/>
            <w:tcBorders>
              <w:top w:val="single" w:sz="8" w:space="0" w:color="4472C4"/>
              <w:left w:val="single" w:sz="8" w:space="0" w:color="4472C4"/>
              <w:bottom w:val="single" w:sz="8" w:space="0" w:color="4472C4"/>
            </w:tcBorders>
            <w:shd w:val="clear" w:color="auto" w:fill="auto"/>
            <w:tcMar>
              <w:top w:w="0" w:type="dxa"/>
              <w:left w:w="108" w:type="dxa"/>
              <w:bottom w:w="0" w:type="dxa"/>
              <w:right w:w="108" w:type="dxa"/>
            </w:tcMar>
          </w:tcPr>
          <w:p w14:paraId="2759D81B" w14:textId="4CF23E30" w:rsidR="00EF64E0" w:rsidRDefault="00EF64E0" w:rsidP="006A7588">
            <w:pPr>
              <w:rPr>
                <w:rFonts w:ascii="Times New Roman" w:eastAsia="Times New Roman" w:hAnsi="Times New Roman"/>
                <w:sz w:val="20"/>
                <w:szCs w:val="20"/>
                <w:lang w:val="en-GB"/>
              </w:rPr>
            </w:pPr>
            <w:r w:rsidRPr="00D13134">
              <w:rPr>
                <w:rFonts w:ascii="Times New Roman" w:eastAsia="Times New Roman" w:hAnsi="Times New Roman"/>
                <w:sz w:val="20"/>
                <w:szCs w:val="20"/>
                <w:lang w:val="en-GB"/>
              </w:rPr>
              <w:t>3.</w:t>
            </w:r>
            <w:r>
              <w:rPr>
                <w:rFonts w:ascii="Times New Roman" w:eastAsia="Times New Roman" w:hAnsi="Times New Roman"/>
                <w:sz w:val="20"/>
                <w:szCs w:val="20"/>
                <w:lang w:val="en-GB"/>
              </w:rPr>
              <w:t xml:space="preserve">1 </w:t>
            </w:r>
            <w:r w:rsidR="006A7588">
              <w:rPr>
                <w:rFonts w:ascii="Times New Roman" w:eastAsia="Times New Roman" w:hAnsi="Times New Roman"/>
                <w:sz w:val="20"/>
                <w:szCs w:val="20"/>
                <w:lang w:val="en-GB"/>
              </w:rPr>
              <w:t>C</w:t>
            </w:r>
            <w:r w:rsidR="006A7588" w:rsidRPr="00D13134">
              <w:rPr>
                <w:rFonts w:ascii="Times New Roman" w:eastAsia="Times New Roman" w:hAnsi="Times New Roman"/>
                <w:sz w:val="20"/>
                <w:szCs w:val="20"/>
                <w:lang w:val="en-GB"/>
              </w:rPr>
              <w:t>ontinu</w:t>
            </w:r>
            <w:r w:rsidR="006A7588">
              <w:rPr>
                <w:rFonts w:ascii="Times New Roman" w:eastAsia="Times New Roman" w:hAnsi="Times New Roman"/>
                <w:sz w:val="20"/>
                <w:szCs w:val="20"/>
                <w:lang w:val="en-GB"/>
              </w:rPr>
              <w:t>e</w:t>
            </w:r>
            <w:r w:rsidR="006A7588" w:rsidRPr="00D13134">
              <w:rPr>
                <w:rFonts w:ascii="Times New Roman" w:eastAsia="Times New Roman" w:hAnsi="Times New Roman"/>
                <w:sz w:val="20"/>
                <w:szCs w:val="20"/>
                <w:lang w:val="en-GB"/>
              </w:rPr>
              <w:t xml:space="preserve"> </w:t>
            </w:r>
            <w:r w:rsidRPr="00D13134">
              <w:rPr>
                <w:rFonts w:ascii="Times New Roman" w:eastAsia="Times New Roman" w:hAnsi="Times New Roman"/>
                <w:sz w:val="20"/>
                <w:szCs w:val="20"/>
                <w:lang w:val="en-GB"/>
              </w:rPr>
              <w:t xml:space="preserve">assessing barriers to competition and identifying alternative </w:t>
            </w:r>
            <w:r w:rsidR="003B24ED">
              <w:rPr>
                <w:rFonts w:ascii="Times New Roman" w:eastAsia="Times New Roman" w:hAnsi="Times New Roman"/>
                <w:sz w:val="20"/>
                <w:szCs w:val="20"/>
                <w:lang w:val="en-GB"/>
              </w:rPr>
              <w:t>Government</w:t>
            </w:r>
            <w:r w:rsidRPr="00D13134">
              <w:rPr>
                <w:rFonts w:ascii="Times New Roman" w:eastAsia="Times New Roman" w:hAnsi="Times New Roman"/>
                <w:sz w:val="20"/>
                <w:szCs w:val="20"/>
                <w:lang w:val="en-GB"/>
              </w:rPr>
              <w:t xml:space="preserve"> interventions to minimize competition</w:t>
            </w:r>
            <w:r w:rsidR="0018643A">
              <w:rPr>
                <w:rFonts w:ascii="Times New Roman" w:eastAsia="Times New Roman" w:hAnsi="Times New Roman"/>
                <w:sz w:val="20"/>
                <w:szCs w:val="20"/>
                <w:lang w:val="en-GB"/>
              </w:rPr>
              <w:t xml:space="preserve"> </w:t>
            </w:r>
            <w:r w:rsidRPr="00D13134">
              <w:rPr>
                <w:rFonts w:ascii="Times New Roman" w:eastAsia="Times New Roman" w:hAnsi="Times New Roman"/>
                <w:sz w:val="20"/>
                <w:szCs w:val="20"/>
                <w:lang w:val="en-GB"/>
              </w:rPr>
              <w:t xml:space="preserve">distortions </w:t>
            </w:r>
            <w:r w:rsidR="0018643A">
              <w:rPr>
                <w:rFonts w:ascii="Times New Roman" w:eastAsia="Times New Roman" w:hAnsi="Times New Roman"/>
                <w:sz w:val="20"/>
                <w:szCs w:val="20"/>
                <w:lang w:val="en-GB"/>
              </w:rPr>
              <w:t xml:space="preserve">and to </w:t>
            </w:r>
            <w:r w:rsidRPr="00D13134">
              <w:rPr>
                <w:rFonts w:ascii="Times New Roman" w:eastAsia="Times New Roman" w:hAnsi="Times New Roman"/>
                <w:sz w:val="20"/>
                <w:szCs w:val="20"/>
                <w:lang w:val="en-GB"/>
              </w:rPr>
              <w:t>facilitate competition and entry</w:t>
            </w:r>
            <w:r>
              <w:rPr>
                <w:rFonts w:ascii="Times New Roman" w:eastAsia="Times New Roman" w:hAnsi="Times New Roman"/>
                <w:sz w:val="20"/>
                <w:szCs w:val="20"/>
                <w:lang w:val="en-GB"/>
              </w:rPr>
              <w:t xml:space="preserve"> in</w:t>
            </w:r>
            <w:r w:rsidR="0018643A">
              <w:rPr>
                <w:rFonts w:ascii="Times New Roman" w:eastAsia="Times New Roman" w:hAnsi="Times New Roman"/>
                <w:sz w:val="20"/>
                <w:szCs w:val="20"/>
                <w:lang w:val="en-GB"/>
              </w:rPr>
              <w:t xml:space="preserve"> network industries (e.g.</w:t>
            </w:r>
            <w:r>
              <w:rPr>
                <w:rFonts w:ascii="Times New Roman" w:eastAsia="Times New Roman" w:hAnsi="Times New Roman"/>
                <w:sz w:val="20"/>
                <w:szCs w:val="20"/>
                <w:lang w:val="en-GB"/>
              </w:rPr>
              <w:t xml:space="preserve"> </w:t>
            </w:r>
            <w:r w:rsidRPr="00D13134">
              <w:rPr>
                <w:rFonts w:ascii="Times New Roman" w:eastAsia="Times New Roman" w:hAnsi="Times New Roman"/>
                <w:sz w:val="20"/>
                <w:szCs w:val="20"/>
                <w:lang w:val="en-GB"/>
              </w:rPr>
              <w:t>energy</w:t>
            </w:r>
            <w:r w:rsidR="0018643A">
              <w:rPr>
                <w:rFonts w:ascii="Times New Roman" w:eastAsia="Times New Roman" w:hAnsi="Times New Roman"/>
                <w:sz w:val="20"/>
                <w:szCs w:val="20"/>
                <w:lang w:val="en-GB"/>
              </w:rPr>
              <w:t>)</w:t>
            </w:r>
            <w:r w:rsidRPr="00D13134">
              <w:rPr>
                <w:rFonts w:ascii="Times New Roman" w:eastAsia="Times New Roman" w:hAnsi="Times New Roman"/>
                <w:sz w:val="20"/>
                <w:szCs w:val="20"/>
                <w:lang w:val="en-GB"/>
              </w:rPr>
              <w:t>, retail and professional services</w:t>
            </w:r>
            <w:r>
              <w:rPr>
                <w:rFonts w:ascii="Times New Roman" w:eastAsia="Times New Roman" w:hAnsi="Times New Roman"/>
                <w:sz w:val="20"/>
                <w:szCs w:val="20"/>
                <w:lang w:val="en-GB"/>
              </w:rPr>
              <w:t xml:space="preserve"> markets.</w:t>
            </w:r>
          </w:p>
          <w:p w14:paraId="706B236E" w14:textId="364C4758" w:rsidR="00B77A17" w:rsidRPr="00EF64E0" w:rsidRDefault="00B77A17" w:rsidP="006A7588">
            <w:pPr>
              <w:rPr>
                <w:rFonts w:ascii="Times New Roman" w:eastAsia="Times New Roman" w:hAnsi="Times New Roman"/>
                <w:sz w:val="20"/>
                <w:szCs w:val="20"/>
                <w:lang w:val="en-GB"/>
              </w:rPr>
            </w:pPr>
          </w:p>
        </w:tc>
        <w:tc>
          <w:tcPr>
            <w:tcW w:w="1701" w:type="dxa"/>
            <w:tcBorders>
              <w:top w:val="single" w:sz="8" w:space="0" w:color="4472C4"/>
              <w:bottom w:val="single" w:sz="8" w:space="0" w:color="4472C4"/>
            </w:tcBorders>
            <w:shd w:val="clear" w:color="auto" w:fill="auto"/>
          </w:tcPr>
          <w:p w14:paraId="593B2081" w14:textId="0448A091" w:rsidR="00EF64E0" w:rsidRPr="00EF64E0" w:rsidRDefault="00EF64E0" w:rsidP="00EF64E0">
            <w:pPr>
              <w:rPr>
                <w:rFonts w:ascii="Times New Roman" w:eastAsia="Times New Roman" w:hAnsi="Times New Roman"/>
                <w:sz w:val="20"/>
                <w:szCs w:val="20"/>
                <w:lang w:val="en-GB"/>
              </w:rPr>
            </w:pPr>
            <w:r>
              <w:rPr>
                <w:rFonts w:ascii="Times New Roman" w:eastAsia="Times New Roman" w:hAnsi="Times New Roman"/>
                <w:sz w:val="20"/>
                <w:szCs w:val="20"/>
                <w:lang w:val="en-GB"/>
              </w:rPr>
              <w:t xml:space="preserve">   </w:t>
            </w:r>
            <w:r w:rsidR="003B24ED">
              <w:rPr>
                <w:rFonts w:ascii="Times New Roman" w:eastAsia="Times New Roman" w:hAnsi="Times New Roman"/>
                <w:sz w:val="20"/>
                <w:szCs w:val="20"/>
                <w:lang w:val="en-GB"/>
              </w:rPr>
              <w:t>Government</w:t>
            </w:r>
          </w:p>
        </w:tc>
        <w:tc>
          <w:tcPr>
            <w:tcW w:w="1084" w:type="dxa"/>
            <w:gridSpan w:val="3"/>
            <w:tcBorders>
              <w:top w:val="single" w:sz="8" w:space="0" w:color="4472C4"/>
              <w:bottom w:val="single" w:sz="8" w:space="0" w:color="4472C4"/>
              <w:right w:val="single" w:sz="8" w:space="0" w:color="4472C4"/>
            </w:tcBorders>
            <w:shd w:val="clear" w:color="auto" w:fill="auto"/>
          </w:tcPr>
          <w:p w14:paraId="4C5AE448" w14:textId="77777777" w:rsidR="00EF64E0" w:rsidRPr="00EF64E0" w:rsidRDefault="00EF64E0" w:rsidP="00EF64E0">
            <w:pPr>
              <w:rPr>
                <w:rFonts w:ascii="Times New Roman" w:eastAsia="Times New Roman" w:hAnsi="Times New Roman"/>
                <w:sz w:val="20"/>
                <w:szCs w:val="20"/>
                <w:lang w:val="en-GB"/>
              </w:rPr>
            </w:pPr>
            <w:r>
              <w:rPr>
                <w:rFonts w:ascii="Times New Roman" w:eastAsia="Times New Roman" w:hAnsi="Times New Roman"/>
                <w:sz w:val="20"/>
                <w:szCs w:val="20"/>
                <w:lang w:val="en-GB"/>
              </w:rPr>
              <w:t xml:space="preserve">     High</w:t>
            </w:r>
          </w:p>
        </w:tc>
      </w:tr>
      <w:tr w:rsidR="002D1818" w14:paraId="49A61F83" w14:textId="77777777" w:rsidTr="00C538DB">
        <w:trPr>
          <w:gridAfter w:val="1"/>
          <w:wAfter w:w="41" w:type="dxa"/>
        </w:trPr>
        <w:tc>
          <w:tcPr>
            <w:tcW w:w="13053" w:type="dxa"/>
            <w:gridSpan w:val="4"/>
            <w:tcBorders>
              <w:top w:val="single" w:sz="8" w:space="0" w:color="4472C4"/>
              <w:left w:val="single" w:sz="8" w:space="0" w:color="4472C4"/>
              <w:bottom w:val="single" w:sz="8" w:space="0" w:color="4472C4"/>
              <w:right w:val="nil"/>
            </w:tcBorders>
            <w:shd w:val="clear" w:color="auto" w:fill="D5DCE4"/>
            <w:tcMar>
              <w:top w:w="0" w:type="dxa"/>
              <w:left w:w="108" w:type="dxa"/>
              <w:bottom w:w="0" w:type="dxa"/>
              <w:right w:w="108" w:type="dxa"/>
            </w:tcMar>
            <w:hideMark/>
          </w:tcPr>
          <w:p w14:paraId="1F3EDCB7" w14:textId="77777777" w:rsidR="002D1818" w:rsidRDefault="0018643A" w:rsidP="00A933E4">
            <w:pPr>
              <w:jc w:val="center"/>
              <w:rPr>
                <w:rFonts w:ascii="Times New Roman" w:hAnsi="Times New Roman"/>
                <w:b/>
                <w:bCs/>
                <w:sz w:val="20"/>
                <w:szCs w:val="20"/>
                <w:lang w:val="en-GB"/>
              </w:rPr>
            </w:pPr>
            <w:r>
              <w:rPr>
                <w:rFonts w:ascii="Times New Roman" w:hAnsi="Times New Roman"/>
                <w:b/>
                <w:bCs/>
                <w:sz w:val="20"/>
                <w:szCs w:val="20"/>
                <w:lang w:val="en-GB"/>
              </w:rPr>
              <w:t xml:space="preserve">Competition policy and legal framework: </w:t>
            </w:r>
            <w:r w:rsidR="002D1818">
              <w:rPr>
                <w:rFonts w:ascii="Times New Roman" w:hAnsi="Times New Roman"/>
                <w:b/>
                <w:bCs/>
                <w:sz w:val="20"/>
                <w:szCs w:val="20"/>
                <w:lang w:val="en-GB"/>
              </w:rPr>
              <w:t>WAEMU level</w:t>
            </w:r>
          </w:p>
        </w:tc>
      </w:tr>
      <w:tr w:rsidR="00EF64E0" w14:paraId="42CF3806" w14:textId="77777777" w:rsidTr="00EF64E0">
        <w:trPr>
          <w:gridAfter w:val="1"/>
          <w:wAfter w:w="41" w:type="dxa"/>
        </w:trPr>
        <w:tc>
          <w:tcPr>
            <w:tcW w:w="10309" w:type="dxa"/>
            <w:tcBorders>
              <w:top w:val="nil"/>
              <w:left w:val="single" w:sz="8" w:space="0" w:color="4472C4"/>
              <w:bottom w:val="nil"/>
              <w:right w:val="nil"/>
            </w:tcBorders>
            <w:shd w:val="clear" w:color="auto" w:fill="FFFFFF"/>
            <w:tcMar>
              <w:top w:w="0" w:type="dxa"/>
              <w:left w:w="108" w:type="dxa"/>
              <w:bottom w:w="0" w:type="dxa"/>
              <w:right w:w="108" w:type="dxa"/>
            </w:tcMar>
            <w:hideMark/>
          </w:tcPr>
          <w:p w14:paraId="57ED4B15" w14:textId="77777777" w:rsidR="002D1818" w:rsidRDefault="00931F86" w:rsidP="007575D7">
            <w:pPr>
              <w:jc w:val="both"/>
              <w:rPr>
                <w:rFonts w:ascii="Times New Roman" w:eastAsia="Times New Roman" w:hAnsi="Times New Roman"/>
                <w:sz w:val="20"/>
                <w:szCs w:val="20"/>
                <w:lang w:val="en-GB"/>
              </w:rPr>
            </w:pPr>
            <w:r>
              <w:rPr>
                <w:rFonts w:ascii="Times New Roman" w:eastAsia="Times New Roman" w:hAnsi="Times New Roman"/>
                <w:sz w:val="20"/>
                <w:szCs w:val="20"/>
                <w:lang w:val="en-GB"/>
              </w:rPr>
              <w:t>3</w:t>
            </w:r>
            <w:r w:rsidR="00BB17ED">
              <w:rPr>
                <w:rFonts w:ascii="Times New Roman" w:eastAsia="Times New Roman" w:hAnsi="Times New Roman"/>
                <w:sz w:val="20"/>
                <w:szCs w:val="20"/>
                <w:lang w:val="en-GB"/>
              </w:rPr>
              <w:t>.</w:t>
            </w:r>
            <w:r w:rsidR="00D13134">
              <w:rPr>
                <w:rFonts w:ascii="Times New Roman" w:eastAsia="Times New Roman" w:hAnsi="Times New Roman"/>
                <w:sz w:val="20"/>
                <w:szCs w:val="20"/>
                <w:lang w:val="en-GB"/>
              </w:rPr>
              <w:t>2</w:t>
            </w:r>
            <w:r w:rsidR="00BB17ED">
              <w:rPr>
                <w:rFonts w:ascii="Times New Roman" w:eastAsia="Times New Roman" w:hAnsi="Times New Roman"/>
                <w:sz w:val="20"/>
                <w:szCs w:val="20"/>
                <w:lang w:val="en-GB"/>
              </w:rPr>
              <w:t xml:space="preserve"> </w:t>
            </w:r>
            <w:r w:rsidR="002D1818" w:rsidRPr="00BB17ED">
              <w:rPr>
                <w:rFonts w:ascii="Times New Roman" w:eastAsia="Times New Roman" w:hAnsi="Times New Roman"/>
                <w:sz w:val="20"/>
                <w:szCs w:val="20"/>
                <w:lang w:val="en-GB"/>
              </w:rPr>
              <w:t>Develop efforts within WAEMU to approve legislation delegating powers to national competition authorities to investigate and decide on anticompetitive practices that occur on the national territory and do not have cross-border effects.</w:t>
            </w:r>
          </w:p>
          <w:p w14:paraId="0513C5ED" w14:textId="52B3D488" w:rsidR="00B77A17" w:rsidRPr="00BB17ED" w:rsidRDefault="00B77A17" w:rsidP="00BB17ED">
            <w:pPr>
              <w:rPr>
                <w:rFonts w:ascii="Times New Roman" w:hAnsi="Times New Roman"/>
                <w:sz w:val="20"/>
                <w:szCs w:val="20"/>
                <w:lang w:val="en-GB"/>
              </w:rPr>
            </w:pPr>
          </w:p>
        </w:tc>
        <w:tc>
          <w:tcPr>
            <w:tcW w:w="1850" w:type="dxa"/>
            <w:gridSpan w:val="2"/>
            <w:tcMar>
              <w:top w:w="0" w:type="dxa"/>
              <w:left w:w="108" w:type="dxa"/>
              <w:bottom w:w="0" w:type="dxa"/>
              <w:right w:w="108" w:type="dxa"/>
            </w:tcMar>
            <w:hideMark/>
          </w:tcPr>
          <w:p w14:paraId="629CC6B3" w14:textId="71448814" w:rsidR="002D1818" w:rsidRDefault="003B24ED" w:rsidP="00A933E4">
            <w:pPr>
              <w:rPr>
                <w:rFonts w:ascii="Times New Roman" w:hAnsi="Times New Roman"/>
                <w:sz w:val="20"/>
                <w:szCs w:val="20"/>
                <w:lang w:val="en-GB"/>
              </w:rPr>
            </w:pPr>
            <w:r>
              <w:rPr>
                <w:rFonts w:ascii="Times New Roman" w:hAnsi="Times New Roman"/>
                <w:sz w:val="20"/>
                <w:szCs w:val="20"/>
                <w:lang w:val="en-GB"/>
              </w:rPr>
              <w:t>Government</w:t>
            </w:r>
          </w:p>
        </w:tc>
        <w:tc>
          <w:tcPr>
            <w:tcW w:w="894" w:type="dxa"/>
            <w:tcBorders>
              <w:top w:val="nil"/>
              <w:left w:val="nil"/>
              <w:bottom w:val="nil"/>
              <w:right w:val="single" w:sz="8" w:space="0" w:color="4472C4"/>
            </w:tcBorders>
            <w:tcMar>
              <w:top w:w="0" w:type="dxa"/>
              <w:left w:w="108" w:type="dxa"/>
              <w:bottom w:w="0" w:type="dxa"/>
              <w:right w:w="108" w:type="dxa"/>
            </w:tcMar>
            <w:hideMark/>
          </w:tcPr>
          <w:p w14:paraId="337FA44F" w14:textId="77777777" w:rsidR="002D1818" w:rsidRDefault="002D1818" w:rsidP="00A933E4">
            <w:pPr>
              <w:rPr>
                <w:rFonts w:ascii="Times New Roman" w:hAnsi="Times New Roman"/>
                <w:sz w:val="20"/>
                <w:szCs w:val="20"/>
                <w:lang w:val="en-GB"/>
              </w:rPr>
            </w:pPr>
            <w:r>
              <w:rPr>
                <w:rFonts w:ascii="Times New Roman" w:hAnsi="Times New Roman"/>
                <w:sz w:val="20"/>
                <w:szCs w:val="20"/>
                <w:lang w:val="en-GB"/>
              </w:rPr>
              <w:t>High</w:t>
            </w:r>
          </w:p>
        </w:tc>
      </w:tr>
      <w:tr w:rsidR="00EF64E0" w14:paraId="03724ABE" w14:textId="77777777" w:rsidTr="00EF64E0">
        <w:trPr>
          <w:gridAfter w:val="1"/>
          <w:wAfter w:w="41" w:type="dxa"/>
        </w:trPr>
        <w:tc>
          <w:tcPr>
            <w:tcW w:w="10309" w:type="dxa"/>
            <w:tcBorders>
              <w:top w:val="single" w:sz="8" w:space="0" w:color="4472C4"/>
              <w:left w:val="single" w:sz="8" w:space="0" w:color="4472C4"/>
              <w:bottom w:val="single" w:sz="8" w:space="0" w:color="4472C4"/>
              <w:right w:val="nil"/>
            </w:tcBorders>
            <w:shd w:val="clear" w:color="auto" w:fill="FFFFFF"/>
            <w:tcMar>
              <w:top w:w="0" w:type="dxa"/>
              <w:left w:w="108" w:type="dxa"/>
              <w:bottom w:w="0" w:type="dxa"/>
              <w:right w:w="108" w:type="dxa"/>
            </w:tcMar>
            <w:hideMark/>
          </w:tcPr>
          <w:p w14:paraId="6307B455" w14:textId="77777777" w:rsidR="002D1818" w:rsidRDefault="00931F86" w:rsidP="007575D7">
            <w:pPr>
              <w:jc w:val="both"/>
              <w:rPr>
                <w:rFonts w:ascii="Times New Roman" w:eastAsia="Times New Roman" w:hAnsi="Times New Roman"/>
                <w:sz w:val="20"/>
                <w:szCs w:val="20"/>
                <w:lang w:val="en-GB"/>
              </w:rPr>
            </w:pPr>
            <w:r>
              <w:rPr>
                <w:rFonts w:ascii="Times New Roman" w:eastAsia="Times New Roman" w:hAnsi="Times New Roman"/>
                <w:sz w:val="20"/>
                <w:szCs w:val="20"/>
              </w:rPr>
              <w:t>3</w:t>
            </w:r>
            <w:r w:rsidR="00BB17ED">
              <w:rPr>
                <w:rFonts w:ascii="Times New Roman" w:eastAsia="Times New Roman" w:hAnsi="Times New Roman"/>
                <w:sz w:val="20"/>
                <w:szCs w:val="20"/>
              </w:rPr>
              <w:t>.</w:t>
            </w:r>
            <w:r w:rsidR="00D13134">
              <w:rPr>
                <w:rFonts w:ascii="Times New Roman" w:eastAsia="Times New Roman" w:hAnsi="Times New Roman"/>
                <w:sz w:val="20"/>
                <w:szCs w:val="20"/>
              </w:rPr>
              <w:t>3</w:t>
            </w:r>
            <w:r w:rsidR="00BB17ED">
              <w:rPr>
                <w:rFonts w:ascii="Times New Roman" w:eastAsia="Times New Roman" w:hAnsi="Times New Roman"/>
                <w:sz w:val="20"/>
                <w:szCs w:val="20"/>
              </w:rPr>
              <w:t xml:space="preserve"> </w:t>
            </w:r>
            <w:r w:rsidR="002D1818" w:rsidRPr="00BB17ED">
              <w:rPr>
                <w:rFonts w:ascii="Times New Roman" w:eastAsia="Times New Roman" w:hAnsi="Times New Roman"/>
                <w:sz w:val="20"/>
                <w:szCs w:val="20"/>
                <w:lang w:val="en-GB"/>
              </w:rPr>
              <w:t>Press for the issuing of rules at the WAEMU level regulating cooperation between the WAEMU Commission and national competition authorities.</w:t>
            </w:r>
          </w:p>
          <w:p w14:paraId="22A52967" w14:textId="0C1D81C2" w:rsidR="00B77A17" w:rsidRPr="00BB17ED" w:rsidRDefault="00B77A17" w:rsidP="007575D7">
            <w:pPr>
              <w:jc w:val="both"/>
              <w:rPr>
                <w:rFonts w:ascii="Times New Roman" w:hAnsi="Times New Roman"/>
                <w:sz w:val="20"/>
                <w:szCs w:val="20"/>
                <w:lang w:val="en-GB"/>
              </w:rPr>
            </w:pPr>
          </w:p>
        </w:tc>
        <w:tc>
          <w:tcPr>
            <w:tcW w:w="1850" w:type="dxa"/>
            <w:gridSpan w:val="2"/>
            <w:tcBorders>
              <w:top w:val="single" w:sz="8" w:space="0" w:color="4472C4"/>
              <w:left w:val="nil"/>
              <w:bottom w:val="single" w:sz="8" w:space="0" w:color="4472C4"/>
              <w:right w:val="nil"/>
            </w:tcBorders>
            <w:tcMar>
              <w:top w:w="0" w:type="dxa"/>
              <w:left w:w="108" w:type="dxa"/>
              <w:bottom w:w="0" w:type="dxa"/>
              <w:right w:w="108" w:type="dxa"/>
            </w:tcMar>
            <w:hideMark/>
          </w:tcPr>
          <w:p w14:paraId="35322B7C" w14:textId="6D256A50" w:rsidR="002D1818" w:rsidRDefault="003B24ED" w:rsidP="00A933E4">
            <w:pPr>
              <w:rPr>
                <w:rFonts w:ascii="Times New Roman" w:hAnsi="Times New Roman"/>
                <w:sz w:val="20"/>
                <w:szCs w:val="20"/>
                <w:lang w:val="en-GB"/>
              </w:rPr>
            </w:pPr>
            <w:r>
              <w:rPr>
                <w:rFonts w:ascii="Times New Roman" w:hAnsi="Times New Roman"/>
                <w:sz w:val="20"/>
                <w:szCs w:val="20"/>
                <w:lang w:val="en-GB"/>
              </w:rPr>
              <w:t>Government</w:t>
            </w:r>
          </w:p>
        </w:tc>
        <w:tc>
          <w:tcPr>
            <w:tcW w:w="894" w:type="dxa"/>
            <w:tcBorders>
              <w:top w:val="single" w:sz="8" w:space="0" w:color="4472C4"/>
              <w:left w:val="nil"/>
              <w:bottom w:val="single" w:sz="8" w:space="0" w:color="4472C4"/>
              <w:right w:val="single" w:sz="8" w:space="0" w:color="4472C4"/>
            </w:tcBorders>
            <w:tcMar>
              <w:top w:w="0" w:type="dxa"/>
              <w:left w:w="108" w:type="dxa"/>
              <w:bottom w:w="0" w:type="dxa"/>
              <w:right w:w="108" w:type="dxa"/>
            </w:tcMar>
            <w:hideMark/>
          </w:tcPr>
          <w:p w14:paraId="60BB106F" w14:textId="77777777" w:rsidR="002D1818" w:rsidRDefault="002D1818" w:rsidP="00A933E4">
            <w:pPr>
              <w:rPr>
                <w:rFonts w:ascii="Times New Roman" w:hAnsi="Times New Roman"/>
                <w:sz w:val="20"/>
                <w:szCs w:val="20"/>
                <w:lang w:val="en-GB"/>
              </w:rPr>
            </w:pPr>
            <w:r>
              <w:rPr>
                <w:rFonts w:ascii="Times New Roman" w:hAnsi="Times New Roman"/>
                <w:sz w:val="20"/>
                <w:szCs w:val="20"/>
                <w:lang w:val="en-GB"/>
              </w:rPr>
              <w:t>High</w:t>
            </w:r>
          </w:p>
        </w:tc>
      </w:tr>
      <w:tr w:rsidR="00EF64E0" w14:paraId="799966F9" w14:textId="77777777" w:rsidTr="00EF64E0">
        <w:trPr>
          <w:gridAfter w:val="1"/>
          <w:wAfter w:w="41" w:type="dxa"/>
        </w:trPr>
        <w:tc>
          <w:tcPr>
            <w:tcW w:w="10309" w:type="dxa"/>
            <w:tcBorders>
              <w:top w:val="nil"/>
              <w:left w:val="single" w:sz="8" w:space="0" w:color="4472C4"/>
              <w:bottom w:val="nil"/>
              <w:right w:val="nil"/>
            </w:tcBorders>
            <w:shd w:val="clear" w:color="auto" w:fill="FFFFFF"/>
            <w:tcMar>
              <w:top w:w="0" w:type="dxa"/>
              <w:left w:w="108" w:type="dxa"/>
              <w:bottom w:w="0" w:type="dxa"/>
              <w:right w:w="108" w:type="dxa"/>
            </w:tcMar>
            <w:hideMark/>
          </w:tcPr>
          <w:p w14:paraId="0F551690" w14:textId="77777777" w:rsidR="002D1818" w:rsidRDefault="00931F86" w:rsidP="007575D7">
            <w:pPr>
              <w:jc w:val="both"/>
              <w:rPr>
                <w:rFonts w:ascii="Times New Roman" w:eastAsia="Times New Roman" w:hAnsi="Times New Roman"/>
                <w:sz w:val="20"/>
                <w:szCs w:val="20"/>
                <w:lang w:val="en-GB"/>
              </w:rPr>
            </w:pPr>
            <w:r>
              <w:rPr>
                <w:rFonts w:ascii="Times New Roman" w:eastAsia="Times New Roman" w:hAnsi="Times New Roman"/>
                <w:sz w:val="20"/>
                <w:szCs w:val="20"/>
                <w:lang w:val="en-GB"/>
              </w:rPr>
              <w:t>3</w:t>
            </w:r>
            <w:r w:rsidR="00BB17ED">
              <w:rPr>
                <w:rFonts w:ascii="Times New Roman" w:eastAsia="Times New Roman" w:hAnsi="Times New Roman"/>
                <w:sz w:val="20"/>
                <w:szCs w:val="20"/>
                <w:lang w:val="en-GB"/>
              </w:rPr>
              <w:t>.</w:t>
            </w:r>
            <w:r w:rsidR="00D13134">
              <w:rPr>
                <w:rFonts w:ascii="Times New Roman" w:eastAsia="Times New Roman" w:hAnsi="Times New Roman"/>
                <w:sz w:val="20"/>
                <w:szCs w:val="20"/>
                <w:lang w:val="en-GB"/>
              </w:rPr>
              <w:t>4</w:t>
            </w:r>
            <w:r w:rsidR="00BB17ED">
              <w:rPr>
                <w:rFonts w:ascii="Times New Roman" w:eastAsia="Times New Roman" w:hAnsi="Times New Roman"/>
                <w:sz w:val="20"/>
                <w:szCs w:val="20"/>
                <w:lang w:val="en-GB"/>
              </w:rPr>
              <w:t xml:space="preserve"> </w:t>
            </w:r>
            <w:r w:rsidR="002D1818" w:rsidRPr="00BB17ED">
              <w:rPr>
                <w:rFonts w:ascii="Times New Roman" w:eastAsia="Times New Roman" w:hAnsi="Times New Roman"/>
                <w:sz w:val="20"/>
                <w:szCs w:val="20"/>
                <w:lang w:val="en-GB"/>
              </w:rPr>
              <w:t>Press for the strengthening and adequate resourcing of the WAEMU Commission to enhance competition enforcement.</w:t>
            </w:r>
          </w:p>
          <w:p w14:paraId="52AA1B63" w14:textId="1D137AA7" w:rsidR="00B77A17" w:rsidRPr="00BB17ED" w:rsidRDefault="00B77A17" w:rsidP="00BB17ED">
            <w:pPr>
              <w:rPr>
                <w:rFonts w:ascii="Times New Roman" w:hAnsi="Times New Roman"/>
                <w:sz w:val="20"/>
                <w:szCs w:val="20"/>
                <w:lang w:val="en-GB"/>
              </w:rPr>
            </w:pPr>
          </w:p>
        </w:tc>
        <w:tc>
          <w:tcPr>
            <w:tcW w:w="1850" w:type="dxa"/>
            <w:gridSpan w:val="2"/>
            <w:tcMar>
              <w:top w:w="0" w:type="dxa"/>
              <w:left w:w="108" w:type="dxa"/>
              <w:bottom w:w="0" w:type="dxa"/>
              <w:right w:w="108" w:type="dxa"/>
            </w:tcMar>
            <w:hideMark/>
          </w:tcPr>
          <w:p w14:paraId="62E97FED" w14:textId="4F6C736D" w:rsidR="002D1818" w:rsidRDefault="003B24ED" w:rsidP="00A933E4">
            <w:pPr>
              <w:rPr>
                <w:rFonts w:ascii="Times New Roman" w:hAnsi="Times New Roman"/>
                <w:sz w:val="20"/>
                <w:szCs w:val="20"/>
                <w:lang w:val="en-GB"/>
              </w:rPr>
            </w:pPr>
            <w:r>
              <w:rPr>
                <w:rFonts w:ascii="Times New Roman" w:hAnsi="Times New Roman"/>
                <w:sz w:val="20"/>
                <w:szCs w:val="20"/>
                <w:lang w:val="en-GB"/>
              </w:rPr>
              <w:t>Government</w:t>
            </w:r>
          </w:p>
        </w:tc>
        <w:tc>
          <w:tcPr>
            <w:tcW w:w="894" w:type="dxa"/>
            <w:tcBorders>
              <w:top w:val="nil"/>
              <w:left w:val="nil"/>
              <w:bottom w:val="nil"/>
              <w:right w:val="single" w:sz="8" w:space="0" w:color="4472C4"/>
            </w:tcBorders>
            <w:tcMar>
              <w:top w:w="0" w:type="dxa"/>
              <w:left w:w="108" w:type="dxa"/>
              <w:bottom w:w="0" w:type="dxa"/>
              <w:right w:w="108" w:type="dxa"/>
            </w:tcMar>
            <w:hideMark/>
          </w:tcPr>
          <w:p w14:paraId="32DD9492" w14:textId="77777777" w:rsidR="002D1818" w:rsidRDefault="002D1818" w:rsidP="00A933E4">
            <w:pPr>
              <w:rPr>
                <w:rFonts w:ascii="Times New Roman" w:hAnsi="Times New Roman"/>
                <w:sz w:val="20"/>
                <w:szCs w:val="20"/>
                <w:lang w:val="en-GB"/>
              </w:rPr>
            </w:pPr>
            <w:r>
              <w:rPr>
                <w:rFonts w:ascii="Times New Roman" w:hAnsi="Times New Roman"/>
                <w:sz w:val="20"/>
                <w:szCs w:val="20"/>
                <w:lang w:val="en-GB"/>
              </w:rPr>
              <w:t>Medium</w:t>
            </w:r>
          </w:p>
        </w:tc>
      </w:tr>
      <w:tr w:rsidR="002D1818" w14:paraId="4726557D" w14:textId="77777777" w:rsidTr="00C538DB">
        <w:trPr>
          <w:gridAfter w:val="1"/>
          <w:wAfter w:w="41" w:type="dxa"/>
        </w:trPr>
        <w:tc>
          <w:tcPr>
            <w:tcW w:w="13053" w:type="dxa"/>
            <w:gridSpan w:val="4"/>
            <w:tcBorders>
              <w:top w:val="single" w:sz="8" w:space="0" w:color="4472C4"/>
              <w:left w:val="single" w:sz="8" w:space="0" w:color="4472C4"/>
              <w:bottom w:val="single" w:sz="8" w:space="0" w:color="4472C4"/>
              <w:right w:val="nil"/>
            </w:tcBorders>
            <w:shd w:val="clear" w:color="auto" w:fill="D5DCE4"/>
            <w:tcMar>
              <w:top w:w="0" w:type="dxa"/>
              <w:left w:w="108" w:type="dxa"/>
              <w:bottom w:w="0" w:type="dxa"/>
              <w:right w:w="108" w:type="dxa"/>
            </w:tcMar>
            <w:hideMark/>
          </w:tcPr>
          <w:p w14:paraId="0D1058AB" w14:textId="77777777" w:rsidR="002D1818" w:rsidRDefault="0018643A" w:rsidP="00A933E4">
            <w:pPr>
              <w:ind w:left="360"/>
              <w:jc w:val="center"/>
              <w:rPr>
                <w:rFonts w:ascii="Times New Roman" w:hAnsi="Times New Roman"/>
                <w:b/>
                <w:bCs/>
                <w:sz w:val="20"/>
                <w:szCs w:val="20"/>
                <w:lang w:val="en-GB"/>
              </w:rPr>
            </w:pPr>
            <w:r>
              <w:rPr>
                <w:rFonts w:ascii="Times New Roman" w:hAnsi="Times New Roman"/>
                <w:b/>
                <w:bCs/>
                <w:sz w:val="20"/>
                <w:szCs w:val="20"/>
                <w:lang w:val="en-GB"/>
              </w:rPr>
              <w:t xml:space="preserve">Competition policy and legal framework: </w:t>
            </w:r>
            <w:r w:rsidR="002D1818">
              <w:rPr>
                <w:rFonts w:ascii="Times New Roman" w:hAnsi="Times New Roman"/>
                <w:b/>
                <w:bCs/>
                <w:sz w:val="20"/>
                <w:szCs w:val="20"/>
                <w:lang w:val="en-GB"/>
              </w:rPr>
              <w:t>National level</w:t>
            </w:r>
          </w:p>
        </w:tc>
      </w:tr>
      <w:tr w:rsidR="00EF64E0" w14:paraId="2191A251" w14:textId="77777777" w:rsidTr="00EF64E0">
        <w:trPr>
          <w:gridAfter w:val="1"/>
          <w:wAfter w:w="41" w:type="dxa"/>
        </w:trPr>
        <w:tc>
          <w:tcPr>
            <w:tcW w:w="10309" w:type="dxa"/>
            <w:tcBorders>
              <w:top w:val="nil"/>
              <w:left w:val="single" w:sz="8" w:space="0" w:color="4472C4"/>
              <w:bottom w:val="nil"/>
              <w:right w:val="nil"/>
            </w:tcBorders>
            <w:shd w:val="clear" w:color="auto" w:fill="FFFFFF"/>
            <w:tcMar>
              <w:top w:w="0" w:type="dxa"/>
              <w:left w:w="108" w:type="dxa"/>
              <w:bottom w:w="0" w:type="dxa"/>
              <w:right w:w="108" w:type="dxa"/>
            </w:tcMar>
            <w:hideMark/>
          </w:tcPr>
          <w:p w14:paraId="2544E8DF" w14:textId="2DFF431C" w:rsidR="002D1818" w:rsidRDefault="00931F86" w:rsidP="007575D7">
            <w:pPr>
              <w:jc w:val="both"/>
              <w:rPr>
                <w:rFonts w:ascii="Times New Roman" w:eastAsia="Times New Roman" w:hAnsi="Times New Roman"/>
                <w:sz w:val="20"/>
                <w:szCs w:val="20"/>
                <w:lang w:val="en-GB"/>
              </w:rPr>
            </w:pPr>
            <w:r>
              <w:rPr>
                <w:rFonts w:ascii="Times New Roman" w:eastAsia="Times New Roman" w:hAnsi="Times New Roman"/>
                <w:sz w:val="20"/>
                <w:szCs w:val="20"/>
                <w:lang w:val="en-GB"/>
              </w:rPr>
              <w:t>3</w:t>
            </w:r>
            <w:r w:rsidR="00BB17ED">
              <w:rPr>
                <w:rFonts w:ascii="Times New Roman" w:eastAsia="Times New Roman" w:hAnsi="Times New Roman"/>
                <w:sz w:val="20"/>
                <w:szCs w:val="20"/>
                <w:lang w:val="en-GB"/>
              </w:rPr>
              <w:t>.</w:t>
            </w:r>
            <w:r w:rsidR="00D13134">
              <w:rPr>
                <w:rFonts w:ascii="Times New Roman" w:eastAsia="Times New Roman" w:hAnsi="Times New Roman"/>
                <w:sz w:val="20"/>
                <w:szCs w:val="20"/>
                <w:lang w:val="en-GB"/>
              </w:rPr>
              <w:t>5</w:t>
            </w:r>
            <w:r w:rsidR="00BB17ED">
              <w:rPr>
                <w:rFonts w:ascii="Times New Roman" w:eastAsia="Times New Roman" w:hAnsi="Times New Roman"/>
                <w:sz w:val="20"/>
                <w:szCs w:val="20"/>
                <w:lang w:val="en-GB"/>
              </w:rPr>
              <w:t xml:space="preserve"> </w:t>
            </w:r>
            <w:r w:rsidR="002D1818" w:rsidRPr="00BB17ED">
              <w:rPr>
                <w:rFonts w:ascii="Times New Roman" w:eastAsia="Times New Roman" w:hAnsi="Times New Roman"/>
                <w:sz w:val="20"/>
                <w:szCs w:val="20"/>
                <w:lang w:val="en-GB"/>
              </w:rPr>
              <w:t>Encourage NCC to carry</w:t>
            </w:r>
            <w:r w:rsidR="00844E9C" w:rsidRPr="00BB17ED">
              <w:rPr>
                <w:rFonts w:ascii="Times New Roman" w:eastAsia="Times New Roman" w:hAnsi="Times New Roman"/>
                <w:sz w:val="20"/>
                <w:szCs w:val="20"/>
                <w:lang w:val="en-GB"/>
              </w:rPr>
              <w:t xml:space="preserve"> </w:t>
            </w:r>
            <w:r w:rsidR="002D1818" w:rsidRPr="00BB17ED">
              <w:rPr>
                <w:rFonts w:ascii="Times New Roman" w:eastAsia="Times New Roman" w:hAnsi="Times New Roman"/>
                <w:sz w:val="20"/>
                <w:szCs w:val="20"/>
                <w:lang w:val="en-GB"/>
              </w:rPr>
              <w:t xml:space="preserve">out market studies and improve </w:t>
            </w:r>
            <w:r w:rsidR="00E12D09">
              <w:rPr>
                <w:rFonts w:ascii="Times New Roman" w:eastAsia="Times New Roman" w:hAnsi="Times New Roman"/>
                <w:sz w:val="20"/>
                <w:szCs w:val="20"/>
                <w:lang w:val="en-GB"/>
              </w:rPr>
              <w:t xml:space="preserve">communication </w:t>
            </w:r>
            <w:r w:rsidR="002D1818" w:rsidRPr="00BB17ED">
              <w:rPr>
                <w:rFonts w:ascii="Times New Roman" w:eastAsia="Times New Roman" w:hAnsi="Times New Roman"/>
                <w:sz w:val="20"/>
                <w:szCs w:val="20"/>
                <w:lang w:val="en-GB"/>
              </w:rPr>
              <w:t xml:space="preserve">and collaboration with sector-specific regulators and other </w:t>
            </w:r>
            <w:r w:rsidR="003B24ED">
              <w:rPr>
                <w:rFonts w:ascii="Times New Roman" w:eastAsia="Times New Roman" w:hAnsi="Times New Roman"/>
                <w:sz w:val="20"/>
                <w:szCs w:val="20"/>
                <w:lang w:val="en-GB"/>
              </w:rPr>
              <w:t>Government</w:t>
            </w:r>
            <w:r w:rsidR="006A7588" w:rsidRPr="00BB17ED">
              <w:rPr>
                <w:rFonts w:ascii="Times New Roman" w:eastAsia="Times New Roman" w:hAnsi="Times New Roman"/>
                <w:sz w:val="20"/>
                <w:szCs w:val="20"/>
                <w:lang w:val="en-GB"/>
              </w:rPr>
              <w:t xml:space="preserve"> </w:t>
            </w:r>
            <w:r w:rsidR="002D1818" w:rsidRPr="00BB17ED">
              <w:rPr>
                <w:rFonts w:ascii="Times New Roman" w:eastAsia="Times New Roman" w:hAnsi="Times New Roman"/>
                <w:sz w:val="20"/>
                <w:szCs w:val="20"/>
                <w:lang w:val="en-GB"/>
              </w:rPr>
              <w:t>institutions to address competition issues.</w:t>
            </w:r>
          </w:p>
          <w:p w14:paraId="24AA6D2F" w14:textId="349A79F1" w:rsidR="00B77A17" w:rsidRPr="00BB17ED" w:rsidRDefault="00B77A17" w:rsidP="006A7588">
            <w:pPr>
              <w:rPr>
                <w:rFonts w:ascii="Times New Roman" w:hAnsi="Times New Roman"/>
                <w:sz w:val="20"/>
                <w:szCs w:val="20"/>
                <w:lang w:val="en-GB"/>
              </w:rPr>
            </w:pPr>
          </w:p>
        </w:tc>
        <w:tc>
          <w:tcPr>
            <w:tcW w:w="1850" w:type="dxa"/>
            <w:gridSpan w:val="2"/>
            <w:tcMar>
              <w:top w:w="0" w:type="dxa"/>
              <w:left w:w="108" w:type="dxa"/>
              <w:bottom w:w="0" w:type="dxa"/>
              <w:right w:w="108" w:type="dxa"/>
            </w:tcMar>
            <w:hideMark/>
          </w:tcPr>
          <w:p w14:paraId="392B7692" w14:textId="77777777" w:rsidR="002D1818" w:rsidRDefault="002D1818" w:rsidP="00A933E4">
            <w:pPr>
              <w:rPr>
                <w:rFonts w:ascii="Times New Roman" w:hAnsi="Times New Roman"/>
                <w:sz w:val="20"/>
                <w:szCs w:val="20"/>
                <w:lang w:val="en-GB"/>
              </w:rPr>
            </w:pPr>
            <w:r>
              <w:rPr>
                <w:rFonts w:ascii="Times New Roman" w:hAnsi="Times New Roman"/>
                <w:sz w:val="20"/>
                <w:szCs w:val="20"/>
                <w:lang w:val="en-GB"/>
              </w:rPr>
              <w:t>NCC</w:t>
            </w:r>
          </w:p>
        </w:tc>
        <w:tc>
          <w:tcPr>
            <w:tcW w:w="894" w:type="dxa"/>
            <w:tcBorders>
              <w:top w:val="nil"/>
              <w:left w:val="nil"/>
              <w:bottom w:val="nil"/>
              <w:right w:val="single" w:sz="8" w:space="0" w:color="4472C4"/>
            </w:tcBorders>
            <w:tcMar>
              <w:top w:w="0" w:type="dxa"/>
              <w:left w:w="108" w:type="dxa"/>
              <w:bottom w:w="0" w:type="dxa"/>
              <w:right w:w="108" w:type="dxa"/>
            </w:tcMar>
            <w:hideMark/>
          </w:tcPr>
          <w:p w14:paraId="5370985A" w14:textId="77777777" w:rsidR="002D1818" w:rsidRDefault="002D1818" w:rsidP="00A933E4">
            <w:pPr>
              <w:rPr>
                <w:rFonts w:ascii="Times New Roman" w:hAnsi="Times New Roman"/>
                <w:sz w:val="20"/>
                <w:szCs w:val="20"/>
                <w:lang w:val="en-GB"/>
              </w:rPr>
            </w:pPr>
            <w:r>
              <w:rPr>
                <w:rFonts w:ascii="Times New Roman" w:hAnsi="Times New Roman"/>
                <w:sz w:val="20"/>
                <w:szCs w:val="20"/>
                <w:lang w:val="en-GB"/>
              </w:rPr>
              <w:t>High</w:t>
            </w:r>
          </w:p>
        </w:tc>
      </w:tr>
      <w:tr w:rsidR="00EF64E0" w14:paraId="5C03C4D4" w14:textId="77777777" w:rsidTr="00EF64E0">
        <w:trPr>
          <w:gridAfter w:val="1"/>
          <w:wAfter w:w="41" w:type="dxa"/>
        </w:trPr>
        <w:tc>
          <w:tcPr>
            <w:tcW w:w="10309" w:type="dxa"/>
            <w:tcBorders>
              <w:top w:val="single" w:sz="8" w:space="0" w:color="4472C4"/>
              <w:left w:val="single" w:sz="8" w:space="0" w:color="4472C4"/>
              <w:bottom w:val="single" w:sz="8" w:space="0" w:color="4472C4"/>
              <w:right w:val="nil"/>
            </w:tcBorders>
            <w:shd w:val="clear" w:color="auto" w:fill="FFFFFF"/>
            <w:tcMar>
              <w:top w:w="0" w:type="dxa"/>
              <w:left w:w="108" w:type="dxa"/>
              <w:bottom w:w="0" w:type="dxa"/>
              <w:right w:w="108" w:type="dxa"/>
            </w:tcMar>
            <w:hideMark/>
          </w:tcPr>
          <w:p w14:paraId="691D4E78" w14:textId="77777777" w:rsidR="002D1818" w:rsidRDefault="00931F86" w:rsidP="007575D7">
            <w:pPr>
              <w:jc w:val="both"/>
              <w:rPr>
                <w:rFonts w:ascii="Times New Roman" w:eastAsia="Times New Roman" w:hAnsi="Times New Roman"/>
                <w:sz w:val="20"/>
                <w:szCs w:val="20"/>
                <w:lang w:val="en-GB"/>
              </w:rPr>
            </w:pPr>
            <w:r>
              <w:rPr>
                <w:rFonts w:ascii="Times New Roman" w:eastAsia="Times New Roman" w:hAnsi="Times New Roman"/>
                <w:sz w:val="20"/>
                <w:szCs w:val="20"/>
                <w:lang w:val="en-GB"/>
              </w:rPr>
              <w:t>3</w:t>
            </w:r>
            <w:r w:rsidR="00BB17ED">
              <w:rPr>
                <w:rFonts w:ascii="Times New Roman" w:eastAsia="Times New Roman" w:hAnsi="Times New Roman"/>
                <w:sz w:val="20"/>
                <w:szCs w:val="20"/>
                <w:lang w:val="en-GB"/>
              </w:rPr>
              <w:t>.</w:t>
            </w:r>
            <w:r w:rsidR="00D13134">
              <w:rPr>
                <w:rFonts w:ascii="Times New Roman" w:eastAsia="Times New Roman" w:hAnsi="Times New Roman"/>
                <w:sz w:val="20"/>
                <w:szCs w:val="20"/>
                <w:lang w:val="en-GB"/>
              </w:rPr>
              <w:t>6</w:t>
            </w:r>
            <w:r w:rsidR="00BB17ED">
              <w:rPr>
                <w:rFonts w:ascii="Times New Roman" w:eastAsia="Times New Roman" w:hAnsi="Times New Roman"/>
                <w:sz w:val="20"/>
                <w:szCs w:val="20"/>
                <w:lang w:val="en-GB"/>
              </w:rPr>
              <w:t xml:space="preserve"> </w:t>
            </w:r>
            <w:r w:rsidR="002D1818" w:rsidRPr="00BB17ED">
              <w:rPr>
                <w:rFonts w:ascii="Times New Roman" w:eastAsia="Times New Roman" w:hAnsi="Times New Roman"/>
                <w:sz w:val="20"/>
                <w:szCs w:val="20"/>
                <w:lang w:val="en-GB"/>
              </w:rPr>
              <w:t>Depending on the clarification of regional vs</w:t>
            </w:r>
            <w:r w:rsidR="00B36A3C">
              <w:rPr>
                <w:rFonts w:ascii="Times New Roman" w:eastAsia="Times New Roman" w:hAnsi="Times New Roman"/>
                <w:sz w:val="20"/>
                <w:szCs w:val="20"/>
                <w:lang w:val="en-GB"/>
              </w:rPr>
              <w:t>.</w:t>
            </w:r>
            <w:r w:rsidR="002D1818" w:rsidRPr="00BB17ED">
              <w:rPr>
                <w:rFonts w:ascii="Times New Roman" w:eastAsia="Times New Roman" w:hAnsi="Times New Roman"/>
                <w:sz w:val="20"/>
                <w:szCs w:val="20"/>
                <w:lang w:val="en-GB"/>
              </w:rPr>
              <w:t xml:space="preserve"> national powers, consider setting</w:t>
            </w:r>
            <w:r w:rsidR="00273B38" w:rsidRPr="00BB17ED">
              <w:rPr>
                <w:rFonts w:ascii="Times New Roman" w:eastAsia="Times New Roman" w:hAnsi="Times New Roman"/>
                <w:sz w:val="20"/>
                <w:szCs w:val="20"/>
                <w:lang w:val="en-GB"/>
              </w:rPr>
              <w:t xml:space="preserve"> </w:t>
            </w:r>
            <w:r w:rsidR="002D1818" w:rsidRPr="00BB17ED">
              <w:rPr>
                <w:rFonts w:ascii="Times New Roman" w:eastAsia="Times New Roman" w:hAnsi="Times New Roman"/>
                <w:sz w:val="20"/>
                <w:szCs w:val="20"/>
                <w:lang w:val="en-GB"/>
              </w:rPr>
              <w:t>up an independent NCC with the adequate financial, human and technical resources to make it fully operational in terms of competition law enforcement.</w:t>
            </w:r>
          </w:p>
          <w:p w14:paraId="6B0CCD4C" w14:textId="365800A3" w:rsidR="00B77A17" w:rsidRPr="00BB17ED" w:rsidRDefault="00B77A17" w:rsidP="007575D7">
            <w:pPr>
              <w:jc w:val="both"/>
              <w:rPr>
                <w:rFonts w:ascii="Times New Roman" w:hAnsi="Times New Roman"/>
                <w:sz w:val="20"/>
                <w:szCs w:val="20"/>
                <w:lang w:val="en-GB"/>
              </w:rPr>
            </w:pPr>
          </w:p>
        </w:tc>
        <w:tc>
          <w:tcPr>
            <w:tcW w:w="1850" w:type="dxa"/>
            <w:gridSpan w:val="2"/>
            <w:tcBorders>
              <w:top w:val="single" w:sz="8" w:space="0" w:color="4472C4"/>
              <w:left w:val="nil"/>
              <w:bottom w:val="single" w:sz="8" w:space="0" w:color="4472C4"/>
              <w:right w:val="nil"/>
            </w:tcBorders>
            <w:tcMar>
              <w:top w:w="0" w:type="dxa"/>
              <w:left w:w="108" w:type="dxa"/>
              <w:bottom w:w="0" w:type="dxa"/>
              <w:right w:w="108" w:type="dxa"/>
            </w:tcMar>
            <w:hideMark/>
          </w:tcPr>
          <w:p w14:paraId="652CCE93" w14:textId="34BE6077" w:rsidR="002D1818" w:rsidRDefault="003B24ED" w:rsidP="00A933E4">
            <w:pPr>
              <w:rPr>
                <w:rFonts w:ascii="Times New Roman" w:hAnsi="Times New Roman"/>
                <w:sz w:val="20"/>
                <w:szCs w:val="20"/>
                <w:lang w:val="en-GB"/>
              </w:rPr>
            </w:pPr>
            <w:r>
              <w:rPr>
                <w:rFonts w:ascii="Times New Roman" w:hAnsi="Times New Roman"/>
                <w:sz w:val="20"/>
                <w:szCs w:val="20"/>
                <w:lang w:val="en-GB"/>
              </w:rPr>
              <w:t>Government</w:t>
            </w:r>
          </w:p>
        </w:tc>
        <w:tc>
          <w:tcPr>
            <w:tcW w:w="894" w:type="dxa"/>
            <w:tcBorders>
              <w:top w:val="single" w:sz="8" w:space="0" w:color="4472C4"/>
              <w:left w:val="nil"/>
              <w:bottom w:val="single" w:sz="8" w:space="0" w:color="4472C4"/>
              <w:right w:val="single" w:sz="8" w:space="0" w:color="4472C4"/>
            </w:tcBorders>
            <w:tcMar>
              <w:top w:w="0" w:type="dxa"/>
              <w:left w:w="108" w:type="dxa"/>
              <w:bottom w:w="0" w:type="dxa"/>
              <w:right w:w="108" w:type="dxa"/>
            </w:tcMar>
            <w:hideMark/>
          </w:tcPr>
          <w:p w14:paraId="02FDC1E3" w14:textId="77777777" w:rsidR="002D1818" w:rsidRDefault="002D1818" w:rsidP="00A933E4">
            <w:pPr>
              <w:rPr>
                <w:rFonts w:ascii="Times New Roman" w:hAnsi="Times New Roman"/>
                <w:sz w:val="20"/>
                <w:szCs w:val="20"/>
                <w:lang w:val="en-GB"/>
              </w:rPr>
            </w:pPr>
            <w:r>
              <w:rPr>
                <w:rFonts w:ascii="Times New Roman" w:hAnsi="Times New Roman"/>
                <w:sz w:val="20"/>
                <w:szCs w:val="20"/>
                <w:lang w:val="en-GB"/>
              </w:rPr>
              <w:t>High</w:t>
            </w:r>
          </w:p>
        </w:tc>
      </w:tr>
      <w:tr w:rsidR="00EF64E0" w14:paraId="261E3A8E" w14:textId="77777777" w:rsidTr="00EF64E0">
        <w:trPr>
          <w:gridAfter w:val="1"/>
          <w:wAfter w:w="41" w:type="dxa"/>
        </w:trPr>
        <w:tc>
          <w:tcPr>
            <w:tcW w:w="10309" w:type="dxa"/>
            <w:tcBorders>
              <w:top w:val="nil"/>
              <w:left w:val="single" w:sz="8" w:space="0" w:color="4472C4"/>
              <w:bottom w:val="single" w:sz="8" w:space="0" w:color="4472C4"/>
              <w:right w:val="nil"/>
            </w:tcBorders>
            <w:shd w:val="clear" w:color="auto" w:fill="FFFFFF"/>
            <w:tcMar>
              <w:top w:w="0" w:type="dxa"/>
              <w:left w:w="108" w:type="dxa"/>
              <w:bottom w:w="0" w:type="dxa"/>
              <w:right w:w="108" w:type="dxa"/>
            </w:tcMar>
            <w:hideMark/>
          </w:tcPr>
          <w:p w14:paraId="17A2EF08" w14:textId="77777777" w:rsidR="002D1818" w:rsidRPr="00BB17ED" w:rsidRDefault="00931F86" w:rsidP="007575D7">
            <w:pPr>
              <w:jc w:val="both"/>
              <w:rPr>
                <w:rFonts w:ascii="Times New Roman" w:hAnsi="Times New Roman"/>
                <w:sz w:val="20"/>
                <w:szCs w:val="20"/>
                <w:lang w:val="en-GB"/>
              </w:rPr>
            </w:pPr>
            <w:r>
              <w:rPr>
                <w:rFonts w:ascii="Times New Roman" w:eastAsia="Times New Roman" w:hAnsi="Times New Roman"/>
                <w:sz w:val="20"/>
                <w:szCs w:val="20"/>
              </w:rPr>
              <w:t>3</w:t>
            </w:r>
            <w:r w:rsidR="00BB17ED">
              <w:rPr>
                <w:rFonts w:ascii="Times New Roman" w:eastAsia="Times New Roman" w:hAnsi="Times New Roman"/>
                <w:sz w:val="20"/>
                <w:szCs w:val="20"/>
              </w:rPr>
              <w:t>.</w:t>
            </w:r>
            <w:r w:rsidR="00D13134">
              <w:rPr>
                <w:rFonts w:ascii="Times New Roman" w:eastAsia="Times New Roman" w:hAnsi="Times New Roman"/>
                <w:sz w:val="20"/>
                <w:szCs w:val="20"/>
              </w:rPr>
              <w:t>7</w:t>
            </w:r>
            <w:r w:rsidR="00BB17ED">
              <w:rPr>
                <w:rFonts w:ascii="Times New Roman" w:eastAsia="Times New Roman" w:hAnsi="Times New Roman"/>
                <w:sz w:val="20"/>
                <w:szCs w:val="20"/>
              </w:rPr>
              <w:t xml:space="preserve"> </w:t>
            </w:r>
            <w:r w:rsidR="002D1818" w:rsidRPr="00BB17ED">
              <w:rPr>
                <w:rFonts w:ascii="Times New Roman" w:eastAsia="Times New Roman" w:hAnsi="Times New Roman"/>
                <w:sz w:val="20"/>
                <w:szCs w:val="20"/>
                <w:lang w:val="en-GB"/>
              </w:rPr>
              <w:t xml:space="preserve">In a scenario where the Competition Act would become enforceable, review the competition law </w:t>
            </w:r>
            <w:proofErr w:type="gramStart"/>
            <w:r w:rsidR="002D1818" w:rsidRPr="00BB17ED">
              <w:rPr>
                <w:rFonts w:ascii="Times New Roman" w:eastAsia="Times New Roman" w:hAnsi="Times New Roman"/>
                <w:sz w:val="20"/>
                <w:szCs w:val="20"/>
                <w:lang w:val="en-GB"/>
              </w:rPr>
              <w:t>in order to</w:t>
            </w:r>
            <w:proofErr w:type="gramEnd"/>
            <w:r w:rsidR="002D1818" w:rsidRPr="00BB17ED">
              <w:rPr>
                <w:rFonts w:ascii="Times New Roman" w:eastAsia="Times New Roman" w:hAnsi="Times New Roman"/>
                <w:sz w:val="20"/>
                <w:szCs w:val="20"/>
                <w:lang w:val="en-GB"/>
              </w:rPr>
              <w:t xml:space="preserve"> align with international best practice (e.g. provisions on abuse of dominance, prohibition of cartels, adequate sanctions).</w:t>
            </w:r>
          </w:p>
        </w:tc>
        <w:tc>
          <w:tcPr>
            <w:tcW w:w="1850" w:type="dxa"/>
            <w:gridSpan w:val="2"/>
            <w:tcBorders>
              <w:top w:val="nil"/>
              <w:left w:val="nil"/>
              <w:bottom w:val="single" w:sz="8" w:space="0" w:color="4472C4"/>
              <w:right w:val="nil"/>
            </w:tcBorders>
            <w:tcMar>
              <w:top w:w="0" w:type="dxa"/>
              <w:left w:w="108" w:type="dxa"/>
              <w:bottom w:w="0" w:type="dxa"/>
              <w:right w:w="108" w:type="dxa"/>
            </w:tcMar>
            <w:hideMark/>
          </w:tcPr>
          <w:p w14:paraId="60B8D39B" w14:textId="0687802A" w:rsidR="002D1818" w:rsidRDefault="003B24ED" w:rsidP="00A933E4">
            <w:pPr>
              <w:rPr>
                <w:rFonts w:ascii="Times New Roman" w:hAnsi="Times New Roman"/>
                <w:sz w:val="20"/>
                <w:szCs w:val="20"/>
                <w:lang w:val="en-GB"/>
              </w:rPr>
            </w:pPr>
            <w:r>
              <w:rPr>
                <w:rFonts w:ascii="Times New Roman" w:hAnsi="Times New Roman"/>
                <w:sz w:val="20"/>
                <w:szCs w:val="20"/>
                <w:lang w:val="en-GB"/>
              </w:rPr>
              <w:t>Government</w:t>
            </w:r>
            <w:r w:rsidR="002D1818">
              <w:rPr>
                <w:rFonts w:ascii="Times New Roman" w:hAnsi="Times New Roman"/>
                <w:sz w:val="20"/>
                <w:szCs w:val="20"/>
                <w:lang w:val="en-GB"/>
              </w:rPr>
              <w:t xml:space="preserve"> and Parliament</w:t>
            </w:r>
          </w:p>
        </w:tc>
        <w:tc>
          <w:tcPr>
            <w:tcW w:w="894" w:type="dxa"/>
            <w:tcBorders>
              <w:top w:val="nil"/>
              <w:left w:val="nil"/>
              <w:bottom w:val="single" w:sz="8" w:space="0" w:color="4472C4"/>
              <w:right w:val="single" w:sz="8" w:space="0" w:color="4472C4"/>
            </w:tcBorders>
            <w:tcMar>
              <w:top w:w="0" w:type="dxa"/>
              <w:left w:w="108" w:type="dxa"/>
              <w:bottom w:w="0" w:type="dxa"/>
              <w:right w:w="108" w:type="dxa"/>
            </w:tcMar>
            <w:hideMark/>
          </w:tcPr>
          <w:p w14:paraId="2D9AC903" w14:textId="77777777" w:rsidR="002D1818" w:rsidRDefault="002D1818" w:rsidP="00A933E4">
            <w:pPr>
              <w:rPr>
                <w:rFonts w:ascii="Times New Roman" w:hAnsi="Times New Roman"/>
                <w:sz w:val="20"/>
                <w:szCs w:val="20"/>
                <w:lang w:val="en-GB"/>
              </w:rPr>
            </w:pPr>
            <w:r>
              <w:rPr>
                <w:rFonts w:ascii="Times New Roman" w:hAnsi="Times New Roman"/>
                <w:sz w:val="20"/>
                <w:szCs w:val="20"/>
                <w:lang w:val="en-GB"/>
              </w:rPr>
              <w:t>High</w:t>
            </w:r>
          </w:p>
        </w:tc>
      </w:tr>
    </w:tbl>
    <w:p w14:paraId="70B9117B" w14:textId="77777777" w:rsidR="0055601B" w:rsidRPr="00C91EA2" w:rsidRDefault="0055601B" w:rsidP="00074D0C">
      <w:pPr>
        <w:rPr>
          <w:rFonts w:ascii="Times New Roman" w:hAnsi="Times New Roman" w:cs="Times New Roman"/>
        </w:rPr>
        <w:sectPr w:rsidR="0055601B" w:rsidRPr="00C91EA2" w:rsidSect="00B41724">
          <w:footerReference w:type="even" r:id="rId20"/>
          <w:footerReference w:type="default" r:id="rId21"/>
          <w:pgSz w:w="15840" w:h="12240" w:orient="landscape" w:code="1"/>
          <w:pgMar w:top="1800" w:right="1440" w:bottom="1800" w:left="1440" w:header="720" w:footer="720" w:gutter="0"/>
          <w:pgNumType w:fmt="lowerRoman"/>
          <w:cols w:space="720"/>
          <w:noEndnote/>
          <w:titlePg/>
          <w:docGrid w:linePitch="326"/>
        </w:sectPr>
      </w:pPr>
    </w:p>
    <w:p w14:paraId="06E088DC" w14:textId="77777777" w:rsidR="0043271C" w:rsidRPr="00C91EA2" w:rsidRDefault="0043271C" w:rsidP="0043271C">
      <w:pPr>
        <w:pStyle w:val="Heading1"/>
        <w:rPr>
          <w:rFonts w:ascii="Times New Roman" w:hAnsi="Times New Roman" w:cs="Times New Roman"/>
        </w:rPr>
      </w:pPr>
      <w:bookmarkStart w:id="38" w:name="_Toc497990815"/>
      <w:bookmarkStart w:id="39" w:name="_Toc520724097"/>
      <w:r w:rsidRPr="00C91EA2">
        <w:rPr>
          <w:rFonts w:ascii="Times New Roman" w:hAnsi="Times New Roman" w:cs="Times New Roman"/>
        </w:rPr>
        <w:t>1. Introduction</w:t>
      </w:r>
      <w:bookmarkEnd w:id="38"/>
      <w:bookmarkEnd w:id="39"/>
    </w:p>
    <w:p w14:paraId="6EEF060F" w14:textId="77777777" w:rsidR="0043271C" w:rsidRPr="00C91EA2" w:rsidRDefault="00576A60" w:rsidP="0043271C">
      <w:pPr>
        <w:pStyle w:val="Heading2"/>
        <w:rPr>
          <w:rFonts w:ascii="Times New Roman" w:hAnsi="Times New Roman" w:cs="Times New Roman"/>
        </w:rPr>
      </w:pPr>
      <w:bookmarkStart w:id="40" w:name="_Toc497990816"/>
      <w:bookmarkStart w:id="41" w:name="_Toc520724098"/>
      <w:r w:rsidRPr="00C91EA2">
        <w:rPr>
          <w:rFonts w:ascii="Times New Roman" w:hAnsi="Times New Roman" w:cs="Times New Roman"/>
        </w:rPr>
        <w:t xml:space="preserve">1.1 </w:t>
      </w:r>
      <w:r w:rsidR="0043271C" w:rsidRPr="00C91EA2">
        <w:rPr>
          <w:rFonts w:ascii="Times New Roman" w:hAnsi="Times New Roman" w:cs="Times New Roman"/>
        </w:rPr>
        <w:t>Objectives of the Report</w:t>
      </w:r>
      <w:bookmarkEnd w:id="40"/>
      <w:bookmarkEnd w:id="41"/>
    </w:p>
    <w:p w14:paraId="62C858BF" w14:textId="77777777" w:rsidR="0043271C" w:rsidRDefault="0043271C" w:rsidP="0043271C">
      <w:pPr>
        <w:jc w:val="both"/>
        <w:rPr>
          <w:rFonts w:ascii="Times New Roman" w:hAnsi="Times New Roman" w:cs="Times New Roman"/>
          <w:bCs/>
        </w:rPr>
      </w:pPr>
    </w:p>
    <w:p w14:paraId="3B01756C" w14:textId="174C70F3" w:rsidR="005868E3" w:rsidRPr="00C12523" w:rsidRDefault="005868E3" w:rsidP="005868E3">
      <w:pPr>
        <w:pStyle w:val="ListParagraph"/>
        <w:numPr>
          <w:ilvl w:val="0"/>
          <w:numId w:val="125"/>
        </w:numPr>
        <w:ind w:left="0" w:firstLine="0"/>
        <w:jc w:val="both"/>
        <w:rPr>
          <w:rFonts w:ascii="Times New Roman" w:hAnsi="Times New Roman" w:cs="Times New Roman"/>
        </w:rPr>
      </w:pPr>
      <w:r w:rsidRPr="00C12523">
        <w:rPr>
          <w:rFonts w:ascii="Times New Roman" w:hAnsi="Times New Roman" w:cs="Times New Roman"/>
          <w:b/>
          <w:bCs/>
        </w:rPr>
        <w:t>This report reviews the status of competition policies and their effectiveness in promoting functioning markets and more efficient resource allocation in Senegal.</w:t>
      </w:r>
      <w:r w:rsidRPr="00C12523">
        <w:rPr>
          <w:rFonts w:ascii="Times New Roman" w:hAnsi="Times New Roman" w:cs="Times New Roman"/>
        </w:rPr>
        <w:t xml:space="preserve"> It provides insights into the restrictiveness of </w:t>
      </w:r>
      <w:r w:rsidR="003B24ED">
        <w:rPr>
          <w:rFonts w:ascii="Times New Roman" w:hAnsi="Times New Roman" w:cs="Times New Roman"/>
        </w:rPr>
        <w:t>Government</w:t>
      </w:r>
      <w:r w:rsidRPr="00C12523">
        <w:rPr>
          <w:rFonts w:ascii="Times New Roman" w:hAnsi="Times New Roman" w:cs="Times New Roman"/>
        </w:rPr>
        <w:t xml:space="preserve"> regulations and policies that affect product markets across the economy and in two selected sectors </w:t>
      </w:r>
      <w:r w:rsidR="00273B38">
        <w:rPr>
          <w:rFonts w:ascii="Times New Roman" w:hAnsi="Times New Roman" w:cs="Times New Roman"/>
        </w:rPr>
        <w:t>(</w:t>
      </w:r>
      <w:r w:rsidRPr="00C12523">
        <w:rPr>
          <w:rFonts w:ascii="Times New Roman" w:hAnsi="Times New Roman" w:cs="Times New Roman"/>
        </w:rPr>
        <w:t>groundnut and telecommunications sectors</w:t>
      </w:r>
      <w:r w:rsidR="00273B38">
        <w:rPr>
          <w:rFonts w:ascii="Times New Roman" w:hAnsi="Times New Roman" w:cs="Times New Roman"/>
        </w:rPr>
        <w:t>)</w:t>
      </w:r>
      <w:r w:rsidRPr="00C12523">
        <w:rPr>
          <w:rFonts w:ascii="Times New Roman" w:hAnsi="Times New Roman" w:cs="Times New Roman"/>
        </w:rPr>
        <w:t xml:space="preserve"> </w:t>
      </w:r>
      <w:proofErr w:type="gramStart"/>
      <w:r w:rsidR="00932A86">
        <w:rPr>
          <w:rFonts w:ascii="Times New Roman" w:hAnsi="Times New Roman" w:cs="Times New Roman"/>
        </w:rPr>
        <w:t>and also</w:t>
      </w:r>
      <w:proofErr w:type="gramEnd"/>
      <w:r w:rsidR="00932A86">
        <w:rPr>
          <w:rFonts w:ascii="Times New Roman" w:hAnsi="Times New Roman" w:cs="Times New Roman"/>
        </w:rPr>
        <w:t xml:space="preserve"> into</w:t>
      </w:r>
      <w:r w:rsidRPr="00C12523">
        <w:rPr>
          <w:rFonts w:ascii="Times New Roman" w:hAnsi="Times New Roman" w:cs="Times New Roman"/>
        </w:rPr>
        <w:t xml:space="preserve"> the effectiveness of the competition and antitrust framework. </w:t>
      </w:r>
    </w:p>
    <w:p w14:paraId="42028880" w14:textId="77777777" w:rsidR="005868E3" w:rsidRPr="00C12523" w:rsidRDefault="005868E3" w:rsidP="005868E3">
      <w:pPr>
        <w:rPr>
          <w:rFonts w:ascii="Times New Roman" w:hAnsi="Times New Roman" w:cs="Times New Roman"/>
          <w:sz w:val="22"/>
          <w:szCs w:val="22"/>
        </w:rPr>
      </w:pPr>
    </w:p>
    <w:p w14:paraId="763B6F49" w14:textId="121CBE9B" w:rsidR="005868E3" w:rsidRPr="00C12523" w:rsidRDefault="005868E3" w:rsidP="005868E3">
      <w:pPr>
        <w:pStyle w:val="Paranumber"/>
        <w:numPr>
          <w:ilvl w:val="0"/>
          <w:numId w:val="125"/>
        </w:numPr>
        <w:spacing w:before="0" w:after="0"/>
        <w:ind w:left="0" w:firstLine="0"/>
      </w:pPr>
      <w:r w:rsidRPr="00C12523">
        <w:rPr>
          <w:b/>
          <w:bCs/>
        </w:rPr>
        <w:t xml:space="preserve">The objective of the report is to identify actions to enhance competition conditions and to support pro-competition </w:t>
      </w:r>
      <w:r w:rsidR="003B24ED">
        <w:rPr>
          <w:b/>
          <w:bCs/>
        </w:rPr>
        <w:t>Government</w:t>
      </w:r>
      <w:r w:rsidRPr="00C12523">
        <w:rPr>
          <w:b/>
          <w:bCs/>
        </w:rPr>
        <w:t xml:space="preserve"> policies so that private sector participation delivers larger benefits to the economy</w:t>
      </w:r>
      <w:r w:rsidRPr="008061A7">
        <w:rPr>
          <w:b/>
        </w:rPr>
        <w:t xml:space="preserve">, </w:t>
      </w:r>
      <w:r w:rsidR="00845D9F">
        <w:rPr>
          <w:b/>
        </w:rPr>
        <w:t>boosting</w:t>
      </w:r>
      <w:r w:rsidRPr="008061A7">
        <w:rPr>
          <w:b/>
        </w:rPr>
        <w:t xml:space="preserve"> consumer welfare, productivity, competitiveness, investment, and jobs. </w:t>
      </w:r>
      <w:r w:rsidRPr="00C12523">
        <w:t>Given that trade policies can unlevel the playing field, the assessment will also aim at ensuring that competition and trade policies are designed in a coherent manner.</w:t>
      </w:r>
    </w:p>
    <w:p w14:paraId="61294D16" w14:textId="77777777" w:rsidR="005868E3" w:rsidRPr="00C12523" w:rsidRDefault="005868E3" w:rsidP="005868E3">
      <w:pPr>
        <w:pStyle w:val="Paranumber"/>
        <w:numPr>
          <w:ilvl w:val="0"/>
          <w:numId w:val="0"/>
        </w:numPr>
        <w:spacing w:before="0" w:after="0"/>
      </w:pPr>
    </w:p>
    <w:p w14:paraId="087F31B8" w14:textId="07047077" w:rsidR="005868E3" w:rsidRPr="00C12523" w:rsidRDefault="005868E3" w:rsidP="005868E3">
      <w:pPr>
        <w:pStyle w:val="Paranumber"/>
        <w:numPr>
          <w:ilvl w:val="0"/>
          <w:numId w:val="125"/>
        </w:numPr>
        <w:overflowPunct w:val="0"/>
        <w:spacing w:before="0" w:after="0"/>
        <w:ind w:left="0" w:firstLine="0"/>
        <w:contextualSpacing/>
        <w:textAlignment w:val="baseline"/>
      </w:pPr>
      <w:r w:rsidRPr="00C12523">
        <w:rPr>
          <w:b/>
          <w:bCs/>
        </w:rPr>
        <w:t xml:space="preserve">The report also aims to support the </w:t>
      </w:r>
      <w:r w:rsidR="003B24ED">
        <w:rPr>
          <w:b/>
          <w:bCs/>
        </w:rPr>
        <w:t>Government</w:t>
      </w:r>
      <w:r w:rsidRPr="00C12523">
        <w:rPr>
          <w:b/>
          <w:bCs/>
        </w:rPr>
        <w:t xml:space="preserve"> of Senegal’s ongoing actions to eliminate barriers to competition that reduce the welfare gains of private sector participation in the economy and affect consumer welfare</w:t>
      </w:r>
      <w:r w:rsidRPr="00C12523">
        <w:t>. Following the World Bank</w:t>
      </w:r>
      <w:r w:rsidR="00272E74">
        <w:t xml:space="preserve"> Group</w:t>
      </w:r>
      <w:r w:rsidRPr="00C12523">
        <w:t xml:space="preserve">’s Markets and Competition Policy Assessment Toolkit (MCPAT), the report will provide a general assessment of the regulatory framework across the economy and in key input sectors, using Product Market regulations (PMR) indicators as entry points, and </w:t>
      </w:r>
      <w:r w:rsidR="00A660F7">
        <w:t xml:space="preserve">will </w:t>
      </w:r>
      <w:r w:rsidRPr="00C12523">
        <w:t xml:space="preserve">review the effectiveness of the competition policy and legal framework.  Given that Senegal’s antitrust framework is not currently functional, there is a need for the </w:t>
      </w:r>
      <w:r w:rsidR="003B24ED">
        <w:t>Government</w:t>
      </w:r>
      <w:r w:rsidRPr="00CF3407">
        <w:t xml:space="preserve"> to ensure that its interventions incentivize competition. Therefore, the report will also provide an analysis of competition and market dynamics in two selected sectors that are high on the </w:t>
      </w:r>
      <w:r w:rsidR="003B24ED">
        <w:t>Government</w:t>
      </w:r>
      <w:r w:rsidR="00D304A4">
        <w:t>’s</w:t>
      </w:r>
      <w:r w:rsidRPr="00CF3407">
        <w:t xml:space="preserve"> policy agenda: groundnuts and telecommunications.</w:t>
      </w:r>
      <w:r w:rsidRPr="00161E4C">
        <w:t xml:space="preserve"> Finally, it will provide a sequence of pro-competition policy solutions that would contribute to the Senegalese economic development</w:t>
      </w:r>
      <w:r w:rsidRPr="00C12523">
        <w:t xml:space="preserve"> agenda as well as a quantification of effects associated with the implementation of selected recommendations.</w:t>
      </w:r>
    </w:p>
    <w:p w14:paraId="12A30277" w14:textId="77777777" w:rsidR="0043271C" w:rsidRPr="00C91EA2" w:rsidRDefault="0043271C" w:rsidP="0043271C">
      <w:pPr>
        <w:rPr>
          <w:rFonts w:ascii="Times New Roman" w:hAnsi="Times New Roman" w:cs="Times New Roman"/>
        </w:rPr>
      </w:pPr>
    </w:p>
    <w:p w14:paraId="12A23F90" w14:textId="77777777" w:rsidR="0043271C" w:rsidRPr="00C91EA2" w:rsidRDefault="008F2BE7" w:rsidP="0043271C">
      <w:pPr>
        <w:pStyle w:val="Heading2"/>
        <w:rPr>
          <w:rFonts w:ascii="Times New Roman" w:hAnsi="Times New Roman" w:cs="Times New Roman"/>
        </w:rPr>
      </w:pPr>
      <w:bookmarkStart w:id="42" w:name="_Toc497990818"/>
      <w:bookmarkStart w:id="43" w:name="_Toc520724099"/>
      <w:r>
        <w:rPr>
          <w:rFonts w:ascii="Times New Roman" w:hAnsi="Times New Roman" w:cs="Times New Roman"/>
        </w:rPr>
        <w:t>1.2</w:t>
      </w:r>
      <w:r w:rsidR="00576A60" w:rsidRPr="00C91EA2">
        <w:rPr>
          <w:rFonts w:ascii="Times New Roman" w:hAnsi="Times New Roman" w:cs="Times New Roman"/>
        </w:rPr>
        <w:t xml:space="preserve"> </w:t>
      </w:r>
      <w:r w:rsidR="0043271C" w:rsidRPr="00C91EA2">
        <w:rPr>
          <w:rFonts w:ascii="Times New Roman" w:hAnsi="Times New Roman" w:cs="Times New Roman"/>
        </w:rPr>
        <w:t>Economic Overview</w:t>
      </w:r>
      <w:bookmarkEnd w:id="42"/>
      <w:bookmarkEnd w:id="43"/>
    </w:p>
    <w:p w14:paraId="756D30DB" w14:textId="77777777" w:rsidR="0043271C" w:rsidRPr="00C91EA2" w:rsidRDefault="0043271C" w:rsidP="0043271C">
      <w:pPr>
        <w:rPr>
          <w:rFonts w:ascii="Times New Roman" w:hAnsi="Times New Roman" w:cs="Times New Roman"/>
        </w:rPr>
      </w:pPr>
    </w:p>
    <w:p w14:paraId="641FC8B1" w14:textId="6BF5AEF5" w:rsidR="00EE75CA" w:rsidRPr="007575D7" w:rsidRDefault="00EE75CA" w:rsidP="007575D7">
      <w:pPr>
        <w:pStyle w:val="ListParagraph"/>
        <w:numPr>
          <w:ilvl w:val="0"/>
          <w:numId w:val="125"/>
        </w:numPr>
        <w:overflowPunct w:val="0"/>
        <w:ind w:left="0" w:firstLine="0"/>
        <w:jc w:val="both"/>
        <w:textAlignment w:val="baseline"/>
        <w:rPr>
          <w:rFonts w:ascii="Times New Roman" w:eastAsia="Calibri" w:hAnsi="Times New Roman" w:cs="Times New Roman"/>
        </w:rPr>
      </w:pPr>
      <w:r w:rsidRPr="007575D7">
        <w:rPr>
          <w:rFonts w:ascii="Times New Roman" w:hAnsi="Times New Roman" w:cs="Times New Roman"/>
          <w:b/>
          <w:bCs/>
        </w:rPr>
        <w:t>Economic growth in Senegal has surged over 6 percent since 2015 – and the trend is expected to continue in 2018 and beyond.</w:t>
      </w:r>
      <w:r w:rsidRPr="007575D7">
        <w:rPr>
          <w:rFonts w:ascii="Times New Roman" w:hAnsi="Times New Roman" w:cs="Times New Roman"/>
        </w:rPr>
        <w:t xml:space="preserve"> GDP growth between 2005 and 2015 had averaged 4 percent (</w:t>
      </w:r>
      <w:r w:rsidR="00B627A4">
        <w:rPr>
          <w:rFonts w:ascii="Times New Roman" w:hAnsi="Times New Roman" w:cs="Times New Roman"/>
        </w:rPr>
        <w:fldChar w:fldCharType="begin"/>
      </w:r>
      <w:r w:rsidR="00B627A4">
        <w:rPr>
          <w:rFonts w:ascii="Times New Roman" w:hAnsi="Times New Roman" w:cs="Times New Roman"/>
        </w:rPr>
        <w:instrText xml:space="preserve"> REF _Ref520386851 \h </w:instrText>
      </w:r>
      <w:r w:rsidR="00B627A4">
        <w:rPr>
          <w:rFonts w:ascii="Times New Roman" w:hAnsi="Times New Roman" w:cs="Times New Roman"/>
        </w:rPr>
      </w:r>
      <w:r w:rsidR="00B627A4">
        <w:rPr>
          <w:rFonts w:ascii="Times New Roman" w:hAnsi="Times New Roman" w:cs="Times New Roman"/>
        </w:rPr>
        <w:fldChar w:fldCharType="separate"/>
      </w:r>
      <w:r w:rsidR="008261B2" w:rsidRPr="000C4A63">
        <w:rPr>
          <w:rFonts w:ascii="Times New Roman" w:hAnsi="Times New Roman"/>
        </w:rPr>
        <w:t xml:space="preserve">Figure </w:t>
      </w:r>
      <w:r w:rsidR="008261B2">
        <w:rPr>
          <w:rFonts w:ascii="Times New Roman" w:hAnsi="Times New Roman"/>
          <w:noProof/>
        </w:rPr>
        <w:t>9</w:t>
      </w:r>
      <w:r w:rsidR="00B627A4">
        <w:rPr>
          <w:rFonts w:ascii="Times New Roman" w:hAnsi="Times New Roman" w:cs="Times New Roman"/>
        </w:rPr>
        <w:fldChar w:fldCharType="end"/>
      </w:r>
      <w:r w:rsidRPr="007575D7">
        <w:rPr>
          <w:rFonts w:ascii="Times New Roman" w:hAnsi="Times New Roman" w:cs="Times New Roman"/>
        </w:rPr>
        <w:t>).</w:t>
      </w:r>
      <w:r w:rsidRPr="007575D7">
        <w:rPr>
          <w:rFonts w:ascii="Times New Roman" w:hAnsi="Times New Roman" w:cs="Times New Roman"/>
          <w:b/>
          <w:bCs/>
        </w:rPr>
        <w:t xml:space="preserve"> </w:t>
      </w:r>
      <w:r w:rsidRPr="007575D7">
        <w:rPr>
          <w:rFonts w:ascii="Times New Roman" w:hAnsi="Times New Roman" w:cs="Times New Roman"/>
        </w:rPr>
        <w:t xml:space="preserve">Growth reached </w:t>
      </w:r>
      <w:r w:rsidRPr="007575D7">
        <w:rPr>
          <w:rFonts w:ascii="Times New Roman" w:eastAsia="Calibri" w:hAnsi="Times New Roman" w:cs="Times New Roman"/>
        </w:rPr>
        <w:t>6.2</w:t>
      </w:r>
      <w:r w:rsidRPr="007575D7">
        <w:rPr>
          <w:rFonts w:ascii="Times New Roman" w:hAnsi="Times New Roman" w:cs="Times New Roman"/>
        </w:rPr>
        <w:t xml:space="preserve"> percent in </w:t>
      </w:r>
      <w:r w:rsidRPr="007575D7">
        <w:rPr>
          <w:rFonts w:ascii="Times New Roman" w:eastAsia="Calibri" w:hAnsi="Times New Roman" w:cs="Times New Roman"/>
        </w:rPr>
        <w:t>2016</w:t>
      </w:r>
      <w:r w:rsidRPr="007575D7">
        <w:rPr>
          <w:rFonts w:ascii="Times New Roman" w:hAnsi="Times New Roman" w:cs="Times New Roman"/>
        </w:rPr>
        <w:t xml:space="preserve"> and </w:t>
      </w:r>
      <w:r w:rsidRPr="007575D7">
        <w:rPr>
          <w:rFonts w:ascii="Times New Roman" w:eastAsia="Calibri" w:hAnsi="Times New Roman" w:cs="Times New Roman"/>
        </w:rPr>
        <w:t>7.2</w:t>
      </w:r>
      <w:r w:rsidRPr="007575D7">
        <w:rPr>
          <w:rFonts w:ascii="Times New Roman" w:hAnsi="Times New Roman" w:cs="Times New Roman"/>
        </w:rPr>
        <w:t xml:space="preserve"> percent in </w:t>
      </w:r>
      <w:r w:rsidRPr="007575D7">
        <w:rPr>
          <w:rFonts w:ascii="Times New Roman" w:eastAsia="Calibri" w:hAnsi="Times New Roman" w:cs="Times New Roman"/>
        </w:rPr>
        <w:t>2017</w:t>
      </w:r>
      <w:r w:rsidR="006A1D4E" w:rsidRPr="007575D7">
        <w:rPr>
          <w:rFonts w:ascii="Times New Roman" w:eastAsia="Calibri" w:hAnsi="Times New Roman" w:cs="Times New Roman"/>
        </w:rPr>
        <w:t>,</w:t>
      </w:r>
      <w:r w:rsidRPr="007575D7">
        <w:rPr>
          <w:rStyle w:val="FootnoteReference"/>
          <w:rFonts w:ascii="Times New Roman" w:eastAsia="Calibri" w:hAnsi="Times New Roman" w:cs="Times New Roman"/>
        </w:rPr>
        <w:footnoteReference w:id="44"/>
      </w:r>
      <w:r w:rsidRPr="006A1D4E">
        <w:t xml:space="preserve"> </w:t>
      </w:r>
      <w:r w:rsidRPr="007575D7">
        <w:rPr>
          <w:rFonts w:ascii="Times New Roman" w:hAnsi="Times New Roman" w:cs="Times New Roman"/>
        </w:rPr>
        <w:t xml:space="preserve">led by the primary sector with around </w:t>
      </w:r>
      <w:r w:rsidRPr="007575D7">
        <w:rPr>
          <w:rFonts w:ascii="Times New Roman" w:eastAsia="Calibri" w:hAnsi="Times New Roman" w:cs="Times New Roman"/>
        </w:rPr>
        <w:t>13</w:t>
      </w:r>
      <w:r w:rsidRPr="007575D7">
        <w:rPr>
          <w:rFonts w:ascii="Times New Roman" w:hAnsi="Times New Roman" w:cs="Times New Roman"/>
        </w:rPr>
        <w:t xml:space="preserve"> percent of growth, boosted by fishing and agriculture. The secondary sector also grew rapidly at </w:t>
      </w:r>
      <w:r w:rsidRPr="007575D7">
        <w:rPr>
          <w:rFonts w:ascii="Times New Roman" w:eastAsia="Calibri" w:hAnsi="Times New Roman" w:cs="Times New Roman"/>
        </w:rPr>
        <w:t>4.5</w:t>
      </w:r>
      <w:r w:rsidRPr="007575D7">
        <w:rPr>
          <w:rFonts w:ascii="Times New Roman" w:hAnsi="Times New Roman" w:cs="Times New Roman"/>
        </w:rPr>
        <w:t xml:space="preserve"> percent supported by food; chemicals and extractives (phosphates and gold). Services grew at </w:t>
      </w:r>
      <w:r w:rsidRPr="007575D7">
        <w:rPr>
          <w:rFonts w:ascii="Times New Roman" w:eastAsia="Calibri" w:hAnsi="Times New Roman" w:cs="Times New Roman"/>
        </w:rPr>
        <w:t>6.6</w:t>
      </w:r>
      <w:r w:rsidRPr="007575D7">
        <w:rPr>
          <w:rFonts w:ascii="Times New Roman" w:hAnsi="Times New Roman" w:cs="Times New Roman"/>
        </w:rPr>
        <w:t xml:space="preserve"> percent thanks to transport and financial and intermediation services. For the years between 2018 and 2021 the projected growth rates are around 7 percent (IMF, 2017). Demand components are expected to remain robust, led by exports and total investment. Ongoing reforms, higher total investment, and adequate climate conditions help explain this performance. Downside risks include rising oil and food import prices. The services sector is the largest contributor to GDP, within which wholesale and retail trade is the largest sub-sector, contributing roughly as much to GDP as agriculture (</w:t>
      </w:r>
      <w:r w:rsidR="00B627A4">
        <w:rPr>
          <w:rFonts w:ascii="Times New Roman" w:hAnsi="Times New Roman" w:cs="Times New Roman"/>
        </w:rPr>
        <w:fldChar w:fldCharType="begin"/>
      </w:r>
      <w:r w:rsidR="00B627A4">
        <w:rPr>
          <w:rFonts w:ascii="Times New Roman" w:hAnsi="Times New Roman" w:cs="Times New Roman"/>
        </w:rPr>
        <w:instrText xml:space="preserve"> REF _Ref520386865 \h </w:instrText>
      </w:r>
      <w:r w:rsidR="00B627A4">
        <w:rPr>
          <w:rFonts w:ascii="Times New Roman" w:hAnsi="Times New Roman" w:cs="Times New Roman"/>
        </w:rPr>
      </w:r>
      <w:r w:rsidR="00B627A4">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10</w:t>
      </w:r>
      <w:r w:rsidR="00B627A4">
        <w:rPr>
          <w:rFonts w:ascii="Times New Roman" w:hAnsi="Times New Roman" w:cs="Times New Roman"/>
        </w:rPr>
        <w:fldChar w:fldCharType="end"/>
      </w:r>
      <w:r w:rsidRPr="007575D7">
        <w:rPr>
          <w:rFonts w:ascii="Times New Roman" w:hAnsi="Times New Roman" w:cs="Times New Roman"/>
        </w:rPr>
        <w:t>).</w:t>
      </w:r>
    </w:p>
    <w:p w14:paraId="2018F244" w14:textId="77777777" w:rsidR="00EE75CA" w:rsidRPr="00C91EA2" w:rsidRDefault="00EE75CA" w:rsidP="007575D7">
      <w:pPr>
        <w:pStyle w:val="ListParagraph"/>
        <w:ind w:left="0"/>
        <w:jc w:val="both"/>
        <w:rPr>
          <w:rFonts w:ascii="Times New Roman" w:hAnsi="Times New Roman" w:cs="Times New Roman"/>
        </w:rPr>
      </w:pPr>
    </w:p>
    <w:tbl>
      <w:tblPr>
        <w:tblStyle w:val="TableGrid"/>
        <w:tblW w:w="0" w:type="auto"/>
        <w:tblLook w:val="04A0" w:firstRow="1" w:lastRow="0" w:firstColumn="1" w:lastColumn="0" w:noHBand="0" w:noVBand="1"/>
      </w:tblPr>
      <w:tblGrid>
        <w:gridCol w:w="4193"/>
        <w:gridCol w:w="4437"/>
      </w:tblGrid>
      <w:tr w:rsidR="0043271C" w:rsidRPr="00C91EA2" w14:paraId="32E6D626" w14:textId="77777777" w:rsidTr="0043271C">
        <w:tc>
          <w:tcPr>
            <w:tcW w:w="4855" w:type="dxa"/>
            <w:tcBorders>
              <w:top w:val="single" w:sz="4" w:space="0" w:color="auto"/>
              <w:left w:val="single" w:sz="4" w:space="0" w:color="auto"/>
              <w:bottom w:val="single" w:sz="4" w:space="0" w:color="auto"/>
              <w:right w:val="single" w:sz="4" w:space="0" w:color="auto"/>
            </w:tcBorders>
            <w:hideMark/>
          </w:tcPr>
          <w:p w14:paraId="04B04A0F" w14:textId="1F63505F" w:rsidR="0043271C" w:rsidRPr="00C91EA2" w:rsidRDefault="0043271C">
            <w:pPr>
              <w:pStyle w:val="Caption"/>
              <w:keepNext/>
              <w:jc w:val="both"/>
              <w:rPr>
                <w:rFonts w:ascii="Times New Roman" w:hAnsi="Times New Roman"/>
              </w:rPr>
            </w:pPr>
            <w:bookmarkStart w:id="44" w:name="_Ref497134650"/>
            <w:bookmarkStart w:id="45" w:name="_Ref520386851"/>
            <w:bookmarkStart w:id="46" w:name="_Toc497990854"/>
            <w:bookmarkStart w:id="47" w:name="_Toc520725565"/>
            <w:bookmarkStart w:id="48" w:name="OLE_LINK4"/>
            <w:bookmarkStart w:id="49" w:name="OLE_LINK5"/>
            <w:r w:rsidRPr="000C4A63">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9</w:t>
            </w:r>
            <w:r w:rsidR="00D91B27">
              <w:rPr>
                <w:rFonts w:ascii="Times New Roman" w:hAnsi="Times New Roman"/>
              </w:rPr>
              <w:fldChar w:fldCharType="end"/>
            </w:r>
            <w:bookmarkEnd w:id="44"/>
            <w:bookmarkEnd w:id="45"/>
            <w:r w:rsidR="00212031" w:rsidRPr="000C4A63">
              <w:rPr>
                <w:rFonts w:ascii="Times New Roman" w:hAnsi="Times New Roman"/>
              </w:rPr>
              <w:t>: Senegal GDP Growth (2000-2020</w:t>
            </w:r>
            <w:r w:rsidRPr="000C4A63">
              <w:rPr>
                <w:rFonts w:ascii="Times New Roman" w:hAnsi="Times New Roman"/>
              </w:rPr>
              <w:t>)</w:t>
            </w:r>
            <w:bookmarkEnd w:id="46"/>
            <w:bookmarkEnd w:id="47"/>
          </w:p>
        </w:tc>
        <w:tc>
          <w:tcPr>
            <w:tcW w:w="3775" w:type="dxa"/>
            <w:tcBorders>
              <w:top w:val="single" w:sz="4" w:space="0" w:color="auto"/>
              <w:left w:val="single" w:sz="4" w:space="0" w:color="auto"/>
              <w:bottom w:val="single" w:sz="4" w:space="0" w:color="auto"/>
              <w:right w:val="single" w:sz="4" w:space="0" w:color="auto"/>
            </w:tcBorders>
            <w:hideMark/>
          </w:tcPr>
          <w:p w14:paraId="7A15D705" w14:textId="32F79897" w:rsidR="0043271C" w:rsidRPr="00C91EA2" w:rsidRDefault="0043271C">
            <w:pPr>
              <w:pStyle w:val="Caption"/>
              <w:keepNext/>
              <w:jc w:val="both"/>
              <w:rPr>
                <w:rFonts w:ascii="Times New Roman" w:hAnsi="Times New Roman"/>
              </w:rPr>
            </w:pPr>
            <w:bookmarkStart w:id="50" w:name="_Ref498016329"/>
            <w:bookmarkStart w:id="51" w:name="_Ref520386865"/>
            <w:bookmarkStart w:id="52" w:name="_Toc520725566"/>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10</w:t>
            </w:r>
            <w:r w:rsidR="00D91B27">
              <w:rPr>
                <w:rFonts w:ascii="Times New Roman" w:hAnsi="Times New Roman"/>
              </w:rPr>
              <w:fldChar w:fldCharType="end"/>
            </w:r>
            <w:bookmarkEnd w:id="50"/>
            <w:bookmarkEnd w:id="51"/>
            <w:r w:rsidRPr="00C91EA2">
              <w:rPr>
                <w:rFonts w:ascii="Times New Roman" w:hAnsi="Times New Roman"/>
              </w:rPr>
              <w:t>: Sectoral contribution to GDP</w:t>
            </w:r>
            <w:r w:rsidR="002915A6">
              <w:rPr>
                <w:rFonts w:ascii="Times New Roman" w:hAnsi="Times New Roman"/>
              </w:rPr>
              <w:t xml:space="preserve"> (2016)</w:t>
            </w:r>
            <w:bookmarkEnd w:id="52"/>
          </w:p>
        </w:tc>
      </w:tr>
      <w:tr w:rsidR="0043271C" w:rsidRPr="00C91EA2" w14:paraId="7716E14C" w14:textId="77777777" w:rsidTr="0043271C">
        <w:tc>
          <w:tcPr>
            <w:tcW w:w="4855" w:type="dxa"/>
            <w:tcBorders>
              <w:top w:val="single" w:sz="4" w:space="0" w:color="auto"/>
              <w:left w:val="single" w:sz="4" w:space="0" w:color="auto"/>
              <w:bottom w:val="single" w:sz="4" w:space="0" w:color="auto"/>
              <w:right w:val="single" w:sz="4" w:space="0" w:color="auto"/>
            </w:tcBorders>
            <w:hideMark/>
          </w:tcPr>
          <w:p w14:paraId="5CB2490B" w14:textId="77777777" w:rsidR="0043271C" w:rsidRPr="00C91EA2" w:rsidRDefault="005315B1">
            <w:pPr>
              <w:jc w:val="both"/>
              <w:rPr>
                <w:rFonts w:ascii="Times New Roman" w:hAnsi="Times New Roman" w:cs="Times New Roman"/>
              </w:rPr>
            </w:pPr>
            <w:r>
              <w:rPr>
                <w:noProof/>
              </w:rPr>
              <w:drawing>
                <wp:inline distT="0" distB="0" distL="0" distR="0" wp14:anchorId="25847D0B" wp14:editId="66BDD9D9">
                  <wp:extent cx="2527935" cy="3061970"/>
                  <wp:effectExtent l="0" t="0" r="12065" b="11430"/>
                  <wp:docPr id="48" name="Chart 48">
                    <a:extLst xmlns:a="http://schemas.openxmlformats.org/drawingml/2006/main">
                      <a:ext uri="{FF2B5EF4-FFF2-40B4-BE49-F238E27FC236}">
                        <a16:creationId xmlns:a16="http://schemas.microsoft.com/office/drawing/2014/main" id="{FEB3AFD8-9044-42A1-87FE-0D4B4A88A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775" w:type="dxa"/>
            <w:tcBorders>
              <w:top w:val="single" w:sz="4" w:space="0" w:color="auto"/>
              <w:left w:val="single" w:sz="4" w:space="0" w:color="auto"/>
              <w:bottom w:val="single" w:sz="4" w:space="0" w:color="auto"/>
              <w:right w:val="single" w:sz="4" w:space="0" w:color="auto"/>
            </w:tcBorders>
            <w:hideMark/>
          </w:tcPr>
          <w:p w14:paraId="3EA911A6" w14:textId="77777777" w:rsidR="0043271C" w:rsidRPr="00212031" w:rsidRDefault="0043271C">
            <w:pPr>
              <w:jc w:val="both"/>
              <w:rPr>
                <w:rFonts w:ascii="Times New Roman" w:hAnsi="Times New Roman" w:cs="Times New Roman"/>
                <w:noProof/>
                <w:color w:val="FFFFFF" w:themeColor="background1"/>
              </w:rPr>
            </w:pPr>
            <w:r w:rsidRPr="00212031">
              <w:rPr>
                <w:rFonts w:ascii="Times New Roman" w:hAnsi="Times New Roman" w:cs="Times New Roman"/>
                <w:noProof/>
                <w:color w:val="FFFFFF" w:themeColor="background1"/>
              </w:rPr>
              <w:drawing>
                <wp:inline distT="0" distB="0" distL="0" distR="0" wp14:anchorId="1C5B4548" wp14:editId="747DA0C3">
                  <wp:extent cx="2695575" cy="2669540"/>
                  <wp:effectExtent l="0" t="0" r="0" b="0"/>
                  <wp:docPr id="181" name="Chart 181">
                    <a:extLst xmlns:a="http://schemas.openxmlformats.org/drawingml/2006/main">
                      <a:ext uri="{FF2B5EF4-FFF2-40B4-BE49-F238E27FC236}">
                        <a16:creationId xmlns:a16="http://schemas.microsoft.com/office/drawing/2014/main" id="{1A63FE98-0856-455E-92B1-CCAF1FA73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43271C" w:rsidRPr="00C91EA2" w14:paraId="604CBB8E" w14:textId="77777777" w:rsidTr="0043271C">
        <w:tc>
          <w:tcPr>
            <w:tcW w:w="4855" w:type="dxa"/>
            <w:tcBorders>
              <w:top w:val="single" w:sz="4" w:space="0" w:color="auto"/>
              <w:left w:val="single" w:sz="4" w:space="0" w:color="auto"/>
              <w:bottom w:val="single" w:sz="4" w:space="0" w:color="auto"/>
              <w:right w:val="single" w:sz="4" w:space="0" w:color="auto"/>
            </w:tcBorders>
            <w:hideMark/>
          </w:tcPr>
          <w:p w14:paraId="43CE1233" w14:textId="77777777" w:rsidR="0043271C" w:rsidRPr="00D55B7D" w:rsidRDefault="0043271C">
            <w:pPr>
              <w:jc w:val="both"/>
              <w:rPr>
                <w:rFonts w:ascii="Times New Roman" w:hAnsi="Times New Roman" w:cs="Times New Roman"/>
                <w:i/>
                <w:sz w:val="20"/>
              </w:rPr>
            </w:pPr>
            <w:r w:rsidRPr="00D55B7D">
              <w:rPr>
                <w:rFonts w:ascii="Times New Roman" w:hAnsi="Times New Roman" w:cs="Times New Roman"/>
                <w:i/>
                <w:sz w:val="20"/>
              </w:rPr>
              <w:t xml:space="preserve">Source: World </w:t>
            </w:r>
            <w:r w:rsidR="005315B1" w:rsidRPr="00D55B7D">
              <w:rPr>
                <w:rFonts w:ascii="Times New Roman" w:hAnsi="Times New Roman" w:cs="Times New Roman"/>
                <w:i/>
                <w:sz w:val="20"/>
              </w:rPr>
              <w:t>Bank Group (</w:t>
            </w:r>
            <w:r w:rsidRPr="00D55B7D">
              <w:rPr>
                <w:rFonts w:ascii="Times New Roman" w:hAnsi="Times New Roman" w:cs="Times New Roman"/>
                <w:i/>
                <w:sz w:val="20"/>
              </w:rPr>
              <w:t>2017</w:t>
            </w:r>
            <w:r w:rsidR="005315B1" w:rsidRPr="00D55B7D">
              <w:rPr>
                <w:rFonts w:ascii="Times New Roman" w:hAnsi="Times New Roman" w:cs="Times New Roman"/>
                <w:i/>
                <w:sz w:val="20"/>
              </w:rPr>
              <w:t>)</w:t>
            </w:r>
          </w:p>
          <w:p w14:paraId="539D1674" w14:textId="77777777" w:rsidR="0043271C" w:rsidRDefault="0043271C">
            <w:pPr>
              <w:jc w:val="both"/>
              <w:rPr>
                <w:rFonts w:ascii="Times New Roman" w:hAnsi="Times New Roman" w:cs="Times New Roman"/>
                <w:sz w:val="20"/>
              </w:rPr>
            </w:pPr>
            <w:r w:rsidRPr="00C91EA2">
              <w:rPr>
                <w:rFonts w:ascii="Times New Roman" w:hAnsi="Times New Roman" w:cs="Times New Roman"/>
                <w:sz w:val="20"/>
              </w:rPr>
              <w:t xml:space="preserve">* </w:t>
            </w:r>
            <w:r w:rsidR="005315B1">
              <w:rPr>
                <w:rFonts w:ascii="Times New Roman" w:hAnsi="Times New Roman" w:cs="Times New Roman"/>
                <w:sz w:val="20"/>
              </w:rPr>
              <w:t>Estimate</w:t>
            </w:r>
          </w:p>
          <w:p w14:paraId="4C733782" w14:textId="77777777" w:rsidR="005315B1" w:rsidRPr="00C91EA2" w:rsidRDefault="005315B1">
            <w:pPr>
              <w:jc w:val="both"/>
              <w:rPr>
                <w:rFonts w:ascii="Times New Roman" w:hAnsi="Times New Roman" w:cs="Times New Roman"/>
              </w:rPr>
            </w:pPr>
            <w:r>
              <w:rPr>
                <w:rFonts w:ascii="Times New Roman" w:hAnsi="Times New Roman" w:cs="Times New Roman"/>
                <w:sz w:val="20"/>
              </w:rPr>
              <w:t>** Projection</w:t>
            </w:r>
          </w:p>
        </w:tc>
        <w:tc>
          <w:tcPr>
            <w:tcW w:w="3775" w:type="dxa"/>
            <w:tcBorders>
              <w:top w:val="single" w:sz="4" w:space="0" w:color="auto"/>
              <w:left w:val="single" w:sz="4" w:space="0" w:color="auto"/>
              <w:bottom w:val="single" w:sz="4" w:space="0" w:color="auto"/>
              <w:right w:val="single" w:sz="4" w:space="0" w:color="auto"/>
            </w:tcBorders>
            <w:hideMark/>
          </w:tcPr>
          <w:p w14:paraId="7B25481F" w14:textId="77777777" w:rsidR="0043271C" w:rsidRPr="00C91EA2" w:rsidRDefault="0043271C" w:rsidP="009F5222">
            <w:pPr>
              <w:rPr>
                <w:rFonts w:ascii="Times New Roman" w:hAnsi="Times New Roman" w:cs="Times New Roman"/>
                <w:sz w:val="20"/>
              </w:rPr>
            </w:pPr>
            <w:r w:rsidRPr="00D55B7D">
              <w:rPr>
                <w:rFonts w:ascii="Times New Roman" w:hAnsi="Times New Roman" w:cs="Times New Roman"/>
                <w:i/>
                <w:sz w:val="20"/>
              </w:rPr>
              <w:t xml:space="preserve">Source: </w:t>
            </w:r>
            <w:r w:rsidR="00FA306F" w:rsidRPr="00D55B7D">
              <w:rPr>
                <w:rFonts w:ascii="Times New Roman" w:eastAsia="Times New Roman" w:hAnsi="Times New Roman" w:cs="Times New Roman"/>
                <w:i/>
                <w:color w:val="000000"/>
                <w:sz w:val="20"/>
                <w:szCs w:val="20"/>
              </w:rPr>
              <w:t>AfDB/OECD/UNDP. 2017.</w:t>
            </w:r>
            <w:r w:rsidR="00FA306F" w:rsidRPr="00CE1453">
              <w:rPr>
                <w:rFonts w:ascii="Times New Roman" w:eastAsia="Times New Roman" w:hAnsi="Times New Roman" w:cs="Times New Roman"/>
                <w:color w:val="000000"/>
                <w:sz w:val="20"/>
                <w:szCs w:val="20"/>
              </w:rPr>
              <w:t xml:space="preserve"> </w:t>
            </w:r>
            <w:r w:rsidR="00FA306F" w:rsidRPr="00CE1453">
              <w:rPr>
                <w:rFonts w:ascii="Times New Roman" w:eastAsia="Times New Roman" w:hAnsi="Times New Roman" w:cs="Times New Roman"/>
                <w:i/>
                <w:iCs/>
                <w:color w:val="000000"/>
                <w:sz w:val="20"/>
                <w:szCs w:val="20"/>
              </w:rPr>
              <w:t xml:space="preserve">African Economic Outlook: </w:t>
            </w:r>
            <w:r w:rsidR="00FA306F">
              <w:rPr>
                <w:rFonts w:ascii="Times New Roman" w:eastAsia="Times New Roman" w:hAnsi="Times New Roman" w:cs="Times New Roman"/>
                <w:i/>
                <w:iCs/>
                <w:color w:val="000000"/>
                <w:sz w:val="20"/>
                <w:szCs w:val="20"/>
              </w:rPr>
              <w:t>Senegal</w:t>
            </w:r>
            <w:r w:rsidR="00FA306F" w:rsidRPr="00CE1453">
              <w:rPr>
                <w:rFonts w:ascii="Times New Roman" w:hAnsi="Times New Roman" w:cs="Times New Roman"/>
                <w:sz w:val="20"/>
                <w:szCs w:val="20"/>
              </w:rPr>
              <w:t>,</w:t>
            </w:r>
          </w:p>
        </w:tc>
      </w:tr>
      <w:bookmarkEnd w:id="48"/>
      <w:bookmarkEnd w:id="49"/>
    </w:tbl>
    <w:p w14:paraId="5B8E4D99" w14:textId="77777777" w:rsidR="00F15698" w:rsidRDefault="00F15698" w:rsidP="0043271C">
      <w:pPr>
        <w:rPr>
          <w:rFonts w:ascii="Times New Roman" w:hAnsi="Times New Roman" w:cs="Times New Roman"/>
        </w:rPr>
      </w:pPr>
    </w:p>
    <w:p w14:paraId="50DEDE70" w14:textId="77777777" w:rsidR="00212031" w:rsidRPr="00C91EA2" w:rsidRDefault="00212031" w:rsidP="0043271C">
      <w:pPr>
        <w:rPr>
          <w:rFonts w:ascii="Times New Roman" w:hAnsi="Times New Roman" w:cs="Times New Roman"/>
        </w:rPr>
      </w:pPr>
    </w:p>
    <w:p w14:paraId="1108569E" w14:textId="14704F59" w:rsidR="0043271C" w:rsidRDefault="0043271C" w:rsidP="0043271C">
      <w:pPr>
        <w:pStyle w:val="ListParagraph"/>
        <w:numPr>
          <w:ilvl w:val="0"/>
          <w:numId w:val="125"/>
        </w:numPr>
        <w:ind w:left="0" w:firstLine="0"/>
        <w:jc w:val="both"/>
        <w:rPr>
          <w:rFonts w:ascii="Times New Roman" w:eastAsia="Times New Roman" w:hAnsi="Times New Roman" w:cs="Times New Roman"/>
        </w:rPr>
      </w:pPr>
      <w:r w:rsidRPr="00C91EA2">
        <w:rPr>
          <w:rFonts w:ascii="Times New Roman" w:hAnsi="Times New Roman" w:cs="Times New Roman"/>
          <w:b/>
        </w:rPr>
        <w:t xml:space="preserve">Strong growth has led to a substantial decline in poverty. </w:t>
      </w:r>
      <w:r w:rsidRPr="00C91EA2">
        <w:rPr>
          <w:rFonts w:ascii="Times New Roman" w:hAnsi="Times New Roman" w:cs="Times New Roman"/>
        </w:rPr>
        <w:t xml:space="preserve">Given </w:t>
      </w:r>
      <w:r w:rsidR="000C1CBA">
        <w:rPr>
          <w:rFonts w:ascii="Times New Roman" w:hAnsi="Times New Roman" w:cs="Times New Roman"/>
        </w:rPr>
        <w:t xml:space="preserve">a </w:t>
      </w:r>
      <w:r w:rsidRPr="00C91EA2">
        <w:rPr>
          <w:rFonts w:ascii="Times New Roman" w:hAnsi="Times New Roman" w:cs="Times New Roman"/>
        </w:rPr>
        <w:t>4 percent average GDP growth rate during 2005-</w:t>
      </w:r>
      <w:r w:rsidR="000C1CBA">
        <w:rPr>
          <w:rFonts w:ascii="Times New Roman" w:hAnsi="Times New Roman" w:cs="Times New Roman"/>
        </w:rPr>
        <w:t>20</w:t>
      </w:r>
      <w:r w:rsidRPr="00C91EA2">
        <w:rPr>
          <w:rFonts w:ascii="Times New Roman" w:hAnsi="Times New Roman" w:cs="Times New Roman"/>
        </w:rPr>
        <w:t>15 and population growth in the same period of 2.9 percent</w:t>
      </w:r>
      <w:r w:rsidR="000C1CBA">
        <w:rPr>
          <w:rFonts w:ascii="Times New Roman" w:hAnsi="Times New Roman" w:cs="Times New Roman"/>
        </w:rPr>
        <w:t>,</w:t>
      </w:r>
      <w:r w:rsidRPr="00C91EA2">
        <w:rPr>
          <w:rStyle w:val="FootnoteReference"/>
          <w:rFonts w:ascii="Times New Roman" w:hAnsi="Times New Roman" w:cs="Times New Roman"/>
        </w:rPr>
        <w:footnoteReference w:id="45"/>
      </w:r>
      <w:r w:rsidRPr="00C91EA2">
        <w:rPr>
          <w:rFonts w:ascii="Times New Roman" w:hAnsi="Times New Roman" w:cs="Times New Roman"/>
        </w:rPr>
        <w:t xml:space="preserve"> poverty </w:t>
      </w:r>
      <w:r w:rsidR="000C1CBA">
        <w:rPr>
          <w:rFonts w:ascii="Times New Roman" w:hAnsi="Times New Roman" w:cs="Times New Roman"/>
        </w:rPr>
        <w:t>remained</w:t>
      </w:r>
      <w:r w:rsidR="000C1CBA" w:rsidRPr="00C91EA2">
        <w:rPr>
          <w:rFonts w:ascii="Times New Roman" w:hAnsi="Times New Roman" w:cs="Times New Roman"/>
        </w:rPr>
        <w:t xml:space="preserve"> </w:t>
      </w:r>
      <w:r w:rsidRPr="00C91EA2">
        <w:rPr>
          <w:rFonts w:ascii="Times New Roman" w:hAnsi="Times New Roman" w:cs="Times New Roman"/>
        </w:rPr>
        <w:t>at roughly 38 percent of the population during the same period using the international $1.90 per day poverty line.</w:t>
      </w:r>
      <w:r w:rsidRPr="00C91EA2">
        <w:rPr>
          <w:rStyle w:val="FootnoteReference"/>
          <w:rFonts w:ascii="Times New Roman" w:hAnsi="Times New Roman" w:cs="Times New Roman"/>
        </w:rPr>
        <w:footnoteReference w:id="46"/>
      </w:r>
      <w:r w:rsidRPr="00C91EA2">
        <w:rPr>
          <w:rFonts w:ascii="Times New Roman" w:hAnsi="Times New Roman" w:cs="Times New Roman"/>
        </w:rPr>
        <w:t xml:space="preserve"> </w:t>
      </w:r>
      <w:r w:rsidRPr="00C91EA2">
        <w:rPr>
          <w:rFonts w:ascii="Times New Roman" w:eastAsia="Times New Roman" w:hAnsi="Times New Roman" w:cs="Times New Roman"/>
        </w:rPr>
        <w:t xml:space="preserve">However, the picture appears to be changing. Following growth above 6 percent in 2015, </w:t>
      </w:r>
      <w:r w:rsidRPr="00C91EA2">
        <w:rPr>
          <w:rStyle w:val="FootnoteReference"/>
          <w:rFonts w:ascii="Times New Roman" w:eastAsia="Times New Roman" w:hAnsi="Times New Roman" w:cs="Times New Roman"/>
        </w:rPr>
        <w:footnoteReference w:id="47"/>
      </w:r>
      <w:r w:rsidRPr="00C91EA2">
        <w:rPr>
          <w:rFonts w:ascii="Times New Roman" w:eastAsia="Times New Roman" w:hAnsi="Times New Roman" w:cs="Times New Roman"/>
        </w:rPr>
        <w:t xml:space="preserve"> poverty has begun to decline markedly. Since 2011, poverty has fallen from 38 percent to </w:t>
      </w:r>
      <w:r w:rsidR="00A065D9">
        <w:rPr>
          <w:rFonts w:ascii="Times New Roman" w:eastAsia="Times New Roman" w:hAnsi="Times New Roman" w:cs="Times New Roman"/>
        </w:rPr>
        <w:t>its current rate of</w:t>
      </w:r>
      <w:r w:rsidR="00A065D9" w:rsidRPr="00C91EA2">
        <w:rPr>
          <w:rFonts w:ascii="Times New Roman" w:eastAsia="Times New Roman" w:hAnsi="Times New Roman" w:cs="Times New Roman"/>
        </w:rPr>
        <w:t xml:space="preserve"> </w:t>
      </w:r>
      <w:r w:rsidRPr="00C91EA2">
        <w:rPr>
          <w:rFonts w:ascii="Times New Roman" w:eastAsia="Times New Roman" w:hAnsi="Times New Roman" w:cs="Times New Roman"/>
        </w:rPr>
        <w:t>around 34.5 percent and is projected to fall further.</w:t>
      </w:r>
      <w:r w:rsidRPr="00C91EA2">
        <w:rPr>
          <w:rStyle w:val="FootnoteReference"/>
          <w:rFonts w:ascii="Times New Roman" w:eastAsia="Times New Roman" w:hAnsi="Times New Roman" w:cs="Times New Roman"/>
        </w:rPr>
        <w:footnoteReference w:id="48"/>
      </w:r>
    </w:p>
    <w:p w14:paraId="2B50045C" w14:textId="77777777" w:rsidR="0043271C" w:rsidRPr="00C91EA2" w:rsidRDefault="0043271C" w:rsidP="0043271C">
      <w:pPr>
        <w:jc w:val="both"/>
        <w:rPr>
          <w:rFonts w:ascii="Times New Roman" w:eastAsia="Times New Roman" w:hAnsi="Times New Roman" w:cs="Times New Roman"/>
        </w:rPr>
      </w:pPr>
    </w:p>
    <w:p w14:paraId="37C3FF49" w14:textId="77777777" w:rsidR="0043271C" w:rsidRPr="00C91EA2" w:rsidRDefault="0043271C" w:rsidP="0043271C">
      <w:pPr>
        <w:pStyle w:val="ListParagraph"/>
        <w:numPr>
          <w:ilvl w:val="0"/>
          <w:numId w:val="125"/>
        </w:numPr>
        <w:autoSpaceDE w:val="0"/>
        <w:autoSpaceDN w:val="0"/>
        <w:adjustRightInd w:val="0"/>
        <w:ind w:left="0" w:firstLine="0"/>
        <w:jc w:val="both"/>
        <w:rPr>
          <w:rFonts w:ascii="Times New Roman" w:eastAsia="Times New Roman" w:hAnsi="Times New Roman" w:cs="Times New Roman"/>
        </w:rPr>
      </w:pPr>
      <w:r w:rsidRPr="00C91EA2">
        <w:rPr>
          <w:rFonts w:ascii="Times New Roman" w:eastAsia="Times New Roman" w:hAnsi="Times New Roman" w:cs="Times New Roman"/>
          <w:b/>
          <w:bCs/>
          <w:lang w:val="en"/>
        </w:rPr>
        <w:t xml:space="preserve">Past </w:t>
      </w:r>
      <w:r w:rsidRPr="00C91EA2">
        <w:rPr>
          <w:rFonts w:ascii="Times New Roman" w:eastAsia="Times New Roman" w:hAnsi="Times New Roman" w:cs="Times New Roman"/>
          <w:b/>
          <w:bCs/>
        </w:rPr>
        <w:t>moderate growth weighed heavily on the ability of the economy to create jobs</w:t>
      </w:r>
      <w:r w:rsidR="00EC0E04">
        <w:rPr>
          <w:rFonts w:ascii="Times New Roman" w:eastAsia="Times New Roman" w:hAnsi="Times New Roman" w:cs="Times New Roman"/>
          <w:b/>
          <w:bCs/>
        </w:rPr>
        <w:t>, but policies that foster competition can spur job growth</w:t>
      </w:r>
      <w:r w:rsidRPr="00C91EA2">
        <w:rPr>
          <w:rFonts w:ascii="Times New Roman" w:eastAsia="Times New Roman" w:hAnsi="Times New Roman" w:cs="Times New Roman"/>
          <w:b/>
          <w:bCs/>
        </w:rPr>
        <w:t>.</w:t>
      </w:r>
      <w:r w:rsidRPr="00C91EA2">
        <w:rPr>
          <w:rFonts w:ascii="Times New Roman" w:eastAsia="Times New Roman" w:hAnsi="Times New Roman" w:cs="Times New Roman"/>
          <w:bCs/>
        </w:rPr>
        <w:t xml:space="preserve"> In 2016, Senegal’s employment ratio was estimated at only 51.8 percent, indicating that about one in two individuals of working-age were working any job.</w:t>
      </w:r>
      <w:r w:rsidRPr="00C91EA2">
        <w:rPr>
          <w:rFonts w:ascii="Times New Roman" w:hAnsi="Times New Roman" w:cs="Times New Roman"/>
          <w:vertAlign w:val="superscript"/>
        </w:rPr>
        <w:footnoteReference w:id="49"/>
      </w:r>
      <w:r w:rsidRPr="00C91EA2">
        <w:rPr>
          <w:rFonts w:ascii="Times New Roman" w:eastAsia="Times New Roman" w:hAnsi="Times New Roman" w:cs="Times New Roman"/>
        </w:rPr>
        <w:t xml:space="preserve"> Product market reform</w:t>
      </w:r>
      <w:r w:rsidR="00656AC2">
        <w:rPr>
          <w:rFonts w:ascii="Times New Roman" w:eastAsia="Times New Roman" w:hAnsi="Times New Roman" w:cs="Times New Roman"/>
        </w:rPr>
        <w:t>s</w:t>
      </w:r>
      <w:r w:rsidRPr="00C91EA2">
        <w:rPr>
          <w:rFonts w:ascii="Times New Roman" w:eastAsia="Times New Roman" w:hAnsi="Times New Roman" w:cs="Times New Roman"/>
        </w:rPr>
        <w:t xml:space="preserve"> that boost competition tend to boost employment in the long term. This conclusion is confirmed in both theoretical models (Spector 2004; Blanchard and </w:t>
      </w:r>
      <w:proofErr w:type="spellStart"/>
      <w:r w:rsidRPr="00C91EA2">
        <w:rPr>
          <w:rFonts w:ascii="Times New Roman" w:eastAsia="Times New Roman" w:hAnsi="Times New Roman" w:cs="Times New Roman"/>
        </w:rPr>
        <w:t>Giavazzi</w:t>
      </w:r>
      <w:proofErr w:type="spellEnd"/>
      <w:r w:rsidRPr="00C91EA2">
        <w:rPr>
          <w:rFonts w:ascii="Times New Roman" w:eastAsia="Times New Roman" w:hAnsi="Times New Roman" w:cs="Times New Roman"/>
        </w:rPr>
        <w:t xml:space="preserve"> 2003)</w:t>
      </w:r>
      <w:r w:rsidRPr="00C91EA2">
        <w:rPr>
          <w:rStyle w:val="FootnoteReference"/>
          <w:rFonts w:ascii="Times New Roman" w:eastAsia="Times New Roman" w:hAnsi="Times New Roman" w:cs="Times New Roman"/>
        </w:rPr>
        <w:footnoteReference w:id="50"/>
      </w:r>
      <w:r w:rsidRPr="00C91EA2">
        <w:rPr>
          <w:rFonts w:ascii="Times New Roman" w:eastAsia="Times New Roman" w:hAnsi="Times New Roman" w:cs="Times New Roman"/>
        </w:rPr>
        <w:t xml:space="preserve"> and empirical work (Griffith, Harrison, and </w:t>
      </w:r>
      <w:proofErr w:type="spellStart"/>
      <w:r w:rsidRPr="00C91EA2">
        <w:rPr>
          <w:rFonts w:ascii="Times New Roman" w:eastAsia="Times New Roman" w:hAnsi="Times New Roman" w:cs="Times New Roman"/>
        </w:rPr>
        <w:t>Macartney</w:t>
      </w:r>
      <w:proofErr w:type="spellEnd"/>
      <w:r w:rsidRPr="00C91EA2">
        <w:rPr>
          <w:rFonts w:ascii="Times New Roman" w:eastAsia="Times New Roman" w:hAnsi="Times New Roman" w:cs="Times New Roman"/>
        </w:rPr>
        <w:t xml:space="preserve"> 2007; Fiori et al. 2012; Nicoletti and </w:t>
      </w:r>
      <w:proofErr w:type="spellStart"/>
      <w:r w:rsidRPr="00C91EA2">
        <w:rPr>
          <w:rFonts w:ascii="Times New Roman" w:eastAsia="Times New Roman" w:hAnsi="Times New Roman" w:cs="Times New Roman"/>
        </w:rPr>
        <w:t>Scarpetta</w:t>
      </w:r>
      <w:proofErr w:type="spellEnd"/>
      <w:r w:rsidRPr="00C91EA2">
        <w:rPr>
          <w:rFonts w:ascii="Times New Roman" w:eastAsia="Times New Roman" w:hAnsi="Times New Roman" w:cs="Times New Roman"/>
        </w:rPr>
        <w:t xml:space="preserve"> 2005).</w:t>
      </w:r>
      <w:r w:rsidRPr="00C91EA2">
        <w:rPr>
          <w:rStyle w:val="FootnoteReference"/>
          <w:rFonts w:ascii="Times New Roman" w:eastAsia="Times New Roman" w:hAnsi="Times New Roman" w:cs="Times New Roman"/>
        </w:rPr>
        <w:footnoteReference w:id="51"/>
      </w:r>
      <w:r w:rsidRPr="00C91EA2">
        <w:rPr>
          <w:rFonts w:ascii="Times New Roman" w:eastAsia="Times New Roman" w:hAnsi="Times New Roman" w:cs="Times New Roman"/>
        </w:rPr>
        <w:t xml:space="preserve"> The basic intuition is that more intense competition lowers prices toward marginal cost, increasing the output demanded by consumers and, therefore, the labor demanded by producers. Lower prices also raise real wages, which can increase the supply of labor.</w:t>
      </w:r>
    </w:p>
    <w:p w14:paraId="75256065" w14:textId="77777777" w:rsidR="0043271C" w:rsidRPr="00C91EA2" w:rsidRDefault="0043271C" w:rsidP="0043271C">
      <w:pPr>
        <w:autoSpaceDE w:val="0"/>
        <w:autoSpaceDN w:val="0"/>
        <w:adjustRightInd w:val="0"/>
        <w:jc w:val="both"/>
        <w:rPr>
          <w:rFonts w:ascii="Times New Roman" w:eastAsia="Times New Roman" w:hAnsi="Times New Roman" w:cs="Times New Roman"/>
          <w:b/>
        </w:rPr>
      </w:pPr>
    </w:p>
    <w:p w14:paraId="35EFEA78" w14:textId="77777777" w:rsidR="0043271C" w:rsidRPr="00C91EA2" w:rsidRDefault="0043271C" w:rsidP="0043271C">
      <w:pPr>
        <w:pStyle w:val="ListParagraph"/>
        <w:numPr>
          <w:ilvl w:val="0"/>
          <w:numId w:val="125"/>
        </w:numPr>
        <w:autoSpaceDE w:val="0"/>
        <w:autoSpaceDN w:val="0"/>
        <w:adjustRightInd w:val="0"/>
        <w:ind w:left="0" w:firstLine="0"/>
        <w:jc w:val="both"/>
        <w:rPr>
          <w:rFonts w:ascii="Times New Roman" w:eastAsia="Times New Roman" w:hAnsi="Times New Roman" w:cs="Times New Roman"/>
        </w:rPr>
      </w:pPr>
      <w:r w:rsidRPr="00C91EA2">
        <w:rPr>
          <w:rFonts w:ascii="Times New Roman" w:eastAsia="Times New Roman" w:hAnsi="Times New Roman" w:cs="Times New Roman"/>
          <w:b/>
        </w:rPr>
        <w:t xml:space="preserve">The mixed results regarding economic growth </w:t>
      </w:r>
      <w:r w:rsidR="0057160D">
        <w:rPr>
          <w:rFonts w:ascii="Times New Roman" w:eastAsia="Times New Roman" w:hAnsi="Times New Roman" w:cs="Times New Roman"/>
          <w:b/>
        </w:rPr>
        <w:t xml:space="preserve">in Senegal </w:t>
      </w:r>
      <w:r w:rsidRPr="00C91EA2">
        <w:rPr>
          <w:rFonts w:ascii="Times New Roman" w:eastAsia="Times New Roman" w:hAnsi="Times New Roman" w:cs="Times New Roman"/>
          <w:b/>
        </w:rPr>
        <w:t>have been related to enduring structural constraints, persistent infrastructure gaps and a lack of economic diversification away from agriculture.</w:t>
      </w:r>
      <w:r w:rsidRPr="00C91EA2">
        <w:rPr>
          <w:rFonts w:ascii="Times New Roman" w:eastAsia="Times New Roman" w:hAnsi="Times New Roman" w:cs="Times New Roman"/>
        </w:rPr>
        <w:t xml:space="preserve"> Macro-fiscal policies have </w:t>
      </w:r>
      <w:r w:rsidR="00EB133D">
        <w:rPr>
          <w:rFonts w:ascii="Times New Roman" w:eastAsia="Times New Roman" w:hAnsi="Times New Roman" w:cs="Times New Roman"/>
        </w:rPr>
        <w:t>supported</w:t>
      </w:r>
      <w:r w:rsidRPr="00C91EA2">
        <w:rPr>
          <w:rFonts w:ascii="Times New Roman" w:eastAsia="Times New Roman" w:hAnsi="Times New Roman" w:cs="Times New Roman"/>
        </w:rPr>
        <w:t xml:space="preserve"> growth and Senegal benefits from other factors such as its coastal location and its 1</w:t>
      </w:r>
      <w:r w:rsidR="005219B7">
        <w:rPr>
          <w:rFonts w:ascii="Times New Roman" w:eastAsia="Times New Roman" w:hAnsi="Times New Roman" w:cs="Times New Roman"/>
        </w:rPr>
        <w:t>,</w:t>
      </w:r>
      <w:r w:rsidRPr="00C91EA2">
        <w:rPr>
          <w:rFonts w:ascii="Times New Roman" w:eastAsia="Times New Roman" w:hAnsi="Times New Roman" w:cs="Times New Roman"/>
        </w:rPr>
        <w:t>500 km of optic fiber network. However, structural constraints seem to have undermined the efficiency of investment and sustained growth. For instance, growth in agriculture has been slow and volatile, and productivity gains scarce, despite the high potential of the sector and its important share of jobs. Furthermore, the country does not take full advantage of existing infrastructure. This is the case</w:t>
      </w:r>
      <w:proofErr w:type="gramStart"/>
      <w:r w:rsidRPr="00C91EA2">
        <w:rPr>
          <w:rFonts w:ascii="Times New Roman" w:eastAsia="Times New Roman" w:hAnsi="Times New Roman" w:cs="Times New Roman"/>
        </w:rPr>
        <w:t>, in particular, of</w:t>
      </w:r>
      <w:proofErr w:type="gramEnd"/>
      <w:r w:rsidRPr="00C91EA2">
        <w:rPr>
          <w:rFonts w:ascii="Times New Roman" w:eastAsia="Times New Roman" w:hAnsi="Times New Roman" w:cs="Times New Roman"/>
        </w:rPr>
        <w:t xml:space="preserve"> the ICT infrastructure, including the important public optic fiber network. For the future, a key challenge for Senegal is to</w:t>
      </w:r>
      <w:r w:rsidRPr="00C91EA2">
        <w:rPr>
          <w:rFonts w:ascii="Times New Roman" w:eastAsia="Times New Roman" w:hAnsi="Times New Roman" w:cs="Times New Roman"/>
          <w:b/>
        </w:rPr>
        <w:t xml:space="preserve"> </w:t>
      </w:r>
      <w:r w:rsidRPr="00C91EA2">
        <w:rPr>
          <w:rFonts w:ascii="Times New Roman" w:eastAsia="Times New Roman" w:hAnsi="Times New Roman" w:cs="Times New Roman"/>
        </w:rPr>
        <w:t>undertake</w:t>
      </w:r>
      <w:r w:rsidRPr="00C91EA2">
        <w:rPr>
          <w:rFonts w:ascii="Times New Roman" w:eastAsia="Times New Roman" w:hAnsi="Times New Roman" w:cs="Times New Roman"/>
          <w:b/>
        </w:rPr>
        <w:t xml:space="preserve"> </w:t>
      </w:r>
      <w:r w:rsidRPr="00C91EA2">
        <w:rPr>
          <w:rFonts w:ascii="Times New Roman" w:eastAsia="Times New Roman" w:hAnsi="Times New Roman" w:cs="Times New Roman"/>
        </w:rPr>
        <w:t>structural reforms to reduce its vulnerability to exogenous shocks, foster economic diversification, translate sustained economic growth into job creation and a reduction in extreme poverty.</w:t>
      </w:r>
      <w:r w:rsidRPr="00C91EA2">
        <w:rPr>
          <w:rStyle w:val="FootnoteReference"/>
          <w:rFonts w:ascii="Times New Roman" w:eastAsia="Times New Roman" w:hAnsi="Times New Roman" w:cs="Times New Roman"/>
        </w:rPr>
        <w:footnoteReference w:id="52"/>
      </w:r>
    </w:p>
    <w:p w14:paraId="5002C719" w14:textId="77777777" w:rsidR="0043271C" w:rsidRPr="00C91EA2" w:rsidRDefault="0043271C" w:rsidP="0043271C">
      <w:pPr>
        <w:autoSpaceDE w:val="0"/>
        <w:autoSpaceDN w:val="0"/>
        <w:adjustRightInd w:val="0"/>
        <w:jc w:val="both"/>
        <w:rPr>
          <w:rFonts w:ascii="Times New Roman" w:eastAsia="Times New Roman" w:hAnsi="Times New Roman" w:cs="Times New Roman"/>
          <w:b/>
        </w:rPr>
      </w:pPr>
    </w:p>
    <w:p w14:paraId="159CEB31" w14:textId="2837F971" w:rsidR="0043271C" w:rsidRPr="00C91EA2" w:rsidRDefault="001B2578" w:rsidP="0043271C">
      <w:pPr>
        <w:pStyle w:val="ListParagraph"/>
        <w:numPr>
          <w:ilvl w:val="0"/>
          <w:numId w:val="125"/>
        </w:numPr>
        <w:autoSpaceDE w:val="0"/>
        <w:autoSpaceDN w:val="0"/>
        <w:adjustRightInd w:val="0"/>
        <w:ind w:left="0" w:firstLine="0"/>
        <w:jc w:val="both"/>
        <w:rPr>
          <w:rFonts w:ascii="Times New Roman" w:eastAsia="Times New Roman" w:hAnsi="Times New Roman" w:cs="Times New Roman"/>
          <w:lang w:eastAsia="fr-FR"/>
        </w:rPr>
      </w:pPr>
      <w:r>
        <w:rPr>
          <w:rFonts w:ascii="Times New Roman" w:eastAsia="Times New Roman" w:hAnsi="Times New Roman" w:cs="Times New Roman"/>
          <w:b/>
        </w:rPr>
        <w:t>C</w:t>
      </w:r>
      <w:r w:rsidR="0043271C" w:rsidRPr="00C91EA2">
        <w:rPr>
          <w:rFonts w:ascii="Times New Roman" w:eastAsia="Times New Roman" w:hAnsi="Times New Roman" w:cs="Times New Roman"/>
          <w:b/>
        </w:rPr>
        <w:t>apital accumulation was the main growth driver, with little or negative contribution from Total Factor Productivity (TFP) growth and human capital accumulation.</w:t>
      </w:r>
      <w:r w:rsidR="0043271C" w:rsidRPr="00C91EA2">
        <w:rPr>
          <w:rFonts w:ascii="Times New Roman" w:eastAsia="Times New Roman" w:hAnsi="Times New Roman" w:cs="Times New Roman"/>
        </w:rPr>
        <w:t xml:space="preserve"> An </w:t>
      </w:r>
      <w:r w:rsidR="0043271C" w:rsidRPr="00C91EA2">
        <w:rPr>
          <w:rFonts w:ascii="Times New Roman" w:eastAsia="Times New Roman" w:hAnsi="Times New Roman" w:cs="Times New Roman"/>
          <w:lang w:eastAsia="fr-FR"/>
        </w:rPr>
        <w:t xml:space="preserve">analysis based on World Banks’ Enterprise Surveys from the Investment Climate Assessment for Senegal 2016 suggests limited change in terms of labor productivity between the 2005, 2007 and 2014/15 enterprise surveys. Overall, it seems Senegalese firms are relatively productive compared to West African </w:t>
      </w:r>
      <w:proofErr w:type="gramStart"/>
      <w:r w:rsidR="0043271C" w:rsidRPr="00C91EA2">
        <w:rPr>
          <w:rFonts w:ascii="Times New Roman" w:eastAsia="Times New Roman" w:hAnsi="Times New Roman" w:cs="Times New Roman"/>
          <w:lang w:eastAsia="fr-FR"/>
        </w:rPr>
        <w:t>peers, but</w:t>
      </w:r>
      <w:proofErr w:type="gramEnd"/>
      <w:r w:rsidR="0043271C" w:rsidRPr="00C91EA2">
        <w:rPr>
          <w:rFonts w:ascii="Times New Roman" w:eastAsia="Times New Roman" w:hAnsi="Times New Roman" w:cs="Times New Roman"/>
          <w:lang w:eastAsia="fr-FR"/>
        </w:rPr>
        <w:t xml:space="preserve"> fall below in terms of performance compared to firms in non-African emerging markets (</w:t>
      </w:r>
      <w:r w:rsidR="0043271C" w:rsidRPr="00C91EA2">
        <w:rPr>
          <w:rFonts w:ascii="Times New Roman" w:eastAsia="Times New Roman" w:hAnsi="Times New Roman" w:cs="Times New Roman"/>
          <w:lang w:eastAsia="fr-FR"/>
        </w:rPr>
        <w:fldChar w:fldCharType="begin"/>
      </w:r>
      <w:r w:rsidR="0043271C" w:rsidRPr="00C91EA2">
        <w:rPr>
          <w:rFonts w:ascii="Times New Roman" w:eastAsia="Times New Roman" w:hAnsi="Times New Roman" w:cs="Times New Roman"/>
          <w:lang w:eastAsia="fr-FR"/>
        </w:rPr>
        <w:instrText xml:space="preserve"> REF _Ref497149746 \h </w:instrText>
      </w:r>
      <w:r w:rsidR="00C91EA2">
        <w:rPr>
          <w:rFonts w:ascii="Times New Roman" w:eastAsia="Times New Roman" w:hAnsi="Times New Roman" w:cs="Times New Roman"/>
          <w:lang w:eastAsia="fr-FR"/>
        </w:rPr>
        <w:instrText xml:space="preserve"> \* MERGEFORMAT </w:instrText>
      </w:r>
      <w:r w:rsidR="0043271C" w:rsidRPr="00C91EA2">
        <w:rPr>
          <w:rFonts w:ascii="Times New Roman" w:eastAsia="Times New Roman" w:hAnsi="Times New Roman" w:cs="Times New Roman"/>
          <w:lang w:eastAsia="fr-FR"/>
        </w:rPr>
      </w:r>
      <w:r w:rsidR="0043271C" w:rsidRPr="00C91EA2">
        <w:rPr>
          <w:rFonts w:ascii="Times New Roman" w:eastAsia="Times New Roman" w:hAnsi="Times New Roman" w:cs="Times New Roman"/>
          <w:lang w:eastAsia="fr-FR"/>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11</w:t>
      </w:r>
      <w:r w:rsidR="0043271C" w:rsidRPr="00C91EA2">
        <w:rPr>
          <w:rFonts w:ascii="Times New Roman" w:eastAsia="Times New Roman" w:hAnsi="Times New Roman" w:cs="Times New Roman"/>
          <w:lang w:eastAsia="fr-FR"/>
        </w:rPr>
        <w:fldChar w:fldCharType="end"/>
      </w:r>
      <w:r w:rsidR="0043271C" w:rsidRPr="00C91EA2">
        <w:rPr>
          <w:rFonts w:ascii="Times New Roman" w:eastAsia="Times New Roman" w:hAnsi="Times New Roman" w:cs="Times New Roman"/>
          <w:lang w:eastAsia="fr-FR"/>
        </w:rPr>
        <w:t>).</w:t>
      </w:r>
    </w:p>
    <w:p w14:paraId="3FF779DD" w14:textId="77777777" w:rsidR="0043271C" w:rsidRPr="00C91EA2" w:rsidRDefault="0043271C" w:rsidP="0043271C">
      <w:pPr>
        <w:autoSpaceDE w:val="0"/>
        <w:autoSpaceDN w:val="0"/>
        <w:adjustRightInd w:val="0"/>
        <w:jc w:val="both"/>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8630"/>
      </w:tblGrid>
      <w:tr w:rsidR="0043271C" w:rsidRPr="00C91EA2" w14:paraId="7FBC72E0"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140ADC91" w14:textId="2B0F35E8" w:rsidR="0043271C" w:rsidRPr="00C91EA2" w:rsidRDefault="0043271C">
            <w:pPr>
              <w:pStyle w:val="Caption"/>
              <w:keepNext/>
              <w:jc w:val="both"/>
              <w:rPr>
                <w:rFonts w:ascii="Times New Roman" w:hAnsi="Times New Roman"/>
              </w:rPr>
            </w:pPr>
            <w:bookmarkStart w:id="53" w:name="_Ref497149746"/>
            <w:bookmarkStart w:id="54" w:name="_Toc497990855"/>
            <w:bookmarkStart w:id="55" w:name="_Toc520725567"/>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11</w:t>
            </w:r>
            <w:r w:rsidR="00D91B27">
              <w:rPr>
                <w:rFonts w:ascii="Times New Roman" w:hAnsi="Times New Roman"/>
              </w:rPr>
              <w:fldChar w:fldCharType="end"/>
            </w:r>
            <w:bookmarkEnd w:id="53"/>
            <w:r w:rsidRPr="00C91EA2">
              <w:rPr>
                <w:rFonts w:ascii="Times New Roman" w:hAnsi="Times New Roman"/>
              </w:rPr>
              <w:t>: Labor Productivity in Senegal Compared to Best Performing Middle-Income Countries</w:t>
            </w:r>
            <w:bookmarkEnd w:id="54"/>
            <w:bookmarkEnd w:id="55"/>
          </w:p>
        </w:tc>
      </w:tr>
      <w:tr w:rsidR="0043271C" w:rsidRPr="00C91EA2" w14:paraId="5C23A06A"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7B8FF129" w14:textId="77777777" w:rsidR="0043271C" w:rsidRPr="00C91EA2" w:rsidRDefault="0043271C">
            <w:pPr>
              <w:autoSpaceDE w:val="0"/>
              <w:autoSpaceDN w:val="0"/>
              <w:adjustRightInd w:val="0"/>
              <w:jc w:val="both"/>
              <w:rPr>
                <w:rFonts w:ascii="Times New Roman" w:eastAsia="Times New Roman" w:hAnsi="Times New Roman" w:cs="Times New Roman"/>
                <w:b/>
              </w:rPr>
            </w:pPr>
            <w:r w:rsidRPr="00C91EA2">
              <w:rPr>
                <w:rFonts w:ascii="Times New Roman" w:hAnsi="Times New Roman" w:cs="Times New Roman"/>
                <w:b/>
                <w:noProof/>
              </w:rPr>
              <w:drawing>
                <wp:inline distT="0" distB="0" distL="0" distR="0" wp14:anchorId="128D4F3B" wp14:editId="52253D9C">
                  <wp:extent cx="5391150" cy="23907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2390775"/>
                          </a:xfrm>
                          <a:prstGeom prst="rect">
                            <a:avLst/>
                          </a:prstGeom>
                          <a:noFill/>
                          <a:ln>
                            <a:noFill/>
                          </a:ln>
                        </pic:spPr>
                      </pic:pic>
                    </a:graphicData>
                  </a:graphic>
                </wp:inline>
              </w:drawing>
            </w:r>
          </w:p>
        </w:tc>
      </w:tr>
      <w:tr w:rsidR="0043271C" w:rsidRPr="00C91EA2" w14:paraId="608AB820"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5DCDD959" w14:textId="77777777" w:rsidR="0043271C" w:rsidRPr="00A23773" w:rsidRDefault="0043271C">
            <w:pPr>
              <w:jc w:val="both"/>
              <w:rPr>
                <w:rFonts w:ascii="Times New Roman" w:eastAsia="Calibri" w:hAnsi="Times New Roman" w:cs="Times New Roman"/>
                <w:sz w:val="20"/>
                <w:szCs w:val="24"/>
              </w:rPr>
            </w:pPr>
            <w:r w:rsidRPr="00A23773">
              <w:rPr>
                <w:rFonts w:ascii="Times New Roman" w:eastAsia="Calibri" w:hAnsi="Times New Roman" w:cs="Times New Roman"/>
                <w:sz w:val="20"/>
                <w:szCs w:val="24"/>
                <w:u w:val="single"/>
              </w:rPr>
              <w:t>Note:</w:t>
            </w:r>
            <w:r w:rsidRPr="00A23773">
              <w:rPr>
                <w:rFonts w:ascii="Times New Roman" w:eastAsia="Calibri" w:hAnsi="Times New Roman" w:cs="Times New Roman"/>
                <w:sz w:val="20"/>
                <w:szCs w:val="24"/>
              </w:rPr>
              <w:t xml:space="preserve"> Partial productivity measures are measured in 200</w:t>
            </w:r>
            <w:r w:rsidR="00F930BE">
              <w:rPr>
                <w:rFonts w:ascii="Times New Roman" w:eastAsia="Calibri" w:hAnsi="Times New Roman" w:cs="Times New Roman"/>
                <w:sz w:val="20"/>
                <w:szCs w:val="24"/>
              </w:rPr>
              <w:t>9</w:t>
            </w:r>
            <w:r w:rsidRPr="00A23773">
              <w:rPr>
                <w:rFonts w:ascii="Times New Roman" w:eastAsia="Calibri" w:hAnsi="Times New Roman" w:cs="Times New Roman"/>
                <w:sz w:val="20"/>
                <w:szCs w:val="24"/>
              </w:rPr>
              <w:t xml:space="preserve"> US$. All data points are for the median firm on each measure of performance.</w:t>
            </w:r>
          </w:p>
          <w:p w14:paraId="3D18192D" w14:textId="77777777" w:rsidR="0043271C" w:rsidRPr="00D55B7D" w:rsidRDefault="0043271C">
            <w:pPr>
              <w:jc w:val="both"/>
              <w:rPr>
                <w:rFonts w:ascii="Times New Roman" w:eastAsia="Calibri" w:hAnsi="Times New Roman" w:cs="Times New Roman"/>
                <w:i/>
                <w:sz w:val="18"/>
                <w:szCs w:val="24"/>
              </w:rPr>
            </w:pPr>
            <w:r w:rsidRPr="00D55B7D">
              <w:rPr>
                <w:rFonts w:ascii="Times New Roman" w:eastAsia="Calibri" w:hAnsi="Times New Roman" w:cs="Times New Roman"/>
                <w:i/>
                <w:sz w:val="20"/>
                <w:szCs w:val="24"/>
              </w:rPr>
              <w:t>Source: Senegal: An Assessment of The Investment Climate. Authors’ calculation based on data from World Bank Enterprise Surveys</w:t>
            </w:r>
          </w:p>
        </w:tc>
      </w:tr>
    </w:tbl>
    <w:p w14:paraId="44C6893A" w14:textId="77777777" w:rsidR="0043271C" w:rsidRDefault="0043271C" w:rsidP="0043271C">
      <w:pPr>
        <w:autoSpaceDE w:val="0"/>
        <w:autoSpaceDN w:val="0"/>
        <w:adjustRightInd w:val="0"/>
        <w:jc w:val="both"/>
        <w:rPr>
          <w:rFonts w:ascii="Times New Roman" w:eastAsia="Times New Roman" w:hAnsi="Times New Roman" w:cs="Times New Roman"/>
          <w:b/>
        </w:rPr>
      </w:pPr>
    </w:p>
    <w:p w14:paraId="0F8B5B9A" w14:textId="77777777" w:rsidR="00711D1F" w:rsidRPr="00C91EA2" w:rsidRDefault="00711D1F" w:rsidP="0043271C">
      <w:pPr>
        <w:autoSpaceDE w:val="0"/>
        <w:autoSpaceDN w:val="0"/>
        <w:adjustRightInd w:val="0"/>
        <w:jc w:val="both"/>
        <w:rPr>
          <w:rFonts w:ascii="Times New Roman" w:eastAsia="Times New Roman" w:hAnsi="Times New Roman" w:cs="Times New Roman"/>
          <w:b/>
        </w:rPr>
      </w:pPr>
    </w:p>
    <w:p w14:paraId="7045DB24" w14:textId="77777777" w:rsidR="0043271C" w:rsidRPr="00C91EA2" w:rsidRDefault="0077204C" w:rsidP="0043271C">
      <w:pPr>
        <w:pStyle w:val="PlainText"/>
        <w:numPr>
          <w:ilvl w:val="0"/>
          <w:numId w:val="125"/>
        </w:numPr>
        <w:ind w:left="0" w:firstLine="0"/>
        <w:jc w:val="both"/>
        <w:rPr>
          <w:rFonts w:ascii="Times New Roman" w:hAnsi="Times New Roman" w:cs="Times New Roman"/>
          <w:sz w:val="24"/>
          <w:szCs w:val="24"/>
        </w:rPr>
      </w:pPr>
      <w:r>
        <w:rPr>
          <w:rFonts w:ascii="Times New Roman" w:hAnsi="Times New Roman" w:cs="Times New Roman"/>
          <w:b/>
          <w:sz w:val="24"/>
          <w:szCs w:val="24"/>
        </w:rPr>
        <w:t>T</w:t>
      </w:r>
      <w:r w:rsidR="0043271C" w:rsidRPr="00C91EA2">
        <w:rPr>
          <w:rFonts w:ascii="Times New Roman" w:hAnsi="Times New Roman" w:cs="Times New Roman"/>
          <w:b/>
          <w:sz w:val="24"/>
          <w:szCs w:val="24"/>
        </w:rPr>
        <w:t>rade performance has also been mixed</w:t>
      </w:r>
      <w:r w:rsidR="0043271C" w:rsidRPr="00C91EA2">
        <w:rPr>
          <w:rFonts w:ascii="Times New Roman" w:hAnsi="Times New Roman" w:cs="Times New Roman"/>
          <w:sz w:val="24"/>
          <w:szCs w:val="24"/>
        </w:rPr>
        <w:t>. Senegal inherited a system of specialization and protection (e.g. with groundnuts supplying the European market) that was challenged first at the time of independence and then with the progressive reduction of inte</w:t>
      </w:r>
      <w:r w:rsidR="00C85BFE">
        <w:rPr>
          <w:rFonts w:ascii="Times New Roman" w:hAnsi="Times New Roman" w:cs="Times New Roman"/>
          <w:sz w:val="24"/>
          <w:szCs w:val="24"/>
        </w:rPr>
        <w:t xml:space="preserve">rnational barriers to trade, including a </w:t>
      </w:r>
      <w:r w:rsidR="0043271C" w:rsidRPr="00C91EA2">
        <w:rPr>
          <w:rFonts w:ascii="Times New Roman" w:hAnsi="Times New Roman" w:cs="Times New Roman"/>
          <w:sz w:val="24"/>
          <w:szCs w:val="24"/>
        </w:rPr>
        <w:t>suppression of quotas. Senegalese industries that were not competitive were hurt, and the country entered a vicious circle of lagging competitiveness that required more protection. While in a world of global segmentation of production and global value chains (GVCs), the paradigm has become “import to export</w:t>
      </w:r>
      <w:r w:rsidR="008F689B">
        <w:rPr>
          <w:rFonts w:ascii="Times New Roman" w:hAnsi="Times New Roman" w:cs="Times New Roman"/>
          <w:sz w:val="24"/>
          <w:szCs w:val="24"/>
        </w:rPr>
        <w:t>,</w:t>
      </w:r>
      <w:r w:rsidR="0043271C" w:rsidRPr="00C91EA2">
        <w:rPr>
          <w:rFonts w:ascii="Times New Roman" w:hAnsi="Times New Roman" w:cs="Times New Roman"/>
          <w:sz w:val="24"/>
          <w:szCs w:val="24"/>
        </w:rPr>
        <w:t>” Senegal is still basing i</w:t>
      </w:r>
      <w:r w:rsidR="00EA79D8">
        <w:rPr>
          <w:rFonts w:ascii="Times New Roman" w:hAnsi="Times New Roman" w:cs="Times New Roman"/>
          <w:sz w:val="24"/>
          <w:szCs w:val="24"/>
        </w:rPr>
        <w:t>t</w:t>
      </w:r>
      <w:r w:rsidR="0043271C" w:rsidRPr="00C91EA2">
        <w:rPr>
          <w:rFonts w:ascii="Times New Roman" w:hAnsi="Times New Roman" w:cs="Times New Roman"/>
          <w:sz w:val="24"/>
          <w:szCs w:val="24"/>
        </w:rPr>
        <w:t>s trade model on self-sufficiency and import substitution. In 2017, for example, several import bans have already been put in place, including for carrots, onions, and potatoes. This lack of predictability of trade is a barrier to investment and competitiveness.</w:t>
      </w:r>
    </w:p>
    <w:p w14:paraId="42F4D6C2" w14:textId="77777777" w:rsidR="0043271C" w:rsidRPr="00C91EA2" w:rsidRDefault="0043271C" w:rsidP="0043271C">
      <w:pPr>
        <w:pStyle w:val="PlainText"/>
        <w:jc w:val="both"/>
        <w:rPr>
          <w:rFonts w:ascii="Times New Roman" w:hAnsi="Times New Roman" w:cs="Times New Roman"/>
          <w:sz w:val="24"/>
          <w:szCs w:val="24"/>
        </w:rPr>
      </w:pPr>
    </w:p>
    <w:p w14:paraId="45DFB2DB" w14:textId="27FC6911" w:rsidR="0043271C" w:rsidRPr="009C03A2" w:rsidRDefault="0043271C" w:rsidP="0043271C">
      <w:pPr>
        <w:pStyle w:val="PlainText"/>
        <w:numPr>
          <w:ilvl w:val="0"/>
          <w:numId w:val="125"/>
        </w:numPr>
        <w:ind w:left="0" w:firstLine="0"/>
        <w:jc w:val="both"/>
        <w:rPr>
          <w:rFonts w:ascii="Times New Roman" w:hAnsi="Times New Roman" w:cs="Times New Roman"/>
          <w:sz w:val="24"/>
          <w:szCs w:val="24"/>
        </w:rPr>
      </w:pPr>
      <w:r w:rsidRPr="00C91EA2">
        <w:rPr>
          <w:rFonts w:ascii="Times New Roman" w:hAnsi="Times New Roman" w:cs="Times New Roman"/>
          <w:b/>
          <w:sz w:val="24"/>
          <w:szCs w:val="24"/>
        </w:rPr>
        <w:t>Senegalese exports have represented less than 30 percent of GDP over the past 15 years, which is below the average for Africa</w:t>
      </w:r>
      <w:r w:rsidRPr="00604782">
        <w:rPr>
          <w:rFonts w:ascii="Times New Roman" w:hAnsi="Times New Roman" w:cs="Times New Roman"/>
          <w:b/>
          <w:sz w:val="24"/>
          <w:szCs w:val="24"/>
        </w:rPr>
        <w:t xml:space="preserve">, but trade is relatively diversified given </w:t>
      </w:r>
      <w:r w:rsidR="008E23A0" w:rsidRPr="00604782">
        <w:rPr>
          <w:rFonts w:ascii="Times New Roman" w:hAnsi="Times New Roman" w:cs="Times New Roman"/>
          <w:b/>
          <w:sz w:val="24"/>
          <w:szCs w:val="24"/>
        </w:rPr>
        <w:t>Senegal</w:t>
      </w:r>
      <w:r w:rsidR="008E23A0" w:rsidRPr="00604782">
        <w:rPr>
          <w:rFonts w:ascii="Helvetica" w:eastAsia="Helvetica" w:hAnsi="Helvetica" w:cs="Helvetica"/>
          <w:b/>
          <w:sz w:val="24"/>
          <w:szCs w:val="24"/>
        </w:rPr>
        <w:t>’</w:t>
      </w:r>
      <w:r w:rsidR="008E23A0" w:rsidRPr="00604782">
        <w:rPr>
          <w:rFonts w:ascii="Times New Roman" w:hAnsi="Times New Roman" w:cs="Times New Roman"/>
          <w:b/>
          <w:sz w:val="24"/>
          <w:szCs w:val="24"/>
        </w:rPr>
        <w:t xml:space="preserve">s </w:t>
      </w:r>
      <w:r w:rsidRPr="00604782">
        <w:rPr>
          <w:rFonts w:ascii="Times New Roman" w:hAnsi="Times New Roman" w:cs="Times New Roman"/>
          <w:b/>
          <w:sz w:val="24"/>
          <w:szCs w:val="24"/>
        </w:rPr>
        <w:t xml:space="preserve">level of development. </w:t>
      </w:r>
      <w:r w:rsidRPr="00C91EA2">
        <w:rPr>
          <w:rFonts w:ascii="Times New Roman" w:hAnsi="Times New Roman" w:cs="Times New Roman"/>
          <w:sz w:val="24"/>
          <w:szCs w:val="24"/>
        </w:rPr>
        <w:t xml:space="preserve">Growth of exports has been driven by both goods and services – with the latter </w:t>
      </w:r>
      <w:r w:rsidR="00DA3834">
        <w:rPr>
          <w:rFonts w:ascii="Times New Roman" w:hAnsi="Times New Roman" w:cs="Times New Roman"/>
          <w:sz w:val="24"/>
          <w:szCs w:val="24"/>
        </w:rPr>
        <w:t xml:space="preserve">now </w:t>
      </w:r>
      <w:r w:rsidRPr="00165554">
        <w:rPr>
          <w:rFonts w:ascii="Times New Roman" w:hAnsi="Times New Roman" w:cs="Times New Roman"/>
          <w:sz w:val="24"/>
          <w:szCs w:val="24"/>
        </w:rPr>
        <w:t xml:space="preserve">representing one third of total exports. </w:t>
      </w:r>
      <w:r w:rsidR="002168F9">
        <w:rPr>
          <w:rFonts w:ascii="Times New Roman" w:hAnsi="Times New Roman" w:cs="Times New Roman"/>
          <w:sz w:val="24"/>
          <w:szCs w:val="24"/>
        </w:rPr>
        <w:t>Refined petroleum oils</w:t>
      </w:r>
      <w:r w:rsidR="002168F9" w:rsidRPr="00165554">
        <w:rPr>
          <w:rFonts w:ascii="Times New Roman" w:hAnsi="Times New Roman" w:cs="Times New Roman"/>
          <w:sz w:val="24"/>
          <w:szCs w:val="24"/>
        </w:rPr>
        <w:t xml:space="preserve"> </w:t>
      </w:r>
      <w:r w:rsidRPr="00165554">
        <w:rPr>
          <w:rFonts w:ascii="Times New Roman" w:hAnsi="Times New Roman" w:cs="Times New Roman"/>
          <w:sz w:val="24"/>
          <w:szCs w:val="24"/>
        </w:rPr>
        <w:t>represent Senegal’s main export (</w:t>
      </w:r>
      <w:r w:rsidR="00165554" w:rsidRPr="00C538DB">
        <w:rPr>
          <w:rFonts w:ascii="Times New Roman" w:hAnsi="Times New Roman" w:cs="Times New Roman"/>
          <w:sz w:val="24"/>
          <w:szCs w:val="24"/>
        </w:rPr>
        <w:t>1</w:t>
      </w:r>
      <w:r w:rsidR="002168F9">
        <w:rPr>
          <w:rFonts w:ascii="Times New Roman" w:hAnsi="Times New Roman" w:cs="Times New Roman"/>
          <w:sz w:val="24"/>
          <w:szCs w:val="24"/>
        </w:rPr>
        <w:t>9</w:t>
      </w:r>
      <w:r w:rsidRPr="00C538DB">
        <w:rPr>
          <w:rFonts w:ascii="Times New Roman" w:hAnsi="Times New Roman" w:cs="Times New Roman"/>
          <w:sz w:val="24"/>
          <w:szCs w:val="24"/>
        </w:rPr>
        <w:t xml:space="preserve"> percent in 2016), followed by </w:t>
      </w:r>
      <w:r w:rsidR="002168F9">
        <w:rPr>
          <w:rFonts w:ascii="Times New Roman" w:hAnsi="Times New Roman" w:cs="Times New Roman"/>
          <w:sz w:val="24"/>
          <w:szCs w:val="24"/>
        </w:rPr>
        <w:t>fish</w:t>
      </w:r>
      <w:r w:rsidR="002168F9" w:rsidRPr="00C538DB">
        <w:rPr>
          <w:rFonts w:ascii="Times New Roman" w:hAnsi="Times New Roman" w:cs="Times New Roman"/>
          <w:sz w:val="24"/>
          <w:szCs w:val="24"/>
        </w:rPr>
        <w:t xml:space="preserve"> </w:t>
      </w:r>
      <w:r w:rsidRPr="00C538DB">
        <w:rPr>
          <w:rFonts w:ascii="Times New Roman" w:hAnsi="Times New Roman" w:cs="Times New Roman"/>
          <w:sz w:val="24"/>
          <w:szCs w:val="24"/>
        </w:rPr>
        <w:t>(13 percent),</w:t>
      </w:r>
      <w:r w:rsidRPr="00165554">
        <w:rPr>
          <w:rFonts w:ascii="Times New Roman" w:hAnsi="Times New Roman" w:cs="Times New Roman"/>
          <w:sz w:val="24"/>
          <w:szCs w:val="24"/>
        </w:rPr>
        <w:t xml:space="preserve"> </w:t>
      </w:r>
      <w:r w:rsidR="002168F9">
        <w:rPr>
          <w:rFonts w:ascii="Times New Roman" w:hAnsi="Times New Roman" w:cs="Times New Roman"/>
          <w:sz w:val="24"/>
          <w:szCs w:val="24"/>
        </w:rPr>
        <w:t xml:space="preserve">gold (12.3 percent), </w:t>
      </w:r>
      <w:r w:rsidRPr="00165554">
        <w:rPr>
          <w:rFonts w:ascii="Times New Roman" w:hAnsi="Times New Roman" w:cs="Times New Roman"/>
          <w:sz w:val="24"/>
          <w:szCs w:val="24"/>
        </w:rPr>
        <w:t>cement (</w:t>
      </w:r>
      <w:r w:rsidR="002168F9">
        <w:rPr>
          <w:rFonts w:ascii="Times New Roman" w:hAnsi="Times New Roman" w:cs="Times New Roman"/>
          <w:sz w:val="24"/>
          <w:szCs w:val="24"/>
        </w:rPr>
        <w:t>7.9</w:t>
      </w:r>
      <w:r w:rsidRPr="00165554">
        <w:rPr>
          <w:rFonts w:ascii="Times New Roman" w:hAnsi="Times New Roman" w:cs="Times New Roman"/>
          <w:sz w:val="24"/>
          <w:szCs w:val="24"/>
        </w:rPr>
        <w:t xml:space="preserve"> percent), phosphoric acid (7.</w:t>
      </w:r>
      <w:r w:rsidR="002168F9">
        <w:rPr>
          <w:rFonts w:ascii="Times New Roman" w:hAnsi="Times New Roman" w:cs="Times New Roman"/>
          <w:sz w:val="24"/>
          <w:szCs w:val="24"/>
        </w:rPr>
        <w:t>3</w:t>
      </w:r>
      <w:r w:rsidRPr="00165554">
        <w:rPr>
          <w:rFonts w:ascii="Times New Roman" w:hAnsi="Times New Roman" w:cs="Times New Roman"/>
          <w:sz w:val="24"/>
          <w:szCs w:val="24"/>
        </w:rPr>
        <w:t xml:space="preserve"> percent), </w:t>
      </w:r>
      <w:r w:rsidRPr="003746EC">
        <w:rPr>
          <w:rFonts w:ascii="Times New Roman" w:hAnsi="Times New Roman" w:cs="Times New Roman"/>
          <w:sz w:val="24"/>
          <w:szCs w:val="24"/>
        </w:rPr>
        <w:t xml:space="preserve">and agricultural or food products. </w:t>
      </w:r>
      <w:proofErr w:type="gramStart"/>
      <w:r w:rsidRPr="003746EC">
        <w:rPr>
          <w:rFonts w:ascii="Times New Roman" w:hAnsi="Times New Roman" w:cs="Times New Roman"/>
          <w:sz w:val="24"/>
          <w:szCs w:val="24"/>
        </w:rPr>
        <w:t>With regard to</w:t>
      </w:r>
      <w:proofErr w:type="gramEnd"/>
      <w:r w:rsidRPr="003746EC">
        <w:rPr>
          <w:rFonts w:ascii="Times New Roman" w:hAnsi="Times New Roman" w:cs="Times New Roman"/>
          <w:sz w:val="24"/>
          <w:szCs w:val="24"/>
        </w:rPr>
        <w:t xml:space="preserve"> the destinations of exports, Senegal primarily exports to the West African region (led by Mali) and </w:t>
      </w:r>
      <w:r w:rsidR="008E23A0" w:rsidRPr="00A65D51">
        <w:rPr>
          <w:rFonts w:ascii="Times New Roman" w:hAnsi="Times New Roman" w:cs="Times New Roman"/>
          <w:sz w:val="24"/>
          <w:szCs w:val="24"/>
        </w:rPr>
        <w:t xml:space="preserve">to </w:t>
      </w:r>
      <w:r w:rsidR="002168F9">
        <w:rPr>
          <w:rFonts w:ascii="Times New Roman" w:hAnsi="Times New Roman" w:cs="Times New Roman"/>
          <w:sz w:val="24"/>
          <w:szCs w:val="24"/>
        </w:rPr>
        <w:t xml:space="preserve">Asia and </w:t>
      </w:r>
      <w:r w:rsidRPr="001F781D">
        <w:rPr>
          <w:rFonts w:ascii="Times New Roman" w:hAnsi="Times New Roman" w:cs="Times New Roman"/>
          <w:sz w:val="24"/>
          <w:szCs w:val="24"/>
        </w:rPr>
        <w:t>Europe</w:t>
      </w:r>
      <w:r w:rsidRPr="009C03A2">
        <w:rPr>
          <w:rFonts w:ascii="Times New Roman" w:hAnsi="Times New Roman" w:cs="Times New Roman"/>
          <w:sz w:val="24"/>
          <w:szCs w:val="24"/>
        </w:rPr>
        <w:t xml:space="preserve"> </w:t>
      </w:r>
      <w:r w:rsidRPr="00B77A17">
        <w:rPr>
          <w:rFonts w:ascii="Times New Roman" w:hAnsi="Times New Roman" w:cs="Times New Roman"/>
          <w:sz w:val="24"/>
          <w:szCs w:val="24"/>
        </w:rPr>
        <w:t xml:space="preserve">(see </w:t>
      </w:r>
      <w:r w:rsidR="009C03A2" w:rsidRPr="00B77A17">
        <w:rPr>
          <w:rFonts w:ascii="Times New Roman" w:hAnsi="Times New Roman" w:cs="Times New Roman"/>
          <w:sz w:val="24"/>
          <w:szCs w:val="24"/>
        </w:rPr>
        <w:fldChar w:fldCharType="begin"/>
      </w:r>
      <w:r w:rsidR="009C03A2" w:rsidRPr="00B77A17">
        <w:rPr>
          <w:rFonts w:ascii="Times New Roman" w:hAnsi="Times New Roman" w:cs="Times New Roman"/>
          <w:sz w:val="24"/>
          <w:szCs w:val="24"/>
        </w:rPr>
        <w:instrText xml:space="preserve"> REF _Ref498110405 \h  \* MERGEFORMAT </w:instrText>
      </w:r>
      <w:r w:rsidR="009C03A2" w:rsidRPr="00B77A17">
        <w:rPr>
          <w:rFonts w:ascii="Times New Roman" w:hAnsi="Times New Roman" w:cs="Times New Roman"/>
          <w:sz w:val="24"/>
          <w:szCs w:val="24"/>
        </w:rPr>
      </w:r>
      <w:r w:rsidR="009C03A2" w:rsidRPr="00B77A17">
        <w:rPr>
          <w:rFonts w:ascii="Times New Roman" w:hAnsi="Times New Roman" w:cs="Times New Roman"/>
          <w:sz w:val="24"/>
          <w:szCs w:val="24"/>
        </w:rPr>
        <w:fldChar w:fldCharType="separate"/>
      </w:r>
      <w:r w:rsidR="008261B2" w:rsidRPr="008261B2">
        <w:rPr>
          <w:rFonts w:ascii="Times New Roman" w:hAnsi="Times New Roman"/>
          <w:sz w:val="24"/>
          <w:szCs w:val="24"/>
        </w:rPr>
        <w:t xml:space="preserve">Figure </w:t>
      </w:r>
      <w:r w:rsidR="008261B2" w:rsidRPr="008261B2">
        <w:rPr>
          <w:rFonts w:ascii="Times New Roman" w:hAnsi="Times New Roman"/>
          <w:noProof/>
          <w:sz w:val="24"/>
          <w:szCs w:val="24"/>
        </w:rPr>
        <w:t>79</w:t>
      </w:r>
      <w:r w:rsidR="009C03A2" w:rsidRPr="00B77A17">
        <w:rPr>
          <w:rFonts w:ascii="Times New Roman" w:hAnsi="Times New Roman" w:cs="Times New Roman"/>
          <w:sz w:val="24"/>
          <w:szCs w:val="24"/>
        </w:rPr>
        <w:fldChar w:fldCharType="end"/>
      </w:r>
      <w:r w:rsidRPr="00B77A17">
        <w:rPr>
          <w:rFonts w:ascii="Times New Roman" w:hAnsi="Times New Roman" w:cs="Times New Roman"/>
          <w:sz w:val="24"/>
          <w:szCs w:val="24"/>
        </w:rPr>
        <w:t xml:space="preserve"> in </w:t>
      </w:r>
      <w:r w:rsidR="00316984" w:rsidRPr="00B77A17">
        <w:rPr>
          <w:rFonts w:ascii="Times New Roman" w:hAnsi="Times New Roman" w:cs="Times New Roman"/>
          <w:sz w:val="24"/>
          <w:szCs w:val="24"/>
        </w:rPr>
        <w:t>Annex</w:t>
      </w:r>
      <w:r w:rsidRPr="00B77A17">
        <w:rPr>
          <w:rFonts w:ascii="Times New Roman" w:hAnsi="Times New Roman" w:cs="Times New Roman"/>
          <w:sz w:val="24"/>
          <w:szCs w:val="24"/>
        </w:rPr>
        <w:t xml:space="preserve"> 1).</w:t>
      </w:r>
    </w:p>
    <w:p w14:paraId="31DD685B" w14:textId="77777777" w:rsidR="0043271C" w:rsidRPr="00C91EA2" w:rsidRDefault="0043271C" w:rsidP="0043271C">
      <w:pPr>
        <w:rPr>
          <w:rFonts w:ascii="Times New Roman" w:hAnsi="Times New Roman" w:cs="Times New Roman"/>
        </w:rPr>
      </w:pPr>
    </w:p>
    <w:p w14:paraId="15F93B03" w14:textId="07012A4E" w:rsidR="0043271C" w:rsidRPr="00C91EA2" w:rsidRDefault="00F10290" w:rsidP="0043271C">
      <w:pPr>
        <w:pStyle w:val="ListParagraph"/>
        <w:numPr>
          <w:ilvl w:val="0"/>
          <w:numId w:val="125"/>
        </w:numPr>
        <w:ind w:left="0" w:firstLine="0"/>
        <w:jc w:val="both"/>
        <w:rPr>
          <w:rFonts w:ascii="Times New Roman" w:hAnsi="Times New Roman" w:cs="Times New Roman"/>
        </w:rPr>
      </w:pPr>
      <w:r>
        <w:rPr>
          <w:rFonts w:ascii="Times New Roman" w:hAnsi="Times New Roman" w:cs="Times New Roman"/>
          <w:b/>
        </w:rPr>
        <w:t>Barriers to c</w:t>
      </w:r>
      <w:r w:rsidRPr="00C91EA2">
        <w:rPr>
          <w:rFonts w:ascii="Times New Roman" w:hAnsi="Times New Roman" w:cs="Times New Roman"/>
          <w:b/>
        </w:rPr>
        <w:t xml:space="preserve">ompetition </w:t>
      </w:r>
      <w:r w:rsidR="0043271C" w:rsidRPr="00C91EA2">
        <w:rPr>
          <w:rFonts w:ascii="Times New Roman" w:hAnsi="Times New Roman" w:cs="Times New Roman"/>
          <w:b/>
        </w:rPr>
        <w:t>and trade can affect Senegal’s capacity to export</w:t>
      </w:r>
      <w:r>
        <w:rPr>
          <w:rFonts w:ascii="Times New Roman" w:hAnsi="Times New Roman" w:cs="Times New Roman"/>
        </w:rPr>
        <w:t>.</w:t>
      </w:r>
      <w:r w:rsidR="0043271C" w:rsidRPr="00C91EA2">
        <w:rPr>
          <w:rFonts w:ascii="Times New Roman" w:hAnsi="Times New Roman" w:cs="Times New Roman"/>
        </w:rPr>
        <w:t xml:space="preserve"> </w:t>
      </w:r>
      <w:r>
        <w:rPr>
          <w:rFonts w:ascii="Times New Roman" w:hAnsi="Times New Roman" w:cs="Times New Roman"/>
        </w:rPr>
        <w:t>This is true not only of barriers directly affecting the product to be exported, but also of barriers affecting</w:t>
      </w:r>
      <w:r w:rsidR="0043271C" w:rsidRPr="00C91EA2">
        <w:rPr>
          <w:rFonts w:ascii="Times New Roman" w:hAnsi="Times New Roman" w:cs="Times New Roman"/>
        </w:rPr>
        <w:t xml:space="preserve"> products and services upstream and downstream in the value chains. </w:t>
      </w:r>
      <w:r w:rsidR="009E0009">
        <w:rPr>
          <w:rFonts w:ascii="Times New Roman" w:hAnsi="Times New Roman" w:cs="Times New Roman"/>
        </w:rPr>
        <w:t>Barriers to competition</w:t>
      </w:r>
      <w:r w:rsidR="009E0009" w:rsidRPr="00C91EA2">
        <w:rPr>
          <w:rFonts w:ascii="Times New Roman" w:hAnsi="Times New Roman" w:cs="Times New Roman"/>
        </w:rPr>
        <w:t xml:space="preserve"> </w:t>
      </w:r>
      <w:r w:rsidR="0043271C" w:rsidRPr="00C91EA2">
        <w:rPr>
          <w:rFonts w:ascii="Times New Roman" w:hAnsi="Times New Roman" w:cs="Times New Roman"/>
        </w:rPr>
        <w:t>also affect the country’s capacity to upgrade and move towards the center of the product space</w:t>
      </w:r>
      <w:r w:rsidR="009E0009">
        <w:rPr>
          <w:rFonts w:ascii="Times New Roman" w:hAnsi="Times New Roman" w:cs="Times New Roman"/>
        </w:rPr>
        <w:t xml:space="preserve"> (i.e. towards the production of more sophisticated products)</w:t>
      </w:r>
      <w:r w:rsidR="0043271C" w:rsidRPr="00C91EA2">
        <w:rPr>
          <w:rFonts w:ascii="Times New Roman" w:hAnsi="Times New Roman" w:cs="Times New Roman"/>
        </w:rPr>
        <w:t>.</w:t>
      </w:r>
      <w:r w:rsidR="0043271C" w:rsidRPr="00C91EA2">
        <w:rPr>
          <w:rStyle w:val="FootnoteReference"/>
          <w:rFonts w:ascii="Times New Roman" w:hAnsi="Times New Roman" w:cs="Times New Roman"/>
        </w:rPr>
        <w:footnoteReference w:id="53"/>
      </w:r>
      <w:r w:rsidR="0043271C" w:rsidRPr="00C91EA2">
        <w:rPr>
          <w:rFonts w:ascii="Times New Roman" w:hAnsi="Times New Roman" w:cs="Times New Roman"/>
        </w:rPr>
        <w:t xml:space="preserve"> For example, Senegal has the capabilities (skills and technologies) to become a globally competitive exporter of palm oil or margarine, but distortions associated with regulations and trade barriers in certain sectors and markets (e.g. groundnut</w:t>
      </w:r>
      <w:r w:rsidR="009C2CA0">
        <w:rPr>
          <w:rFonts w:ascii="Times New Roman" w:hAnsi="Times New Roman" w:cs="Times New Roman"/>
        </w:rPr>
        <w:t>s</w:t>
      </w:r>
      <w:r w:rsidR="0043271C" w:rsidRPr="00C91EA2">
        <w:rPr>
          <w:rFonts w:ascii="Times New Roman" w:hAnsi="Times New Roman" w:cs="Times New Roman"/>
        </w:rPr>
        <w:t>) affect the development of these industries. From a value chain perspective:</w:t>
      </w:r>
    </w:p>
    <w:p w14:paraId="15598E4D" w14:textId="52C09F4B" w:rsidR="0043271C" w:rsidRPr="00505244" w:rsidRDefault="0043271C" w:rsidP="0043271C">
      <w:pPr>
        <w:pStyle w:val="ListParagraph"/>
        <w:numPr>
          <w:ilvl w:val="0"/>
          <w:numId w:val="126"/>
        </w:numPr>
        <w:spacing w:after="160" w:line="256" w:lineRule="auto"/>
        <w:jc w:val="both"/>
        <w:rPr>
          <w:rFonts w:ascii="Times New Roman" w:hAnsi="Times New Roman" w:cs="Times New Roman"/>
        </w:rPr>
      </w:pPr>
      <w:r w:rsidRPr="00A33BAA">
        <w:rPr>
          <w:rFonts w:ascii="Times New Roman" w:hAnsi="Times New Roman" w:cs="Times New Roman"/>
        </w:rPr>
        <w:t xml:space="preserve">Upstream barriers to competition affect the competitiveness of downstream sectors (for example, obstacles in telecommunications </w:t>
      </w:r>
      <w:r w:rsidRPr="00DA02CC">
        <w:rPr>
          <w:rFonts w:ascii="Times New Roman" w:hAnsi="Times New Roman" w:cs="Times New Roman"/>
        </w:rPr>
        <w:t>affect competitiveness in IT-enabled services); an</w:t>
      </w:r>
      <w:r w:rsidRPr="00505244">
        <w:rPr>
          <w:rFonts w:ascii="Times New Roman" w:hAnsi="Times New Roman" w:cs="Times New Roman"/>
        </w:rPr>
        <w:t>d</w:t>
      </w:r>
    </w:p>
    <w:p w14:paraId="27B4D9E5" w14:textId="77777777" w:rsidR="0043271C" w:rsidRPr="00A33BAA" w:rsidRDefault="0043271C" w:rsidP="0043271C">
      <w:pPr>
        <w:pStyle w:val="ListParagraph"/>
        <w:numPr>
          <w:ilvl w:val="0"/>
          <w:numId w:val="126"/>
        </w:numPr>
        <w:spacing w:after="160" w:line="256" w:lineRule="auto"/>
        <w:jc w:val="both"/>
        <w:rPr>
          <w:rFonts w:ascii="Times New Roman" w:hAnsi="Times New Roman" w:cs="Times New Roman"/>
        </w:rPr>
      </w:pPr>
      <w:r w:rsidRPr="00505244">
        <w:rPr>
          <w:rFonts w:ascii="Times New Roman" w:hAnsi="Times New Roman" w:cs="Times New Roman"/>
        </w:rPr>
        <w:t xml:space="preserve">Downstream barriers to competition affect the country’s capacity to diversify, upgrade and add domestic value (moving towards </w:t>
      </w:r>
      <w:r w:rsidR="002C0A12" w:rsidRPr="00C62EBB">
        <w:rPr>
          <w:rFonts w:ascii="Times New Roman" w:hAnsi="Times New Roman" w:cs="Times New Roman"/>
        </w:rPr>
        <w:t>the center of the product space</w:t>
      </w:r>
      <w:r w:rsidRPr="008B7787">
        <w:rPr>
          <w:rFonts w:ascii="Times New Roman" w:hAnsi="Times New Roman" w:cs="Times New Roman"/>
        </w:rPr>
        <w:t xml:space="preserve"> </w:t>
      </w:r>
      <w:r w:rsidR="002C0A12" w:rsidRPr="008B7787">
        <w:rPr>
          <w:rFonts w:ascii="Times New Roman" w:hAnsi="Times New Roman" w:cs="Times New Roman"/>
        </w:rPr>
        <w:t>through</w:t>
      </w:r>
      <w:r w:rsidR="00E53299" w:rsidRPr="009A141C">
        <w:rPr>
          <w:rFonts w:ascii="Times New Roman" w:hAnsi="Times New Roman" w:cs="Times New Roman"/>
        </w:rPr>
        <w:t xml:space="preserve"> for example,</w:t>
      </w:r>
      <w:r w:rsidR="002C0A12" w:rsidRPr="009A141C">
        <w:rPr>
          <w:rFonts w:ascii="Times New Roman" w:hAnsi="Times New Roman" w:cs="Times New Roman"/>
        </w:rPr>
        <w:t xml:space="preserve"> </w:t>
      </w:r>
      <w:r w:rsidRPr="009A141C">
        <w:rPr>
          <w:rFonts w:ascii="Times New Roman" w:hAnsi="Times New Roman" w:cs="Times New Roman"/>
        </w:rPr>
        <w:t>the develop</w:t>
      </w:r>
      <w:r w:rsidR="00CF6B6F" w:rsidRPr="00464077">
        <w:rPr>
          <w:rFonts w:ascii="Times New Roman" w:hAnsi="Times New Roman" w:cs="Times New Roman"/>
        </w:rPr>
        <w:t>ment of</w:t>
      </w:r>
      <w:r w:rsidRPr="00464077">
        <w:rPr>
          <w:rFonts w:ascii="Times New Roman" w:hAnsi="Times New Roman" w:cs="Times New Roman"/>
        </w:rPr>
        <w:t xml:space="preserve"> local processing capacities</w:t>
      </w:r>
      <w:r w:rsidR="00CF6B6F" w:rsidRPr="007C54D1">
        <w:rPr>
          <w:rFonts w:ascii="Times New Roman" w:hAnsi="Times New Roman" w:cs="Times New Roman"/>
        </w:rPr>
        <w:t>, which could allow Senegal t</w:t>
      </w:r>
      <w:r w:rsidR="00CF6B6F" w:rsidRPr="00A33BAA">
        <w:rPr>
          <w:rFonts w:ascii="Times New Roman" w:hAnsi="Times New Roman" w:cs="Times New Roman"/>
        </w:rPr>
        <w:t>o</w:t>
      </w:r>
      <w:r w:rsidRPr="00A33BAA">
        <w:rPr>
          <w:rFonts w:ascii="Times New Roman" w:hAnsi="Times New Roman" w:cs="Times New Roman"/>
        </w:rPr>
        <w:t xml:space="preserve"> move from the exportation of fresh fish to fillets or processed fish).</w:t>
      </w:r>
    </w:p>
    <w:p w14:paraId="6017E953" w14:textId="4178495C" w:rsidR="0043271C" w:rsidRPr="00C91EA2" w:rsidRDefault="0043271C" w:rsidP="0043271C">
      <w:pPr>
        <w:pStyle w:val="ListParagraph"/>
        <w:ind w:left="0"/>
        <w:jc w:val="both"/>
        <w:rPr>
          <w:rFonts w:ascii="Times New Roman" w:hAnsi="Times New Roman" w:cs="Times New Roman"/>
        </w:rPr>
      </w:pPr>
      <w:r w:rsidRPr="00B77A17">
        <w:rPr>
          <w:rFonts w:ascii="Times New Roman" w:hAnsi="Times New Roman" w:cs="Times New Roman"/>
        </w:rPr>
        <w:fldChar w:fldCharType="begin"/>
      </w:r>
      <w:r w:rsidRPr="00B77A17">
        <w:rPr>
          <w:rFonts w:ascii="Times New Roman" w:hAnsi="Times New Roman" w:cs="Times New Roman"/>
        </w:rPr>
        <w:instrText xml:space="preserve"> REF _Ref497135350 \h  \* MERGEFORMAT </w:instrText>
      </w:r>
      <w:r w:rsidRPr="00B77A17">
        <w:rPr>
          <w:rFonts w:ascii="Times New Roman" w:hAnsi="Times New Roman" w:cs="Times New Roman"/>
        </w:rPr>
      </w:r>
      <w:r w:rsidRPr="00B77A17">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77</w:t>
      </w:r>
      <w:r w:rsidRPr="00B77A17">
        <w:rPr>
          <w:rFonts w:ascii="Times New Roman" w:hAnsi="Times New Roman" w:cs="Times New Roman"/>
        </w:rPr>
        <w:fldChar w:fldCharType="end"/>
      </w:r>
      <w:r w:rsidRPr="00B77A17">
        <w:rPr>
          <w:rFonts w:ascii="Times New Roman" w:hAnsi="Times New Roman" w:cs="Times New Roman"/>
        </w:rPr>
        <w:t xml:space="preserve"> </w:t>
      </w:r>
      <w:r w:rsidR="009F5222" w:rsidRPr="00B77A17">
        <w:rPr>
          <w:rFonts w:ascii="Times New Roman" w:hAnsi="Times New Roman" w:cs="Times New Roman"/>
        </w:rPr>
        <w:t>in Annex 1</w:t>
      </w:r>
      <w:r w:rsidR="009F5222">
        <w:rPr>
          <w:rFonts w:ascii="Times New Roman" w:hAnsi="Times New Roman" w:cs="Times New Roman"/>
        </w:rPr>
        <w:t xml:space="preserve"> </w:t>
      </w:r>
      <w:r w:rsidRPr="00C91EA2">
        <w:rPr>
          <w:rFonts w:ascii="Times New Roman" w:hAnsi="Times New Roman" w:cs="Times New Roman"/>
        </w:rPr>
        <w:t xml:space="preserve">shows the product space of Senegalese exports. It confirms the relative diversity of its exports, but also reveals a confinement of the country </w:t>
      </w:r>
      <w:r w:rsidR="00592C40">
        <w:rPr>
          <w:rFonts w:ascii="Times New Roman" w:hAnsi="Times New Roman" w:cs="Times New Roman"/>
        </w:rPr>
        <w:t>to</w:t>
      </w:r>
      <w:r w:rsidR="00592C40" w:rsidRPr="00C91EA2">
        <w:rPr>
          <w:rFonts w:ascii="Times New Roman" w:hAnsi="Times New Roman" w:cs="Times New Roman"/>
        </w:rPr>
        <w:t xml:space="preserve"> </w:t>
      </w:r>
      <w:r w:rsidRPr="00C91EA2">
        <w:rPr>
          <w:rFonts w:ascii="Times New Roman" w:hAnsi="Times New Roman" w:cs="Times New Roman"/>
        </w:rPr>
        <w:t>the periphery of the product space, with very few value chains that have been fully developed towards the center of the product space (mainly in agriculture, food products, animal skins, and fisheries).</w:t>
      </w:r>
    </w:p>
    <w:p w14:paraId="105F0BC4" w14:textId="77777777" w:rsidR="0043271C" w:rsidRPr="00C91EA2" w:rsidRDefault="0043271C" w:rsidP="0043271C">
      <w:pPr>
        <w:jc w:val="both"/>
        <w:rPr>
          <w:rFonts w:ascii="Times New Roman" w:hAnsi="Times New Roman" w:cs="Times New Roman"/>
        </w:rPr>
      </w:pPr>
    </w:p>
    <w:p w14:paraId="29532649" w14:textId="12D873D4" w:rsidR="0043271C" w:rsidRPr="00C91EA2" w:rsidRDefault="0043271C" w:rsidP="0043271C">
      <w:pPr>
        <w:pStyle w:val="ListParagraph"/>
        <w:numPr>
          <w:ilvl w:val="0"/>
          <w:numId w:val="125"/>
        </w:numPr>
        <w:autoSpaceDE w:val="0"/>
        <w:autoSpaceDN w:val="0"/>
        <w:adjustRightInd w:val="0"/>
        <w:ind w:left="0" w:firstLine="0"/>
        <w:jc w:val="both"/>
        <w:rPr>
          <w:rFonts w:ascii="Times New Roman" w:eastAsia="Times New Roman" w:hAnsi="Times New Roman" w:cs="Times New Roman"/>
        </w:rPr>
      </w:pPr>
      <w:r w:rsidRPr="00C91EA2">
        <w:rPr>
          <w:rFonts w:ascii="Times New Roman" w:eastAsia="Times New Roman" w:hAnsi="Times New Roman" w:cs="Times New Roman"/>
          <w:b/>
        </w:rPr>
        <w:t xml:space="preserve">Acknowledging the need to sustain structural reforms, the </w:t>
      </w:r>
      <w:r w:rsidR="003B24ED">
        <w:rPr>
          <w:rFonts w:ascii="Times New Roman" w:eastAsia="Times New Roman" w:hAnsi="Times New Roman" w:cs="Times New Roman"/>
          <w:b/>
        </w:rPr>
        <w:t>Government</w:t>
      </w:r>
      <w:r w:rsidRPr="00C91EA2">
        <w:rPr>
          <w:rFonts w:ascii="Times New Roman" w:eastAsia="Times New Roman" w:hAnsi="Times New Roman" w:cs="Times New Roman"/>
          <w:b/>
        </w:rPr>
        <w:t xml:space="preserve"> launched the “Plan </w:t>
      </w:r>
      <w:proofErr w:type="spellStart"/>
      <w:r w:rsidRPr="00C91EA2">
        <w:rPr>
          <w:rFonts w:ascii="Times New Roman" w:eastAsia="Times New Roman" w:hAnsi="Times New Roman" w:cs="Times New Roman"/>
          <w:b/>
        </w:rPr>
        <w:t>Sénégal</w:t>
      </w:r>
      <w:proofErr w:type="spellEnd"/>
      <w:r w:rsidRPr="00C91EA2">
        <w:rPr>
          <w:rFonts w:ascii="Times New Roman" w:eastAsia="Times New Roman" w:hAnsi="Times New Roman" w:cs="Times New Roman"/>
          <w:b/>
        </w:rPr>
        <w:t xml:space="preserve"> Emergent” (PSE) in 2014. </w:t>
      </w:r>
      <w:r w:rsidRPr="00C91EA2">
        <w:rPr>
          <w:rFonts w:ascii="Times New Roman" w:eastAsia="Times New Roman" w:hAnsi="Times New Roman" w:cs="Times New Roman"/>
        </w:rPr>
        <w:t xml:space="preserve">It provides a framework to address the country’s development challenges and is articulated around three pillars: (i) higher and sustainable growth and structural transformation, (ii) human development, and (iii) governance, peace and security. According to the PSE, economic activity would be driven by an expansion of globally competitive production allowing increased exports, and </w:t>
      </w:r>
      <w:r w:rsidR="00F4305C">
        <w:rPr>
          <w:rFonts w:ascii="Times New Roman" w:eastAsia="Times New Roman" w:hAnsi="Times New Roman" w:cs="Times New Roman"/>
        </w:rPr>
        <w:t xml:space="preserve">by </w:t>
      </w:r>
      <w:r w:rsidRPr="00C91EA2">
        <w:rPr>
          <w:rFonts w:ascii="Times New Roman" w:eastAsia="Times New Roman" w:hAnsi="Times New Roman" w:cs="Times New Roman"/>
        </w:rPr>
        <w:t>investment in new sectors. With the PSE, Senegal aims to become an emerging country by 2035. For this to happen, growth rates of 7-8 percent are required, in a context of higher productivity and competitiveness. Further,</w:t>
      </w:r>
      <w:r w:rsidRPr="00C91EA2">
        <w:rPr>
          <w:rFonts w:ascii="Times New Roman" w:eastAsia="Times New Roman" w:hAnsi="Times New Roman" w:cs="Times New Roman"/>
          <w:b/>
        </w:rPr>
        <w:t xml:space="preserve"> </w:t>
      </w:r>
      <w:r w:rsidRPr="00C91EA2">
        <w:rPr>
          <w:rFonts w:ascii="Times New Roman" w:eastAsia="Times New Roman" w:hAnsi="Times New Roman" w:cs="Times New Roman"/>
        </w:rPr>
        <w:t>as part of the PSE, the Ministry of Posts initiated the formulation of a national strategy document for development of the digital economy</w:t>
      </w:r>
      <w:r w:rsidR="00B22CBF">
        <w:rPr>
          <w:rFonts w:ascii="Times New Roman" w:eastAsia="Times New Roman" w:hAnsi="Times New Roman" w:cs="Times New Roman"/>
        </w:rPr>
        <w:t>,</w:t>
      </w:r>
      <w:r w:rsidRPr="00C91EA2">
        <w:rPr>
          <w:rFonts w:ascii="Times New Roman" w:eastAsia="Times New Roman" w:hAnsi="Times New Roman" w:cs="Times New Roman"/>
        </w:rPr>
        <w:t xml:space="preserve"> “</w:t>
      </w:r>
      <w:proofErr w:type="spellStart"/>
      <w:r w:rsidRPr="00C91EA2">
        <w:rPr>
          <w:rFonts w:ascii="Times New Roman" w:eastAsia="Times New Roman" w:hAnsi="Times New Roman" w:cs="Times New Roman"/>
        </w:rPr>
        <w:t>Sénégal</w:t>
      </w:r>
      <w:proofErr w:type="spellEnd"/>
      <w:r w:rsidRPr="00C91EA2">
        <w:rPr>
          <w:rFonts w:ascii="Times New Roman" w:eastAsia="Times New Roman" w:hAnsi="Times New Roman" w:cs="Times New Roman"/>
        </w:rPr>
        <w:t xml:space="preserve"> </w:t>
      </w:r>
      <w:proofErr w:type="spellStart"/>
      <w:r w:rsidRPr="00C91EA2">
        <w:rPr>
          <w:rFonts w:ascii="Times New Roman" w:eastAsia="Times New Roman" w:hAnsi="Times New Roman" w:cs="Times New Roman"/>
        </w:rPr>
        <w:t>Numérique</w:t>
      </w:r>
      <w:proofErr w:type="spellEnd"/>
      <w:r w:rsidRPr="00C91EA2">
        <w:rPr>
          <w:rFonts w:ascii="Times New Roman" w:eastAsia="Times New Roman" w:hAnsi="Times New Roman" w:cs="Times New Roman"/>
        </w:rPr>
        <w:t xml:space="preserve"> 2016-2025” (</w:t>
      </w:r>
      <w:r w:rsidR="000014A1" w:rsidRPr="00C91EA2">
        <w:rPr>
          <w:rFonts w:ascii="Times New Roman" w:eastAsia="Times New Roman" w:hAnsi="Times New Roman" w:cs="Times New Roman"/>
        </w:rPr>
        <w:t>SN 2025</w:t>
      </w:r>
      <w:r w:rsidRPr="00C91EA2">
        <w:rPr>
          <w:rFonts w:ascii="Times New Roman" w:eastAsia="Times New Roman" w:hAnsi="Times New Roman" w:cs="Times New Roman"/>
        </w:rPr>
        <w:t xml:space="preserve">), to increase access to and use of broadband </w:t>
      </w:r>
      <w:r w:rsidR="00D87C7C">
        <w:rPr>
          <w:rFonts w:ascii="Times New Roman" w:eastAsia="Times New Roman" w:hAnsi="Times New Roman" w:cs="Times New Roman"/>
        </w:rPr>
        <w:t>i</w:t>
      </w:r>
      <w:r w:rsidR="00D87C7C" w:rsidRPr="00C91EA2">
        <w:rPr>
          <w:rFonts w:ascii="Times New Roman" w:eastAsia="Times New Roman" w:hAnsi="Times New Roman" w:cs="Times New Roman"/>
        </w:rPr>
        <w:t xml:space="preserve">nternet </w:t>
      </w:r>
      <w:r w:rsidRPr="00C91EA2">
        <w:rPr>
          <w:rFonts w:ascii="Times New Roman" w:eastAsia="Times New Roman" w:hAnsi="Times New Roman" w:cs="Times New Roman"/>
        </w:rPr>
        <w:t>services in Senegal. The strategy intends for the digital economy to generate 10 percent of Senegal’s GDP by 2025.</w:t>
      </w:r>
      <w:r w:rsidRPr="00C91EA2">
        <w:rPr>
          <w:rStyle w:val="FootnoteReference"/>
          <w:rFonts w:ascii="Times New Roman" w:eastAsia="Times New Roman" w:hAnsi="Times New Roman" w:cs="Times New Roman"/>
        </w:rPr>
        <w:footnoteReference w:id="54"/>
      </w:r>
      <w:r w:rsidRPr="00C91EA2">
        <w:rPr>
          <w:rFonts w:ascii="Times New Roman" w:eastAsia="Times New Roman" w:hAnsi="Times New Roman" w:cs="Times New Roman"/>
        </w:rPr>
        <w:t xml:space="preserve"> With regard to the groundnut sector, the second sectoral focus of this analysis, the </w:t>
      </w:r>
      <w:r w:rsidR="003B24ED">
        <w:rPr>
          <w:rFonts w:ascii="Times New Roman" w:eastAsia="Times New Roman" w:hAnsi="Times New Roman" w:cs="Times New Roman"/>
        </w:rPr>
        <w:t>Government</w:t>
      </w:r>
      <w:r w:rsidRPr="00C91EA2">
        <w:rPr>
          <w:rFonts w:ascii="Times New Roman" w:eastAsia="Times New Roman" w:hAnsi="Times New Roman" w:cs="Times New Roman"/>
        </w:rPr>
        <w:t xml:space="preserve"> is currently developing a new strategy encompassing profound reforms to the sector which this analysis will inform.</w:t>
      </w:r>
    </w:p>
    <w:p w14:paraId="75F08E51" w14:textId="77777777" w:rsidR="0043271C" w:rsidRPr="00C91EA2" w:rsidRDefault="0043271C" w:rsidP="0043271C">
      <w:pPr>
        <w:autoSpaceDE w:val="0"/>
        <w:autoSpaceDN w:val="0"/>
        <w:adjustRightInd w:val="0"/>
        <w:jc w:val="both"/>
        <w:rPr>
          <w:rFonts w:ascii="Times New Roman" w:eastAsia="Times New Roman" w:hAnsi="Times New Roman" w:cs="Times New Roman"/>
        </w:rPr>
      </w:pPr>
    </w:p>
    <w:p w14:paraId="2890A46D" w14:textId="2C202BC4" w:rsidR="0043271C" w:rsidRPr="00C91EA2" w:rsidRDefault="0043271C" w:rsidP="0043271C">
      <w:pPr>
        <w:pStyle w:val="ListParagraph"/>
        <w:numPr>
          <w:ilvl w:val="0"/>
          <w:numId w:val="125"/>
        </w:numPr>
        <w:ind w:left="0" w:firstLine="0"/>
        <w:jc w:val="both"/>
        <w:rPr>
          <w:rFonts w:ascii="Times New Roman" w:eastAsia="Times New Roman" w:hAnsi="Times New Roman" w:cs="Times New Roman"/>
        </w:rPr>
      </w:pPr>
      <w:r w:rsidRPr="00C91EA2">
        <w:rPr>
          <w:rFonts w:ascii="Times New Roman" w:eastAsia="Times New Roman" w:hAnsi="Times New Roman" w:cs="Times New Roman"/>
          <w:b/>
        </w:rPr>
        <w:t xml:space="preserve">In this context, reforms which could remove barriers to well-functioning markets both economy wide and in key </w:t>
      </w:r>
      <w:r w:rsidR="0022227B">
        <w:rPr>
          <w:rFonts w:ascii="Times New Roman" w:eastAsia="Times New Roman" w:hAnsi="Times New Roman" w:cs="Times New Roman"/>
          <w:b/>
        </w:rPr>
        <w:t xml:space="preserve">sectors are important </w:t>
      </w:r>
      <w:r w:rsidR="00DF7E41">
        <w:rPr>
          <w:rFonts w:ascii="Times New Roman" w:eastAsia="Times New Roman" w:hAnsi="Times New Roman" w:cs="Times New Roman"/>
          <w:b/>
        </w:rPr>
        <w:t>in</w:t>
      </w:r>
      <w:r w:rsidR="0022227B">
        <w:rPr>
          <w:rFonts w:ascii="Times New Roman" w:eastAsia="Times New Roman" w:hAnsi="Times New Roman" w:cs="Times New Roman"/>
          <w:b/>
        </w:rPr>
        <w:t xml:space="preserve"> enhancing</w:t>
      </w:r>
      <w:r w:rsidRPr="00C91EA2">
        <w:rPr>
          <w:rFonts w:ascii="Times New Roman" w:eastAsia="Times New Roman" w:hAnsi="Times New Roman" w:cs="Times New Roman"/>
          <w:b/>
        </w:rPr>
        <w:t xml:space="preserve"> growth and private</w:t>
      </w:r>
      <w:r w:rsidR="00997672">
        <w:rPr>
          <w:rFonts w:ascii="Times New Roman" w:eastAsia="Times New Roman" w:hAnsi="Times New Roman" w:cs="Times New Roman"/>
          <w:b/>
        </w:rPr>
        <w:t>-</w:t>
      </w:r>
      <w:r w:rsidRPr="00C91EA2">
        <w:rPr>
          <w:rFonts w:ascii="Times New Roman" w:eastAsia="Times New Roman" w:hAnsi="Times New Roman" w:cs="Times New Roman"/>
          <w:b/>
        </w:rPr>
        <w:t>sector development</w:t>
      </w:r>
      <w:r w:rsidRPr="00C91EA2">
        <w:rPr>
          <w:rFonts w:ascii="Times New Roman" w:eastAsia="Times New Roman" w:hAnsi="Times New Roman" w:cs="Times New Roman"/>
        </w:rPr>
        <w:t>.</w:t>
      </w:r>
      <w:r w:rsidRPr="00C91EA2">
        <w:rPr>
          <w:rStyle w:val="FootnoteReference"/>
          <w:rFonts w:ascii="Times New Roman" w:eastAsia="Times New Roman" w:hAnsi="Times New Roman" w:cs="Times New Roman"/>
        </w:rPr>
        <w:footnoteReference w:id="55"/>
      </w:r>
      <w:r w:rsidRPr="00C91EA2">
        <w:rPr>
          <w:rFonts w:ascii="Times New Roman" w:eastAsia="Times New Roman" w:hAnsi="Times New Roman" w:cs="Times New Roman"/>
        </w:rPr>
        <w:t xml:space="preserve"> Both the </w:t>
      </w:r>
      <w:r w:rsidR="00E53299">
        <w:rPr>
          <w:rFonts w:ascii="Times New Roman" w:eastAsia="Times New Roman" w:hAnsi="Times New Roman" w:cs="Times New Roman"/>
        </w:rPr>
        <w:t xml:space="preserve">PSE </w:t>
      </w:r>
      <w:r w:rsidRPr="00C91EA2">
        <w:rPr>
          <w:rFonts w:ascii="Times New Roman" w:eastAsia="Times New Roman" w:hAnsi="Times New Roman" w:cs="Times New Roman"/>
        </w:rPr>
        <w:t xml:space="preserve">and the strategy SN 2025 expressly acknowledge the importance of the business environment and SN 2025 specifically emphasizes the need for competition. The </w:t>
      </w:r>
      <w:r w:rsidR="00944D28">
        <w:rPr>
          <w:rFonts w:ascii="Times New Roman" w:eastAsia="Times New Roman" w:hAnsi="Times New Roman" w:cs="Times New Roman"/>
        </w:rPr>
        <w:t>PSE</w:t>
      </w:r>
      <w:r w:rsidRPr="00C91EA2">
        <w:rPr>
          <w:rFonts w:ascii="Times New Roman" w:eastAsia="Times New Roman" w:hAnsi="Times New Roman" w:cs="Times New Roman"/>
        </w:rPr>
        <w:t xml:space="preserve"> is off to a good start, but further reforms will be required to sustain the current momentum. Particularly</w:t>
      </w:r>
      <w:r w:rsidR="00997672">
        <w:rPr>
          <w:rFonts w:ascii="Times New Roman" w:eastAsia="Times New Roman" w:hAnsi="Times New Roman" w:cs="Times New Roman"/>
        </w:rPr>
        <w:t>,</w:t>
      </w:r>
      <w:r w:rsidRPr="00C91EA2">
        <w:rPr>
          <w:rFonts w:ascii="Times New Roman" w:eastAsia="Times New Roman" w:hAnsi="Times New Roman" w:cs="Times New Roman"/>
        </w:rPr>
        <w:t xml:space="preserve"> space for private domestic and foreign investment needs to be created.</w:t>
      </w:r>
      <w:r w:rsidRPr="00C91EA2">
        <w:rPr>
          <w:rStyle w:val="FootnoteReference"/>
          <w:rFonts w:ascii="Times New Roman" w:eastAsia="Times New Roman" w:hAnsi="Times New Roman" w:cs="Times New Roman"/>
        </w:rPr>
        <w:footnoteReference w:id="56"/>
      </w:r>
      <w:r w:rsidRPr="00C91EA2">
        <w:rPr>
          <w:rFonts w:ascii="Times New Roman" w:eastAsia="Times New Roman" w:hAnsi="Times New Roman" w:cs="Times New Roman"/>
        </w:rPr>
        <w:t xml:space="preserve"> </w:t>
      </w:r>
      <w:r w:rsidR="00944D28">
        <w:rPr>
          <w:rFonts w:ascii="Times New Roman" w:eastAsia="Times New Roman" w:hAnsi="Times New Roman" w:cs="Times New Roman"/>
        </w:rPr>
        <w:t xml:space="preserve">The </w:t>
      </w:r>
      <w:r w:rsidR="00312F72">
        <w:rPr>
          <w:rFonts w:ascii="Times New Roman" w:eastAsia="Times New Roman" w:hAnsi="Times New Roman" w:cs="Times New Roman"/>
        </w:rPr>
        <w:t xml:space="preserve">PSE recognizes the </w:t>
      </w:r>
      <w:r w:rsidRPr="00C91EA2">
        <w:rPr>
          <w:rFonts w:ascii="Times New Roman" w:eastAsia="Times New Roman" w:hAnsi="Times New Roman" w:cs="Times New Roman"/>
        </w:rPr>
        <w:t xml:space="preserve">need for improvements to the business environment and </w:t>
      </w:r>
      <w:r w:rsidR="00D3350E">
        <w:rPr>
          <w:rFonts w:ascii="Times New Roman" w:eastAsia="Times New Roman" w:hAnsi="Times New Roman" w:cs="Times New Roman"/>
        </w:rPr>
        <w:t xml:space="preserve">for </w:t>
      </w:r>
      <w:r w:rsidRPr="00C91EA2">
        <w:rPr>
          <w:rFonts w:ascii="Times New Roman" w:eastAsia="Times New Roman" w:hAnsi="Times New Roman" w:cs="Times New Roman"/>
        </w:rPr>
        <w:t>an “active management of competitiveness indicators.”</w:t>
      </w:r>
      <w:r w:rsidRPr="00C91EA2">
        <w:rPr>
          <w:rStyle w:val="FootnoteReference"/>
          <w:rFonts w:ascii="Times New Roman" w:eastAsia="Times New Roman" w:hAnsi="Times New Roman" w:cs="Times New Roman"/>
        </w:rPr>
        <w:footnoteReference w:id="57"/>
      </w:r>
      <w:r w:rsidRPr="00C91EA2">
        <w:rPr>
          <w:rFonts w:ascii="Times New Roman" w:eastAsia="Times New Roman" w:hAnsi="Times New Roman" w:cs="Times New Roman"/>
        </w:rPr>
        <w:t xml:space="preserve"> The plan also calls for “guaranteeing the conditions for healthy competition,”</w:t>
      </w:r>
      <w:r w:rsidRPr="00C91EA2">
        <w:rPr>
          <w:rStyle w:val="FootnoteReference"/>
          <w:rFonts w:ascii="Times New Roman" w:eastAsia="Times New Roman" w:hAnsi="Times New Roman" w:cs="Times New Roman"/>
        </w:rPr>
        <w:footnoteReference w:id="58"/>
      </w:r>
      <w:r w:rsidRPr="00C91EA2">
        <w:rPr>
          <w:rFonts w:ascii="Times New Roman" w:eastAsia="Times New Roman" w:hAnsi="Times New Roman" w:cs="Times New Roman"/>
        </w:rPr>
        <w:t xml:space="preserve"> which is picked up by SN 2025</w:t>
      </w:r>
      <w:r w:rsidR="00944D28">
        <w:rPr>
          <w:rFonts w:ascii="Times New Roman" w:eastAsia="Times New Roman" w:hAnsi="Times New Roman" w:cs="Times New Roman"/>
        </w:rPr>
        <w:t>,</w:t>
      </w:r>
      <w:r w:rsidRPr="00C91EA2">
        <w:rPr>
          <w:rFonts w:ascii="Times New Roman" w:eastAsia="Times New Roman" w:hAnsi="Times New Roman" w:cs="Times New Roman"/>
        </w:rPr>
        <w:t xml:space="preserve"> </w:t>
      </w:r>
      <w:r w:rsidR="00944D28">
        <w:rPr>
          <w:rFonts w:ascii="Times New Roman" w:eastAsia="Times New Roman" w:hAnsi="Times New Roman" w:cs="Times New Roman"/>
        </w:rPr>
        <w:t>which</w:t>
      </w:r>
      <w:r w:rsidRPr="00C91EA2">
        <w:rPr>
          <w:rFonts w:ascii="Times New Roman" w:eastAsia="Times New Roman" w:hAnsi="Times New Roman" w:cs="Times New Roman"/>
        </w:rPr>
        <w:t xml:space="preserve"> calls for “healthy and increased competition.”</w:t>
      </w:r>
      <w:r w:rsidRPr="00C91EA2">
        <w:rPr>
          <w:rStyle w:val="FootnoteReference"/>
          <w:rFonts w:ascii="Times New Roman" w:eastAsia="Times New Roman" w:hAnsi="Times New Roman" w:cs="Times New Roman"/>
        </w:rPr>
        <w:footnoteReference w:id="59"/>
      </w:r>
      <w:r w:rsidRPr="00C91EA2">
        <w:rPr>
          <w:rFonts w:ascii="Times New Roman" w:eastAsia="Times New Roman" w:hAnsi="Times New Roman" w:cs="Times New Roman"/>
        </w:rPr>
        <w:t xml:space="preserve"> Therefore, this Markets and Competition Policy Assessment aims at providing an analysis of economy-wide and sector-specific constraints to competition to help support the </w:t>
      </w:r>
      <w:r w:rsidR="003B24ED">
        <w:rPr>
          <w:rFonts w:ascii="Times New Roman" w:eastAsia="Times New Roman" w:hAnsi="Times New Roman" w:cs="Times New Roman"/>
        </w:rPr>
        <w:t>Government</w:t>
      </w:r>
      <w:r w:rsidR="00944D28" w:rsidRPr="00C91EA2">
        <w:rPr>
          <w:rFonts w:ascii="Times New Roman" w:eastAsia="Times New Roman" w:hAnsi="Times New Roman" w:cs="Times New Roman"/>
        </w:rPr>
        <w:t xml:space="preserve">’s </w:t>
      </w:r>
      <w:r w:rsidRPr="00C91EA2">
        <w:rPr>
          <w:rFonts w:ascii="Times New Roman" w:eastAsia="Times New Roman" w:hAnsi="Times New Roman" w:cs="Times New Roman"/>
        </w:rPr>
        <w:t>development priorities.</w:t>
      </w:r>
    </w:p>
    <w:p w14:paraId="5000ABC2" w14:textId="77777777" w:rsidR="0043271C" w:rsidRPr="00C91EA2" w:rsidRDefault="0043271C" w:rsidP="0043271C">
      <w:pPr>
        <w:pStyle w:val="Heading1"/>
        <w:rPr>
          <w:rFonts w:ascii="Times New Roman" w:hAnsi="Times New Roman" w:cs="Times New Roman"/>
        </w:rPr>
      </w:pPr>
      <w:bookmarkStart w:id="56" w:name="_Toc497990819"/>
      <w:bookmarkStart w:id="57" w:name="_Toc520724100"/>
      <w:r w:rsidRPr="00C91EA2">
        <w:rPr>
          <w:rFonts w:ascii="Times New Roman" w:hAnsi="Times New Roman" w:cs="Times New Roman"/>
        </w:rPr>
        <w:t>2. Competitive Markets Matter for Economic Development in Senegal</w:t>
      </w:r>
      <w:bookmarkEnd w:id="56"/>
      <w:bookmarkEnd w:id="57"/>
    </w:p>
    <w:p w14:paraId="44CA1A3A" w14:textId="77777777" w:rsidR="0043271C" w:rsidRPr="00C91EA2" w:rsidRDefault="0043271C" w:rsidP="0043271C">
      <w:pPr>
        <w:jc w:val="both"/>
        <w:rPr>
          <w:rFonts w:ascii="Times New Roman" w:hAnsi="Times New Roman" w:cs="Times New Roman"/>
          <w:b/>
          <w:sz w:val="22"/>
        </w:rPr>
      </w:pPr>
    </w:p>
    <w:p w14:paraId="185CFA5D" w14:textId="0503A4C7" w:rsidR="0043271C" w:rsidRPr="00C91EA2" w:rsidRDefault="0043271C" w:rsidP="0043271C">
      <w:pPr>
        <w:pStyle w:val="ListParagraph"/>
        <w:numPr>
          <w:ilvl w:val="0"/>
          <w:numId w:val="125"/>
        </w:numPr>
        <w:ind w:left="0" w:firstLine="0"/>
        <w:jc w:val="both"/>
        <w:rPr>
          <w:rFonts w:ascii="Times New Roman" w:eastAsia="Times New Roman" w:hAnsi="Times New Roman" w:cs="Times New Roman"/>
          <w:lang w:val="en-GB"/>
        </w:rPr>
      </w:pPr>
      <w:r w:rsidRPr="00C91EA2">
        <w:rPr>
          <w:rFonts w:ascii="Times New Roman" w:eastAsia="Times New Roman" w:hAnsi="Times New Roman" w:cs="Times New Roman"/>
          <w:b/>
          <w:bCs/>
          <w:lang w:val="en-GB"/>
        </w:rPr>
        <w:t>Market competition is a key driver for achieving greater innovation, productivity, and economic growth.</w:t>
      </w:r>
      <w:r w:rsidRPr="00C91EA2">
        <w:rPr>
          <w:rFonts w:ascii="Times New Roman" w:eastAsia="Times New Roman" w:hAnsi="Times New Roman" w:cs="Times New Roman"/>
          <w:bCs/>
          <w:lang w:val="en-GB"/>
        </w:rPr>
        <w:t xml:space="preserve"> Greater competition is enabled through a comprehensive competition policy framework that includes a set of policies and laws ensuring </w:t>
      </w:r>
      <w:r w:rsidR="00D36328">
        <w:rPr>
          <w:rFonts w:ascii="Times New Roman" w:eastAsia="Times New Roman" w:hAnsi="Times New Roman" w:cs="Times New Roman"/>
          <w:bCs/>
          <w:lang w:val="en-GB"/>
        </w:rPr>
        <w:t xml:space="preserve">that </w:t>
      </w:r>
      <w:r w:rsidRPr="00C91EA2">
        <w:rPr>
          <w:rFonts w:ascii="Times New Roman" w:eastAsia="Times New Roman" w:hAnsi="Times New Roman" w:cs="Times New Roman"/>
          <w:bCs/>
          <w:lang w:val="en-GB"/>
        </w:rPr>
        <w:t>competition in the marketplace is not restricted in such a way as to reduce economic welfare.</w:t>
      </w:r>
      <w:r w:rsidRPr="00C91EA2">
        <w:rPr>
          <w:rFonts w:ascii="Times New Roman" w:hAnsi="Times New Roman" w:cs="Times New Roman"/>
          <w:vertAlign w:val="superscript"/>
          <w:lang w:val="en-GB"/>
        </w:rPr>
        <w:footnoteReference w:id="60"/>
      </w:r>
      <w:r w:rsidRPr="00C91EA2">
        <w:rPr>
          <w:rFonts w:ascii="Times New Roman" w:eastAsia="Times New Roman" w:hAnsi="Times New Roman" w:cs="Times New Roman"/>
          <w:bCs/>
          <w:lang w:val="en-GB"/>
        </w:rPr>
        <w:t xml:space="preserve"> </w:t>
      </w:r>
      <w:r w:rsidRPr="00C91EA2">
        <w:rPr>
          <w:rFonts w:ascii="Times New Roman" w:eastAsia="Times New Roman" w:hAnsi="Times New Roman" w:cs="Times New Roman"/>
          <w:lang w:val="en-GB"/>
        </w:rPr>
        <w:t>In practical terms, competition policy involves: (i) the promotion of measures to enable contestability, firm entry and rivalry; (ii) the enforcement of antitrust laws (typically rules against abuse of dominance and anticompetitive agreements, and merger control), and (iii) competitive neutrality and state aid control</w:t>
      </w:r>
      <w:r w:rsidRPr="00C91EA2">
        <w:rPr>
          <w:rFonts w:ascii="Times New Roman" w:eastAsia="Times New Roman" w:hAnsi="Times New Roman" w:cs="Times New Roman"/>
          <w:bCs/>
          <w:lang w:val="en-GB"/>
        </w:rPr>
        <w:t xml:space="preserve"> (see </w:t>
      </w:r>
      <w:r w:rsidRPr="00C91EA2">
        <w:rPr>
          <w:rFonts w:ascii="Times New Roman" w:eastAsia="Times New Roman" w:hAnsi="Times New Roman" w:cs="Times New Roman"/>
          <w:bCs/>
          <w:lang w:val="en-GB"/>
        </w:rPr>
        <w:fldChar w:fldCharType="begin"/>
      </w:r>
      <w:r w:rsidRPr="00C91EA2">
        <w:rPr>
          <w:rFonts w:ascii="Times New Roman" w:eastAsia="Times New Roman" w:hAnsi="Times New Roman" w:cs="Times New Roman"/>
          <w:bCs/>
          <w:lang w:val="en-GB"/>
        </w:rPr>
        <w:instrText xml:space="preserve"> REF _Ref497135527 \h </w:instrText>
      </w:r>
      <w:r w:rsidR="00C91EA2">
        <w:rPr>
          <w:rFonts w:ascii="Times New Roman" w:eastAsia="Times New Roman" w:hAnsi="Times New Roman" w:cs="Times New Roman"/>
          <w:bCs/>
          <w:lang w:val="en-GB"/>
        </w:rPr>
        <w:instrText xml:space="preserve"> \* MERGEFORMAT </w:instrText>
      </w:r>
      <w:r w:rsidRPr="00C91EA2">
        <w:rPr>
          <w:rFonts w:ascii="Times New Roman" w:eastAsia="Times New Roman" w:hAnsi="Times New Roman" w:cs="Times New Roman"/>
          <w:bCs/>
          <w:lang w:val="en-GB"/>
        </w:rPr>
      </w:r>
      <w:r w:rsidRPr="00C91EA2">
        <w:rPr>
          <w:rFonts w:ascii="Times New Roman" w:eastAsia="Times New Roman" w:hAnsi="Times New Roman" w:cs="Times New Roman"/>
          <w:bCs/>
          <w:lang w:val="en-GB"/>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12</w:t>
      </w:r>
      <w:r w:rsidRPr="00C91EA2">
        <w:rPr>
          <w:rFonts w:ascii="Times New Roman" w:eastAsia="Times New Roman" w:hAnsi="Times New Roman" w:cs="Times New Roman"/>
          <w:bCs/>
          <w:lang w:val="en-GB"/>
        </w:rPr>
        <w:fldChar w:fldCharType="end"/>
      </w:r>
      <w:r w:rsidRPr="00C91EA2">
        <w:rPr>
          <w:rFonts w:ascii="Times New Roman" w:eastAsia="Times New Roman" w:hAnsi="Times New Roman" w:cs="Times New Roman"/>
          <w:bCs/>
          <w:lang w:val="en-GB"/>
        </w:rPr>
        <w:t xml:space="preserve"> below).</w:t>
      </w:r>
      <w:r w:rsidRPr="00C91EA2">
        <w:rPr>
          <w:rFonts w:ascii="Times New Roman" w:hAnsi="Times New Roman" w:cs="Times New Roman"/>
          <w:vertAlign w:val="superscript"/>
          <w:lang w:val="en-GB"/>
        </w:rPr>
        <w:footnoteReference w:id="61"/>
      </w:r>
      <w:r w:rsidRPr="00C91EA2">
        <w:rPr>
          <w:rFonts w:ascii="Times New Roman" w:eastAsia="Times New Roman" w:hAnsi="Times New Roman" w:cs="Times New Roman"/>
          <w:bCs/>
          <w:lang w:val="en-GB"/>
        </w:rPr>
        <w:t xml:space="preserve"> </w:t>
      </w:r>
      <w:r w:rsidRPr="00C91EA2">
        <w:rPr>
          <w:rFonts w:ascii="Times New Roman" w:eastAsia="Times New Roman" w:hAnsi="Times New Roman" w:cs="Times New Roman"/>
          <w:lang w:val="en-GB"/>
        </w:rPr>
        <w:t xml:space="preserve">It is worth noting that the ultimate aim of competition policies is not to increase the number of firms in a market or to eliminate market power to achieve a theoretical state of perfect competition. Their final goal is to generate the right incentives for firms to improve their economic performance vis-à-vis their actual and potential rivals and in so doing deliver the best outcomes for consumers and the </w:t>
      </w:r>
      <w:proofErr w:type="gramStart"/>
      <w:r w:rsidRPr="00C91EA2">
        <w:rPr>
          <w:rFonts w:ascii="Times New Roman" w:eastAsia="Times New Roman" w:hAnsi="Times New Roman" w:cs="Times New Roman"/>
          <w:lang w:val="en-GB"/>
        </w:rPr>
        <w:t>economy as a whole</w:t>
      </w:r>
      <w:proofErr w:type="gramEnd"/>
      <w:r w:rsidRPr="00C91EA2">
        <w:rPr>
          <w:rFonts w:ascii="Times New Roman" w:eastAsia="Times New Roman" w:hAnsi="Times New Roman" w:cs="Times New Roman"/>
          <w:lang w:val="en-GB"/>
        </w:rPr>
        <w:t>.</w:t>
      </w:r>
    </w:p>
    <w:p w14:paraId="41FD8CB7" w14:textId="77777777" w:rsidR="0043271C" w:rsidRPr="00C91EA2" w:rsidRDefault="0043271C" w:rsidP="0043271C">
      <w:pPr>
        <w:jc w:val="both"/>
        <w:rPr>
          <w:rFonts w:ascii="Times New Roman" w:eastAsia="Times New Roman" w:hAnsi="Times New Roman" w:cs="Times New Roman"/>
          <w:lang w:val="en-GB"/>
        </w:rPr>
      </w:pPr>
    </w:p>
    <w:tbl>
      <w:tblPr>
        <w:tblStyle w:val="TableGrid"/>
        <w:tblW w:w="0" w:type="auto"/>
        <w:tblLook w:val="04A0" w:firstRow="1" w:lastRow="0" w:firstColumn="1" w:lastColumn="0" w:noHBand="0" w:noVBand="1"/>
      </w:tblPr>
      <w:tblGrid>
        <w:gridCol w:w="8290"/>
      </w:tblGrid>
      <w:tr w:rsidR="0043271C" w:rsidRPr="00C91EA2" w14:paraId="657C8D41" w14:textId="77777777" w:rsidTr="0043271C">
        <w:tc>
          <w:tcPr>
            <w:tcW w:w="8290" w:type="dxa"/>
            <w:tcBorders>
              <w:top w:val="single" w:sz="4" w:space="0" w:color="auto"/>
              <w:left w:val="single" w:sz="4" w:space="0" w:color="auto"/>
              <w:bottom w:val="single" w:sz="4" w:space="0" w:color="auto"/>
              <w:right w:val="single" w:sz="4" w:space="0" w:color="auto"/>
            </w:tcBorders>
            <w:hideMark/>
          </w:tcPr>
          <w:p w14:paraId="370C1489" w14:textId="2906A91D" w:rsidR="0043271C" w:rsidRPr="00C91EA2" w:rsidRDefault="0043271C">
            <w:pPr>
              <w:pStyle w:val="Caption"/>
              <w:keepNext/>
              <w:rPr>
                <w:rFonts w:ascii="Times New Roman" w:eastAsiaTheme="minorEastAsia" w:hAnsi="Times New Roman"/>
                <w:b w:val="0"/>
                <w:bCs w:val="0"/>
                <w:sz w:val="24"/>
                <w:szCs w:val="24"/>
              </w:rPr>
            </w:pPr>
            <w:bookmarkStart w:id="58" w:name="_Ref497135527"/>
            <w:bookmarkStart w:id="59" w:name="_Toc497990857"/>
            <w:bookmarkStart w:id="60" w:name="_Toc520725568"/>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12</w:t>
            </w:r>
            <w:r w:rsidR="00D91B27">
              <w:rPr>
                <w:rFonts w:ascii="Times New Roman" w:hAnsi="Times New Roman"/>
              </w:rPr>
              <w:fldChar w:fldCharType="end"/>
            </w:r>
            <w:bookmarkEnd w:id="58"/>
            <w:r w:rsidRPr="00C91EA2">
              <w:rPr>
                <w:rFonts w:ascii="Times New Roman" w:hAnsi="Times New Roman"/>
              </w:rPr>
              <w:t>: A Comprehensive Competition Policy Framework</w:t>
            </w:r>
            <w:bookmarkEnd w:id="59"/>
            <w:bookmarkEnd w:id="60"/>
          </w:p>
        </w:tc>
      </w:tr>
      <w:tr w:rsidR="0043271C" w:rsidRPr="00C91EA2" w14:paraId="6737295B" w14:textId="77777777" w:rsidTr="0043271C">
        <w:tc>
          <w:tcPr>
            <w:tcW w:w="8290" w:type="dxa"/>
            <w:tcBorders>
              <w:top w:val="single" w:sz="4" w:space="0" w:color="auto"/>
              <w:left w:val="single" w:sz="4" w:space="0" w:color="auto"/>
              <w:bottom w:val="single" w:sz="4" w:space="0" w:color="auto"/>
              <w:right w:val="single" w:sz="4" w:space="0" w:color="auto"/>
            </w:tcBorders>
            <w:hideMark/>
          </w:tcPr>
          <w:tbl>
            <w:tblPr>
              <w:tblW w:w="0" w:type="auto"/>
              <w:jc w:val="center"/>
              <w:tblLook w:val="04A0" w:firstRow="1" w:lastRow="0" w:firstColumn="1" w:lastColumn="0" w:noHBand="0" w:noVBand="1"/>
            </w:tblPr>
            <w:tblGrid>
              <w:gridCol w:w="82"/>
              <w:gridCol w:w="2460"/>
              <w:gridCol w:w="2457"/>
              <w:gridCol w:w="2838"/>
              <w:gridCol w:w="237"/>
            </w:tblGrid>
            <w:tr w:rsidR="0043271C" w:rsidRPr="00C91EA2" w14:paraId="26F651E5" w14:textId="77777777">
              <w:trPr>
                <w:jc w:val="center"/>
              </w:trPr>
              <w:tc>
                <w:tcPr>
                  <w:tcW w:w="8074" w:type="dxa"/>
                  <w:gridSpan w:val="5"/>
                  <w:tcBorders>
                    <w:top w:val="nil"/>
                    <w:left w:val="nil"/>
                    <w:bottom w:val="single" w:sz="36" w:space="0" w:color="FFFFFF" w:themeColor="background1"/>
                    <w:right w:val="nil"/>
                  </w:tcBorders>
                  <w:shd w:val="clear" w:color="auto" w:fill="FFC000"/>
                  <w:hideMark/>
                </w:tcPr>
                <w:p w14:paraId="7643ED5F" w14:textId="77777777" w:rsidR="0043271C" w:rsidRPr="00C91EA2" w:rsidRDefault="0043271C">
                  <w:pPr>
                    <w:keepNext/>
                    <w:autoSpaceDE w:val="0"/>
                    <w:autoSpaceDN w:val="0"/>
                    <w:jc w:val="both"/>
                    <w:rPr>
                      <w:rFonts w:ascii="Times New Roman" w:eastAsia="Times New Roman" w:hAnsi="Times New Roman" w:cs="Times New Roman"/>
                      <w:b/>
                      <w:sz w:val="20"/>
                      <w:szCs w:val="20"/>
                      <w:lang w:val="en-GB" w:eastAsia="zh-CN"/>
                    </w:rPr>
                  </w:pPr>
                  <w:r w:rsidRPr="00C91EA2">
                    <w:rPr>
                      <w:rFonts w:ascii="Times New Roman" w:eastAsia="Times New Roman" w:hAnsi="Times New Roman" w:cs="Times New Roman"/>
                      <w:b/>
                      <w:sz w:val="20"/>
                      <w:szCs w:val="20"/>
                      <w:lang w:val="en-GB" w:eastAsia="zh-CN"/>
                    </w:rPr>
                    <w:t>FOSTERING COMPETITION IN MARKETS</w:t>
                  </w:r>
                </w:p>
              </w:tc>
            </w:tr>
            <w:tr w:rsidR="0043271C" w:rsidRPr="00C91EA2" w14:paraId="74420247" w14:textId="77777777">
              <w:trPr>
                <w:gridBefore w:val="1"/>
                <w:gridAfter w:val="1"/>
                <w:wBefore w:w="82" w:type="dxa"/>
                <w:wAfter w:w="237" w:type="dxa"/>
                <w:trHeight w:val="923"/>
                <w:jc w:val="center"/>
              </w:trPr>
              <w:tc>
                <w:tcPr>
                  <w:tcW w:w="2460" w:type="dxa"/>
                  <w:tcBorders>
                    <w:top w:val="single" w:sz="36" w:space="0" w:color="FFFFFF" w:themeColor="background1"/>
                    <w:left w:val="single" w:sz="36" w:space="0" w:color="FFFFFF" w:themeColor="background1"/>
                    <w:bottom w:val="nil"/>
                    <w:right w:val="single" w:sz="36" w:space="0" w:color="FFFFFF" w:themeColor="background1"/>
                  </w:tcBorders>
                  <w:shd w:val="clear" w:color="auto" w:fill="D9D9D9" w:themeFill="background1" w:themeFillShade="D9"/>
                  <w:vAlign w:val="center"/>
                  <w:hideMark/>
                </w:tcPr>
                <w:p w14:paraId="52B085BF" w14:textId="542C6878" w:rsidR="0043271C" w:rsidRPr="00C91EA2" w:rsidRDefault="0043271C">
                  <w:pPr>
                    <w:keepNext/>
                    <w:keepLines/>
                    <w:autoSpaceDE w:val="0"/>
                    <w:autoSpaceDN w:val="0"/>
                    <w:rPr>
                      <w:rFonts w:ascii="Times New Roman" w:eastAsia="Times New Roman" w:hAnsi="Times New Roman" w:cs="Times New Roman"/>
                      <w:b/>
                      <w:bCs/>
                      <w:color w:val="365F91" w:themeColor="accent1" w:themeShade="BF"/>
                      <w:sz w:val="16"/>
                      <w:szCs w:val="16"/>
                      <w:lang w:val="en-GB" w:eastAsia="zh-CN"/>
                    </w:rPr>
                  </w:pPr>
                  <w:r w:rsidRPr="00C91EA2">
                    <w:rPr>
                      <w:rFonts w:ascii="Times New Roman" w:eastAsia="Times New Roman" w:hAnsi="Times New Roman" w:cs="Times New Roman"/>
                      <w:b/>
                      <w:sz w:val="16"/>
                      <w:szCs w:val="16"/>
                      <w:lang w:val="en-GB" w:eastAsia="zh-CN"/>
                    </w:rPr>
                    <w:t xml:space="preserve">PROCOMPETITION REGULATIONS AND </w:t>
                  </w:r>
                  <w:r w:rsidR="003B24ED">
                    <w:rPr>
                      <w:rFonts w:ascii="Times New Roman" w:eastAsia="Times New Roman" w:hAnsi="Times New Roman" w:cs="Times New Roman"/>
                      <w:b/>
                      <w:sz w:val="16"/>
                      <w:szCs w:val="16"/>
                      <w:lang w:val="en-GB" w:eastAsia="zh-CN"/>
                    </w:rPr>
                    <w:t>GOVERNMENT</w:t>
                  </w:r>
                  <w:r w:rsidRPr="00C91EA2">
                    <w:rPr>
                      <w:rFonts w:ascii="Times New Roman" w:eastAsia="Times New Roman" w:hAnsi="Times New Roman" w:cs="Times New Roman"/>
                      <w:b/>
                      <w:sz w:val="16"/>
                      <w:szCs w:val="16"/>
                      <w:lang w:val="en-GB" w:eastAsia="zh-CN"/>
                    </w:rPr>
                    <w:t xml:space="preserve"> INTERVENTIONS: OPENING MARKETS AND REMOVING ANTICOMPETITIVE SECTORAL REGULATION</w:t>
                  </w:r>
                </w:p>
              </w:tc>
              <w:tc>
                <w:tcPr>
                  <w:tcW w:w="2457" w:type="dxa"/>
                  <w:tcBorders>
                    <w:top w:val="single" w:sz="36" w:space="0" w:color="FFFFFF" w:themeColor="background1"/>
                    <w:left w:val="single" w:sz="36" w:space="0" w:color="FFFFFF" w:themeColor="background1"/>
                    <w:bottom w:val="nil"/>
                    <w:right w:val="single" w:sz="36" w:space="0" w:color="FFFFFF" w:themeColor="background1"/>
                  </w:tcBorders>
                  <w:shd w:val="clear" w:color="auto" w:fill="D9D9D9" w:themeFill="background1" w:themeFillShade="D9"/>
                  <w:vAlign w:val="center"/>
                  <w:hideMark/>
                </w:tcPr>
                <w:p w14:paraId="5907DC22" w14:textId="77777777" w:rsidR="0043271C" w:rsidRPr="00C91EA2" w:rsidRDefault="0043271C">
                  <w:pPr>
                    <w:keepNext/>
                    <w:keepLines/>
                    <w:autoSpaceDE w:val="0"/>
                    <w:autoSpaceDN w:val="0"/>
                    <w:rPr>
                      <w:rFonts w:ascii="Times New Roman" w:eastAsia="Times New Roman" w:hAnsi="Times New Roman" w:cs="Times New Roman"/>
                      <w:b/>
                      <w:sz w:val="16"/>
                      <w:szCs w:val="16"/>
                      <w:lang w:val="en-GB" w:eastAsia="zh-CN"/>
                    </w:rPr>
                  </w:pPr>
                  <w:r w:rsidRPr="00C91EA2">
                    <w:rPr>
                      <w:rFonts w:ascii="Times New Roman" w:eastAsia="Times New Roman" w:hAnsi="Times New Roman" w:cs="Times New Roman"/>
                      <w:b/>
                      <w:sz w:val="16"/>
                      <w:szCs w:val="16"/>
                      <w:lang w:val="en-GB" w:eastAsia="zh-CN"/>
                    </w:rPr>
                    <w:t>COMPETITIVE NEUTRALITY AND NON- DISTORTIVE PUBLIC AID SUPPORT</w:t>
                  </w:r>
                </w:p>
              </w:tc>
              <w:tc>
                <w:tcPr>
                  <w:tcW w:w="283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hideMark/>
                </w:tcPr>
                <w:p w14:paraId="1D94E5D6" w14:textId="77777777" w:rsidR="0043271C" w:rsidRPr="00C91EA2" w:rsidRDefault="0043271C">
                  <w:pPr>
                    <w:keepNext/>
                    <w:keepLines/>
                    <w:autoSpaceDE w:val="0"/>
                    <w:autoSpaceDN w:val="0"/>
                    <w:rPr>
                      <w:rFonts w:ascii="Times New Roman" w:eastAsia="Times New Roman" w:hAnsi="Times New Roman" w:cs="Times New Roman"/>
                      <w:b/>
                      <w:bCs/>
                      <w:color w:val="365F91" w:themeColor="accent1" w:themeShade="BF"/>
                      <w:sz w:val="16"/>
                      <w:szCs w:val="16"/>
                      <w:lang w:val="en-GB" w:eastAsia="zh-CN"/>
                    </w:rPr>
                  </w:pPr>
                  <w:r w:rsidRPr="00C91EA2">
                    <w:rPr>
                      <w:rFonts w:ascii="Times New Roman" w:eastAsia="Times New Roman" w:hAnsi="Times New Roman" w:cs="Times New Roman"/>
                      <w:b/>
                      <w:sz w:val="16"/>
                      <w:szCs w:val="16"/>
                      <w:lang w:val="en-GB" w:eastAsia="zh-CN"/>
                    </w:rPr>
                    <w:t>EFFECTIVE COMPETITION LAW AND ANTITRUST ENFORCEMENT</w:t>
                  </w:r>
                </w:p>
              </w:tc>
            </w:tr>
            <w:tr w:rsidR="0043271C" w:rsidRPr="00C91EA2" w14:paraId="50ACB6DD" w14:textId="77777777">
              <w:trPr>
                <w:gridBefore w:val="1"/>
                <w:gridAfter w:val="1"/>
                <w:wBefore w:w="82" w:type="dxa"/>
                <w:wAfter w:w="237" w:type="dxa"/>
                <w:trHeight w:val="815"/>
                <w:jc w:val="center"/>
              </w:trPr>
              <w:tc>
                <w:tcPr>
                  <w:tcW w:w="246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8CCE4" w:themeFill="accent1" w:themeFillTint="66"/>
                  <w:vAlign w:val="center"/>
                  <w:hideMark/>
                </w:tcPr>
                <w:p w14:paraId="235E5F32" w14:textId="46B0B1F7" w:rsidR="0043271C" w:rsidRPr="00C91EA2" w:rsidRDefault="0043271C">
                  <w:pPr>
                    <w:keepNext/>
                    <w:keepLines/>
                    <w:autoSpaceDE w:val="0"/>
                    <w:autoSpaceDN w:val="0"/>
                    <w:rPr>
                      <w:rFonts w:ascii="Times New Roman" w:eastAsia="Times New Roman" w:hAnsi="Times New Roman" w:cs="Times New Roman"/>
                      <w:bCs/>
                      <w:sz w:val="16"/>
                      <w:szCs w:val="16"/>
                      <w:lang w:val="en-GB" w:eastAsia="zh-CN"/>
                    </w:rPr>
                  </w:pPr>
                  <w:r w:rsidRPr="00C91EA2">
                    <w:rPr>
                      <w:rFonts w:ascii="Times New Roman" w:eastAsia="Times New Roman" w:hAnsi="Times New Roman" w:cs="Times New Roman"/>
                      <w:bCs/>
                      <w:sz w:val="16"/>
                      <w:szCs w:val="16"/>
                      <w:lang w:val="en-GB" w:eastAsia="zh-CN"/>
                    </w:rPr>
                    <w:t>Reform policies and regulations that strengthen dominance: restrictions to the number of firms, statutory monopolies, bans towards private investment, lack of access regulation for essential facilities</w:t>
                  </w:r>
                </w:p>
              </w:tc>
              <w:tc>
                <w:tcPr>
                  <w:tcW w:w="245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8CCE4" w:themeFill="accent1" w:themeFillTint="66"/>
                  <w:hideMark/>
                </w:tcPr>
                <w:p w14:paraId="7676CF50" w14:textId="77777777" w:rsidR="0043271C" w:rsidRPr="00C91EA2" w:rsidRDefault="0043271C">
                  <w:pPr>
                    <w:keepNext/>
                    <w:keepLines/>
                    <w:autoSpaceDE w:val="0"/>
                    <w:autoSpaceDN w:val="0"/>
                    <w:rPr>
                      <w:rFonts w:ascii="Times New Roman" w:eastAsia="Times New Roman" w:hAnsi="Times New Roman" w:cs="Times New Roman"/>
                      <w:bCs/>
                      <w:sz w:val="16"/>
                      <w:szCs w:val="16"/>
                      <w:lang w:val="en-GB" w:eastAsia="zh-CN"/>
                    </w:rPr>
                  </w:pPr>
                  <w:r w:rsidRPr="00C91EA2">
                    <w:rPr>
                      <w:rFonts w:ascii="Times New Roman" w:eastAsia="Times New Roman" w:hAnsi="Times New Roman" w:cs="Times New Roman"/>
                      <w:bCs/>
                      <w:sz w:val="16"/>
                      <w:szCs w:val="16"/>
                      <w:lang w:val="en-GB" w:eastAsia="zh-CN"/>
                    </w:rPr>
                    <w:t xml:space="preserve">Control state aid to avoid </w:t>
                  </w:r>
                  <w:proofErr w:type="spellStart"/>
                  <w:r w:rsidRPr="00C91EA2">
                    <w:rPr>
                      <w:rFonts w:ascii="Times New Roman" w:eastAsia="Times New Roman" w:hAnsi="Times New Roman" w:cs="Times New Roman"/>
                      <w:bCs/>
                      <w:sz w:val="16"/>
                      <w:szCs w:val="16"/>
                      <w:lang w:val="en-GB" w:eastAsia="zh-CN"/>
                    </w:rPr>
                    <w:t>favoritism</w:t>
                  </w:r>
                  <w:proofErr w:type="spellEnd"/>
                  <w:r w:rsidRPr="00C91EA2">
                    <w:rPr>
                      <w:rFonts w:ascii="Times New Roman" w:eastAsia="Times New Roman" w:hAnsi="Times New Roman" w:cs="Times New Roman"/>
                      <w:bCs/>
                      <w:sz w:val="16"/>
                      <w:szCs w:val="16"/>
                      <w:lang w:val="en-GB" w:eastAsia="zh-CN"/>
                    </w:rPr>
                    <w:t xml:space="preserve"> and minimize distortions on competition</w:t>
                  </w:r>
                </w:p>
              </w:tc>
              <w:tc>
                <w:tcPr>
                  <w:tcW w:w="283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8CCE4" w:themeFill="accent1" w:themeFillTint="66"/>
                  <w:vAlign w:val="center"/>
                  <w:hideMark/>
                </w:tcPr>
                <w:p w14:paraId="46FC1B36" w14:textId="77777777" w:rsidR="0043271C" w:rsidRPr="00C91EA2" w:rsidRDefault="0043271C">
                  <w:pPr>
                    <w:keepNext/>
                    <w:keepLines/>
                    <w:autoSpaceDE w:val="0"/>
                    <w:autoSpaceDN w:val="0"/>
                    <w:rPr>
                      <w:rFonts w:ascii="Times New Roman" w:eastAsia="Times New Roman" w:hAnsi="Times New Roman" w:cs="Times New Roman"/>
                      <w:bCs/>
                      <w:color w:val="365F91" w:themeColor="accent1" w:themeShade="BF"/>
                      <w:sz w:val="16"/>
                      <w:szCs w:val="16"/>
                      <w:lang w:val="en-GB" w:eastAsia="zh-CN"/>
                    </w:rPr>
                  </w:pPr>
                  <w:r w:rsidRPr="00C91EA2">
                    <w:rPr>
                      <w:rFonts w:ascii="Times New Roman" w:eastAsia="Times New Roman" w:hAnsi="Times New Roman" w:cs="Times New Roman"/>
                      <w:bCs/>
                      <w:sz w:val="16"/>
                      <w:szCs w:val="16"/>
                      <w:lang w:val="en-GB" w:eastAsia="zh-CN"/>
                    </w:rPr>
                    <w:t>Tackle cartel agreements that raise the costs of key inputs and final products and reduce access to a broader variety of products</w:t>
                  </w:r>
                </w:p>
              </w:tc>
            </w:tr>
            <w:tr w:rsidR="0043271C" w:rsidRPr="00C91EA2" w14:paraId="6F80D1FC" w14:textId="77777777">
              <w:trPr>
                <w:gridBefore w:val="1"/>
                <w:gridAfter w:val="1"/>
                <w:wBefore w:w="82" w:type="dxa"/>
                <w:wAfter w:w="237" w:type="dxa"/>
                <w:trHeight w:val="494"/>
                <w:jc w:val="center"/>
              </w:trPr>
              <w:tc>
                <w:tcPr>
                  <w:tcW w:w="246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8CCE4" w:themeFill="accent1" w:themeFillTint="66"/>
                  <w:vAlign w:val="center"/>
                  <w:hideMark/>
                </w:tcPr>
                <w:p w14:paraId="0CF02ABC" w14:textId="03A81991" w:rsidR="0043271C" w:rsidRPr="00C91EA2" w:rsidRDefault="0043271C">
                  <w:pPr>
                    <w:keepNext/>
                    <w:keepLines/>
                    <w:autoSpaceDE w:val="0"/>
                    <w:autoSpaceDN w:val="0"/>
                    <w:rPr>
                      <w:rFonts w:ascii="Times New Roman" w:eastAsia="Times New Roman" w:hAnsi="Times New Roman" w:cs="Times New Roman"/>
                      <w:bCs/>
                      <w:color w:val="365F91" w:themeColor="accent1" w:themeShade="BF"/>
                      <w:sz w:val="16"/>
                      <w:szCs w:val="16"/>
                      <w:lang w:val="en-GB" w:eastAsia="zh-CN"/>
                    </w:rPr>
                  </w:pPr>
                  <w:r w:rsidRPr="00C91EA2">
                    <w:rPr>
                      <w:rFonts w:ascii="Times New Roman" w:eastAsia="Times New Roman" w:hAnsi="Times New Roman" w:cs="Times New Roman"/>
                      <w:bCs/>
                      <w:sz w:val="16"/>
                      <w:szCs w:val="16"/>
                      <w:lang w:val="en-GB" w:eastAsia="zh-CN"/>
                    </w:rPr>
                    <w:t xml:space="preserve">Eliminate </w:t>
                  </w:r>
                  <w:r w:rsidR="003B24ED">
                    <w:rPr>
                      <w:rFonts w:ascii="Times New Roman" w:eastAsia="Times New Roman" w:hAnsi="Times New Roman" w:cs="Times New Roman"/>
                      <w:bCs/>
                      <w:sz w:val="16"/>
                      <w:szCs w:val="16"/>
                      <w:lang w:val="en-GB" w:eastAsia="zh-CN"/>
                    </w:rPr>
                    <w:t>Government</w:t>
                  </w:r>
                  <w:r w:rsidRPr="00C91EA2">
                    <w:rPr>
                      <w:rFonts w:ascii="Times New Roman" w:eastAsia="Times New Roman" w:hAnsi="Times New Roman" w:cs="Times New Roman"/>
                      <w:bCs/>
                      <w:sz w:val="16"/>
                      <w:szCs w:val="16"/>
                      <w:lang w:val="en-GB" w:eastAsia="zh-CN"/>
                    </w:rPr>
                    <w:t xml:space="preserve"> interventions that are conducive to collusive outcomes or increase the costs of competing: controls on prices and other market variables that increase business risk</w:t>
                  </w:r>
                </w:p>
              </w:tc>
              <w:tc>
                <w:tcPr>
                  <w:tcW w:w="245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8CCE4" w:themeFill="accent1" w:themeFillTint="66"/>
                  <w:hideMark/>
                </w:tcPr>
                <w:p w14:paraId="74A417BB" w14:textId="77777777" w:rsidR="0043271C" w:rsidRPr="00C91EA2" w:rsidRDefault="0043271C">
                  <w:pPr>
                    <w:keepNext/>
                    <w:keepLines/>
                    <w:autoSpaceDE w:val="0"/>
                    <w:autoSpaceDN w:val="0"/>
                    <w:rPr>
                      <w:rFonts w:ascii="Times New Roman" w:eastAsia="Times New Roman" w:hAnsi="Times New Roman" w:cs="Times New Roman"/>
                      <w:bCs/>
                      <w:sz w:val="16"/>
                      <w:szCs w:val="16"/>
                      <w:lang w:val="en-GB" w:eastAsia="zh-CN"/>
                    </w:rPr>
                  </w:pPr>
                  <w:r w:rsidRPr="00C91EA2">
                    <w:rPr>
                      <w:rFonts w:ascii="Times New Roman" w:eastAsia="Times New Roman" w:hAnsi="Times New Roman" w:cs="Times New Roman"/>
                      <w:bCs/>
                      <w:sz w:val="16"/>
                      <w:szCs w:val="16"/>
                      <w:lang w:val="en-GB" w:eastAsia="zh-CN"/>
                    </w:rPr>
                    <w:t>Ensure competitive neutrality including vis-a vis SOEs</w:t>
                  </w:r>
                </w:p>
              </w:tc>
              <w:tc>
                <w:tcPr>
                  <w:tcW w:w="283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8CCE4" w:themeFill="accent1" w:themeFillTint="66"/>
                  <w:vAlign w:val="center"/>
                  <w:hideMark/>
                </w:tcPr>
                <w:p w14:paraId="562F4BEE" w14:textId="77777777" w:rsidR="0043271C" w:rsidRPr="00C91EA2" w:rsidRDefault="0043271C">
                  <w:pPr>
                    <w:keepNext/>
                    <w:keepLines/>
                    <w:autoSpaceDE w:val="0"/>
                    <w:autoSpaceDN w:val="0"/>
                    <w:rPr>
                      <w:rFonts w:ascii="Times New Roman" w:eastAsia="Times New Roman" w:hAnsi="Times New Roman" w:cs="Times New Roman"/>
                      <w:bCs/>
                      <w:color w:val="365F91" w:themeColor="accent1" w:themeShade="BF"/>
                      <w:sz w:val="16"/>
                      <w:szCs w:val="16"/>
                      <w:lang w:val="en-GB" w:eastAsia="zh-CN"/>
                    </w:rPr>
                  </w:pPr>
                  <w:r w:rsidRPr="00C91EA2">
                    <w:rPr>
                      <w:rFonts w:ascii="Times New Roman" w:eastAsia="Times New Roman" w:hAnsi="Times New Roman" w:cs="Times New Roman"/>
                      <w:bCs/>
                      <w:sz w:val="16"/>
                      <w:szCs w:val="16"/>
                      <w:lang w:val="en-GB" w:eastAsia="zh-CN"/>
                    </w:rPr>
                    <w:t>Prevent anticompetitive mergers</w:t>
                  </w:r>
                </w:p>
              </w:tc>
            </w:tr>
            <w:tr w:rsidR="0043271C" w:rsidRPr="00C91EA2" w14:paraId="372F5B97" w14:textId="77777777">
              <w:trPr>
                <w:gridBefore w:val="1"/>
                <w:gridAfter w:val="1"/>
                <w:wBefore w:w="82" w:type="dxa"/>
                <w:wAfter w:w="237" w:type="dxa"/>
                <w:trHeight w:val="487"/>
                <w:jc w:val="center"/>
              </w:trPr>
              <w:tc>
                <w:tcPr>
                  <w:tcW w:w="4917"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8CCE4" w:themeFill="accent1" w:themeFillTint="66"/>
                  <w:vAlign w:val="center"/>
                  <w:hideMark/>
                </w:tcPr>
                <w:p w14:paraId="3C04994C" w14:textId="62E97211" w:rsidR="0043271C" w:rsidRPr="00C91EA2" w:rsidRDefault="0043271C">
                  <w:pPr>
                    <w:keepNext/>
                    <w:keepLines/>
                    <w:autoSpaceDE w:val="0"/>
                    <w:autoSpaceDN w:val="0"/>
                    <w:rPr>
                      <w:rFonts w:ascii="Times New Roman" w:eastAsia="Times New Roman" w:hAnsi="Times New Roman" w:cs="Times New Roman"/>
                      <w:bCs/>
                      <w:sz w:val="16"/>
                      <w:szCs w:val="16"/>
                      <w:lang w:val="en-GB" w:eastAsia="zh-CN"/>
                    </w:rPr>
                  </w:pPr>
                  <w:r w:rsidRPr="00C91EA2">
                    <w:rPr>
                      <w:rFonts w:ascii="Times New Roman" w:eastAsia="Times New Roman" w:hAnsi="Times New Roman" w:cs="Times New Roman"/>
                      <w:bCs/>
                      <w:sz w:val="16"/>
                      <w:szCs w:val="16"/>
                      <w:lang w:val="en-GB" w:eastAsia="zh-CN"/>
                    </w:rPr>
                    <w:t xml:space="preserve">Reform </w:t>
                  </w:r>
                  <w:r w:rsidR="003B24ED">
                    <w:rPr>
                      <w:rFonts w:ascii="Times New Roman" w:eastAsia="Times New Roman" w:hAnsi="Times New Roman" w:cs="Times New Roman"/>
                      <w:bCs/>
                      <w:sz w:val="16"/>
                      <w:szCs w:val="16"/>
                      <w:lang w:val="en-GB" w:eastAsia="zh-CN"/>
                    </w:rPr>
                    <w:t>Government</w:t>
                  </w:r>
                  <w:r w:rsidRPr="00C91EA2">
                    <w:rPr>
                      <w:rFonts w:ascii="Times New Roman" w:eastAsia="Times New Roman" w:hAnsi="Times New Roman" w:cs="Times New Roman"/>
                      <w:bCs/>
                      <w:sz w:val="16"/>
                      <w:szCs w:val="16"/>
                      <w:lang w:val="en-GB" w:eastAsia="zh-CN"/>
                    </w:rPr>
                    <w:t xml:space="preserve"> interventions that discriminate and harm competition on the merits: frameworks that distort the level playing field or grant high levels of discretion</w:t>
                  </w:r>
                </w:p>
              </w:tc>
              <w:tc>
                <w:tcPr>
                  <w:tcW w:w="283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8CCE4" w:themeFill="accent1" w:themeFillTint="66"/>
                  <w:vAlign w:val="center"/>
                  <w:hideMark/>
                </w:tcPr>
                <w:p w14:paraId="1779D00E" w14:textId="77777777" w:rsidR="0043271C" w:rsidRPr="00C91EA2" w:rsidRDefault="0043271C">
                  <w:pPr>
                    <w:keepNext/>
                    <w:keepLines/>
                    <w:autoSpaceDE w:val="0"/>
                    <w:autoSpaceDN w:val="0"/>
                    <w:rPr>
                      <w:rFonts w:ascii="Times New Roman" w:eastAsia="Times New Roman" w:hAnsi="Times New Roman" w:cs="Times New Roman"/>
                      <w:bCs/>
                      <w:color w:val="365F91" w:themeColor="accent1" w:themeShade="BF"/>
                      <w:sz w:val="16"/>
                      <w:szCs w:val="16"/>
                      <w:lang w:val="en-GB" w:eastAsia="zh-CN"/>
                    </w:rPr>
                  </w:pPr>
                  <w:r w:rsidRPr="00C91EA2">
                    <w:rPr>
                      <w:rFonts w:ascii="Times New Roman" w:eastAsia="Times New Roman" w:hAnsi="Times New Roman" w:cs="Times New Roman"/>
                      <w:bCs/>
                      <w:sz w:val="16"/>
                      <w:szCs w:val="16"/>
                      <w:lang w:val="en-GB" w:eastAsia="zh-CN"/>
                    </w:rPr>
                    <w:t>Strengthen the general antitrust and institutional framework to combat anticompetitive conduct and abuse of dominance</w:t>
                  </w:r>
                </w:p>
              </w:tc>
            </w:tr>
          </w:tbl>
          <w:p w14:paraId="2ED973AB" w14:textId="77777777" w:rsidR="0043271C" w:rsidRPr="00C91EA2" w:rsidRDefault="0043271C">
            <w:pPr>
              <w:jc w:val="both"/>
              <w:rPr>
                <w:rFonts w:ascii="Times New Roman" w:eastAsia="Times New Roman" w:hAnsi="Times New Roman" w:cs="Times New Roman"/>
              </w:rPr>
            </w:pPr>
          </w:p>
        </w:tc>
      </w:tr>
      <w:tr w:rsidR="0043271C" w:rsidRPr="00C91EA2" w14:paraId="4011E077" w14:textId="77777777" w:rsidTr="0043271C">
        <w:tc>
          <w:tcPr>
            <w:tcW w:w="8290" w:type="dxa"/>
            <w:tcBorders>
              <w:top w:val="single" w:sz="4" w:space="0" w:color="auto"/>
              <w:left w:val="single" w:sz="4" w:space="0" w:color="auto"/>
              <w:bottom w:val="single" w:sz="4" w:space="0" w:color="auto"/>
              <w:right w:val="single" w:sz="4" w:space="0" w:color="auto"/>
            </w:tcBorders>
            <w:hideMark/>
          </w:tcPr>
          <w:p w14:paraId="4A3A77C7" w14:textId="77777777" w:rsidR="0043271C" w:rsidRPr="00D55B7D" w:rsidRDefault="0043271C">
            <w:pPr>
              <w:jc w:val="both"/>
              <w:rPr>
                <w:rFonts w:ascii="Times New Roman" w:eastAsia="Times New Roman" w:hAnsi="Times New Roman" w:cs="Times New Roman"/>
                <w:i/>
                <w:sz w:val="20"/>
                <w:szCs w:val="20"/>
                <w:lang w:val="en-GB"/>
              </w:rPr>
            </w:pPr>
            <w:r w:rsidRPr="00D55B7D">
              <w:rPr>
                <w:rFonts w:ascii="Times New Roman" w:eastAsia="Times New Roman" w:hAnsi="Times New Roman" w:cs="Times New Roman"/>
                <w:i/>
                <w:sz w:val="20"/>
                <w:szCs w:val="20"/>
                <w:lang w:val="en-GB"/>
              </w:rPr>
              <w:t>Source: WBG-OECD (2016). Adapted from Kitzmuller M. and M. Licetti, “Competition Policy: Encouraging Thriving Markets for Development” Viewpoint Note Number 331, World Bank Group, August 2012.</w:t>
            </w:r>
          </w:p>
        </w:tc>
      </w:tr>
    </w:tbl>
    <w:p w14:paraId="08DD0089" w14:textId="77777777" w:rsidR="0043271C" w:rsidRDefault="0043271C" w:rsidP="0043271C">
      <w:pPr>
        <w:jc w:val="both"/>
        <w:rPr>
          <w:rFonts w:ascii="Times New Roman" w:hAnsi="Times New Roman" w:cs="Times New Roman"/>
          <w:b/>
          <w:sz w:val="22"/>
        </w:rPr>
      </w:pPr>
    </w:p>
    <w:p w14:paraId="216A504D" w14:textId="77777777" w:rsidR="00711D1F" w:rsidRPr="00C91EA2" w:rsidRDefault="00711D1F" w:rsidP="0043271C">
      <w:pPr>
        <w:jc w:val="both"/>
        <w:rPr>
          <w:rFonts w:ascii="Times New Roman" w:hAnsi="Times New Roman" w:cs="Times New Roman"/>
          <w:b/>
          <w:sz w:val="22"/>
        </w:rPr>
      </w:pPr>
    </w:p>
    <w:p w14:paraId="06976D39" w14:textId="3060D522" w:rsidR="0043271C" w:rsidRPr="00C91EA2" w:rsidRDefault="0043271C" w:rsidP="0043271C">
      <w:pPr>
        <w:pStyle w:val="ListParagraph"/>
        <w:numPr>
          <w:ilvl w:val="0"/>
          <w:numId w:val="125"/>
        </w:numPr>
        <w:shd w:val="clear" w:color="auto" w:fill="FFFFFF" w:themeFill="background1"/>
        <w:ind w:left="0" w:firstLine="0"/>
        <w:jc w:val="both"/>
        <w:rPr>
          <w:rFonts w:ascii="Times New Roman" w:hAnsi="Times New Roman" w:cs="Times New Roman"/>
        </w:rPr>
      </w:pPr>
      <w:r w:rsidRPr="00C91EA2">
        <w:rPr>
          <w:rFonts w:ascii="Times New Roman" w:hAnsi="Times New Roman" w:cs="Times New Roman"/>
          <w:b/>
        </w:rPr>
        <w:t>Enhanced competition and more effective competition policies can play a key role in achieving a healthy investment climate in Senegal, while significantly contributing</w:t>
      </w:r>
      <w:r w:rsidRPr="00C91EA2">
        <w:rPr>
          <w:rFonts w:ascii="Times New Roman" w:hAnsi="Times New Roman" w:cs="Times New Roman"/>
          <w:b/>
          <w:color w:val="1A1A1A"/>
        </w:rPr>
        <w:t xml:space="preserve"> to the diversification of trade and production. </w:t>
      </w:r>
      <w:r w:rsidRPr="00C91EA2">
        <w:rPr>
          <w:rFonts w:ascii="Times New Roman" w:hAnsi="Times New Roman" w:cs="Times New Roman"/>
        </w:rPr>
        <w:t xml:space="preserve">Since the competitive environment in any country will be affected by </w:t>
      </w:r>
      <w:r w:rsidR="003B24ED">
        <w:rPr>
          <w:rFonts w:ascii="Times New Roman" w:hAnsi="Times New Roman" w:cs="Times New Roman"/>
        </w:rPr>
        <w:t>Government</w:t>
      </w:r>
      <w:r w:rsidRPr="00C91EA2">
        <w:rPr>
          <w:rFonts w:ascii="Times New Roman" w:hAnsi="Times New Roman" w:cs="Times New Roman"/>
        </w:rPr>
        <w:t xml:space="preserve"> interventions</w:t>
      </w:r>
      <w:r w:rsidRPr="00C91EA2">
        <w:rPr>
          <w:rStyle w:val="FootnoteReference"/>
          <w:rFonts w:ascii="Times New Roman" w:hAnsi="Times New Roman" w:cs="Times New Roman"/>
        </w:rPr>
        <w:footnoteReference w:id="62"/>
      </w:r>
      <w:r w:rsidRPr="00C91EA2">
        <w:rPr>
          <w:rFonts w:ascii="Times New Roman" w:hAnsi="Times New Roman" w:cs="Times New Roman"/>
        </w:rPr>
        <w:t xml:space="preserve"> (such as policies and regulations), </w:t>
      </w:r>
      <w:r w:rsidR="003B24ED">
        <w:rPr>
          <w:rFonts w:ascii="Times New Roman" w:hAnsi="Times New Roman" w:cs="Times New Roman"/>
        </w:rPr>
        <w:t>Government</w:t>
      </w:r>
      <w:r w:rsidRPr="00C91EA2">
        <w:rPr>
          <w:rFonts w:ascii="Times New Roman" w:hAnsi="Times New Roman" w:cs="Times New Roman"/>
        </w:rPr>
        <w:t>s can implement pro-competition market regulation</w:t>
      </w:r>
      <w:r w:rsidRPr="00C91EA2">
        <w:rPr>
          <w:rStyle w:val="FootnoteReference"/>
          <w:rFonts w:ascii="Times New Roman" w:hAnsi="Times New Roman" w:cs="Times New Roman"/>
        </w:rPr>
        <w:footnoteReference w:id="63"/>
      </w:r>
      <w:r w:rsidRPr="00C91EA2">
        <w:rPr>
          <w:rFonts w:ascii="Times New Roman" w:hAnsi="Times New Roman" w:cs="Times New Roman"/>
        </w:rPr>
        <w:t xml:space="preserve"> to varying degrees in any country. </w:t>
      </w:r>
      <w:r w:rsidR="003B24ED">
        <w:rPr>
          <w:rFonts w:ascii="Times New Roman" w:hAnsi="Times New Roman" w:cs="Times New Roman"/>
        </w:rPr>
        <w:t>Government</w:t>
      </w:r>
      <w:r w:rsidRPr="00C91EA2">
        <w:rPr>
          <w:rFonts w:ascii="Times New Roman" w:hAnsi="Times New Roman" w:cs="Times New Roman"/>
        </w:rPr>
        <w:t xml:space="preserve">s can impact market outcomes either through direct participation (as a buyer or supplier of goods and services), or through indirect participation (for example, through regulation, taxation, subsidy or other influence using various policy and regulatory instruments). Both types of interventions </w:t>
      </w:r>
      <w:proofErr w:type="gramStart"/>
      <w:r w:rsidRPr="00C91EA2">
        <w:rPr>
          <w:rFonts w:ascii="Times New Roman" w:hAnsi="Times New Roman" w:cs="Times New Roman"/>
        </w:rPr>
        <w:t>have an effect on</w:t>
      </w:r>
      <w:proofErr w:type="gramEnd"/>
      <w:r w:rsidRPr="00C91EA2">
        <w:rPr>
          <w:rFonts w:ascii="Times New Roman" w:hAnsi="Times New Roman" w:cs="Times New Roman"/>
        </w:rPr>
        <w:t xml:space="preserve"> competition dynamics.</w:t>
      </w:r>
      <w:r w:rsidRPr="00C91EA2">
        <w:rPr>
          <w:rStyle w:val="FootnoteReference"/>
          <w:rFonts w:ascii="Times New Roman" w:hAnsi="Times New Roman" w:cs="Times New Roman"/>
        </w:rPr>
        <w:footnoteReference w:id="64"/>
      </w:r>
      <w:r w:rsidRPr="00C91EA2">
        <w:rPr>
          <w:rFonts w:ascii="Times New Roman" w:hAnsi="Times New Roman" w:cs="Times New Roman"/>
        </w:rPr>
        <w:t xml:space="preserve"> Regulations that enable firm entry and rivalry combined with the enforcement of competition laws that deter anticompetitive behavior, can raise the efficiency of product and input markets. The application of rules that guarantee competitive neutrality in markets with</w:t>
      </w:r>
      <w:r w:rsidR="00FA09FE">
        <w:rPr>
          <w:rFonts w:ascii="Times New Roman" w:hAnsi="Times New Roman" w:cs="Times New Roman"/>
        </w:rPr>
        <w:t xml:space="preserve"> state-owned</w:t>
      </w:r>
      <w:r w:rsidRPr="00C91EA2">
        <w:rPr>
          <w:rFonts w:ascii="Times New Roman" w:hAnsi="Times New Roman" w:cs="Times New Roman"/>
        </w:rPr>
        <w:t xml:space="preserve"> enterprises can further help firms to enter, expand and diversify based on their merits. By contrast, rules that discriminate against certain firms in favor of vested interests can hinder economic diversification. L</w:t>
      </w:r>
      <w:r w:rsidRPr="00C91EA2">
        <w:rPr>
          <w:rFonts w:ascii="Times New Roman" w:hAnsi="Times New Roman" w:cs="Times New Roman"/>
          <w:color w:val="1A1A1A"/>
        </w:rPr>
        <w:t xml:space="preserve">ack of political will, institutional capacity constraints and </w:t>
      </w:r>
      <w:r w:rsidR="004B56B4">
        <w:rPr>
          <w:rFonts w:ascii="Times New Roman" w:hAnsi="Times New Roman" w:cs="Times New Roman"/>
          <w:color w:val="1A1A1A"/>
        </w:rPr>
        <w:t xml:space="preserve">limited </w:t>
      </w:r>
      <w:r w:rsidRPr="00C91EA2">
        <w:rPr>
          <w:rFonts w:ascii="Times New Roman" w:hAnsi="Times New Roman" w:cs="Times New Roman"/>
          <w:color w:val="1A1A1A"/>
        </w:rPr>
        <w:t>regulatory powers can also affect the design and impact of competition policy reforms.</w:t>
      </w:r>
      <w:r w:rsidRPr="00C91EA2">
        <w:rPr>
          <w:rFonts w:ascii="Times New Roman" w:hAnsi="Times New Roman" w:cs="Times New Roman"/>
        </w:rPr>
        <w:t xml:space="preserve"> The type of competition policy intervention required will depend on the specific market (or policy) failure.</w:t>
      </w:r>
      <w:r w:rsidRPr="00C91EA2">
        <w:rPr>
          <w:rFonts w:ascii="Times New Roman" w:hAnsi="Times New Roman" w:cs="Times New Roman"/>
          <w:b/>
        </w:rPr>
        <w:t xml:space="preserve"> </w:t>
      </w:r>
    </w:p>
    <w:p w14:paraId="7A45CF9D" w14:textId="77777777" w:rsidR="0043271C" w:rsidRPr="00C91EA2" w:rsidRDefault="0043271C" w:rsidP="0043271C">
      <w:pPr>
        <w:pStyle w:val="ListParagraph"/>
        <w:autoSpaceDE w:val="0"/>
        <w:autoSpaceDN w:val="0"/>
        <w:spacing w:before="120" w:after="120"/>
        <w:ind w:left="0"/>
        <w:jc w:val="both"/>
        <w:rPr>
          <w:rFonts w:ascii="Times New Roman" w:hAnsi="Times New Roman" w:cs="Times New Roman"/>
        </w:rPr>
      </w:pPr>
    </w:p>
    <w:p w14:paraId="633AA4CE" w14:textId="4FEED022" w:rsidR="0043271C" w:rsidRPr="00C91EA2" w:rsidRDefault="0043271C" w:rsidP="0043271C">
      <w:pPr>
        <w:pStyle w:val="ListParagraph"/>
        <w:numPr>
          <w:ilvl w:val="0"/>
          <w:numId w:val="125"/>
        </w:numPr>
        <w:autoSpaceDE w:val="0"/>
        <w:autoSpaceDN w:val="0"/>
        <w:spacing w:before="120" w:after="120"/>
        <w:ind w:left="0" w:firstLine="0"/>
        <w:jc w:val="both"/>
        <w:rPr>
          <w:rFonts w:ascii="Times New Roman" w:hAnsi="Times New Roman" w:cs="Times New Roman"/>
        </w:rPr>
      </w:pPr>
      <w:r w:rsidRPr="00C91EA2">
        <w:rPr>
          <w:rFonts w:ascii="Times New Roman" w:hAnsi="Times New Roman" w:cs="Times New Roman"/>
          <w:b/>
        </w:rPr>
        <w:t>Competition policy addresses market or policy failures that facilitate the exercise of significant market power (jointly or unilaterally) by firms</w:t>
      </w:r>
      <w:r w:rsidRPr="00C91EA2">
        <w:rPr>
          <w:rFonts w:ascii="Times New Roman" w:hAnsi="Times New Roman" w:cs="Times New Roman"/>
        </w:rPr>
        <w:t xml:space="preserve">. Sometimes firms may resort to actions that increase their profits but reduce overall allocative efficiency, such as </w:t>
      </w:r>
      <w:r w:rsidR="008D4396">
        <w:rPr>
          <w:rFonts w:ascii="Times New Roman" w:hAnsi="Times New Roman" w:cs="Times New Roman"/>
        </w:rPr>
        <w:t xml:space="preserve">explicit </w:t>
      </w:r>
      <w:r w:rsidR="00AE2F29">
        <w:rPr>
          <w:rFonts w:ascii="Times New Roman" w:hAnsi="Times New Roman" w:cs="Times New Roman"/>
        </w:rPr>
        <w:t xml:space="preserve">cartel </w:t>
      </w:r>
      <w:r w:rsidRPr="00C91EA2">
        <w:rPr>
          <w:rFonts w:ascii="Times New Roman" w:hAnsi="Times New Roman" w:cs="Times New Roman"/>
        </w:rPr>
        <w:t>behavior (which is per se illegal) or oligopolistic mergers.</w:t>
      </w:r>
      <w:r w:rsidRPr="00C91EA2">
        <w:rPr>
          <w:rFonts w:ascii="Times New Roman" w:hAnsi="Times New Roman" w:cs="Times New Roman"/>
          <w:sz w:val="20"/>
          <w:szCs w:val="20"/>
        </w:rPr>
        <w:t xml:space="preserve"> </w:t>
      </w:r>
      <w:r w:rsidRPr="00C91EA2">
        <w:rPr>
          <w:rFonts w:ascii="Times New Roman" w:hAnsi="Times New Roman" w:cs="Times New Roman"/>
        </w:rPr>
        <w:t xml:space="preserve">The exercise of significant market power may increase prices, lead to deadweight losses and reduce allocative efficiency. Overall, competition and </w:t>
      </w:r>
      <w:r w:rsidR="00F37E1C">
        <w:rPr>
          <w:rFonts w:ascii="Times New Roman" w:hAnsi="Times New Roman" w:cs="Times New Roman"/>
        </w:rPr>
        <w:t>the implementation of</w:t>
      </w:r>
      <w:r w:rsidR="00F37E1C" w:rsidRPr="00C91EA2">
        <w:rPr>
          <w:rFonts w:ascii="Times New Roman" w:hAnsi="Times New Roman" w:cs="Times New Roman"/>
        </w:rPr>
        <w:t xml:space="preserve"> </w:t>
      </w:r>
      <w:r w:rsidRPr="00C91EA2">
        <w:rPr>
          <w:rFonts w:ascii="Times New Roman" w:hAnsi="Times New Roman" w:cs="Times New Roman"/>
        </w:rPr>
        <w:t xml:space="preserve">competition policies generate economic benefits </w:t>
      </w:r>
      <w:r w:rsidRPr="002926ED">
        <w:rPr>
          <w:rFonts w:ascii="Times New Roman" w:hAnsi="Times New Roman" w:cs="Times New Roman"/>
        </w:rPr>
        <w:t xml:space="preserve">(see </w:t>
      </w:r>
      <w:r w:rsidRPr="002926ED">
        <w:rPr>
          <w:rFonts w:ascii="Times New Roman" w:hAnsi="Times New Roman" w:cs="Times New Roman"/>
        </w:rPr>
        <w:fldChar w:fldCharType="begin"/>
      </w:r>
      <w:r w:rsidRPr="002926ED">
        <w:rPr>
          <w:rFonts w:ascii="Times New Roman" w:hAnsi="Times New Roman" w:cs="Times New Roman"/>
        </w:rPr>
        <w:instrText xml:space="preserve"> REF _Ref497135636 \h </w:instrText>
      </w:r>
      <w:r w:rsidR="00C91EA2" w:rsidRPr="002926ED">
        <w:rPr>
          <w:rFonts w:ascii="Times New Roman" w:hAnsi="Times New Roman" w:cs="Times New Roman"/>
        </w:rPr>
        <w:instrText xml:space="preserve"> \* MERGEFORMAT </w:instrText>
      </w:r>
      <w:r w:rsidRPr="002926ED">
        <w:rPr>
          <w:rFonts w:ascii="Times New Roman" w:hAnsi="Times New Roman" w:cs="Times New Roman"/>
        </w:rPr>
      </w:r>
      <w:r w:rsidRPr="002926ED">
        <w:rPr>
          <w:rFonts w:ascii="Times New Roman" w:hAnsi="Times New Roman" w:cs="Times New Roman"/>
        </w:rPr>
        <w:fldChar w:fldCharType="separate"/>
      </w:r>
      <w:r w:rsidR="008261B2">
        <w:rPr>
          <w:rFonts w:ascii="Times New Roman" w:hAnsi="Times New Roman" w:cs="Times New Roman"/>
          <w:b/>
          <w:bCs/>
        </w:rPr>
        <w:t>Error! Reference source not found.</w:t>
      </w:r>
      <w:r w:rsidRPr="002926ED">
        <w:rPr>
          <w:rFonts w:ascii="Times New Roman" w:hAnsi="Times New Roman" w:cs="Times New Roman"/>
        </w:rPr>
        <w:fldChar w:fldCharType="end"/>
      </w:r>
      <w:r w:rsidRPr="00C91EA2">
        <w:rPr>
          <w:rFonts w:ascii="Times New Roman" w:hAnsi="Times New Roman" w:cs="Times New Roman"/>
        </w:rPr>
        <w:t xml:space="preserve"> below).</w:t>
      </w:r>
      <w:r w:rsidRPr="00C91EA2">
        <w:rPr>
          <w:rStyle w:val="FootnoteReference"/>
          <w:rFonts w:ascii="Times New Roman" w:hAnsi="Times New Roman" w:cs="Times New Roman"/>
        </w:rPr>
        <w:footnoteReference w:id="65"/>
      </w:r>
      <w:r w:rsidRPr="00C91EA2">
        <w:rPr>
          <w:rFonts w:ascii="Times New Roman" w:hAnsi="Times New Roman" w:cs="Times New Roman"/>
        </w:rPr>
        <w:t xml:space="preserve"> </w:t>
      </w:r>
    </w:p>
    <w:p w14:paraId="7BB8933C" w14:textId="6FA125A2" w:rsidR="009547FF" w:rsidRPr="007575D7" w:rsidRDefault="009547FF" w:rsidP="007575D7"/>
    <w:p w14:paraId="7AC5EE58" w14:textId="3B12CF68" w:rsidR="009547FF" w:rsidRPr="000014A1" w:rsidRDefault="009547FF" w:rsidP="000014A1">
      <w:pPr>
        <w:pStyle w:val="Caption"/>
        <w:keepNext/>
        <w:rPr>
          <w:rFonts w:ascii="Times New Roman" w:hAnsi="Times New Roman"/>
        </w:rPr>
      </w:pPr>
      <w:bookmarkStart w:id="61" w:name="_Toc520725791"/>
      <w:r w:rsidRPr="000014A1">
        <w:rPr>
          <w:rFonts w:ascii="Times New Roman" w:hAnsi="Times New Roman"/>
        </w:rPr>
        <w:t xml:space="preserve">Box </w:t>
      </w:r>
      <w:r w:rsidRPr="000014A1">
        <w:rPr>
          <w:rFonts w:ascii="Times New Roman" w:hAnsi="Times New Roman"/>
        </w:rPr>
        <w:fldChar w:fldCharType="begin"/>
      </w:r>
      <w:r w:rsidRPr="000014A1">
        <w:rPr>
          <w:rFonts w:ascii="Times New Roman" w:hAnsi="Times New Roman"/>
        </w:rPr>
        <w:instrText xml:space="preserve"> SEQ Box \* ARABIC </w:instrText>
      </w:r>
      <w:r w:rsidRPr="000014A1">
        <w:rPr>
          <w:rFonts w:ascii="Times New Roman" w:hAnsi="Times New Roman"/>
        </w:rPr>
        <w:fldChar w:fldCharType="separate"/>
      </w:r>
      <w:r w:rsidR="008261B2">
        <w:rPr>
          <w:rFonts w:ascii="Times New Roman" w:hAnsi="Times New Roman"/>
          <w:noProof/>
        </w:rPr>
        <w:t>3</w:t>
      </w:r>
      <w:r w:rsidRPr="000014A1">
        <w:rPr>
          <w:rFonts w:ascii="Times New Roman" w:hAnsi="Times New Roman"/>
        </w:rPr>
        <w:fldChar w:fldCharType="end"/>
      </w:r>
      <w:r w:rsidRPr="000014A1">
        <w:rPr>
          <w:rFonts w:ascii="Times New Roman" w:hAnsi="Times New Roman"/>
        </w:rPr>
        <w:t>: The Impact of Competition on Growth, Productivity and Job Creation</w:t>
      </w:r>
      <w:bookmarkEnd w:id="61"/>
    </w:p>
    <w:tbl>
      <w:tblPr>
        <w:tblStyle w:val="TableGrid"/>
        <w:tblW w:w="0" w:type="auto"/>
        <w:shd w:val="clear" w:color="auto" w:fill="F2F2F2" w:themeFill="background1" w:themeFillShade="F2"/>
        <w:tblLook w:val="04A0" w:firstRow="1" w:lastRow="0" w:firstColumn="1" w:lastColumn="0" w:noHBand="0" w:noVBand="1"/>
      </w:tblPr>
      <w:tblGrid>
        <w:gridCol w:w="8630"/>
      </w:tblGrid>
      <w:tr w:rsidR="0043271C" w:rsidRPr="009F5222" w14:paraId="06DFB96D" w14:textId="77777777" w:rsidTr="0043271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1E56B1" w14:textId="77777777" w:rsidR="0043271C" w:rsidRPr="009F5222" w:rsidRDefault="0043271C">
            <w:pPr>
              <w:pStyle w:val="Caption"/>
              <w:jc w:val="both"/>
              <w:rPr>
                <w:rFonts w:ascii="Times New Roman" w:hAnsi="Times New Roman"/>
                <w:b w:val="0"/>
                <w:szCs w:val="22"/>
              </w:rPr>
            </w:pPr>
            <w:r w:rsidRPr="009F5222">
              <w:rPr>
                <w:rFonts w:ascii="Times New Roman" w:hAnsi="Times New Roman"/>
                <w:b w:val="0"/>
                <w:szCs w:val="22"/>
              </w:rPr>
              <w:t>The economic benefits from competition are well documented. Firms operating in a competitive environment are more likely to innovate (</w:t>
            </w:r>
            <w:proofErr w:type="spellStart"/>
            <w:r w:rsidRPr="009F5222">
              <w:rPr>
                <w:rFonts w:ascii="Times New Roman" w:hAnsi="Times New Roman"/>
                <w:b w:val="0"/>
                <w:szCs w:val="22"/>
              </w:rPr>
              <w:t>Bassanini</w:t>
            </w:r>
            <w:proofErr w:type="spellEnd"/>
            <w:r w:rsidRPr="009F5222">
              <w:rPr>
                <w:rFonts w:ascii="Times New Roman" w:hAnsi="Times New Roman"/>
                <w:b w:val="0"/>
                <w:szCs w:val="22"/>
              </w:rPr>
              <w:t xml:space="preserve"> and Ernst, 2002, Bloom et al, 2011) and to increase their productivity (Acemoglu et al. 2006 or </w:t>
            </w:r>
            <w:proofErr w:type="spellStart"/>
            <w:r w:rsidRPr="009F5222">
              <w:rPr>
                <w:rFonts w:ascii="Times New Roman" w:hAnsi="Times New Roman"/>
                <w:b w:val="0"/>
                <w:szCs w:val="22"/>
              </w:rPr>
              <w:t>Aghion</w:t>
            </w:r>
            <w:proofErr w:type="spellEnd"/>
            <w:r w:rsidRPr="009F5222">
              <w:rPr>
                <w:rFonts w:ascii="Times New Roman" w:hAnsi="Times New Roman"/>
                <w:b w:val="0"/>
                <w:szCs w:val="22"/>
              </w:rPr>
              <w:t xml:space="preserve"> and Griffith, 2005). Competition boosts investment (</w:t>
            </w:r>
            <w:proofErr w:type="spellStart"/>
            <w:r w:rsidRPr="009F5222">
              <w:rPr>
                <w:rFonts w:ascii="Times New Roman" w:hAnsi="Times New Roman"/>
                <w:b w:val="0"/>
                <w:szCs w:val="22"/>
              </w:rPr>
              <w:t>Alesina</w:t>
            </w:r>
            <w:proofErr w:type="spellEnd"/>
            <w:r w:rsidRPr="009F5222">
              <w:rPr>
                <w:rFonts w:ascii="Times New Roman" w:hAnsi="Times New Roman"/>
                <w:b w:val="0"/>
                <w:szCs w:val="22"/>
              </w:rPr>
              <w:t xml:space="preserve"> et al, 2005), generates employment and ultimately speeds up economic growth and improves overall welfare. Empirical evidence strongly supports the positive effects of competition policy enforcement on productivity growth (Voigt, 2009 or </w:t>
            </w:r>
            <w:proofErr w:type="spellStart"/>
            <w:r w:rsidRPr="009F5222">
              <w:rPr>
                <w:rFonts w:ascii="Times New Roman" w:hAnsi="Times New Roman"/>
                <w:b w:val="0"/>
                <w:szCs w:val="22"/>
              </w:rPr>
              <w:t>Buccirossi</w:t>
            </w:r>
            <w:proofErr w:type="spellEnd"/>
            <w:r w:rsidRPr="009F5222">
              <w:rPr>
                <w:rFonts w:ascii="Times New Roman" w:hAnsi="Times New Roman"/>
                <w:b w:val="0"/>
                <w:szCs w:val="22"/>
              </w:rPr>
              <w:t xml:space="preserve"> et al, 2009). Tough enforcement against the practices of cartels, based on well-designed anti-cartel laws, for example, constitutes an effective tool to reduce the negative impact of anticompetitive behavior (</w:t>
            </w:r>
            <w:proofErr w:type="spellStart"/>
            <w:r w:rsidRPr="009F5222">
              <w:rPr>
                <w:rFonts w:ascii="Times New Roman" w:hAnsi="Times New Roman"/>
                <w:b w:val="0"/>
                <w:szCs w:val="22"/>
              </w:rPr>
              <w:t>Symeonidis</w:t>
            </w:r>
            <w:proofErr w:type="spellEnd"/>
            <w:r w:rsidRPr="009F5222">
              <w:rPr>
                <w:rFonts w:ascii="Times New Roman" w:hAnsi="Times New Roman"/>
                <w:b w:val="0"/>
                <w:szCs w:val="22"/>
              </w:rPr>
              <w:t>, 2008, Alexander, 1994). Increased international competitiveness - and therefore more favorable terms of trade - is another important and positive effect associated with increased competition in domestic markets. Finally, consumers benefit from lower prices, direct savings and improvements in the variety and quality of goods and services.  Consumers also find enhanced job opportunities and additional income as investors.</w:t>
            </w:r>
          </w:p>
          <w:p w14:paraId="7DF09A2A" w14:textId="77777777" w:rsidR="0043271C" w:rsidRPr="009F5222" w:rsidRDefault="0043271C">
            <w:pPr>
              <w:pStyle w:val="Caption"/>
              <w:jc w:val="both"/>
              <w:rPr>
                <w:rFonts w:ascii="Times New Roman" w:hAnsi="Times New Roman"/>
                <w:b w:val="0"/>
                <w:szCs w:val="22"/>
              </w:rPr>
            </w:pPr>
          </w:p>
          <w:p w14:paraId="1257439B" w14:textId="77777777" w:rsidR="0043271C" w:rsidRPr="009F5222" w:rsidRDefault="0043271C">
            <w:pPr>
              <w:jc w:val="both"/>
              <w:rPr>
                <w:rFonts w:ascii="Times New Roman" w:hAnsi="Times New Roman" w:cs="Times New Roman"/>
                <w:sz w:val="20"/>
              </w:rPr>
            </w:pPr>
            <w:r w:rsidRPr="009F5222">
              <w:rPr>
                <w:rFonts w:ascii="Times New Roman" w:hAnsi="Times New Roman" w:cs="Times New Roman"/>
                <w:sz w:val="20"/>
              </w:rPr>
              <w:t xml:space="preserve">Anti-competitive practices also result in welfare losses for the </w:t>
            </w:r>
            <w:proofErr w:type="gramStart"/>
            <w:r w:rsidRPr="009F5222">
              <w:rPr>
                <w:rFonts w:ascii="Times New Roman" w:hAnsi="Times New Roman" w:cs="Times New Roman"/>
                <w:sz w:val="20"/>
              </w:rPr>
              <w:t>economy as a whole</w:t>
            </w:r>
            <w:proofErr w:type="gramEnd"/>
            <w:r w:rsidRPr="009F5222">
              <w:rPr>
                <w:rFonts w:ascii="Times New Roman" w:hAnsi="Times New Roman" w:cs="Times New Roman"/>
                <w:sz w:val="20"/>
              </w:rPr>
              <w:t>. Price-fixing agreements among competitors impose significant costs on society. Connor, 2010, examines studies and judicial decisions on 381 cartelized markets worldwide and estimates a long-run median overcharge of 23.3% of prices above competitive levels. Estimations from the European Commission (2008) suggest that average productivity would fall by 13 percent in the presence of market sharing cartel agreements among member states. A recent study of the international market for coffee beans finds that the cartel's breakdown explains 49 percentage points of the 75 percent drop in the real coffee price between 1988 and 2001 (</w:t>
            </w:r>
            <w:proofErr w:type="spellStart"/>
            <w:r w:rsidRPr="009F5222">
              <w:rPr>
                <w:rFonts w:ascii="Times New Roman" w:hAnsi="Times New Roman" w:cs="Times New Roman"/>
                <w:sz w:val="20"/>
              </w:rPr>
              <w:t>Igami</w:t>
            </w:r>
            <w:proofErr w:type="spellEnd"/>
            <w:r w:rsidRPr="009F5222">
              <w:rPr>
                <w:rFonts w:ascii="Times New Roman" w:hAnsi="Times New Roman" w:cs="Times New Roman"/>
                <w:sz w:val="20"/>
              </w:rPr>
              <w:t xml:space="preserve"> 2011). Apart from increasing the cost of goods and services to conduct business, cartels are also associated with low labor productivity and reduced incentives to innovate (</w:t>
            </w:r>
            <w:proofErr w:type="spellStart"/>
            <w:r w:rsidRPr="009F5222">
              <w:rPr>
                <w:rFonts w:ascii="Times New Roman" w:hAnsi="Times New Roman" w:cs="Times New Roman"/>
                <w:sz w:val="20"/>
              </w:rPr>
              <w:t>Broadberry</w:t>
            </w:r>
            <w:proofErr w:type="spellEnd"/>
            <w:r w:rsidRPr="009F5222">
              <w:rPr>
                <w:rFonts w:ascii="Times New Roman" w:hAnsi="Times New Roman" w:cs="Times New Roman"/>
                <w:sz w:val="20"/>
              </w:rPr>
              <w:t xml:space="preserve"> and Crafts (2001); </w:t>
            </w:r>
            <w:proofErr w:type="spellStart"/>
            <w:r w:rsidRPr="009F5222">
              <w:rPr>
                <w:rFonts w:ascii="Times New Roman" w:hAnsi="Times New Roman" w:cs="Times New Roman"/>
                <w:sz w:val="20"/>
              </w:rPr>
              <w:t>Evenett</w:t>
            </w:r>
            <w:proofErr w:type="spellEnd"/>
            <w:r w:rsidRPr="009F5222">
              <w:rPr>
                <w:rFonts w:ascii="Times New Roman" w:hAnsi="Times New Roman" w:cs="Times New Roman"/>
                <w:sz w:val="20"/>
              </w:rPr>
              <w:t xml:space="preserve">, </w:t>
            </w:r>
            <w:proofErr w:type="spellStart"/>
            <w:r w:rsidRPr="009F5222">
              <w:rPr>
                <w:rFonts w:ascii="Times New Roman" w:hAnsi="Times New Roman" w:cs="Times New Roman"/>
                <w:sz w:val="20"/>
              </w:rPr>
              <w:t>Levenstein</w:t>
            </w:r>
            <w:proofErr w:type="spellEnd"/>
            <w:r w:rsidRPr="009F5222">
              <w:rPr>
                <w:rFonts w:ascii="Times New Roman" w:hAnsi="Times New Roman" w:cs="Times New Roman"/>
                <w:sz w:val="20"/>
              </w:rPr>
              <w:t xml:space="preserve">, </w:t>
            </w:r>
            <w:proofErr w:type="spellStart"/>
            <w:r w:rsidRPr="009F5222">
              <w:rPr>
                <w:rFonts w:ascii="Times New Roman" w:hAnsi="Times New Roman" w:cs="Times New Roman"/>
                <w:sz w:val="20"/>
              </w:rPr>
              <w:t>Suslow</w:t>
            </w:r>
            <w:proofErr w:type="spellEnd"/>
            <w:r w:rsidRPr="009F5222">
              <w:rPr>
                <w:rFonts w:ascii="Times New Roman" w:hAnsi="Times New Roman" w:cs="Times New Roman"/>
                <w:sz w:val="20"/>
              </w:rPr>
              <w:t xml:space="preserve"> (2001) and </w:t>
            </w:r>
            <w:proofErr w:type="spellStart"/>
            <w:r w:rsidRPr="009F5222">
              <w:rPr>
                <w:rFonts w:ascii="Times New Roman" w:hAnsi="Times New Roman" w:cs="Times New Roman"/>
                <w:sz w:val="20"/>
              </w:rPr>
              <w:t>Symeonidis</w:t>
            </w:r>
            <w:proofErr w:type="spellEnd"/>
            <w:r w:rsidRPr="009F5222">
              <w:rPr>
                <w:rFonts w:ascii="Times New Roman" w:hAnsi="Times New Roman" w:cs="Times New Roman"/>
                <w:sz w:val="20"/>
              </w:rPr>
              <w:t xml:space="preserve">, (2003)). In a study of 42 countries, Kee and </w:t>
            </w:r>
            <w:proofErr w:type="spellStart"/>
            <w:r w:rsidRPr="009F5222">
              <w:rPr>
                <w:rFonts w:ascii="Times New Roman" w:hAnsi="Times New Roman" w:cs="Times New Roman"/>
                <w:sz w:val="20"/>
              </w:rPr>
              <w:t>Hoekman</w:t>
            </w:r>
            <w:proofErr w:type="spellEnd"/>
            <w:r w:rsidRPr="009F5222">
              <w:rPr>
                <w:rFonts w:ascii="Times New Roman" w:hAnsi="Times New Roman" w:cs="Times New Roman"/>
                <w:sz w:val="20"/>
              </w:rPr>
              <w:t xml:space="preserve"> (2007) found that in industries where competition rules were actively enforced, antitrust enforcement increased the number of domestic firms by 7.2 percent. Similarly, a 20 percent increase on an index scale—roughly equivalent to moving from the level of competition rules enforcement in the Czech Republic to that in the United Kingdom—resulted in total factor productivity growth of 1 percent.</w:t>
            </w:r>
          </w:p>
          <w:p w14:paraId="38C95F03" w14:textId="77777777" w:rsidR="0043271C" w:rsidRPr="009F5222" w:rsidRDefault="0043271C">
            <w:pPr>
              <w:jc w:val="both"/>
              <w:rPr>
                <w:rFonts w:ascii="Times New Roman" w:hAnsi="Times New Roman" w:cs="Times New Roman"/>
                <w:sz w:val="20"/>
              </w:rPr>
            </w:pPr>
          </w:p>
          <w:p w14:paraId="204EB76E" w14:textId="77777777" w:rsidR="0043271C" w:rsidRPr="009F5222" w:rsidRDefault="0043271C">
            <w:pPr>
              <w:pStyle w:val="Caption"/>
              <w:jc w:val="both"/>
              <w:rPr>
                <w:rFonts w:ascii="Times New Roman" w:hAnsi="Times New Roman"/>
                <w:b w:val="0"/>
                <w:szCs w:val="22"/>
              </w:rPr>
            </w:pPr>
            <w:r w:rsidRPr="009F5222">
              <w:rPr>
                <w:rFonts w:ascii="Times New Roman" w:hAnsi="Times New Roman"/>
                <w:b w:val="0"/>
                <w:szCs w:val="22"/>
              </w:rPr>
              <w:t>International experience shows that the introduction of a comprehensive national competition policy framework can bring substantial economic gains. Australia is one of the countries that serve as an example of successful implementation of a national competition policy framework.  Estimates suggest that competition policy reforms boosted Australia’s GDP by at least 2.5 percent or $20 billion due to their effect on increased productivity and lower prices during the 1990s. Likewise, conservative estimates for the UK suggest that direct consumer savings resulting from the enforcement of competition law are worth USD 112 million a year.  In the case of the Netherlands, the positive impact of the competition agency’s actions on Dutch society is estimated at USD 426 million (a 3-year rolling average).</w:t>
            </w:r>
            <w:r w:rsidRPr="009F5222">
              <w:rPr>
                <w:rFonts w:ascii="Times New Roman" w:hAnsi="Times New Roman"/>
                <w:b w:val="0"/>
                <w:szCs w:val="22"/>
                <w:vertAlign w:val="superscript"/>
              </w:rPr>
              <w:t xml:space="preserve"> </w:t>
            </w:r>
            <w:r w:rsidRPr="009F5222">
              <w:rPr>
                <w:rFonts w:ascii="Times New Roman" w:hAnsi="Times New Roman"/>
                <w:b w:val="0"/>
                <w:szCs w:val="22"/>
              </w:rPr>
              <w:t xml:space="preserve"> Finally, recent studies also provide evidence that budgetary commitments to competition agencies and institutions yield economic benefits in terms of improved economic growth since they are associated with higher levels of per-capita GDP growth.</w:t>
            </w:r>
          </w:p>
        </w:tc>
      </w:tr>
    </w:tbl>
    <w:p w14:paraId="4FD9427E" w14:textId="77777777" w:rsidR="00711D1F" w:rsidRPr="00C91EA2" w:rsidRDefault="00711D1F" w:rsidP="0043271C">
      <w:pPr>
        <w:pStyle w:val="ListParagraph"/>
        <w:autoSpaceDE w:val="0"/>
        <w:autoSpaceDN w:val="0"/>
        <w:spacing w:before="120" w:after="120"/>
        <w:ind w:left="0"/>
        <w:jc w:val="both"/>
        <w:rPr>
          <w:rFonts w:ascii="Times New Roman" w:hAnsi="Times New Roman" w:cs="Times New Roman"/>
        </w:rPr>
      </w:pPr>
    </w:p>
    <w:p w14:paraId="5CD8C8F1" w14:textId="77777777"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Further, the ability of trade reforms to encourage economic diversification and shared prosperity also relies on the intensity of domestic competition</w:t>
      </w:r>
      <w:r w:rsidRPr="00C91EA2">
        <w:rPr>
          <w:rFonts w:ascii="Times New Roman" w:hAnsi="Times New Roman" w:cs="Times New Roman"/>
        </w:rPr>
        <w:t>. A lack of domestic competition in intermediate sectors, including transport and distribution services, can hinder the transmission of international price signals to producers. Promoting domestic competition prevents sectoral misallocation between tradeable and non-tradeable</w:t>
      </w:r>
      <w:r w:rsidR="004F1692">
        <w:rPr>
          <w:rFonts w:ascii="Times New Roman" w:hAnsi="Times New Roman" w:cs="Times New Roman"/>
        </w:rPr>
        <w:t xml:space="preserve"> sectors</w:t>
      </w:r>
      <w:r w:rsidRPr="00C91EA2">
        <w:rPr>
          <w:rFonts w:ascii="Times New Roman" w:hAnsi="Times New Roman" w:cs="Times New Roman"/>
        </w:rPr>
        <w:t>. Several studies provide evidence that competition can improve the distributional impact of trade liberalization by directing more benefits toward developing country producers and raising the relative wages of less-skilled workers.</w:t>
      </w:r>
      <w:r w:rsidRPr="00C91EA2">
        <w:rPr>
          <w:rStyle w:val="FootnoteReference"/>
          <w:rFonts w:ascii="Times New Roman" w:hAnsi="Times New Roman" w:cs="Times New Roman"/>
        </w:rPr>
        <w:footnoteReference w:id="66"/>
      </w:r>
    </w:p>
    <w:p w14:paraId="03A1B858" w14:textId="77777777" w:rsidR="0043271C" w:rsidRPr="00C91EA2" w:rsidRDefault="0043271C" w:rsidP="0043271C">
      <w:pPr>
        <w:jc w:val="both"/>
        <w:rPr>
          <w:rFonts w:ascii="Times New Roman" w:hAnsi="Times New Roman" w:cs="Times New Roman"/>
        </w:rPr>
      </w:pPr>
    </w:p>
    <w:p w14:paraId="6E29C5EF" w14:textId="77777777" w:rsidR="0043271C" w:rsidRPr="00C91EA2" w:rsidRDefault="0043271C" w:rsidP="0043271C">
      <w:pPr>
        <w:pStyle w:val="ListParagraph"/>
        <w:numPr>
          <w:ilvl w:val="0"/>
          <w:numId w:val="125"/>
        </w:numPr>
        <w:ind w:left="0" w:firstLine="0"/>
        <w:jc w:val="both"/>
        <w:rPr>
          <w:rFonts w:ascii="Times New Roman" w:eastAsia="Times New Roman" w:hAnsi="Times New Roman" w:cs="Times New Roman"/>
        </w:rPr>
      </w:pPr>
      <w:r w:rsidRPr="00C91EA2">
        <w:rPr>
          <w:rFonts w:ascii="Times New Roman" w:eastAsia="Times New Roman" w:hAnsi="Times New Roman" w:cs="Times New Roman"/>
          <w:b/>
        </w:rPr>
        <w:t>At the same time, well-functioning markets are crucial to support integration in regional and global value chains (GVC</w:t>
      </w:r>
      <w:proofErr w:type="gramStart"/>
      <w:r w:rsidRPr="00C91EA2">
        <w:rPr>
          <w:rFonts w:ascii="Times New Roman" w:eastAsia="Times New Roman" w:hAnsi="Times New Roman" w:cs="Times New Roman"/>
          <w:b/>
        </w:rPr>
        <w:t>)</w:t>
      </w:r>
      <w:r w:rsidRPr="00C91EA2">
        <w:rPr>
          <w:rFonts w:ascii="Times New Roman" w:eastAsia="Times New Roman" w:hAnsi="Times New Roman" w:cs="Times New Roman"/>
        </w:rPr>
        <w:t>, and</w:t>
      </w:r>
      <w:proofErr w:type="gramEnd"/>
      <w:r w:rsidRPr="00C91EA2">
        <w:rPr>
          <w:rFonts w:ascii="Times New Roman" w:eastAsia="Times New Roman" w:hAnsi="Times New Roman" w:cs="Times New Roman"/>
        </w:rPr>
        <w:t xml:space="preserve"> allow for an increase in the share of domestic value-added embedded in exports. The effects of obstacles to competition are magnified in a trade environment that increasingly relies on GVC through different channels:</w:t>
      </w:r>
    </w:p>
    <w:p w14:paraId="539B43FB" w14:textId="77777777" w:rsidR="0043271C" w:rsidRPr="00C91EA2" w:rsidRDefault="0043271C" w:rsidP="0043271C">
      <w:pPr>
        <w:pStyle w:val="ListParagraph"/>
        <w:numPr>
          <w:ilvl w:val="0"/>
          <w:numId w:val="127"/>
        </w:numPr>
        <w:jc w:val="both"/>
        <w:rPr>
          <w:rFonts w:ascii="Times New Roman" w:eastAsia="Times New Roman" w:hAnsi="Times New Roman" w:cs="Times New Roman"/>
        </w:rPr>
      </w:pPr>
      <w:proofErr w:type="spellStart"/>
      <w:r w:rsidRPr="00C91EA2">
        <w:rPr>
          <w:rFonts w:ascii="Times New Roman" w:eastAsia="Times New Roman" w:hAnsi="Times New Roman" w:cs="Times New Roman"/>
        </w:rPr>
        <w:t>Servicification</w:t>
      </w:r>
      <w:proofErr w:type="spellEnd"/>
      <w:r w:rsidR="00CA0C67">
        <w:rPr>
          <w:rStyle w:val="FootnoteReference"/>
          <w:rFonts w:ascii="Times New Roman" w:eastAsia="Times New Roman" w:hAnsi="Times New Roman" w:cs="Times New Roman"/>
        </w:rPr>
        <w:footnoteReference w:id="67"/>
      </w:r>
      <w:r w:rsidRPr="00C91EA2">
        <w:rPr>
          <w:rFonts w:ascii="Times New Roman" w:eastAsia="Times New Roman" w:hAnsi="Times New Roman" w:cs="Times New Roman"/>
        </w:rPr>
        <w:t xml:space="preserve"> is the future of manufacturing. When industries go global, they need to source services in the various locations where they operate. </w:t>
      </w:r>
    </w:p>
    <w:p w14:paraId="068BCC3A" w14:textId="77777777" w:rsidR="0043271C" w:rsidRPr="00C91EA2" w:rsidRDefault="0043271C" w:rsidP="0043271C">
      <w:pPr>
        <w:pStyle w:val="ListParagraph"/>
        <w:numPr>
          <w:ilvl w:val="0"/>
          <w:numId w:val="127"/>
        </w:numPr>
        <w:jc w:val="both"/>
        <w:rPr>
          <w:rFonts w:ascii="Times New Roman" w:eastAsia="Times New Roman" w:hAnsi="Times New Roman" w:cs="Times New Roman"/>
        </w:rPr>
      </w:pPr>
      <w:r w:rsidRPr="00C91EA2">
        <w:rPr>
          <w:rFonts w:ascii="Times New Roman" w:eastAsia="Times New Roman" w:hAnsi="Times New Roman" w:cs="Times New Roman"/>
        </w:rPr>
        <w:t>Global value chains have entered a phase of consolidation. New winners are the countries able to offer a “bundle of tasks” that includes multiple tasks along the value chain, with a blend of manufacturing and services tasks (e.g. logistics and marketing with assembly). Competition i</w:t>
      </w:r>
      <w:r w:rsidR="00B97CC9">
        <w:rPr>
          <w:rFonts w:ascii="Times New Roman" w:eastAsia="Times New Roman" w:hAnsi="Times New Roman" w:cs="Times New Roman"/>
        </w:rPr>
        <w:t>ssues affecting one task affect</w:t>
      </w:r>
      <w:r w:rsidRPr="00C91EA2">
        <w:rPr>
          <w:rFonts w:ascii="Times New Roman" w:eastAsia="Times New Roman" w:hAnsi="Times New Roman" w:cs="Times New Roman"/>
        </w:rPr>
        <w:t xml:space="preserve"> all the other tasks that need to be bundled. </w:t>
      </w:r>
    </w:p>
    <w:p w14:paraId="3C2690F5" w14:textId="77777777" w:rsidR="0043271C" w:rsidRDefault="0043271C" w:rsidP="0043271C">
      <w:pPr>
        <w:pStyle w:val="ListParagraph"/>
        <w:autoSpaceDE w:val="0"/>
        <w:autoSpaceDN w:val="0"/>
        <w:adjustRightInd w:val="0"/>
        <w:ind w:left="0"/>
        <w:jc w:val="both"/>
        <w:rPr>
          <w:rFonts w:ascii="Times New Roman" w:eastAsia="Times New Roman" w:hAnsi="Times New Roman" w:cs="Times New Roman"/>
        </w:rPr>
      </w:pPr>
      <w:r w:rsidRPr="00C91EA2">
        <w:rPr>
          <w:rFonts w:ascii="Times New Roman" w:eastAsia="Times New Roman" w:hAnsi="Times New Roman" w:cs="Times New Roman"/>
        </w:rPr>
        <w:t>Half of services exports globally are now embedded in goods exports. Competitiveness in manufacturing or agriculture is dependent on services competitiveness. Stand-alone services exports also depend on competition in basic services: for example, the digital strategy and</w:t>
      </w:r>
      <w:r w:rsidR="00B74DC4">
        <w:rPr>
          <w:rFonts w:ascii="Times New Roman" w:eastAsia="Times New Roman" w:hAnsi="Times New Roman" w:cs="Times New Roman"/>
        </w:rPr>
        <w:t xml:space="preserve"> competitiveness in</w:t>
      </w:r>
      <w:r w:rsidRPr="00C91EA2">
        <w:rPr>
          <w:rFonts w:ascii="Times New Roman" w:eastAsia="Times New Roman" w:hAnsi="Times New Roman" w:cs="Times New Roman"/>
        </w:rPr>
        <w:t xml:space="preserve"> IT-enabled services will depend on how well the telecom sector functions.</w:t>
      </w:r>
    </w:p>
    <w:p w14:paraId="2E93D036" w14:textId="77777777" w:rsidR="003219F1" w:rsidRPr="00C91EA2" w:rsidRDefault="003219F1" w:rsidP="0043271C">
      <w:pPr>
        <w:pStyle w:val="ListParagraph"/>
        <w:autoSpaceDE w:val="0"/>
        <w:autoSpaceDN w:val="0"/>
        <w:adjustRightInd w:val="0"/>
        <w:ind w:left="0"/>
        <w:jc w:val="both"/>
        <w:rPr>
          <w:rFonts w:ascii="Times New Roman" w:eastAsia="Times New Roman" w:hAnsi="Times New Roman" w:cs="Times New Roman"/>
        </w:rPr>
      </w:pPr>
    </w:p>
    <w:p w14:paraId="77A76CD9" w14:textId="77777777" w:rsidR="00161E4C" w:rsidRPr="00161E4C" w:rsidRDefault="00161E4C" w:rsidP="00C538DB">
      <w:pPr>
        <w:pStyle w:val="ListParagraph"/>
        <w:numPr>
          <w:ilvl w:val="0"/>
          <w:numId w:val="125"/>
        </w:numPr>
        <w:ind w:left="0" w:firstLine="0"/>
        <w:jc w:val="both"/>
        <w:rPr>
          <w:rFonts w:ascii="Times New Roman" w:hAnsi="Times New Roman" w:cs="Times New Roman"/>
        </w:rPr>
      </w:pPr>
      <w:r w:rsidRPr="00161E4C">
        <w:rPr>
          <w:rFonts w:ascii="Times New Roman" w:hAnsi="Times New Roman" w:cs="Times New Roman"/>
          <w:b/>
        </w:rPr>
        <w:t>Last, but not least, competition policy reforms can deliver benefits for the poorest households and improve income distribution particularly in developing economies.</w:t>
      </w:r>
      <w:r w:rsidRPr="00161E4C">
        <w:rPr>
          <w:rFonts w:ascii="Times New Roman" w:hAnsi="Times New Roman" w:cs="Times New Roman"/>
        </w:rPr>
        <w:t xml:space="preserve"> Frameworks that enable competition help empower the poorer segments of society, increase their buying power, and give them greater economic opportunity. Uncompetitive consumer product markets harm families, especially the poorest ones, while more open markets benefit low-income households (</w:t>
      </w:r>
      <w:proofErr w:type="spellStart"/>
      <w:r w:rsidRPr="00161E4C">
        <w:rPr>
          <w:rFonts w:ascii="Times New Roman" w:hAnsi="Times New Roman" w:cs="Times New Roman"/>
        </w:rPr>
        <w:t>Urzua</w:t>
      </w:r>
      <w:proofErr w:type="spellEnd"/>
      <w:r w:rsidRPr="00161E4C">
        <w:rPr>
          <w:rFonts w:ascii="Times New Roman" w:hAnsi="Times New Roman" w:cs="Times New Roman"/>
        </w:rPr>
        <w:t xml:space="preserve"> 2013 using data on Mexico; Creedy and Dixon 1998, 2000; Argent and Begazo 2015 using data on Kenya). A lack of competition in food markets hurts the poorest households the most. Consumers pay artificially high prices for goods and services due to cartels (Connor and </w:t>
      </w:r>
      <w:proofErr w:type="spellStart"/>
      <w:r w:rsidRPr="00161E4C">
        <w:rPr>
          <w:rFonts w:ascii="Times New Roman" w:hAnsi="Times New Roman" w:cs="Times New Roman"/>
        </w:rPr>
        <w:t>Lande</w:t>
      </w:r>
      <w:proofErr w:type="spellEnd"/>
      <w:r w:rsidRPr="00161E4C">
        <w:rPr>
          <w:rFonts w:ascii="Times New Roman" w:hAnsi="Times New Roman" w:cs="Times New Roman"/>
        </w:rPr>
        <w:t xml:space="preserve"> 2010, 2012; Mncube 2013 based on South African data), and restrictive and burdensome product market regulations hold back job creation (Bertrand and </w:t>
      </w:r>
      <w:proofErr w:type="spellStart"/>
      <w:r w:rsidRPr="00161E4C">
        <w:rPr>
          <w:rFonts w:ascii="Times New Roman" w:hAnsi="Times New Roman" w:cs="Times New Roman"/>
        </w:rPr>
        <w:t>Kramarz</w:t>
      </w:r>
      <w:proofErr w:type="spellEnd"/>
      <w:r w:rsidRPr="00161E4C">
        <w:rPr>
          <w:rFonts w:ascii="Times New Roman" w:hAnsi="Times New Roman" w:cs="Times New Roman"/>
        </w:rPr>
        <w:t xml:space="preserve"> 2001; Blanchard and </w:t>
      </w:r>
      <w:proofErr w:type="spellStart"/>
      <w:r w:rsidRPr="00161E4C">
        <w:rPr>
          <w:rFonts w:ascii="Times New Roman" w:hAnsi="Times New Roman" w:cs="Times New Roman"/>
        </w:rPr>
        <w:t>Giavazzi</w:t>
      </w:r>
      <w:proofErr w:type="spellEnd"/>
      <w:r w:rsidRPr="00161E4C">
        <w:rPr>
          <w:rFonts w:ascii="Times New Roman" w:hAnsi="Times New Roman" w:cs="Times New Roman"/>
        </w:rPr>
        <w:t xml:space="preserve"> 2003; Nicoletti and </w:t>
      </w:r>
      <w:proofErr w:type="spellStart"/>
      <w:r w:rsidRPr="00161E4C">
        <w:rPr>
          <w:rFonts w:ascii="Times New Roman" w:hAnsi="Times New Roman" w:cs="Times New Roman"/>
        </w:rPr>
        <w:t>Scarpetta</w:t>
      </w:r>
      <w:proofErr w:type="spellEnd"/>
      <w:r w:rsidRPr="00161E4C">
        <w:rPr>
          <w:rFonts w:ascii="Times New Roman" w:hAnsi="Times New Roman" w:cs="Times New Roman"/>
        </w:rPr>
        <w:t xml:space="preserve"> 2005; Schiffbauer et al. 2015 for countries of the Middle East and Northern Africa). Empirical literature also shows that competition in input markets and between buyers helps farmers and small businesses (Begazo and Nyman 2016 based on a broad review of the empirical literature).</w:t>
      </w:r>
    </w:p>
    <w:p w14:paraId="6D07BABD" w14:textId="77777777" w:rsidR="0043271C" w:rsidRPr="00C91EA2" w:rsidRDefault="0043271C" w:rsidP="0043271C">
      <w:pPr>
        <w:jc w:val="both"/>
        <w:rPr>
          <w:rFonts w:ascii="Times New Roman" w:hAnsi="Times New Roman" w:cs="Times New Roman"/>
        </w:rPr>
      </w:pPr>
    </w:p>
    <w:p w14:paraId="5C93D2E1" w14:textId="77777777" w:rsidR="0043271C" w:rsidRPr="00C91EA2" w:rsidRDefault="00576A60" w:rsidP="0043271C">
      <w:pPr>
        <w:pStyle w:val="Heading2"/>
        <w:jc w:val="both"/>
        <w:rPr>
          <w:rFonts w:ascii="Times New Roman" w:hAnsi="Times New Roman" w:cs="Times New Roman"/>
        </w:rPr>
      </w:pPr>
      <w:bookmarkStart w:id="62" w:name="_Toc497990820"/>
      <w:bookmarkStart w:id="63" w:name="_Toc520724101"/>
      <w:r w:rsidRPr="00C91EA2">
        <w:rPr>
          <w:rFonts w:ascii="Times New Roman" w:hAnsi="Times New Roman" w:cs="Times New Roman"/>
        </w:rPr>
        <w:t xml:space="preserve">2.1 </w:t>
      </w:r>
      <w:r w:rsidR="00CE3D45">
        <w:rPr>
          <w:rFonts w:ascii="Times New Roman" w:hAnsi="Times New Roman" w:cs="Times New Roman"/>
        </w:rPr>
        <w:t xml:space="preserve">Improving the </w:t>
      </w:r>
      <w:r w:rsidR="00F15DEA">
        <w:rPr>
          <w:rFonts w:ascii="Times New Roman" w:hAnsi="Times New Roman" w:cs="Times New Roman"/>
        </w:rPr>
        <w:t xml:space="preserve">Market </w:t>
      </w:r>
      <w:r w:rsidR="00CE3D45">
        <w:rPr>
          <w:rFonts w:ascii="Times New Roman" w:hAnsi="Times New Roman" w:cs="Times New Roman"/>
        </w:rPr>
        <w:t xml:space="preserve">Functioning </w:t>
      </w:r>
      <w:r w:rsidR="0043271C" w:rsidRPr="00C91EA2">
        <w:rPr>
          <w:rFonts w:ascii="Times New Roman" w:hAnsi="Times New Roman" w:cs="Times New Roman"/>
        </w:rPr>
        <w:t>in Senegal</w:t>
      </w:r>
      <w:bookmarkEnd w:id="62"/>
      <w:bookmarkEnd w:id="63"/>
    </w:p>
    <w:p w14:paraId="2E0DE312" w14:textId="77777777" w:rsidR="0043271C" w:rsidRPr="00C91EA2" w:rsidRDefault="0043271C" w:rsidP="0043271C">
      <w:pPr>
        <w:jc w:val="both"/>
        <w:rPr>
          <w:rFonts w:ascii="Times New Roman" w:hAnsi="Times New Roman" w:cs="Times New Roman"/>
          <w:b/>
        </w:rPr>
      </w:pPr>
    </w:p>
    <w:p w14:paraId="65CD0181" w14:textId="142DA806" w:rsidR="0043271C" w:rsidRPr="00C91EA2" w:rsidRDefault="003219F1" w:rsidP="0043271C">
      <w:pPr>
        <w:pStyle w:val="ListParagraph"/>
        <w:numPr>
          <w:ilvl w:val="0"/>
          <w:numId w:val="125"/>
        </w:numPr>
        <w:ind w:left="0" w:firstLine="0"/>
        <w:jc w:val="both"/>
        <w:rPr>
          <w:rFonts w:ascii="Times New Roman" w:hAnsi="Times New Roman" w:cs="Times New Roman"/>
        </w:rPr>
      </w:pPr>
      <w:r>
        <w:rPr>
          <w:rFonts w:ascii="Times New Roman" w:hAnsi="Times New Roman" w:cs="Times New Roman"/>
          <w:b/>
        </w:rPr>
        <w:t>To</w:t>
      </w:r>
      <w:r w:rsidR="006E7DF8">
        <w:rPr>
          <w:rFonts w:ascii="Times New Roman" w:hAnsi="Times New Roman" w:cs="Times New Roman"/>
          <w:b/>
        </w:rPr>
        <w:t xml:space="preserve"> address</w:t>
      </w:r>
      <w:r w:rsidR="006E7DF8" w:rsidRPr="00C91EA2">
        <w:rPr>
          <w:rFonts w:ascii="Times New Roman" w:hAnsi="Times New Roman" w:cs="Times New Roman"/>
          <w:b/>
        </w:rPr>
        <w:t xml:space="preserve"> </w:t>
      </w:r>
      <w:r w:rsidR="0043271C" w:rsidRPr="00C91EA2">
        <w:rPr>
          <w:rFonts w:ascii="Times New Roman" w:hAnsi="Times New Roman" w:cs="Times New Roman"/>
          <w:b/>
        </w:rPr>
        <w:t>Senegal’s challenges at the macroeconomic level, notably sustaining high growth, and poverty alleviation</w:t>
      </w:r>
      <w:r w:rsidR="00604782">
        <w:rPr>
          <w:rFonts w:ascii="Times New Roman" w:hAnsi="Times New Roman" w:cs="Times New Roman"/>
          <w:b/>
        </w:rPr>
        <w:t>,</w:t>
      </w:r>
      <w:r w:rsidR="0043271C" w:rsidRPr="00C91EA2">
        <w:rPr>
          <w:rFonts w:ascii="Times New Roman" w:hAnsi="Times New Roman" w:cs="Times New Roman"/>
          <w:b/>
        </w:rPr>
        <w:t xml:space="preserve"> a deeper understanding of the microeconomic constraints affecting key sectors</w:t>
      </w:r>
      <w:r w:rsidR="006E7DF8">
        <w:rPr>
          <w:rFonts w:ascii="Times New Roman" w:hAnsi="Times New Roman" w:cs="Times New Roman"/>
          <w:b/>
        </w:rPr>
        <w:t xml:space="preserve"> is needed</w:t>
      </w:r>
      <w:r w:rsidR="0043271C" w:rsidRPr="00C91EA2">
        <w:rPr>
          <w:rFonts w:ascii="Times New Roman" w:hAnsi="Times New Roman" w:cs="Times New Roman"/>
          <w:b/>
        </w:rPr>
        <w:t xml:space="preserve">. </w:t>
      </w:r>
      <w:r w:rsidR="0043271C" w:rsidRPr="00C91EA2">
        <w:rPr>
          <w:rFonts w:ascii="Times New Roman" w:hAnsi="Times New Roman" w:cs="Times New Roman"/>
        </w:rPr>
        <w:t>In a recent growth diagnostic,</w:t>
      </w:r>
      <w:r w:rsidR="0043271C" w:rsidRPr="00C91EA2">
        <w:rPr>
          <w:rStyle w:val="FootnoteReference"/>
          <w:rFonts w:ascii="Times New Roman" w:hAnsi="Times New Roman" w:cs="Times New Roman"/>
        </w:rPr>
        <w:footnoteReference w:id="68"/>
      </w:r>
      <w:r w:rsidR="0043271C" w:rsidRPr="00C91EA2">
        <w:rPr>
          <w:rFonts w:ascii="Times New Roman" w:hAnsi="Times New Roman" w:cs="Times New Roman"/>
        </w:rPr>
        <w:t xml:space="preserve"> the Millennium Challenge Corporation (MCC) identified micro risks,</w:t>
      </w:r>
      <w:r w:rsidR="00A90BBE">
        <w:rPr>
          <w:rFonts w:ascii="Times New Roman" w:hAnsi="Times New Roman" w:cs="Times New Roman"/>
        </w:rPr>
        <w:t xml:space="preserve"> such as</w:t>
      </w:r>
      <w:r w:rsidR="0043271C" w:rsidRPr="00C91EA2">
        <w:rPr>
          <w:rFonts w:ascii="Times New Roman" w:hAnsi="Times New Roman" w:cs="Times New Roman"/>
        </w:rPr>
        <w:t xml:space="preserve"> </w:t>
      </w:r>
      <w:r w:rsidR="006E7DF8">
        <w:rPr>
          <w:rFonts w:ascii="Times New Roman" w:hAnsi="Times New Roman" w:cs="Times New Roman"/>
        </w:rPr>
        <w:t xml:space="preserve">an </w:t>
      </w:r>
      <w:r w:rsidR="0043271C" w:rsidRPr="00C91EA2">
        <w:rPr>
          <w:rFonts w:ascii="Times New Roman" w:hAnsi="Times New Roman" w:cs="Times New Roman"/>
        </w:rPr>
        <w:t xml:space="preserve">unpredictable and inefficient regulatory environment, </w:t>
      </w:r>
      <w:r w:rsidR="00A90BBE">
        <w:rPr>
          <w:rFonts w:ascii="Times New Roman" w:hAnsi="Times New Roman" w:cs="Times New Roman"/>
        </w:rPr>
        <w:t>among</w:t>
      </w:r>
      <w:r w:rsidR="0043271C" w:rsidRPr="00C91EA2">
        <w:rPr>
          <w:rFonts w:ascii="Times New Roman" w:hAnsi="Times New Roman" w:cs="Times New Roman"/>
        </w:rPr>
        <w:t xml:space="preserve"> binding constraints to growth</w:t>
      </w:r>
      <w:r w:rsidR="006E7DF8">
        <w:rPr>
          <w:rFonts w:ascii="Times New Roman" w:hAnsi="Times New Roman" w:cs="Times New Roman"/>
        </w:rPr>
        <w:t xml:space="preserve"> in Senegal</w:t>
      </w:r>
      <w:r w:rsidR="0043271C" w:rsidRPr="00C91EA2">
        <w:rPr>
          <w:rFonts w:ascii="Times New Roman" w:hAnsi="Times New Roman" w:cs="Times New Roman"/>
        </w:rPr>
        <w:t>.</w:t>
      </w:r>
      <w:r w:rsidR="0043271C" w:rsidRPr="00C91EA2">
        <w:rPr>
          <w:rStyle w:val="FootnoteReference"/>
          <w:rFonts w:ascii="Times New Roman" w:hAnsi="Times New Roman" w:cs="Times New Roman"/>
        </w:rPr>
        <w:footnoteReference w:id="69"/>
      </w:r>
      <w:r w:rsidR="0043271C" w:rsidRPr="00C91EA2">
        <w:rPr>
          <w:rFonts w:ascii="Times New Roman" w:hAnsi="Times New Roman" w:cs="Times New Roman"/>
        </w:rPr>
        <w:t xml:space="preserve"> In its </w:t>
      </w:r>
      <w:r w:rsidR="000B0E92">
        <w:rPr>
          <w:rFonts w:ascii="Times New Roman" w:hAnsi="Times New Roman" w:cs="Times New Roman"/>
        </w:rPr>
        <w:t>A</w:t>
      </w:r>
      <w:r w:rsidR="000B0E92" w:rsidRPr="00C91EA2">
        <w:rPr>
          <w:rFonts w:ascii="Times New Roman" w:hAnsi="Times New Roman" w:cs="Times New Roman"/>
        </w:rPr>
        <w:t xml:space="preserve">rticle </w:t>
      </w:r>
      <w:r w:rsidR="0043271C" w:rsidRPr="00C91EA2">
        <w:rPr>
          <w:rFonts w:ascii="Times New Roman" w:hAnsi="Times New Roman" w:cs="Times New Roman"/>
        </w:rPr>
        <w:t xml:space="preserve">IV review, the IMF </w:t>
      </w:r>
      <w:r w:rsidR="004B2F05">
        <w:rPr>
          <w:rFonts w:ascii="Times New Roman" w:hAnsi="Times New Roman" w:cs="Times New Roman"/>
        </w:rPr>
        <w:t>stated that</w:t>
      </w:r>
      <w:r w:rsidR="004B2F05" w:rsidRPr="00C91EA2">
        <w:rPr>
          <w:rFonts w:ascii="Times New Roman" w:hAnsi="Times New Roman" w:cs="Times New Roman"/>
        </w:rPr>
        <w:t xml:space="preserve"> </w:t>
      </w:r>
      <w:r w:rsidR="0043271C" w:rsidRPr="00C91EA2">
        <w:rPr>
          <w:rFonts w:ascii="Times New Roman" w:hAnsi="Times New Roman" w:cs="Times New Roman"/>
        </w:rPr>
        <w:t>that “for growth to be sustained, further reforms are needed to improve the business environment and create economic space for private domestic and foreign investment.”</w:t>
      </w:r>
      <w:r w:rsidR="0043271C" w:rsidRPr="00C91EA2">
        <w:rPr>
          <w:rStyle w:val="FootnoteReference"/>
          <w:rFonts w:ascii="Times New Roman" w:hAnsi="Times New Roman" w:cs="Times New Roman"/>
        </w:rPr>
        <w:footnoteReference w:id="70"/>
      </w:r>
    </w:p>
    <w:p w14:paraId="04BF9526" w14:textId="77777777" w:rsidR="0043271C" w:rsidRPr="00C91EA2" w:rsidRDefault="0043271C" w:rsidP="0043271C">
      <w:pPr>
        <w:pStyle w:val="ListParagraph"/>
        <w:ind w:left="0"/>
        <w:jc w:val="both"/>
        <w:rPr>
          <w:rFonts w:ascii="Times New Roman" w:hAnsi="Times New Roman" w:cs="Times New Roman"/>
        </w:rPr>
      </w:pPr>
    </w:p>
    <w:p w14:paraId="44C979C4" w14:textId="7AE2225E"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Markets cannot achieve the best outcomes for producers, enterprises, consumers or the </w:t>
      </w:r>
      <w:r w:rsidR="003B24ED">
        <w:rPr>
          <w:rFonts w:ascii="Times New Roman" w:hAnsi="Times New Roman" w:cs="Times New Roman"/>
          <w:b/>
        </w:rPr>
        <w:t>Government</w:t>
      </w:r>
      <w:r w:rsidRPr="00C91EA2">
        <w:rPr>
          <w:rFonts w:ascii="Times New Roman" w:hAnsi="Times New Roman" w:cs="Times New Roman"/>
          <w:b/>
        </w:rPr>
        <w:t xml:space="preserve"> if competition is hampered. </w:t>
      </w:r>
      <w:r w:rsidRPr="00C91EA2">
        <w:rPr>
          <w:rFonts w:ascii="Times New Roman" w:hAnsi="Times New Roman" w:cs="Times New Roman"/>
        </w:rPr>
        <w:t xml:space="preserve">There are two broad reasons for the lack of competition in markets, each with different policy responses. First, regulations or </w:t>
      </w:r>
      <w:r w:rsidR="003B24ED">
        <w:rPr>
          <w:rFonts w:ascii="Times New Roman" w:hAnsi="Times New Roman" w:cs="Times New Roman"/>
        </w:rPr>
        <w:t>Government</w:t>
      </w:r>
      <w:r w:rsidRPr="00C91EA2">
        <w:rPr>
          <w:rFonts w:ascii="Times New Roman" w:hAnsi="Times New Roman" w:cs="Times New Roman"/>
        </w:rPr>
        <w:t xml:space="preserve"> interventions can disincentivize firms from competing and innovating. Following the World Bank’s </w:t>
      </w:r>
      <w:r w:rsidRPr="002926ED">
        <w:rPr>
          <w:rFonts w:ascii="Times New Roman" w:hAnsi="Times New Roman" w:cs="Times New Roman"/>
        </w:rPr>
        <w:t xml:space="preserve">MCPAT (Box </w:t>
      </w:r>
      <w:r w:rsidR="000014A1">
        <w:rPr>
          <w:rFonts w:ascii="Times New Roman" w:hAnsi="Times New Roman" w:cs="Times New Roman"/>
        </w:rPr>
        <w:t xml:space="preserve">4 </w:t>
      </w:r>
      <w:r w:rsidRPr="002926ED">
        <w:rPr>
          <w:rFonts w:ascii="Times New Roman" w:hAnsi="Times New Roman" w:cs="Times New Roman"/>
        </w:rPr>
        <w:t>below</w:t>
      </w:r>
      <w:r w:rsidRPr="00C91EA2">
        <w:rPr>
          <w:rFonts w:ascii="Times New Roman" w:hAnsi="Times New Roman" w:cs="Times New Roman"/>
        </w:rPr>
        <w:t>), the next section provides some evidence for this to be the case in Senegal across the economy, focusing on groundnut</w:t>
      </w:r>
      <w:r w:rsidR="006E7DF8">
        <w:rPr>
          <w:rFonts w:ascii="Times New Roman" w:hAnsi="Times New Roman" w:cs="Times New Roman"/>
        </w:rPr>
        <w:t>s</w:t>
      </w:r>
      <w:r w:rsidRPr="00C91EA2">
        <w:rPr>
          <w:rFonts w:ascii="Times New Roman" w:hAnsi="Times New Roman" w:cs="Times New Roman"/>
        </w:rPr>
        <w:t xml:space="preserve"> and telecommunications. </w:t>
      </w:r>
      <w:r w:rsidR="00EB4BF7" w:rsidRPr="00C91EA2">
        <w:rPr>
          <w:rFonts w:ascii="Times New Roman" w:hAnsi="Times New Roman" w:cs="Times New Roman"/>
        </w:rPr>
        <w:t>Wh</w:t>
      </w:r>
      <w:r w:rsidR="00EB4BF7">
        <w:rPr>
          <w:rFonts w:ascii="Times New Roman" w:hAnsi="Times New Roman" w:cs="Times New Roman"/>
        </w:rPr>
        <w:t>ile</w:t>
      </w:r>
      <w:r w:rsidR="00EB4BF7" w:rsidRPr="00C91EA2">
        <w:rPr>
          <w:rFonts w:ascii="Times New Roman" w:hAnsi="Times New Roman" w:cs="Times New Roman"/>
        </w:rPr>
        <w:t xml:space="preserve"> </w:t>
      </w:r>
      <w:r w:rsidRPr="00C91EA2">
        <w:rPr>
          <w:rFonts w:ascii="Times New Roman" w:hAnsi="Times New Roman" w:cs="Times New Roman"/>
        </w:rPr>
        <w:t xml:space="preserve">in the groundnut sector, certain </w:t>
      </w:r>
      <w:r w:rsidR="003B24ED">
        <w:rPr>
          <w:rFonts w:ascii="Times New Roman" w:hAnsi="Times New Roman" w:cs="Times New Roman"/>
        </w:rPr>
        <w:t>Government</w:t>
      </w:r>
      <w:r w:rsidRPr="00C91EA2">
        <w:rPr>
          <w:rFonts w:ascii="Times New Roman" w:hAnsi="Times New Roman" w:cs="Times New Roman"/>
        </w:rPr>
        <w:t xml:space="preserve"> regulations and intervention may advantage certain players at the expense of both producers and consumers, </w:t>
      </w:r>
      <w:r w:rsidR="00EB4BF7">
        <w:rPr>
          <w:rFonts w:ascii="Times New Roman" w:hAnsi="Times New Roman" w:cs="Times New Roman"/>
        </w:rPr>
        <w:t xml:space="preserve">in </w:t>
      </w:r>
      <w:r w:rsidRPr="00C91EA2">
        <w:rPr>
          <w:rFonts w:ascii="Times New Roman" w:hAnsi="Times New Roman" w:cs="Times New Roman"/>
        </w:rPr>
        <w:t>the telecommunications sector regulations are not yet set in a way that allows for entry and access on equal footing by all players, or for the pro-competition use of scarce resources like spectrum. Second, firms can engage in anticompetitive behavior, for example by colluding with one another or abusing their dominant positions. An effective competition policy and law typically tackle such conduct; however, there is limited implementation of the Senegalese competition legislation to tackle most harmful anticompetitive behavior, as the last chapter of this report will show.</w:t>
      </w:r>
    </w:p>
    <w:p w14:paraId="7BBD9D78" w14:textId="7B039EF1" w:rsidR="009547FF" w:rsidRPr="00C91EA2" w:rsidRDefault="009547FF" w:rsidP="009F5222">
      <w:pPr>
        <w:rPr>
          <w:rFonts w:ascii="Times New Roman" w:hAnsi="Times New Roman" w:cs="Times New Roman"/>
          <w:b/>
          <w:sz w:val="20"/>
        </w:rPr>
      </w:pPr>
    </w:p>
    <w:p w14:paraId="3FB495F7" w14:textId="224267F8" w:rsidR="009547FF" w:rsidRPr="009547FF" w:rsidRDefault="009547FF" w:rsidP="007575D7">
      <w:pPr>
        <w:pStyle w:val="Caption"/>
        <w:keepNext/>
      </w:pPr>
      <w:bookmarkStart w:id="64" w:name="_Toc520725792"/>
      <w:r w:rsidRPr="007575D7">
        <w:rPr>
          <w:rFonts w:ascii="Times New Roman" w:hAnsi="Times New Roman"/>
        </w:rPr>
        <w:t xml:space="preserve">Box </w:t>
      </w:r>
      <w:r w:rsidRPr="007575D7">
        <w:rPr>
          <w:rFonts w:ascii="Times New Roman" w:hAnsi="Times New Roman"/>
        </w:rPr>
        <w:fldChar w:fldCharType="begin"/>
      </w:r>
      <w:r w:rsidRPr="007575D7">
        <w:rPr>
          <w:rFonts w:ascii="Times New Roman" w:hAnsi="Times New Roman"/>
        </w:rPr>
        <w:instrText xml:space="preserve"> SEQ Box \* ARABIC </w:instrText>
      </w:r>
      <w:r w:rsidRPr="007575D7">
        <w:rPr>
          <w:rFonts w:ascii="Times New Roman" w:hAnsi="Times New Roman"/>
        </w:rPr>
        <w:fldChar w:fldCharType="separate"/>
      </w:r>
      <w:r w:rsidR="008261B2">
        <w:rPr>
          <w:rFonts w:ascii="Times New Roman" w:hAnsi="Times New Roman"/>
          <w:noProof/>
        </w:rPr>
        <w:t>4</w:t>
      </w:r>
      <w:r w:rsidRPr="007575D7">
        <w:rPr>
          <w:rFonts w:ascii="Times New Roman" w:hAnsi="Times New Roman"/>
        </w:rPr>
        <w:fldChar w:fldCharType="end"/>
      </w:r>
      <w:r w:rsidRPr="007575D7">
        <w:rPr>
          <w:rFonts w:ascii="Times New Roman" w:hAnsi="Times New Roman"/>
        </w:rPr>
        <w:t xml:space="preserve">: </w:t>
      </w:r>
      <w:r w:rsidRPr="009547FF">
        <w:rPr>
          <w:rFonts w:ascii="Times New Roman" w:hAnsi="Times New Roman"/>
        </w:rPr>
        <w:t>The World Bank Market and Competition Policy Assessment Tool (MCPAT)</w:t>
      </w:r>
      <w:bookmarkEnd w:id="64"/>
    </w:p>
    <w:tbl>
      <w:tblPr>
        <w:tblStyle w:val="TableGrid"/>
        <w:tblW w:w="5000" w:type="pct"/>
        <w:shd w:val="clear" w:color="auto" w:fill="F2F2F2" w:themeFill="background1" w:themeFillShade="F2"/>
        <w:tblLook w:val="04A0" w:firstRow="1" w:lastRow="0" w:firstColumn="1" w:lastColumn="0" w:noHBand="0" w:noVBand="1"/>
      </w:tblPr>
      <w:tblGrid>
        <w:gridCol w:w="8630"/>
      </w:tblGrid>
      <w:tr w:rsidR="0043271C" w:rsidRPr="00C91EA2" w14:paraId="09D454D9" w14:textId="77777777" w:rsidTr="002723B0">
        <w:trPr>
          <w:trHeight w:val="5972"/>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94C926" w14:textId="6EB2B0E2"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 xml:space="preserve">The MCPAT is a methodological instrument of analysis developed by the WBG </w:t>
            </w:r>
            <w:r w:rsidR="00310FBE">
              <w:rPr>
                <w:rFonts w:ascii="Times New Roman" w:hAnsi="Times New Roman" w:cs="Times New Roman"/>
                <w:sz w:val="20"/>
              </w:rPr>
              <w:t xml:space="preserve">Markets and </w:t>
            </w:r>
            <w:r w:rsidRPr="00C91EA2">
              <w:rPr>
                <w:rFonts w:ascii="Times New Roman" w:hAnsi="Times New Roman" w:cs="Times New Roman"/>
                <w:sz w:val="20"/>
              </w:rPr>
              <w:t xml:space="preserve">Competition Policy </w:t>
            </w:r>
            <w:r w:rsidR="00310FBE">
              <w:rPr>
                <w:rFonts w:ascii="Times New Roman" w:hAnsi="Times New Roman" w:cs="Times New Roman"/>
                <w:sz w:val="20"/>
              </w:rPr>
              <w:t>team</w:t>
            </w:r>
            <w:r w:rsidR="00310FBE" w:rsidRPr="00C91EA2">
              <w:rPr>
                <w:rFonts w:ascii="Times New Roman" w:hAnsi="Times New Roman" w:cs="Times New Roman"/>
                <w:sz w:val="20"/>
              </w:rPr>
              <w:t xml:space="preserve"> </w:t>
            </w:r>
            <w:r w:rsidRPr="00C91EA2">
              <w:rPr>
                <w:rFonts w:ascii="Times New Roman" w:hAnsi="Times New Roman" w:cs="Times New Roman"/>
                <w:sz w:val="20"/>
              </w:rPr>
              <w:t xml:space="preserve">to identify specific problems at the market level and prioritize competition tools accordingly—markets to be prioritized as well as the tools vary by country – and in some cases, complement each other. Having a practical nature and a focus on implementation, this methodology has been developed based primarily on the experience of the WBG </w:t>
            </w:r>
            <w:r w:rsidR="00310FBE">
              <w:rPr>
                <w:rFonts w:ascii="Times New Roman" w:hAnsi="Times New Roman" w:cs="Times New Roman"/>
                <w:sz w:val="20"/>
              </w:rPr>
              <w:t xml:space="preserve">Markets and </w:t>
            </w:r>
            <w:r w:rsidRPr="00C91EA2">
              <w:rPr>
                <w:rFonts w:ascii="Times New Roman" w:hAnsi="Times New Roman" w:cs="Times New Roman"/>
                <w:sz w:val="20"/>
              </w:rPr>
              <w:t xml:space="preserve">Competition Policy </w:t>
            </w:r>
            <w:r w:rsidR="000014A1">
              <w:rPr>
                <w:rFonts w:ascii="Times New Roman" w:hAnsi="Times New Roman" w:cs="Times New Roman"/>
                <w:sz w:val="20"/>
              </w:rPr>
              <w:t>T</w:t>
            </w:r>
            <w:r w:rsidR="00310FBE">
              <w:rPr>
                <w:rFonts w:ascii="Times New Roman" w:hAnsi="Times New Roman" w:cs="Times New Roman"/>
                <w:sz w:val="20"/>
              </w:rPr>
              <w:t>eam</w:t>
            </w:r>
            <w:r w:rsidR="00310FBE" w:rsidRPr="00C91EA2">
              <w:rPr>
                <w:rFonts w:ascii="Times New Roman" w:hAnsi="Times New Roman" w:cs="Times New Roman"/>
                <w:sz w:val="20"/>
              </w:rPr>
              <w:t xml:space="preserve"> </w:t>
            </w:r>
            <w:r w:rsidRPr="00C91EA2">
              <w:rPr>
                <w:rFonts w:ascii="Times New Roman" w:hAnsi="Times New Roman" w:cs="Times New Roman"/>
                <w:sz w:val="20"/>
              </w:rPr>
              <w:t xml:space="preserve">implementing pro-competitive reforms in more than 45 developing countries. Therefore, The MCPAT provides a standardized and comprehensive tool with which to understand i) competition dynamics created by market feature (including supply-side characteristics and buyer characteristics) and ii) identify and assess the potential anticompetitive effects of </w:t>
            </w:r>
            <w:r w:rsidR="003B24ED">
              <w:rPr>
                <w:rFonts w:ascii="Times New Roman" w:hAnsi="Times New Roman" w:cs="Times New Roman"/>
                <w:sz w:val="20"/>
              </w:rPr>
              <w:t>Government</w:t>
            </w:r>
            <w:r w:rsidRPr="00C91EA2">
              <w:rPr>
                <w:rFonts w:ascii="Times New Roman" w:hAnsi="Times New Roman" w:cs="Times New Roman"/>
                <w:sz w:val="20"/>
              </w:rPr>
              <w:t xml:space="preserve"> intervention in markets. The interaction between these two elements can then be analyzed to determine the risk of anticompetitive behavior, both in terms of collusion and exclusionary abuse of dominance. </w:t>
            </w:r>
          </w:p>
          <w:p w14:paraId="37F5773E" w14:textId="77777777" w:rsidR="0043271C" w:rsidRPr="00C91EA2" w:rsidRDefault="0043271C">
            <w:pPr>
              <w:jc w:val="both"/>
              <w:rPr>
                <w:rFonts w:ascii="Times New Roman" w:hAnsi="Times New Roman" w:cs="Times New Roman"/>
                <w:sz w:val="20"/>
              </w:rPr>
            </w:pPr>
          </w:p>
          <w:p w14:paraId="5EEC6774"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This assessment can then inform the development and prioritization of effective strategies to promote competition through changes in policies, regulations, and rules.</w:t>
            </w:r>
          </w:p>
          <w:p w14:paraId="2E49B67E" w14:textId="77777777" w:rsidR="0043271C" w:rsidRPr="00C91EA2" w:rsidRDefault="0043271C">
            <w:pPr>
              <w:rPr>
                <w:rFonts w:ascii="Times New Roman" w:hAnsi="Times New Roman" w:cs="Times New Roman"/>
                <w:sz w:val="20"/>
              </w:rPr>
            </w:pPr>
          </w:p>
          <w:p w14:paraId="5CEAC215" w14:textId="573B2CD4" w:rsidR="0043271C" w:rsidRPr="00C91EA2" w:rsidRDefault="0043271C">
            <w:pPr>
              <w:pStyle w:val="Caption"/>
              <w:jc w:val="center"/>
              <w:rPr>
                <w:rFonts w:ascii="Times New Roman" w:hAnsi="Times New Roman"/>
              </w:rPr>
            </w:pPr>
            <w:bookmarkStart w:id="65" w:name="_Ref520387506"/>
            <w:bookmarkStart w:id="66" w:name="_Toc486875670"/>
            <w:bookmarkStart w:id="67" w:name="_Toc497763530"/>
            <w:bookmarkStart w:id="68" w:name="_Toc520725569"/>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13</w:t>
            </w:r>
            <w:r w:rsidR="00D91B27">
              <w:rPr>
                <w:rFonts w:ascii="Times New Roman" w:hAnsi="Times New Roman"/>
              </w:rPr>
              <w:fldChar w:fldCharType="end"/>
            </w:r>
            <w:bookmarkEnd w:id="65"/>
            <w:r w:rsidRPr="00C91EA2">
              <w:rPr>
                <w:rFonts w:ascii="Times New Roman" w:hAnsi="Times New Roman"/>
              </w:rPr>
              <w:t>: High level overview of the MCPAT approach</w:t>
            </w:r>
            <w:bookmarkEnd w:id="66"/>
            <w:bookmarkEnd w:id="67"/>
            <w:bookmarkEnd w:id="68"/>
          </w:p>
          <w:p w14:paraId="35249651" w14:textId="77777777" w:rsidR="0043271C" w:rsidRPr="00C91EA2" w:rsidRDefault="0043271C">
            <w:pPr>
              <w:jc w:val="center"/>
              <w:rPr>
                <w:rFonts w:ascii="Times New Roman" w:hAnsi="Times New Roman" w:cs="Times New Roman"/>
                <w:sz w:val="20"/>
              </w:rPr>
            </w:pPr>
            <w:r w:rsidRPr="00C91EA2">
              <w:rPr>
                <w:rFonts w:ascii="Times New Roman" w:hAnsi="Times New Roman" w:cs="Times New Roman"/>
                <w:noProof/>
              </w:rPr>
              <w:drawing>
                <wp:inline distT="0" distB="0" distL="0" distR="0" wp14:anchorId="79B965D5" wp14:editId="58848640">
                  <wp:extent cx="4667250" cy="31146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114675"/>
                          </a:xfrm>
                          <a:prstGeom prst="rect">
                            <a:avLst/>
                          </a:prstGeom>
                          <a:noFill/>
                          <a:ln>
                            <a:noFill/>
                          </a:ln>
                        </pic:spPr>
                      </pic:pic>
                    </a:graphicData>
                  </a:graphic>
                </wp:inline>
              </w:drawing>
            </w:r>
          </w:p>
          <w:p w14:paraId="57A77079" w14:textId="77777777" w:rsidR="0043271C" w:rsidRPr="00C91EA2" w:rsidRDefault="0043271C">
            <w:pPr>
              <w:jc w:val="center"/>
              <w:rPr>
                <w:rFonts w:ascii="Times New Roman" w:hAnsi="Times New Roman" w:cs="Times New Roman"/>
                <w:sz w:val="20"/>
              </w:rPr>
            </w:pPr>
          </w:p>
          <w:p w14:paraId="4D92C3FF" w14:textId="165E7958"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As described in</w:t>
            </w:r>
            <w:r w:rsidR="000014A1">
              <w:rPr>
                <w:rFonts w:ascii="Times New Roman" w:hAnsi="Times New Roman" w:cs="Times New Roman"/>
                <w:sz w:val="20"/>
                <w:szCs w:val="20"/>
              </w:rPr>
              <w:t xml:space="preserve"> </w:t>
            </w:r>
            <w:r w:rsidR="000014A1" w:rsidRPr="000014A1">
              <w:rPr>
                <w:rFonts w:ascii="Times New Roman" w:hAnsi="Times New Roman" w:cs="Times New Roman"/>
                <w:sz w:val="20"/>
                <w:szCs w:val="20"/>
              </w:rPr>
              <w:fldChar w:fldCharType="begin"/>
            </w:r>
            <w:r w:rsidR="000014A1" w:rsidRPr="000014A1">
              <w:rPr>
                <w:rFonts w:ascii="Times New Roman" w:hAnsi="Times New Roman" w:cs="Times New Roman"/>
                <w:sz w:val="20"/>
                <w:szCs w:val="20"/>
              </w:rPr>
              <w:instrText xml:space="preserve"> REF _Ref520387542 \h </w:instrText>
            </w:r>
            <w:r w:rsidR="000014A1">
              <w:rPr>
                <w:rFonts w:ascii="Times New Roman" w:hAnsi="Times New Roman" w:cs="Times New Roman"/>
                <w:sz w:val="20"/>
                <w:szCs w:val="20"/>
              </w:rPr>
              <w:instrText xml:space="preserve"> \* MERGEFORMAT </w:instrText>
            </w:r>
            <w:r w:rsidR="000014A1" w:rsidRPr="000014A1">
              <w:rPr>
                <w:rFonts w:ascii="Times New Roman" w:hAnsi="Times New Roman" w:cs="Times New Roman"/>
                <w:sz w:val="20"/>
                <w:szCs w:val="20"/>
              </w:rPr>
            </w:r>
            <w:r w:rsidR="000014A1" w:rsidRPr="000014A1">
              <w:rPr>
                <w:rFonts w:ascii="Times New Roman" w:hAnsi="Times New Roman" w:cs="Times New Roman"/>
                <w:sz w:val="20"/>
                <w:szCs w:val="20"/>
              </w:rPr>
              <w:fldChar w:fldCharType="separate"/>
            </w:r>
            <w:r w:rsidR="008261B2" w:rsidRPr="008261B2">
              <w:rPr>
                <w:rFonts w:ascii="Times New Roman" w:hAnsi="Times New Roman"/>
                <w:sz w:val="20"/>
                <w:szCs w:val="20"/>
              </w:rPr>
              <w:t xml:space="preserve">Figure </w:t>
            </w:r>
            <w:r w:rsidR="008261B2" w:rsidRPr="008261B2">
              <w:rPr>
                <w:rFonts w:ascii="Times New Roman" w:hAnsi="Times New Roman"/>
                <w:noProof/>
                <w:sz w:val="20"/>
                <w:szCs w:val="20"/>
              </w:rPr>
              <w:t>14</w:t>
            </w:r>
            <w:r w:rsidR="000014A1" w:rsidRPr="000014A1">
              <w:rPr>
                <w:rFonts w:ascii="Times New Roman" w:hAnsi="Times New Roman" w:cs="Times New Roman"/>
                <w:sz w:val="20"/>
                <w:szCs w:val="20"/>
              </w:rPr>
              <w:fldChar w:fldCharType="end"/>
            </w:r>
            <w:r w:rsidR="000014A1">
              <w:rPr>
                <w:rFonts w:ascii="Times New Roman" w:hAnsi="Times New Roman" w:cs="Times New Roman"/>
                <w:sz w:val="20"/>
              </w:rPr>
              <w:t>,</w:t>
            </w:r>
            <w:r w:rsidRPr="00C91EA2">
              <w:rPr>
                <w:rFonts w:ascii="Times New Roman" w:hAnsi="Times New Roman" w:cs="Times New Roman"/>
                <w:sz w:val="20"/>
              </w:rPr>
              <w:t xml:space="preserve"> the MCPAT builds on the identification of those rules and regulations that may have anticompetitive effects </w:t>
            </w:r>
            <w:proofErr w:type="gramStart"/>
            <w:r w:rsidRPr="00C91EA2">
              <w:rPr>
                <w:rFonts w:ascii="Times New Roman" w:hAnsi="Times New Roman" w:cs="Times New Roman"/>
                <w:sz w:val="20"/>
              </w:rPr>
              <w:t>on the basis of</w:t>
            </w:r>
            <w:proofErr w:type="gramEnd"/>
            <w:r w:rsidRPr="00C91EA2">
              <w:rPr>
                <w:rFonts w:ascii="Times New Roman" w:hAnsi="Times New Roman" w:cs="Times New Roman"/>
                <w:sz w:val="20"/>
              </w:rPr>
              <w:t xml:space="preserve"> the following typology: </w:t>
            </w:r>
          </w:p>
          <w:p w14:paraId="1275F903"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 xml:space="preserve">(1) Rules that reinforce dominance or limit entry; </w:t>
            </w:r>
          </w:p>
          <w:p w14:paraId="52DEA6BB"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 xml:space="preserve">(2) Rules that are conducive to collusive outcomes or increase costs to compete in the market; </w:t>
            </w:r>
          </w:p>
          <w:p w14:paraId="42AF2814"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 xml:space="preserve">(3) Rules that discriminate and protect vested interests. </w:t>
            </w:r>
          </w:p>
          <w:p w14:paraId="54A1606E" w14:textId="1712C7FC" w:rsidR="0043271C" w:rsidRDefault="0043271C">
            <w:pPr>
              <w:jc w:val="both"/>
              <w:rPr>
                <w:rFonts w:ascii="Times New Roman" w:hAnsi="Times New Roman" w:cs="Times New Roman"/>
                <w:sz w:val="20"/>
              </w:rPr>
            </w:pPr>
            <w:r w:rsidRPr="00C91EA2">
              <w:rPr>
                <w:rFonts w:ascii="Times New Roman" w:hAnsi="Times New Roman" w:cs="Times New Roman"/>
                <w:sz w:val="20"/>
              </w:rPr>
              <w:t>Within each of these categories, specific sub-typologies of rules have been identified and illustrated with specific examples. This typology feeds into a holistic step-by-step methodology to promote competition reforms.</w:t>
            </w:r>
          </w:p>
          <w:p w14:paraId="468EC312" w14:textId="5709C875" w:rsidR="00960DD3" w:rsidRDefault="00960DD3">
            <w:pPr>
              <w:jc w:val="both"/>
              <w:rPr>
                <w:rFonts w:ascii="Times New Roman" w:hAnsi="Times New Roman" w:cs="Times New Roman"/>
                <w:sz w:val="20"/>
              </w:rPr>
            </w:pPr>
          </w:p>
          <w:p w14:paraId="2D5C0E77" w14:textId="683FEA2E" w:rsidR="00960DD3" w:rsidRDefault="00960DD3">
            <w:pPr>
              <w:jc w:val="both"/>
              <w:rPr>
                <w:rFonts w:ascii="Times New Roman" w:hAnsi="Times New Roman" w:cs="Times New Roman"/>
                <w:sz w:val="20"/>
              </w:rPr>
            </w:pPr>
          </w:p>
          <w:p w14:paraId="7707E2A4" w14:textId="228024DE" w:rsidR="00960DD3" w:rsidRDefault="00960DD3">
            <w:pPr>
              <w:jc w:val="both"/>
              <w:rPr>
                <w:rFonts w:ascii="Times New Roman" w:hAnsi="Times New Roman" w:cs="Times New Roman"/>
                <w:sz w:val="20"/>
              </w:rPr>
            </w:pPr>
          </w:p>
          <w:p w14:paraId="2913126B" w14:textId="77777777" w:rsidR="00960DD3" w:rsidRPr="00C91EA2" w:rsidRDefault="00960DD3">
            <w:pPr>
              <w:jc w:val="both"/>
              <w:rPr>
                <w:rFonts w:ascii="Times New Roman" w:hAnsi="Times New Roman" w:cs="Times New Roman"/>
                <w:sz w:val="20"/>
              </w:rPr>
            </w:pPr>
          </w:p>
          <w:p w14:paraId="4DFD3BA5" w14:textId="77777777" w:rsidR="0043271C" w:rsidRPr="00C91EA2" w:rsidRDefault="0043271C">
            <w:pPr>
              <w:rPr>
                <w:rFonts w:ascii="Times New Roman" w:hAnsi="Times New Roman" w:cs="Times New Roman"/>
                <w:sz w:val="20"/>
              </w:rPr>
            </w:pPr>
          </w:p>
          <w:p w14:paraId="06E60110" w14:textId="6D27F09F" w:rsidR="0043271C" w:rsidRDefault="0043271C">
            <w:pPr>
              <w:pStyle w:val="Caption"/>
              <w:rPr>
                <w:rFonts w:ascii="Times New Roman" w:hAnsi="Times New Roman"/>
              </w:rPr>
            </w:pPr>
            <w:bookmarkStart w:id="69" w:name="_Ref520387542"/>
            <w:bookmarkStart w:id="70" w:name="_Toc486875671"/>
            <w:bookmarkStart w:id="71" w:name="_Toc497763531"/>
            <w:bookmarkStart w:id="72" w:name="_Toc520725570"/>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14</w:t>
            </w:r>
            <w:r w:rsidR="00D91B27">
              <w:rPr>
                <w:rFonts w:ascii="Times New Roman" w:hAnsi="Times New Roman"/>
              </w:rPr>
              <w:fldChar w:fldCharType="end"/>
            </w:r>
            <w:bookmarkEnd w:id="69"/>
            <w:r w:rsidRPr="00C91EA2">
              <w:rPr>
                <w:rFonts w:ascii="Times New Roman" w:hAnsi="Times New Roman"/>
              </w:rPr>
              <w:t>: MCPAT Typology of competition restrictions</w:t>
            </w:r>
            <w:bookmarkEnd w:id="70"/>
            <w:bookmarkEnd w:id="71"/>
            <w:bookmarkEnd w:id="72"/>
          </w:p>
          <w:p w14:paraId="40C3674E" w14:textId="77777777" w:rsidR="00161E4C" w:rsidRDefault="002723B0" w:rsidP="00C538DB">
            <w:r>
              <w:rPr>
                <w:noProof/>
              </w:rPr>
              <w:drawing>
                <wp:inline distT="0" distB="0" distL="0" distR="0" wp14:anchorId="6F1F386A" wp14:editId="1BC41B51">
                  <wp:extent cx="5257800" cy="3505200"/>
                  <wp:effectExtent l="0" t="0" r="0" b="0"/>
                  <wp:docPr id="17" name="Picture 17" descr="../Mauritania/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ritania/image0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816" cy="3507877"/>
                          </a:xfrm>
                          <a:prstGeom prst="rect">
                            <a:avLst/>
                          </a:prstGeom>
                          <a:noFill/>
                          <a:ln>
                            <a:noFill/>
                          </a:ln>
                        </pic:spPr>
                      </pic:pic>
                    </a:graphicData>
                  </a:graphic>
                </wp:inline>
              </w:drawing>
            </w:r>
          </w:p>
          <w:p w14:paraId="235EE06C" w14:textId="77777777" w:rsidR="0043271C" w:rsidRPr="00C91EA2" w:rsidRDefault="0043271C">
            <w:pPr>
              <w:rPr>
                <w:rFonts w:ascii="Times New Roman" w:hAnsi="Times New Roman" w:cs="Times New Roman"/>
                <w:sz w:val="20"/>
              </w:rPr>
            </w:pPr>
            <w:r w:rsidRPr="00C91EA2">
              <w:rPr>
                <w:rFonts w:ascii="Times New Roman" w:hAnsi="Times New Roman" w:cs="Times New Roman"/>
                <w:i/>
                <w:sz w:val="20"/>
              </w:rPr>
              <w:t xml:space="preserve">Source: </w:t>
            </w:r>
            <w:r w:rsidRPr="00D55B7D">
              <w:rPr>
                <w:rFonts w:ascii="Times New Roman" w:hAnsi="Times New Roman" w:cs="Times New Roman"/>
                <w:i/>
                <w:sz w:val="20"/>
              </w:rPr>
              <w:t>World Bank Group’s Market and Competition Policy Assessment Toolkit</w:t>
            </w:r>
            <w:r w:rsidRPr="00C91EA2">
              <w:rPr>
                <w:rFonts w:ascii="Times New Roman" w:hAnsi="Times New Roman" w:cs="Times New Roman"/>
                <w:sz w:val="20"/>
              </w:rPr>
              <w:t xml:space="preserve"> </w:t>
            </w:r>
          </w:p>
        </w:tc>
      </w:tr>
    </w:tbl>
    <w:p w14:paraId="31C7B27E" w14:textId="77777777" w:rsidR="0043271C" w:rsidRPr="00C91EA2" w:rsidRDefault="0043271C" w:rsidP="0043271C">
      <w:pPr>
        <w:jc w:val="both"/>
        <w:rPr>
          <w:rFonts w:ascii="Times New Roman" w:hAnsi="Times New Roman" w:cs="Times New Roman"/>
        </w:rPr>
      </w:pPr>
    </w:p>
    <w:p w14:paraId="55176550" w14:textId="1F2BAA04"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Pro-competition regulations and competition policy play a central role in enhancing the business environment and </w:t>
      </w:r>
      <w:r w:rsidR="00FC5BD8">
        <w:rPr>
          <w:rFonts w:ascii="Times New Roman" w:hAnsi="Times New Roman" w:cs="Times New Roman"/>
          <w:b/>
        </w:rPr>
        <w:t xml:space="preserve">ensuring </w:t>
      </w:r>
      <w:r w:rsidRPr="00C91EA2">
        <w:rPr>
          <w:rFonts w:ascii="Times New Roman" w:hAnsi="Times New Roman" w:cs="Times New Roman"/>
          <w:b/>
        </w:rPr>
        <w:t>the effective functioning of markets.</w:t>
      </w:r>
      <w:r w:rsidRPr="00C91EA2">
        <w:rPr>
          <w:rFonts w:ascii="Times New Roman" w:hAnsi="Times New Roman" w:cs="Times New Roman"/>
        </w:rPr>
        <w:t xml:space="preserve"> However, competition-perception indicators suggest that lack of market competition and inefficient anti-monopoly policy are obstacles to increased competitiveness and well-functioning markets. The World Economic Forum’s (WEF)</w:t>
      </w:r>
      <w:r w:rsidR="00340E84">
        <w:rPr>
          <w:rFonts w:ascii="Times New Roman" w:hAnsi="Times New Roman" w:cs="Times New Roman"/>
        </w:rPr>
        <w:t xml:space="preserve"> Global Competitiveness Report</w:t>
      </w:r>
      <w:r w:rsidRPr="00C91EA2">
        <w:rPr>
          <w:rFonts w:ascii="Times New Roman" w:hAnsi="Times New Roman" w:cs="Times New Roman"/>
        </w:rPr>
        <w:t xml:space="preserve"> </w:t>
      </w:r>
      <w:r w:rsidR="000014A1">
        <w:rPr>
          <w:rFonts w:ascii="Times New Roman" w:hAnsi="Times New Roman" w:cs="Times New Roman"/>
        </w:rPr>
        <w:t xml:space="preserve">(GCR) </w:t>
      </w:r>
      <w:r w:rsidRPr="00C91EA2">
        <w:rPr>
          <w:rFonts w:ascii="Times New Roman" w:hAnsi="Times New Roman" w:cs="Times New Roman"/>
        </w:rPr>
        <w:t>2017/18, a perception-based survey</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71"/>
      </w:r>
      <w:r w:rsidRPr="00C91EA2">
        <w:rPr>
          <w:rFonts w:ascii="Times New Roman" w:hAnsi="Times New Roman" w:cs="Times New Roman"/>
        </w:rPr>
        <w:t xml:space="preserve"> indicates that the effectiveness of anti-monopoly policy in Senegal is perceived to be low, receiving a score 3.5 out of 7 in the WEF’s </w:t>
      </w:r>
      <w:r w:rsidR="00D26186">
        <w:rPr>
          <w:rFonts w:ascii="Times New Roman" w:hAnsi="Times New Roman" w:cs="Times New Roman"/>
        </w:rPr>
        <w:t>Global Competitiveness Index (</w:t>
      </w:r>
      <w:r w:rsidRPr="00C91EA2">
        <w:rPr>
          <w:rFonts w:ascii="Times New Roman" w:hAnsi="Times New Roman" w:cs="Times New Roman"/>
        </w:rPr>
        <w:t>GCI</w:t>
      </w:r>
      <w:r w:rsidR="00D26186">
        <w:rPr>
          <w:rFonts w:ascii="Times New Roman" w:hAnsi="Times New Roman" w:cs="Times New Roman"/>
        </w:rPr>
        <w:t>)</w:t>
      </w:r>
      <w:r w:rsidRPr="00C91EA2">
        <w:rPr>
          <w:rFonts w:ascii="Times New Roman" w:hAnsi="Times New Roman" w:cs="Times New Roman"/>
        </w:rPr>
        <w:t>, which puts the country on par with regional neighbors Mali and Ghana, but behind The Gambia, which receives a score of 4.4. Senegal’s perceived effectiveness of the anti-monopoly policy enforcement has declined over recent years from rank 70 in 2010/11 to rank 81 last year and now places Senegal on the 77</w:t>
      </w:r>
      <w:r w:rsidRPr="00C91EA2">
        <w:rPr>
          <w:rFonts w:ascii="Times New Roman" w:hAnsi="Times New Roman" w:cs="Times New Roman"/>
          <w:vertAlign w:val="superscript"/>
        </w:rPr>
        <w:t>th</w:t>
      </w:r>
      <w:r w:rsidRPr="00C91EA2">
        <w:rPr>
          <w:rFonts w:ascii="Times New Roman" w:hAnsi="Times New Roman" w:cs="Times New Roman"/>
        </w:rPr>
        <w:t xml:space="preserve"> rank out of 137 economies.</w:t>
      </w:r>
      <w:r w:rsidRPr="00C91EA2">
        <w:rPr>
          <w:rStyle w:val="FootnoteReference"/>
          <w:rFonts w:ascii="Times New Roman" w:hAnsi="Times New Roman" w:cs="Times New Roman"/>
        </w:rPr>
        <w:footnoteReference w:id="72"/>
      </w:r>
      <w:r w:rsidRPr="00C91EA2">
        <w:rPr>
          <w:rFonts w:ascii="Times New Roman" w:hAnsi="Times New Roman" w:cs="Times New Roman"/>
        </w:rPr>
        <w:t xml:space="preserve"> Similarly, in the Bertelsmann Foundation’s transformation index</w:t>
      </w:r>
      <w:r w:rsidR="000F4ED1">
        <w:rPr>
          <w:rFonts w:ascii="Times New Roman" w:hAnsi="Times New Roman" w:cs="Times New Roman"/>
        </w:rPr>
        <w:t>,</w:t>
      </w:r>
      <w:r w:rsidRPr="00C91EA2">
        <w:rPr>
          <w:rFonts w:ascii="Times New Roman" w:hAnsi="Times New Roman" w:cs="Times New Roman"/>
        </w:rPr>
        <w:t xml:space="preserve"> Senegal receives a score of 5.5 out of 10 (with 10 being the best) for “market organization</w:t>
      </w:r>
      <w:r w:rsidR="00DA3AFA">
        <w:rPr>
          <w:rFonts w:ascii="Times New Roman" w:hAnsi="Times New Roman" w:cs="Times New Roman"/>
        </w:rPr>
        <w:t>.</w:t>
      </w:r>
      <w:r w:rsidRPr="00C91EA2">
        <w:rPr>
          <w:rFonts w:ascii="Times New Roman" w:hAnsi="Times New Roman" w:cs="Times New Roman"/>
        </w:rPr>
        <w:t>” The measure is an assessment of market</w:t>
      </w:r>
      <w:r w:rsidR="007575D7">
        <w:rPr>
          <w:rFonts w:ascii="Times New Roman" w:hAnsi="Times New Roman" w:cs="Times New Roman"/>
        </w:rPr>
        <w:t>-</w:t>
      </w:r>
      <w:r w:rsidRPr="00C91EA2">
        <w:rPr>
          <w:rFonts w:ascii="Times New Roman" w:hAnsi="Times New Roman" w:cs="Times New Roman"/>
        </w:rPr>
        <w:t xml:space="preserve">based competition and anti-monopoly policy </w:t>
      </w:r>
      <w:r w:rsidR="000A77C8">
        <w:rPr>
          <w:rFonts w:ascii="Times New Roman" w:hAnsi="Times New Roman" w:cs="Times New Roman"/>
        </w:rPr>
        <w:t>(among other factors)</w:t>
      </w:r>
      <w:r w:rsidRPr="00C91EA2">
        <w:rPr>
          <w:rFonts w:ascii="Times New Roman" w:hAnsi="Times New Roman" w:cs="Times New Roman"/>
        </w:rPr>
        <w:t xml:space="preserve">, in which Senegal receives 4 and 6 points respectively, indicating a </w:t>
      </w:r>
      <w:r w:rsidR="008167DD">
        <w:rPr>
          <w:rFonts w:ascii="Times New Roman" w:hAnsi="Times New Roman" w:cs="Times New Roman"/>
        </w:rPr>
        <w:t>perceived</w:t>
      </w:r>
      <w:r w:rsidRPr="00C91EA2">
        <w:rPr>
          <w:rFonts w:ascii="Times New Roman" w:hAnsi="Times New Roman" w:cs="Times New Roman"/>
        </w:rPr>
        <w:t xml:space="preserve"> lack of competition and of effectiveness of the current competition policy and law.</w:t>
      </w:r>
      <w:r w:rsidRPr="00C91EA2">
        <w:rPr>
          <w:rStyle w:val="FootnoteReference"/>
          <w:rFonts w:ascii="Times New Roman" w:hAnsi="Times New Roman" w:cs="Times New Roman"/>
        </w:rPr>
        <w:footnoteReference w:id="73"/>
      </w:r>
      <w:r w:rsidRPr="00C91EA2">
        <w:rPr>
          <w:rFonts w:ascii="Times New Roman" w:hAnsi="Times New Roman" w:cs="Times New Roman"/>
        </w:rPr>
        <w:t xml:space="preserve"> </w:t>
      </w:r>
    </w:p>
    <w:p w14:paraId="7D968A39" w14:textId="77777777" w:rsidR="0043271C" w:rsidRPr="00C91EA2" w:rsidRDefault="0043271C" w:rsidP="0043271C">
      <w:pPr>
        <w:pStyle w:val="Heading1"/>
        <w:spacing w:before="360" w:after="240" w:line="256" w:lineRule="auto"/>
        <w:rPr>
          <w:rFonts w:ascii="Times New Roman" w:hAnsi="Times New Roman" w:cs="Times New Roman"/>
        </w:rPr>
      </w:pPr>
      <w:bookmarkStart w:id="73" w:name="_Toc497990821"/>
      <w:bookmarkStart w:id="74" w:name="_Toc480755540"/>
      <w:bookmarkStart w:id="75" w:name="_Toc427766851"/>
      <w:bookmarkStart w:id="76" w:name="_Toc520724102"/>
      <w:r w:rsidRPr="00C91EA2">
        <w:rPr>
          <w:rFonts w:ascii="Times New Roman" w:hAnsi="Times New Roman" w:cs="Times New Roman"/>
        </w:rPr>
        <w:t xml:space="preserve">3. Regulatory </w:t>
      </w:r>
      <w:r w:rsidR="009F5222">
        <w:rPr>
          <w:rFonts w:ascii="Times New Roman" w:hAnsi="Times New Roman" w:cs="Times New Roman"/>
        </w:rPr>
        <w:t>O</w:t>
      </w:r>
      <w:r w:rsidRPr="00C91EA2">
        <w:rPr>
          <w:rFonts w:ascii="Times New Roman" w:hAnsi="Times New Roman" w:cs="Times New Roman"/>
        </w:rPr>
        <w:t xml:space="preserve">bstacles to </w:t>
      </w:r>
      <w:r w:rsidR="009F5222">
        <w:rPr>
          <w:rFonts w:ascii="Times New Roman" w:hAnsi="Times New Roman" w:cs="Times New Roman"/>
        </w:rPr>
        <w:t>C</w:t>
      </w:r>
      <w:r w:rsidRPr="00C91EA2">
        <w:rPr>
          <w:rFonts w:ascii="Times New Roman" w:hAnsi="Times New Roman" w:cs="Times New Roman"/>
        </w:rPr>
        <w:t xml:space="preserve">ompetition in the Senegalese </w:t>
      </w:r>
      <w:r w:rsidR="009F5222">
        <w:rPr>
          <w:rFonts w:ascii="Times New Roman" w:hAnsi="Times New Roman" w:cs="Times New Roman"/>
        </w:rPr>
        <w:t>M</w:t>
      </w:r>
      <w:r w:rsidRPr="00C91EA2">
        <w:rPr>
          <w:rFonts w:ascii="Times New Roman" w:hAnsi="Times New Roman" w:cs="Times New Roman"/>
        </w:rPr>
        <w:t>arkets</w:t>
      </w:r>
      <w:bookmarkEnd w:id="73"/>
      <w:bookmarkEnd w:id="74"/>
      <w:bookmarkEnd w:id="75"/>
      <w:bookmarkEnd w:id="76"/>
    </w:p>
    <w:p w14:paraId="13419695" w14:textId="178E48C1" w:rsidR="0043271C" w:rsidRPr="00C91EA2" w:rsidRDefault="0043271C" w:rsidP="0043271C">
      <w:pPr>
        <w:pStyle w:val="NormalNumbered"/>
        <w:numPr>
          <w:ilvl w:val="0"/>
          <w:numId w:val="125"/>
        </w:numPr>
        <w:tabs>
          <w:tab w:val="left" w:pos="0"/>
        </w:tabs>
        <w:ind w:left="0" w:firstLine="0"/>
      </w:pPr>
      <w:r w:rsidRPr="00C91EA2">
        <w:rPr>
          <w:b/>
        </w:rPr>
        <w:t xml:space="preserve">Regulations can often be justified on social or economic grounds and are important to achieve relevant policy objectives. </w:t>
      </w:r>
      <w:r w:rsidR="007E4F3B">
        <w:t>Regulations</w:t>
      </w:r>
      <w:r w:rsidRPr="00C91EA2">
        <w:t xml:space="preserve"> are usually driven by legitimate social and economic objectives</w:t>
      </w:r>
      <w:r w:rsidR="007E4F3B">
        <w:t>, and</w:t>
      </w:r>
      <w:r w:rsidRPr="00C91EA2">
        <w:t xml:space="preserve"> may be justified by equity goals, such as poverty reduction, or by economic considerations, such as efficiency. </w:t>
      </w:r>
      <w:r w:rsidR="007E4F3B">
        <w:t>Intervention</w:t>
      </w:r>
      <w:r w:rsidRPr="00C91EA2">
        <w:t xml:space="preserve"> may be </w:t>
      </w:r>
      <w:r w:rsidR="007E4F3B">
        <w:t>justified by efficiency considerations</w:t>
      </w:r>
      <w:r w:rsidR="007E4F3B" w:rsidRPr="00C91EA2">
        <w:t xml:space="preserve"> </w:t>
      </w:r>
      <w:r w:rsidRPr="00C91EA2">
        <w:t>when market forces alone cannot deliver the socially optimal outcome, for example in the case of market failures, such as natural monopolies, information asymmetries or the presence of negative externalities (</w:t>
      </w:r>
      <w:r w:rsidRPr="00C91EA2">
        <w:fldChar w:fldCharType="begin"/>
      </w:r>
      <w:r w:rsidRPr="00C91EA2">
        <w:instrText xml:space="preserve"> REF _Ref497139250 \h  \* MERGEFORMAT </w:instrText>
      </w:r>
      <w:r w:rsidRPr="00C91EA2">
        <w:fldChar w:fldCharType="separate"/>
      </w:r>
      <w:r w:rsidR="008261B2" w:rsidRPr="00C91EA2">
        <w:t xml:space="preserve">Figure </w:t>
      </w:r>
      <w:r w:rsidR="008261B2">
        <w:rPr>
          <w:noProof/>
        </w:rPr>
        <w:t>15</w:t>
      </w:r>
      <w:r w:rsidRPr="00C91EA2">
        <w:fldChar w:fldCharType="end"/>
      </w:r>
      <w:r w:rsidRPr="00C91EA2">
        <w:t>).</w:t>
      </w:r>
    </w:p>
    <w:tbl>
      <w:tblPr>
        <w:tblStyle w:val="TableGrid"/>
        <w:tblW w:w="0" w:type="auto"/>
        <w:tblLook w:val="04A0" w:firstRow="1" w:lastRow="0" w:firstColumn="1" w:lastColumn="0" w:noHBand="0" w:noVBand="1"/>
      </w:tblPr>
      <w:tblGrid>
        <w:gridCol w:w="8630"/>
      </w:tblGrid>
      <w:tr w:rsidR="0043271C" w:rsidRPr="00C91EA2" w14:paraId="21EFF145"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563A9EEE" w14:textId="3A6784FF" w:rsidR="0043271C" w:rsidRPr="00C91EA2" w:rsidRDefault="0043271C">
            <w:pPr>
              <w:pStyle w:val="Caption"/>
              <w:keepNext/>
              <w:jc w:val="both"/>
              <w:rPr>
                <w:rFonts w:ascii="Times New Roman" w:hAnsi="Times New Roman"/>
              </w:rPr>
            </w:pPr>
            <w:bookmarkStart w:id="77" w:name="_Ref497139250"/>
            <w:bookmarkStart w:id="78" w:name="_Toc497990860"/>
            <w:bookmarkStart w:id="79" w:name="_Toc520725571"/>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15</w:t>
            </w:r>
            <w:r w:rsidR="00D91B27">
              <w:rPr>
                <w:rFonts w:ascii="Times New Roman" w:hAnsi="Times New Roman"/>
              </w:rPr>
              <w:fldChar w:fldCharType="end"/>
            </w:r>
            <w:bookmarkEnd w:id="77"/>
            <w:r w:rsidRPr="00C91EA2">
              <w:rPr>
                <w:rFonts w:ascii="Times New Roman" w:hAnsi="Times New Roman"/>
              </w:rPr>
              <w:t xml:space="preserve">: Justified Ex Ante </w:t>
            </w:r>
            <w:r w:rsidR="003B24ED">
              <w:rPr>
                <w:rFonts w:ascii="Times New Roman" w:hAnsi="Times New Roman"/>
              </w:rPr>
              <w:t>Government</w:t>
            </w:r>
            <w:r w:rsidRPr="00C91EA2">
              <w:rPr>
                <w:rFonts w:ascii="Times New Roman" w:hAnsi="Times New Roman"/>
              </w:rPr>
              <w:t xml:space="preserve"> Interventions</w:t>
            </w:r>
            <w:bookmarkEnd w:id="78"/>
            <w:bookmarkEnd w:id="79"/>
          </w:p>
        </w:tc>
      </w:tr>
      <w:tr w:rsidR="0043271C" w:rsidRPr="00C91EA2" w14:paraId="7B35D429"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0D07B19F" w14:textId="77777777" w:rsidR="0043271C" w:rsidRPr="00C91EA2" w:rsidRDefault="0043271C">
            <w:pPr>
              <w:jc w:val="both"/>
              <w:rPr>
                <w:rFonts w:ascii="Times New Roman" w:hAnsi="Times New Roman" w:cs="Times New Roman"/>
              </w:rPr>
            </w:pPr>
            <w:r w:rsidRPr="00C91EA2">
              <w:rPr>
                <w:rFonts w:ascii="Times New Roman" w:hAnsi="Times New Roman" w:cs="Times New Roman"/>
                <w:noProof/>
              </w:rPr>
              <w:drawing>
                <wp:inline distT="0" distB="0" distL="0" distR="0" wp14:anchorId="4D58BFFA" wp14:editId="60C9B395">
                  <wp:extent cx="5372100" cy="3333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333750"/>
                          </a:xfrm>
                          <a:prstGeom prst="rect">
                            <a:avLst/>
                          </a:prstGeom>
                          <a:noFill/>
                          <a:ln>
                            <a:noFill/>
                          </a:ln>
                        </pic:spPr>
                      </pic:pic>
                    </a:graphicData>
                  </a:graphic>
                </wp:inline>
              </w:drawing>
            </w:r>
          </w:p>
        </w:tc>
      </w:tr>
      <w:tr w:rsidR="0043271C" w:rsidRPr="00C91EA2" w14:paraId="6D05CFF3"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5B1919F6" w14:textId="77777777" w:rsidR="0043271C" w:rsidRPr="00C91EA2" w:rsidRDefault="0043271C">
            <w:pPr>
              <w:jc w:val="both"/>
              <w:rPr>
                <w:rFonts w:ascii="Times New Roman" w:hAnsi="Times New Roman" w:cs="Times New Roman"/>
              </w:rPr>
            </w:pPr>
            <w:r w:rsidRPr="00C91EA2">
              <w:rPr>
                <w:rFonts w:ascii="Times New Roman" w:hAnsi="Times New Roman" w:cs="Times New Roman"/>
                <w:sz w:val="20"/>
              </w:rPr>
              <w:t>Source: Authors’ elaboration</w:t>
            </w:r>
          </w:p>
        </w:tc>
      </w:tr>
    </w:tbl>
    <w:p w14:paraId="13079876" w14:textId="77777777" w:rsidR="00711D1F" w:rsidRPr="00711D1F" w:rsidRDefault="00711D1F" w:rsidP="00711D1F">
      <w:pPr>
        <w:pStyle w:val="NormalNumbered"/>
        <w:tabs>
          <w:tab w:val="left" w:pos="0"/>
        </w:tabs>
      </w:pPr>
    </w:p>
    <w:p w14:paraId="2570B206" w14:textId="77777777" w:rsidR="0043271C" w:rsidRPr="00C91EA2" w:rsidRDefault="0043271C" w:rsidP="0043271C">
      <w:pPr>
        <w:pStyle w:val="NormalNumbered"/>
        <w:numPr>
          <w:ilvl w:val="0"/>
          <w:numId w:val="125"/>
        </w:numPr>
        <w:tabs>
          <w:tab w:val="left" w:pos="0"/>
        </w:tabs>
        <w:ind w:left="0" w:firstLine="0"/>
      </w:pPr>
      <w:r w:rsidRPr="00C91EA2">
        <w:rPr>
          <w:b/>
        </w:rPr>
        <w:t>However,</w:t>
      </w:r>
      <w:r w:rsidRPr="00C91EA2">
        <w:t xml:space="preserve"> </w:t>
      </w:r>
      <w:r w:rsidRPr="00C91EA2">
        <w:rPr>
          <w:b/>
        </w:rPr>
        <w:t xml:space="preserve">there are circumstances where policy interventions may have the unintended consequence of distorting competition and in turn harm welfare. </w:t>
      </w:r>
      <w:r w:rsidRPr="00C91EA2">
        <w:t xml:space="preserve">In some cases, existing regulations (or a lack of regulation) may be the result of historical processes which have not </w:t>
      </w:r>
      <w:proofErr w:type="gramStart"/>
      <w:r w:rsidRPr="00C91EA2">
        <w:t>taken into account</w:t>
      </w:r>
      <w:proofErr w:type="gramEnd"/>
      <w:r w:rsidRPr="00C91EA2">
        <w:t xml:space="preserve"> distortive effects on markets. In other circumstances, the main market participants may exercise their lobbying power to influence rule setters (a phenomenon that the literature calls </w:t>
      </w:r>
      <w:r w:rsidRPr="00C91EA2">
        <w:rPr>
          <w:i/>
        </w:rPr>
        <w:t>regulatory capture</w:t>
      </w:r>
      <w:r w:rsidRPr="00C91EA2">
        <w:t>).</w:t>
      </w:r>
      <w:r w:rsidRPr="00C91EA2">
        <w:rPr>
          <w:rStyle w:val="FootnoteReference"/>
          <w:rFonts w:eastAsiaTheme="majorEastAsia"/>
        </w:rPr>
        <w:footnoteReference w:id="74"/>
      </w:r>
      <w:r w:rsidRPr="00C91EA2">
        <w:t xml:space="preserve"> One of their goals usually is to obtain rules that reduce the degree of competitive pressure they face. However, reducing the level of competition is a very important cost that affects the private sector, consumers and the whole economy. It is thus fundamental for policy-makers to </w:t>
      </w:r>
      <w:r w:rsidR="008816A4">
        <w:t>ensure</w:t>
      </w:r>
      <w:r w:rsidR="008816A4" w:rsidRPr="00C91EA2">
        <w:t xml:space="preserve"> </w:t>
      </w:r>
      <w:r w:rsidRPr="00C91EA2">
        <w:t>that the costs of regulatory interventions will not outweigh the benefits, and to seek the alternative</w:t>
      </w:r>
      <w:r w:rsidR="008816A4">
        <w:t>,</w:t>
      </w:r>
      <w:r w:rsidRPr="00C91EA2">
        <w:t xml:space="preserve"> among options that achieve the ultimate policy objective, </w:t>
      </w:r>
      <w:r w:rsidR="00CF5453">
        <w:t xml:space="preserve">that </w:t>
      </w:r>
      <w:r w:rsidRPr="00C91EA2">
        <w:t>minimizes the distortions to market functioning. In this way, policy-makers can maximize the positive impact of regulations on the economy.</w:t>
      </w:r>
    </w:p>
    <w:p w14:paraId="6F6A4AC5" w14:textId="7ACB9DA4" w:rsidR="0043271C" w:rsidRPr="00C91EA2" w:rsidRDefault="0043271C" w:rsidP="0043271C">
      <w:pPr>
        <w:pStyle w:val="NormalNumbered"/>
        <w:numPr>
          <w:ilvl w:val="0"/>
          <w:numId w:val="125"/>
        </w:numPr>
        <w:tabs>
          <w:tab w:val="left" w:pos="0"/>
        </w:tabs>
        <w:ind w:left="0" w:firstLine="0"/>
        <w:rPr>
          <w:rFonts w:eastAsia="Calibri"/>
        </w:rPr>
      </w:pPr>
      <w:r w:rsidRPr="00C91EA2">
        <w:rPr>
          <w:b/>
        </w:rPr>
        <w:t xml:space="preserve">The risk that regulation may hinder the development of well-functioning markets may be mitigated by considering competition principles when designing regulations and state interventions. </w:t>
      </w:r>
      <w:r w:rsidRPr="00C91EA2">
        <w:rPr>
          <w:rFonts w:eastAsia="Calibri"/>
        </w:rPr>
        <w:t xml:space="preserve">One of the most important </w:t>
      </w:r>
      <w:r w:rsidR="00896484">
        <w:rPr>
          <w:rFonts w:eastAsia="Calibri"/>
        </w:rPr>
        <w:t>goals</w:t>
      </w:r>
      <w:r w:rsidR="00896484" w:rsidRPr="00C91EA2">
        <w:rPr>
          <w:rFonts w:eastAsia="Calibri"/>
        </w:rPr>
        <w:t xml:space="preserve"> </w:t>
      </w:r>
      <w:r w:rsidRPr="00C91EA2">
        <w:rPr>
          <w:rFonts w:eastAsia="Calibri"/>
        </w:rPr>
        <w:t xml:space="preserve">of a successful competition policy is </w:t>
      </w:r>
      <w:r w:rsidR="0096789F">
        <w:rPr>
          <w:rFonts w:eastAsia="Calibri"/>
        </w:rPr>
        <w:t>to ensure</w:t>
      </w:r>
      <w:r w:rsidR="0096789F" w:rsidRPr="00C91EA2">
        <w:rPr>
          <w:rFonts w:eastAsia="Calibri"/>
        </w:rPr>
        <w:t xml:space="preserve"> </w:t>
      </w:r>
      <w:r w:rsidRPr="00C91EA2">
        <w:rPr>
          <w:rFonts w:eastAsia="Calibri"/>
        </w:rPr>
        <w:t xml:space="preserve">that </w:t>
      </w:r>
      <w:r w:rsidR="003B24ED">
        <w:rPr>
          <w:rFonts w:eastAsia="Calibri"/>
        </w:rPr>
        <w:t>Government</w:t>
      </w:r>
      <w:r w:rsidRPr="00C91EA2">
        <w:rPr>
          <w:rFonts w:eastAsia="Calibri"/>
        </w:rPr>
        <w:t xml:space="preserve"> policies and regulations do not unnecessarily restrict entry, facilitate collusion</w:t>
      </w:r>
      <w:r w:rsidR="00ED14BA">
        <w:rPr>
          <w:rFonts w:eastAsia="Calibri"/>
        </w:rPr>
        <w:t>,</w:t>
      </w:r>
      <w:r w:rsidRPr="00C91EA2">
        <w:rPr>
          <w:rFonts w:eastAsia="Calibri"/>
        </w:rPr>
        <w:t xml:space="preserve"> increase the cost of competing, or distort the level playing field by providing an undue advantage to specific firms. </w:t>
      </w:r>
    </w:p>
    <w:p w14:paraId="5BC3696A" w14:textId="1BBF42D2" w:rsidR="0043271C" w:rsidRPr="00C91EA2" w:rsidRDefault="0043271C" w:rsidP="0043271C">
      <w:pPr>
        <w:pStyle w:val="NormalNumbered"/>
        <w:numPr>
          <w:ilvl w:val="0"/>
          <w:numId w:val="125"/>
        </w:numPr>
        <w:tabs>
          <w:tab w:val="left" w:pos="0"/>
        </w:tabs>
        <w:ind w:left="0" w:firstLine="0"/>
        <w:rPr>
          <w:rFonts w:eastAsia="Calibri"/>
        </w:rPr>
      </w:pPr>
      <w:r w:rsidRPr="00C91EA2">
        <w:rPr>
          <w:rFonts w:eastAsia="Calibri"/>
          <w:b/>
        </w:rPr>
        <w:t>By embedding competition principles in policy-making, potential distortions from direct state intervention through</w:t>
      </w:r>
      <w:r w:rsidR="00FA09FE">
        <w:rPr>
          <w:rFonts w:eastAsia="Calibri"/>
          <w:b/>
        </w:rPr>
        <w:t xml:space="preserve"> state-owned</w:t>
      </w:r>
      <w:r w:rsidRPr="00C91EA2">
        <w:rPr>
          <w:rFonts w:eastAsia="Calibri"/>
          <w:b/>
        </w:rPr>
        <w:t xml:space="preserve"> enterprises (SOEs), state aid and investment incentives may be minimized.</w:t>
      </w:r>
      <w:r w:rsidRPr="00C91EA2">
        <w:rPr>
          <w:rFonts w:eastAsia="Calibri"/>
        </w:rPr>
        <w:t xml:space="preserve"> State support can take various forms, including tax exemptions, loan guarantees, provision of resources at below market prices, subsidies, </w:t>
      </w:r>
      <w:r w:rsidR="00896484">
        <w:rPr>
          <w:rFonts w:eastAsia="Calibri"/>
        </w:rPr>
        <w:t xml:space="preserve">and </w:t>
      </w:r>
      <w:r w:rsidRPr="00C91EA2">
        <w:rPr>
          <w:rFonts w:eastAsia="Calibri"/>
        </w:rPr>
        <w:t xml:space="preserve">capital injections. While offering </w:t>
      </w:r>
      <w:r w:rsidR="003B24ED">
        <w:rPr>
          <w:rFonts w:eastAsia="Calibri"/>
        </w:rPr>
        <w:t>Government</w:t>
      </w:r>
      <w:r w:rsidRPr="00C91EA2">
        <w:rPr>
          <w:rFonts w:eastAsia="Calibri"/>
        </w:rPr>
        <w:t xml:space="preserve"> support to private or</w:t>
      </w:r>
      <w:r w:rsidR="00FA09FE">
        <w:rPr>
          <w:rFonts w:eastAsia="Calibri"/>
        </w:rPr>
        <w:t xml:space="preserve"> state-owned</w:t>
      </w:r>
      <w:r w:rsidRPr="00C91EA2">
        <w:rPr>
          <w:rFonts w:eastAsia="Calibri"/>
        </w:rPr>
        <w:t xml:space="preserve"> enterprises (SOEs) may help achiev</w:t>
      </w:r>
      <w:r w:rsidR="00896484">
        <w:rPr>
          <w:rFonts w:eastAsia="Calibri"/>
        </w:rPr>
        <w:t>e</w:t>
      </w:r>
      <w:r w:rsidRPr="00C91EA2">
        <w:rPr>
          <w:rFonts w:eastAsia="Calibri"/>
        </w:rPr>
        <w:t xml:space="preserve"> specific goals, it may have a negative impact on competition. If not properly designed, state aid may provide an undue advantage to specific firms, reinforce a dominant position </w:t>
      </w:r>
      <w:r w:rsidR="00B94B1A">
        <w:rPr>
          <w:rFonts w:eastAsia="Calibri"/>
        </w:rPr>
        <w:t>(</w:t>
      </w:r>
      <w:r w:rsidRPr="00C91EA2">
        <w:rPr>
          <w:rFonts w:eastAsia="Calibri"/>
        </w:rPr>
        <w:t>thus facilitating anticompetitive behaviors</w:t>
      </w:r>
      <w:r w:rsidR="00B94B1A">
        <w:rPr>
          <w:rFonts w:eastAsia="Calibri"/>
        </w:rPr>
        <w:t>)</w:t>
      </w:r>
      <w:r w:rsidR="00896484">
        <w:rPr>
          <w:rFonts w:eastAsia="Calibri"/>
        </w:rPr>
        <w:t>,</w:t>
      </w:r>
      <w:r w:rsidRPr="00C91EA2">
        <w:rPr>
          <w:rFonts w:eastAsia="Calibri"/>
        </w:rPr>
        <w:t xml:space="preserve"> or reduce a firm’s incentive to make investments </w:t>
      </w:r>
      <w:r w:rsidR="00B94B1A">
        <w:rPr>
          <w:rFonts w:eastAsia="Calibri"/>
        </w:rPr>
        <w:t>(</w:t>
      </w:r>
      <w:r w:rsidRPr="00C91EA2">
        <w:rPr>
          <w:rFonts w:eastAsia="Calibri"/>
        </w:rPr>
        <w:t>thus generating market inefficiencies</w:t>
      </w:r>
      <w:r w:rsidR="00B94B1A">
        <w:rPr>
          <w:rFonts w:eastAsia="Calibri"/>
        </w:rPr>
        <w:t>)</w:t>
      </w:r>
      <w:r w:rsidRPr="00C91EA2">
        <w:rPr>
          <w:rFonts w:eastAsia="Calibri"/>
        </w:rPr>
        <w:t>.</w:t>
      </w:r>
    </w:p>
    <w:p w14:paraId="72AFFF77" w14:textId="137324A5" w:rsidR="0043271C" w:rsidRPr="00C91EA2" w:rsidRDefault="0043271C" w:rsidP="0043271C">
      <w:pPr>
        <w:pStyle w:val="NormalNumbered"/>
        <w:numPr>
          <w:ilvl w:val="0"/>
          <w:numId w:val="125"/>
        </w:numPr>
        <w:tabs>
          <w:tab w:val="left" w:pos="0"/>
        </w:tabs>
        <w:ind w:left="0" w:firstLine="0"/>
        <w:rPr>
          <w:rFonts w:eastAsia="Calibri"/>
        </w:rPr>
      </w:pPr>
      <w:r w:rsidRPr="00C91EA2">
        <w:rPr>
          <w:rFonts w:eastAsia="Calibri"/>
          <w:b/>
        </w:rPr>
        <w:t xml:space="preserve">Price controls are another type of intervention where the negative effects should be carefully assessed. </w:t>
      </w:r>
      <w:r w:rsidR="003B24ED">
        <w:rPr>
          <w:rFonts w:eastAsia="Calibri"/>
        </w:rPr>
        <w:t>Government</w:t>
      </w:r>
      <w:r w:rsidRPr="00C91EA2">
        <w:rPr>
          <w:rFonts w:eastAsia="Calibri"/>
        </w:rPr>
        <w:t>s may seek different objectives by controlling prices. They may want to protect consumers from increasing prices or to protect t</w:t>
      </w:r>
      <w:r w:rsidR="00FC4E7E">
        <w:rPr>
          <w:rFonts w:eastAsia="Calibri"/>
        </w:rPr>
        <w:t xml:space="preserve">he incomes of small producers. </w:t>
      </w:r>
      <w:r w:rsidRPr="00C91EA2">
        <w:rPr>
          <w:rFonts w:eastAsia="Calibri"/>
        </w:rPr>
        <w:t xml:space="preserve">Price controls may be necessary in the regulation of natural monopolies, yet </w:t>
      </w:r>
      <w:r w:rsidR="006B6D18" w:rsidRPr="00C91EA2">
        <w:rPr>
          <w:rFonts w:eastAsia="Calibri"/>
        </w:rPr>
        <w:t>in markets with more players</w:t>
      </w:r>
      <w:r w:rsidR="006B6D18">
        <w:rPr>
          <w:rFonts w:eastAsia="Calibri"/>
        </w:rPr>
        <w:t>,</w:t>
      </w:r>
      <w:r w:rsidR="006B6D18" w:rsidRPr="00C91EA2">
        <w:rPr>
          <w:rFonts w:eastAsia="Calibri"/>
        </w:rPr>
        <w:t xml:space="preserve"> </w:t>
      </w:r>
      <w:r w:rsidRPr="00C91EA2">
        <w:rPr>
          <w:rFonts w:eastAsia="Calibri"/>
        </w:rPr>
        <w:t xml:space="preserve">they can have distortive effects, </w:t>
      </w:r>
      <w:r w:rsidR="006B6D18">
        <w:rPr>
          <w:rFonts w:eastAsia="Calibri"/>
        </w:rPr>
        <w:t>for example,</w:t>
      </w:r>
      <w:r w:rsidR="006B6D18" w:rsidRPr="00C91EA2">
        <w:rPr>
          <w:rFonts w:eastAsia="Calibri"/>
        </w:rPr>
        <w:t xml:space="preserve"> </w:t>
      </w:r>
      <w:r w:rsidR="006B6D18">
        <w:rPr>
          <w:rFonts w:eastAsia="Calibri"/>
        </w:rPr>
        <w:t xml:space="preserve">by </w:t>
      </w:r>
      <w:r w:rsidRPr="00C91EA2">
        <w:rPr>
          <w:rFonts w:eastAsia="Calibri"/>
        </w:rPr>
        <w:t>facilitating collusion or dampening incentives to invest. To guard against this, regulations that require consultation with the competition authority before introducing price controls could be implemented. The authority could assess the impact of the competitive restrictions in the concerned market and check whether the pursued objective could be achieved using a less distortive intervention.</w:t>
      </w:r>
    </w:p>
    <w:p w14:paraId="64E87103" w14:textId="77777777" w:rsidR="0043271C" w:rsidRPr="00C91EA2" w:rsidRDefault="0043271C" w:rsidP="0043271C">
      <w:pPr>
        <w:pStyle w:val="ListParagraph"/>
        <w:numPr>
          <w:ilvl w:val="0"/>
          <w:numId w:val="125"/>
        </w:numPr>
        <w:tabs>
          <w:tab w:val="left" w:pos="0"/>
        </w:tabs>
        <w:ind w:left="0" w:firstLine="0"/>
        <w:jc w:val="both"/>
        <w:rPr>
          <w:rFonts w:ascii="Times New Roman" w:hAnsi="Times New Roman" w:cs="Times New Roman"/>
        </w:rPr>
      </w:pPr>
      <w:r w:rsidRPr="00C91EA2">
        <w:rPr>
          <w:rFonts w:ascii="Times New Roman" w:hAnsi="Times New Roman" w:cs="Times New Roman"/>
          <w:b/>
        </w:rPr>
        <w:t xml:space="preserve">New data on the status of the product market regulations in Senegal suggest the regulatory restrictions may hamper competition across markets, </w:t>
      </w:r>
      <w:r w:rsidR="00BF1F63">
        <w:rPr>
          <w:rFonts w:ascii="Times New Roman" w:hAnsi="Times New Roman" w:cs="Times New Roman"/>
          <w:b/>
        </w:rPr>
        <w:t>thus restricting</w:t>
      </w:r>
      <w:r w:rsidR="00BF1F63" w:rsidRPr="00C91EA2">
        <w:rPr>
          <w:rFonts w:ascii="Times New Roman" w:hAnsi="Times New Roman" w:cs="Times New Roman"/>
          <w:b/>
        </w:rPr>
        <w:t xml:space="preserve"> </w:t>
      </w:r>
      <w:r w:rsidRPr="00C91EA2">
        <w:rPr>
          <w:rFonts w:ascii="Times New Roman" w:hAnsi="Times New Roman" w:cs="Times New Roman"/>
          <w:b/>
        </w:rPr>
        <w:t xml:space="preserve">the country’s growth potential. </w:t>
      </w:r>
      <w:r w:rsidRPr="00C91EA2">
        <w:rPr>
          <w:rFonts w:ascii="Times New Roman" w:hAnsi="Times New Roman" w:cs="Times New Roman"/>
        </w:rPr>
        <w:t>Product Market Regulation (PMR) indicators assess the extent to which public policies promote or inhibit market forces in several areas of product markets.</w:t>
      </w:r>
      <w:r w:rsidRPr="00C91EA2">
        <w:rPr>
          <w:rStyle w:val="FootnoteReference"/>
          <w:rFonts w:ascii="Times New Roman" w:hAnsi="Times New Roman" w:cs="Times New Roman"/>
        </w:rPr>
        <w:footnoteReference w:id="75"/>
      </w:r>
      <w:r w:rsidRPr="00C91EA2">
        <w:rPr>
          <w:rFonts w:ascii="Times New Roman" w:hAnsi="Times New Roman" w:cs="Times New Roman"/>
        </w:rPr>
        <w:t xml:space="preserve"> Each of the areas addressed within the PMR methodology sheds light on specific restrictions of the regulatory framework both economy-wide and in key sectors of the economy on twelve topics: electricity; gas; telecom; post; transport; water; retail distribution; professional services; other sectors; administrative requirements for business start-ups; treatment of foreign parties; and others, such as governance of public-controlled enterprises or antitrust exclusions and exemptions. The information for Senegal was collected in 2017, reflecting the status of the regulations as June 2017, and was used to </w:t>
      </w:r>
      <w:r w:rsidR="000774AE">
        <w:rPr>
          <w:rFonts w:ascii="Times New Roman" w:hAnsi="Times New Roman" w:cs="Times New Roman"/>
        </w:rPr>
        <w:t xml:space="preserve">calculate </w:t>
      </w:r>
      <w:r w:rsidRPr="00C91EA2">
        <w:rPr>
          <w:rFonts w:ascii="Times New Roman" w:hAnsi="Times New Roman" w:cs="Times New Roman"/>
        </w:rPr>
        <w:t xml:space="preserve">PMR </w:t>
      </w:r>
      <w:r w:rsidR="000774AE">
        <w:rPr>
          <w:rFonts w:ascii="Times New Roman" w:hAnsi="Times New Roman" w:cs="Times New Roman"/>
        </w:rPr>
        <w:t>scores</w:t>
      </w:r>
      <w:r w:rsidRPr="00C91EA2">
        <w:rPr>
          <w:rFonts w:ascii="Times New Roman" w:hAnsi="Times New Roman" w:cs="Times New Roman"/>
        </w:rPr>
        <w:t xml:space="preserve">. </w:t>
      </w:r>
    </w:p>
    <w:p w14:paraId="444478CD" w14:textId="77777777" w:rsidR="0043271C" w:rsidRPr="00C91EA2" w:rsidRDefault="0043271C" w:rsidP="0043271C">
      <w:pPr>
        <w:tabs>
          <w:tab w:val="left" w:pos="0"/>
        </w:tabs>
        <w:jc w:val="both"/>
        <w:rPr>
          <w:rFonts w:ascii="Times New Roman" w:hAnsi="Times New Roman" w:cs="Times New Roman"/>
        </w:rPr>
      </w:pPr>
    </w:p>
    <w:p w14:paraId="11DB1BDB" w14:textId="737D408D" w:rsidR="007C3E89" w:rsidRPr="00ED313F" w:rsidRDefault="009E70EC" w:rsidP="007C3E89">
      <w:pPr>
        <w:pStyle w:val="ListParagraph"/>
        <w:numPr>
          <w:ilvl w:val="0"/>
          <w:numId w:val="125"/>
        </w:numPr>
        <w:tabs>
          <w:tab w:val="left" w:pos="0"/>
        </w:tabs>
        <w:ind w:left="0" w:firstLine="0"/>
        <w:jc w:val="both"/>
        <w:rPr>
          <w:rFonts w:ascii="Times New Roman" w:hAnsi="Times New Roman" w:cs="Times New Roman"/>
          <w:b/>
        </w:rPr>
      </w:pPr>
      <w:r w:rsidRPr="002926ED">
        <w:rPr>
          <w:rFonts w:ascii="Times New Roman" w:hAnsi="Times New Roman" w:cs="Times New Roman"/>
          <w:b/>
          <w:bCs/>
        </w:rPr>
        <w:t xml:space="preserve">The </w:t>
      </w:r>
      <w:r w:rsidR="0043271C" w:rsidRPr="002926ED">
        <w:rPr>
          <w:rFonts w:ascii="Times New Roman" w:hAnsi="Times New Roman" w:cs="Times New Roman"/>
          <w:b/>
          <w:bCs/>
        </w:rPr>
        <w:t xml:space="preserve">PMR </w:t>
      </w:r>
      <w:r w:rsidR="00A933C8" w:rsidRPr="002926ED">
        <w:rPr>
          <w:rFonts w:ascii="Times New Roman" w:hAnsi="Times New Roman" w:cs="Times New Roman"/>
          <w:b/>
          <w:bCs/>
        </w:rPr>
        <w:t>helps</w:t>
      </w:r>
      <w:r w:rsidR="0043271C" w:rsidRPr="002926ED">
        <w:rPr>
          <w:rFonts w:ascii="Times New Roman" w:hAnsi="Times New Roman" w:cs="Times New Roman"/>
          <w:b/>
          <w:bCs/>
        </w:rPr>
        <w:t xml:space="preserve"> identify gaps in regulation and </w:t>
      </w:r>
      <w:r w:rsidR="00A90BBE" w:rsidRPr="002926ED">
        <w:rPr>
          <w:rFonts w:ascii="Times New Roman" w:hAnsi="Times New Roman" w:cs="Times New Roman"/>
          <w:b/>
          <w:bCs/>
        </w:rPr>
        <w:t xml:space="preserve">opportunities </w:t>
      </w:r>
      <w:r w:rsidR="0043271C" w:rsidRPr="002926ED">
        <w:rPr>
          <w:rFonts w:ascii="Times New Roman" w:hAnsi="Times New Roman" w:cs="Times New Roman"/>
          <w:b/>
          <w:bCs/>
        </w:rPr>
        <w:t>for an in</w:t>
      </w:r>
      <w:r w:rsidR="00266083" w:rsidRPr="005538DD">
        <w:rPr>
          <w:rFonts w:ascii="Times New Roman" w:hAnsi="Times New Roman" w:cs="Times New Roman"/>
          <w:b/>
          <w:bCs/>
        </w:rPr>
        <w:t>-</w:t>
      </w:r>
      <w:r w:rsidR="0043271C" w:rsidRPr="005538DD">
        <w:rPr>
          <w:rFonts w:ascii="Times New Roman" w:hAnsi="Times New Roman" w:cs="Times New Roman"/>
          <w:b/>
          <w:bCs/>
        </w:rPr>
        <w:t>depth review of regulatory changes</w:t>
      </w:r>
      <w:r w:rsidR="00DC2B31" w:rsidRPr="00C71560">
        <w:rPr>
          <w:rFonts w:ascii="Times New Roman" w:hAnsi="Times New Roman" w:cs="Times New Roman"/>
          <w:b/>
          <w:bCs/>
        </w:rPr>
        <w:t xml:space="preserve"> that would facilitate better market functioning</w:t>
      </w:r>
      <w:r w:rsidR="0043271C" w:rsidRPr="00C71560">
        <w:rPr>
          <w:rFonts w:ascii="Times New Roman" w:hAnsi="Times New Roman" w:cs="Times New Roman"/>
          <w:b/>
          <w:bCs/>
        </w:rPr>
        <w:t xml:space="preserve"> </w:t>
      </w:r>
      <w:r w:rsidR="0043271C" w:rsidRPr="00C71560">
        <w:rPr>
          <w:rFonts w:ascii="Times New Roman" w:hAnsi="Times New Roman" w:cs="Times New Roman"/>
        </w:rPr>
        <w:t xml:space="preserve">(see </w:t>
      </w:r>
      <w:r w:rsidR="0043271C" w:rsidRPr="002926ED">
        <w:rPr>
          <w:rFonts w:ascii="Times New Roman" w:hAnsi="Times New Roman" w:cs="Times New Roman"/>
        </w:rPr>
        <w:fldChar w:fldCharType="begin"/>
      </w:r>
      <w:r w:rsidR="0043271C" w:rsidRPr="002926ED">
        <w:rPr>
          <w:rFonts w:ascii="Times New Roman" w:hAnsi="Times New Roman" w:cs="Times New Roman"/>
        </w:rPr>
        <w:instrText xml:space="preserve"> REF _Ref497139844 \h </w:instrText>
      </w:r>
      <w:r w:rsidR="00C91EA2" w:rsidRPr="002926ED">
        <w:rPr>
          <w:rFonts w:ascii="Times New Roman" w:hAnsi="Times New Roman" w:cs="Times New Roman"/>
        </w:rPr>
        <w:instrText xml:space="preserve"> \* MERGEFORMAT </w:instrText>
      </w:r>
      <w:r w:rsidR="0043271C" w:rsidRPr="002926ED">
        <w:rPr>
          <w:rFonts w:ascii="Times New Roman" w:hAnsi="Times New Roman" w:cs="Times New Roman"/>
        </w:rPr>
      </w:r>
      <w:r w:rsidR="0043271C" w:rsidRPr="002926ED">
        <w:rPr>
          <w:rFonts w:ascii="Times New Roman" w:hAnsi="Times New Roman" w:cs="Times New Roman"/>
        </w:rPr>
        <w:fldChar w:fldCharType="separate"/>
      </w:r>
      <w:r w:rsidR="008261B2">
        <w:rPr>
          <w:rFonts w:ascii="Times New Roman" w:hAnsi="Times New Roman" w:cs="Times New Roman"/>
          <w:b/>
          <w:bCs/>
        </w:rPr>
        <w:t>Error! Reference source not found.</w:t>
      </w:r>
      <w:r w:rsidR="0043271C" w:rsidRPr="002926ED">
        <w:rPr>
          <w:rFonts w:ascii="Times New Roman" w:hAnsi="Times New Roman" w:cs="Times New Roman"/>
        </w:rPr>
        <w:fldChar w:fldCharType="end"/>
      </w:r>
      <w:r w:rsidR="0043271C" w:rsidRPr="002926ED">
        <w:rPr>
          <w:rFonts w:ascii="Times New Roman" w:hAnsi="Times New Roman" w:cs="Times New Roman"/>
        </w:rPr>
        <w:t>)</w:t>
      </w:r>
      <w:r w:rsidR="0043271C" w:rsidRPr="002926ED">
        <w:rPr>
          <w:rFonts w:ascii="Times New Roman" w:hAnsi="Times New Roman" w:cs="Times New Roman"/>
          <w:b/>
          <w:bCs/>
        </w:rPr>
        <w:t>.</w:t>
      </w:r>
      <w:r w:rsidR="0043271C" w:rsidRPr="002926ED">
        <w:rPr>
          <w:rFonts w:ascii="Times New Roman" w:hAnsi="Times New Roman" w:cs="Times New Roman"/>
          <w:bCs/>
        </w:rPr>
        <w:t xml:space="preserve"> </w:t>
      </w:r>
      <w:r w:rsidR="0043271C" w:rsidRPr="002926ED">
        <w:rPr>
          <w:rFonts w:ascii="Times New Roman" w:hAnsi="Times New Roman" w:cs="Times New Roman"/>
        </w:rPr>
        <w:t>In contrast to regulatory or governance indicators that have been developed by other institutions, the PMR indicators are policy focused and reflect restrictive elements that affect the incentive or ability of firms to compete and that are embedded in formal laws and regulations</w:t>
      </w:r>
      <w:r w:rsidR="00133651" w:rsidRPr="005538DD">
        <w:rPr>
          <w:rFonts w:ascii="Times New Roman" w:hAnsi="Times New Roman" w:cs="Times New Roman"/>
        </w:rPr>
        <w:t>.</w:t>
      </w:r>
      <w:r w:rsidR="0043271C" w:rsidRPr="005538DD">
        <w:rPr>
          <w:rFonts w:ascii="Times New Roman" w:hAnsi="Times New Roman" w:cs="Times New Roman"/>
        </w:rPr>
        <w:t xml:space="preserve"> </w:t>
      </w:r>
      <w:r w:rsidR="00133651" w:rsidRPr="00C71560">
        <w:rPr>
          <w:rFonts w:ascii="Times New Roman" w:hAnsi="Times New Roman" w:cs="Times New Roman"/>
        </w:rPr>
        <w:t>Unlike</w:t>
      </w:r>
      <w:r w:rsidR="0043271C" w:rsidRPr="00C71560">
        <w:rPr>
          <w:rFonts w:ascii="Times New Roman" w:hAnsi="Times New Roman" w:cs="Times New Roman"/>
        </w:rPr>
        <w:t xml:space="preserve"> opinion surveys</w:t>
      </w:r>
      <w:r w:rsidR="004B5C1A" w:rsidRPr="00C71560">
        <w:rPr>
          <w:rFonts w:ascii="Times New Roman" w:hAnsi="Times New Roman" w:cs="Times New Roman"/>
        </w:rPr>
        <w:t>,</w:t>
      </w:r>
      <w:r w:rsidR="0043271C" w:rsidRPr="00C71560">
        <w:rPr>
          <w:rFonts w:ascii="Times New Roman" w:hAnsi="Times New Roman" w:cs="Times New Roman"/>
        </w:rPr>
        <w:t xml:space="preserve"> </w:t>
      </w:r>
      <w:r w:rsidR="00133651" w:rsidRPr="00C71560">
        <w:rPr>
          <w:rFonts w:ascii="Times New Roman" w:hAnsi="Times New Roman" w:cs="Times New Roman"/>
        </w:rPr>
        <w:t>PMR does not</w:t>
      </w:r>
      <w:r w:rsidR="0043271C" w:rsidRPr="00C71560">
        <w:rPr>
          <w:rFonts w:ascii="Times New Roman" w:hAnsi="Times New Roman" w:cs="Times New Roman"/>
        </w:rPr>
        <w:t xml:space="preserve"> reflect subjective assessments of market participants.</w:t>
      </w:r>
      <w:r w:rsidR="0043271C" w:rsidRPr="00D91B27">
        <w:rPr>
          <w:rFonts w:ascii="Times New Roman" w:hAnsi="Times New Roman" w:cs="Times New Roman"/>
          <w:bCs/>
        </w:rPr>
        <w:t xml:space="preserve"> </w:t>
      </w:r>
      <w:r w:rsidR="0043271C" w:rsidRPr="00D91B27">
        <w:rPr>
          <w:rFonts w:ascii="Times New Roman" w:hAnsi="Times New Roman" w:cs="Times New Roman"/>
        </w:rPr>
        <w:t>It should be kept in mind that PMR analysis is not an end in itself: once scores are</w:t>
      </w:r>
      <w:r w:rsidR="0043271C" w:rsidRPr="00674D59">
        <w:rPr>
          <w:rFonts w:ascii="Times New Roman" w:hAnsi="Times New Roman" w:cs="Times New Roman"/>
        </w:rPr>
        <w:t xml:space="preserve"> calculated, these must be used as a screening device to identify the aspects of the regulatory framework that are more likely to have a negative impact on competition.</w:t>
      </w:r>
    </w:p>
    <w:p w14:paraId="24365E26" w14:textId="395DB625" w:rsidR="009547FF" w:rsidRPr="007575D7" w:rsidRDefault="009547FF" w:rsidP="007575D7"/>
    <w:p w14:paraId="1A6F0309" w14:textId="1EB7AE8D" w:rsidR="009547FF" w:rsidRDefault="009547FF" w:rsidP="009547FF">
      <w:pPr>
        <w:pStyle w:val="Caption"/>
        <w:keepNext/>
        <w:rPr>
          <w:rFonts w:ascii="Times New Roman" w:hAnsi="Times New Roman"/>
        </w:rPr>
      </w:pPr>
      <w:bookmarkStart w:id="80" w:name="_Toc520725793"/>
      <w:r w:rsidRPr="007575D7">
        <w:rPr>
          <w:rFonts w:ascii="Times New Roman" w:hAnsi="Times New Roman"/>
        </w:rPr>
        <w:t xml:space="preserve">Box </w:t>
      </w:r>
      <w:r w:rsidRPr="000014A1">
        <w:rPr>
          <w:rFonts w:ascii="Times New Roman" w:hAnsi="Times New Roman"/>
        </w:rPr>
        <w:fldChar w:fldCharType="begin"/>
      </w:r>
      <w:r w:rsidRPr="007575D7">
        <w:rPr>
          <w:rFonts w:ascii="Times New Roman" w:hAnsi="Times New Roman"/>
        </w:rPr>
        <w:instrText xml:space="preserve"> SEQ Box \* ARABIC </w:instrText>
      </w:r>
      <w:r w:rsidRPr="000014A1">
        <w:rPr>
          <w:rFonts w:ascii="Times New Roman" w:hAnsi="Times New Roman"/>
        </w:rPr>
        <w:fldChar w:fldCharType="separate"/>
      </w:r>
      <w:r w:rsidR="008261B2">
        <w:rPr>
          <w:rFonts w:ascii="Times New Roman" w:hAnsi="Times New Roman"/>
          <w:noProof/>
        </w:rPr>
        <w:t>5</w:t>
      </w:r>
      <w:r w:rsidRPr="000014A1">
        <w:rPr>
          <w:rFonts w:ascii="Times New Roman" w:hAnsi="Times New Roman"/>
        </w:rPr>
        <w:fldChar w:fldCharType="end"/>
      </w:r>
      <w:r w:rsidRPr="007575D7">
        <w:rPr>
          <w:rFonts w:ascii="Times New Roman" w:hAnsi="Times New Roman"/>
        </w:rPr>
        <w:t xml:space="preserve">: </w:t>
      </w:r>
      <w:r w:rsidRPr="00C91EA2">
        <w:rPr>
          <w:rFonts w:ascii="Times New Roman" w:hAnsi="Times New Roman"/>
        </w:rPr>
        <w:t>PMR Methodology: Economy-Wide Score</w:t>
      </w:r>
      <w:bookmarkEnd w:id="80"/>
    </w:p>
    <w:tbl>
      <w:tblPr>
        <w:tblStyle w:val="TableGrid"/>
        <w:tblW w:w="0" w:type="auto"/>
        <w:shd w:val="clear" w:color="auto" w:fill="F2F2F2" w:themeFill="background1" w:themeFillShade="F2"/>
        <w:tblLook w:val="04A0" w:firstRow="1" w:lastRow="0" w:firstColumn="1" w:lastColumn="0" w:noHBand="0" w:noVBand="1"/>
      </w:tblPr>
      <w:tblGrid>
        <w:gridCol w:w="8630"/>
      </w:tblGrid>
      <w:tr w:rsidR="0043271C" w:rsidRPr="00C91EA2" w14:paraId="68C1E55A" w14:textId="77777777" w:rsidTr="00A23773">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EB1808" w14:textId="77777777" w:rsidR="0043271C" w:rsidRPr="00C91EA2" w:rsidRDefault="0043271C">
            <w:pPr>
              <w:pStyle w:val="L-Box-body"/>
              <w:ind w:left="0"/>
              <w:rPr>
                <w:sz w:val="20"/>
                <w:szCs w:val="20"/>
              </w:rPr>
            </w:pPr>
            <w:r w:rsidRPr="00C91EA2">
              <w:rPr>
                <w:sz w:val="20"/>
                <w:szCs w:val="20"/>
              </w:rPr>
              <w:t xml:space="preserve">Product Market Regulation (PMR) indicators form a comprehensive and internationally-comparable set of indicators that measure the degree to which policies promote or inhibit competition in areas of the product market where competition is viable. PMR indicators are useful to monitor the regulatory achievements of monitored countries and to evaluate the effectiveness of policies introduced throughout the years. Moreover, PMR indicators have been widely used to help policy-makers to draw a clear picture of regulations in different countries, with the objective of identifying gaps in regulations and/or room for improvements. </w:t>
            </w:r>
          </w:p>
          <w:p w14:paraId="5505ABCB" w14:textId="7B302621" w:rsidR="0043271C" w:rsidRPr="00C91EA2" w:rsidRDefault="0043271C">
            <w:pPr>
              <w:pStyle w:val="L-Box-body"/>
              <w:ind w:left="0"/>
              <w:rPr>
                <w:sz w:val="20"/>
                <w:szCs w:val="20"/>
              </w:rPr>
            </w:pPr>
            <w:r w:rsidRPr="00C91EA2">
              <w:rPr>
                <w:sz w:val="20"/>
                <w:szCs w:val="20"/>
              </w:rPr>
              <w:t xml:space="preserve">The PMR indicators rely on information collected through the OECD regulatory indicators questionnaires. </w:t>
            </w:r>
            <w:r w:rsidRPr="00310FBE">
              <w:rPr>
                <w:sz w:val="20"/>
                <w:szCs w:val="20"/>
              </w:rPr>
              <w:fldChar w:fldCharType="begin"/>
            </w:r>
            <w:r w:rsidRPr="00310FBE">
              <w:rPr>
                <w:sz w:val="20"/>
                <w:szCs w:val="20"/>
              </w:rPr>
              <w:instrText xml:space="preserve"> REF _Ref497139408 \h </w:instrText>
            </w:r>
            <w:r w:rsidR="00C91EA2" w:rsidRPr="00310FBE">
              <w:rPr>
                <w:sz w:val="20"/>
                <w:szCs w:val="20"/>
              </w:rPr>
              <w:instrText xml:space="preserve"> \* MERGEFORMAT </w:instrText>
            </w:r>
            <w:r w:rsidRPr="00310FBE">
              <w:rPr>
                <w:sz w:val="20"/>
                <w:szCs w:val="20"/>
              </w:rPr>
            </w:r>
            <w:r w:rsidRPr="00310FBE">
              <w:rPr>
                <w:sz w:val="20"/>
                <w:szCs w:val="20"/>
              </w:rPr>
              <w:fldChar w:fldCharType="separate"/>
            </w:r>
            <w:r w:rsidR="008261B2" w:rsidRPr="008261B2">
              <w:rPr>
                <w:sz w:val="20"/>
                <w:szCs w:val="20"/>
              </w:rPr>
              <w:t xml:space="preserve">Figure </w:t>
            </w:r>
            <w:r w:rsidR="008261B2" w:rsidRPr="008261B2">
              <w:rPr>
                <w:noProof/>
                <w:sz w:val="20"/>
                <w:szCs w:val="20"/>
              </w:rPr>
              <w:t>16</w:t>
            </w:r>
            <w:r w:rsidRPr="00310FBE">
              <w:rPr>
                <w:sz w:val="20"/>
                <w:szCs w:val="20"/>
              </w:rPr>
              <w:fldChar w:fldCharType="end"/>
            </w:r>
            <w:r w:rsidRPr="00310FBE">
              <w:rPr>
                <w:sz w:val="20"/>
                <w:szCs w:val="20"/>
              </w:rPr>
              <w:t xml:space="preserve"> </w:t>
            </w:r>
            <w:r w:rsidR="00133651" w:rsidRPr="00310FBE">
              <w:rPr>
                <w:sz w:val="20"/>
                <w:szCs w:val="20"/>
              </w:rPr>
              <w:t>below</w:t>
            </w:r>
            <w:r w:rsidRPr="00C91EA2">
              <w:rPr>
                <w:sz w:val="20"/>
                <w:szCs w:val="20"/>
              </w:rPr>
              <w:t xml:space="preserve"> summarizes how the economy-wide score is calculated (number</w:t>
            </w:r>
            <w:r w:rsidR="00E339A3">
              <w:rPr>
                <w:sz w:val="20"/>
                <w:szCs w:val="20"/>
              </w:rPr>
              <w:t>s</w:t>
            </w:r>
            <w:r w:rsidRPr="00C91EA2">
              <w:rPr>
                <w:sz w:val="20"/>
                <w:szCs w:val="20"/>
              </w:rPr>
              <w:t xml:space="preserve"> in parentheses represent weights). First, the answers of the questionnaire are coded into objective information (scores range from 0 to 6, 6 = worst). Second, scores of individual regulations are aggregated into subsequently broader regulatory areas starting with “Lower-level indicators” (18 areas), then “Intermediate indicators” (7 areas), then the three “</w:t>
            </w:r>
            <w:r w:rsidR="00FE636D">
              <w:rPr>
                <w:sz w:val="20"/>
                <w:szCs w:val="20"/>
              </w:rPr>
              <w:t>s</w:t>
            </w:r>
            <w:r w:rsidRPr="00C91EA2">
              <w:rPr>
                <w:sz w:val="20"/>
                <w:szCs w:val="20"/>
              </w:rPr>
              <w:t>ub-indicator</w:t>
            </w:r>
            <w:r w:rsidR="00FE636D">
              <w:rPr>
                <w:sz w:val="20"/>
                <w:szCs w:val="20"/>
              </w:rPr>
              <w:t>s</w:t>
            </w:r>
            <w:r w:rsidRPr="00C91EA2">
              <w:rPr>
                <w:sz w:val="20"/>
                <w:szCs w:val="20"/>
              </w:rPr>
              <w:t xml:space="preserve">”. Finally, the three sub-indicators are averaged to calculate the overall PMR score </w:t>
            </w:r>
            <w:r w:rsidRPr="002A4013">
              <w:rPr>
                <w:sz w:val="20"/>
                <w:szCs w:val="20"/>
              </w:rPr>
              <w:t>(</w:t>
            </w:r>
            <w:r w:rsidRPr="002A4013">
              <w:rPr>
                <w:sz w:val="20"/>
                <w:szCs w:val="20"/>
              </w:rPr>
              <w:fldChar w:fldCharType="begin"/>
            </w:r>
            <w:r w:rsidRPr="002A4013">
              <w:rPr>
                <w:sz w:val="20"/>
                <w:szCs w:val="20"/>
              </w:rPr>
              <w:instrText xml:space="preserve"> REF _Ref497139629 \h  \* MERGEFORMAT </w:instrText>
            </w:r>
            <w:r w:rsidRPr="002A4013">
              <w:rPr>
                <w:sz w:val="20"/>
                <w:szCs w:val="20"/>
              </w:rPr>
            </w:r>
            <w:r w:rsidRPr="002A4013">
              <w:rPr>
                <w:sz w:val="20"/>
                <w:szCs w:val="20"/>
              </w:rPr>
              <w:fldChar w:fldCharType="separate"/>
            </w:r>
            <w:r w:rsidR="008261B2" w:rsidRPr="008261B2">
              <w:rPr>
                <w:sz w:val="20"/>
                <w:szCs w:val="20"/>
              </w:rPr>
              <w:t xml:space="preserve">Box </w:t>
            </w:r>
            <w:r w:rsidR="008261B2" w:rsidRPr="008261B2">
              <w:rPr>
                <w:noProof/>
                <w:sz w:val="20"/>
                <w:szCs w:val="20"/>
              </w:rPr>
              <w:t>26</w:t>
            </w:r>
            <w:r w:rsidRPr="002A4013">
              <w:rPr>
                <w:sz w:val="20"/>
                <w:szCs w:val="20"/>
              </w:rPr>
              <w:fldChar w:fldCharType="end"/>
            </w:r>
            <w:r w:rsidRPr="002A4013">
              <w:rPr>
                <w:sz w:val="20"/>
                <w:szCs w:val="20"/>
              </w:rPr>
              <w:t xml:space="preserve"> in </w:t>
            </w:r>
            <w:r w:rsidR="00316984" w:rsidRPr="002A4013">
              <w:rPr>
                <w:sz w:val="20"/>
                <w:szCs w:val="20"/>
              </w:rPr>
              <w:t>Annex</w:t>
            </w:r>
            <w:r w:rsidRPr="002A4013">
              <w:rPr>
                <w:sz w:val="20"/>
                <w:szCs w:val="20"/>
              </w:rPr>
              <w:t xml:space="preserve"> </w:t>
            </w:r>
            <w:r w:rsidR="00576A60" w:rsidRPr="002A4013">
              <w:rPr>
                <w:sz w:val="20"/>
                <w:szCs w:val="20"/>
              </w:rPr>
              <w:t>2</w:t>
            </w:r>
            <w:r w:rsidRPr="00C91EA2">
              <w:rPr>
                <w:sz w:val="20"/>
                <w:szCs w:val="20"/>
              </w:rPr>
              <w:t xml:space="preserve"> provides a description of the low-level indicators).</w:t>
            </w:r>
          </w:p>
          <w:p w14:paraId="559C7020" w14:textId="71E8297C" w:rsidR="0043271C" w:rsidRPr="00C91EA2" w:rsidRDefault="0043271C">
            <w:pPr>
              <w:pStyle w:val="Caption"/>
              <w:keepNext/>
              <w:jc w:val="both"/>
              <w:rPr>
                <w:rFonts w:ascii="Times New Roman" w:hAnsi="Times New Roman"/>
              </w:rPr>
            </w:pPr>
            <w:bookmarkStart w:id="81" w:name="_Ref497139408"/>
            <w:bookmarkStart w:id="82" w:name="_Toc497990861"/>
            <w:bookmarkStart w:id="83" w:name="_Toc520725572"/>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16</w:t>
            </w:r>
            <w:r w:rsidR="00D91B27">
              <w:rPr>
                <w:rFonts w:ascii="Times New Roman" w:hAnsi="Times New Roman"/>
              </w:rPr>
              <w:fldChar w:fldCharType="end"/>
            </w:r>
            <w:bookmarkEnd w:id="81"/>
            <w:r w:rsidRPr="00C91EA2">
              <w:rPr>
                <w:rFonts w:ascii="Times New Roman" w:hAnsi="Times New Roman"/>
              </w:rPr>
              <w:t>: Economy-Wide PMR Methodology</w:t>
            </w:r>
            <w:bookmarkEnd w:id="82"/>
            <w:bookmarkEnd w:id="83"/>
          </w:p>
          <w:p w14:paraId="6D864C3F" w14:textId="77777777" w:rsidR="0043271C" w:rsidRPr="00C91EA2" w:rsidRDefault="009F5222">
            <w:pPr>
              <w:jc w:val="both"/>
              <w:rPr>
                <w:rFonts w:ascii="Times New Roman" w:hAnsi="Times New Roman" w:cs="Times New Roman"/>
              </w:rPr>
            </w:pPr>
            <w:r w:rsidRPr="00AC4A08">
              <w:rPr>
                <w:rFonts w:ascii="Times New Roman" w:hAnsi="Times New Roman" w:cs="Times New Roman"/>
                <w:noProof/>
              </w:rPr>
              <mc:AlternateContent>
                <mc:Choice Requires="wpg">
                  <w:drawing>
                    <wp:inline distT="0" distB="0" distL="0" distR="0" wp14:anchorId="34FB4C32" wp14:editId="27A6F7AD">
                      <wp:extent cx="5126983" cy="3298182"/>
                      <wp:effectExtent l="0" t="0" r="17145" b="17145"/>
                      <wp:docPr id="32" name="Grup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83" cy="3298182"/>
                                <a:chOff x="0" y="0"/>
                                <a:chExt cx="60607" cy="37197"/>
                              </a:xfrm>
                            </wpg:grpSpPr>
                            <pic:pic xmlns:pic="http://schemas.openxmlformats.org/drawingml/2006/picture">
                              <pic:nvPicPr>
                                <pic:cNvPr id="70" name="Picture 24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 cy="34333"/>
                                </a:xfrm>
                                <a:prstGeom prst="rect">
                                  <a:avLst/>
                                </a:prstGeom>
                                <a:noFill/>
                                <a:extLst>
                                  <a:ext uri="{909E8E84-426E-40DD-AFC4-6F175D3DCCD1}">
                                    <a14:hiddenFill xmlns:a14="http://schemas.microsoft.com/office/drawing/2010/main">
                                      <a:solidFill>
                                        <a:srgbClr val="FFFFFF"/>
                                      </a:solidFill>
                                    </a14:hiddenFill>
                                  </a:ext>
                                </a:extLst>
                              </pic:spPr>
                            </pic:pic>
                            <wpg:grpSp>
                              <wpg:cNvPr id="83" name="Group 7"/>
                              <wpg:cNvGrpSpPr>
                                <a:grpSpLocks/>
                              </wpg:cNvGrpSpPr>
                              <wpg:grpSpPr bwMode="auto">
                                <a:xfrm>
                                  <a:off x="51844" y="431"/>
                                  <a:ext cx="8763" cy="36766"/>
                                  <a:chOff x="0" y="0"/>
                                  <a:chExt cx="5665" cy="70020"/>
                                </a:xfrm>
                              </wpg:grpSpPr>
                              <wps:wsp>
                                <wps:cNvPr id="84" name="Elbow Connector 10"/>
                                <wps:cNvCnPr>
                                  <a:cxnSpLocks noChangeShapeType="1"/>
                                </wps:cNvCnPr>
                                <wps:spPr bwMode="auto">
                                  <a:xfrm rot="16200000" flipH="1">
                                    <a:off x="1518" y="14948"/>
                                    <a:ext cx="2626" cy="0"/>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g:grpSp>
                                <wpg:cNvPr id="85" name="Group 11"/>
                                <wpg:cNvGrpSpPr>
                                  <a:grpSpLocks/>
                                </wpg:cNvGrpSpPr>
                                <wpg:grpSpPr bwMode="auto">
                                  <a:xfrm>
                                    <a:off x="0" y="0"/>
                                    <a:ext cx="5665" cy="70020"/>
                                    <a:chOff x="0" y="0"/>
                                    <a:chExt cx="5665" cy="70020"/>
                                  </a:xfrm>
                                </wpg:grpSpPr>
                                <wpg:grpSp>
                                  <wpg:cNvPr id="86" name="Group 12"/>
                                  <wpg:cNvGrpSpPr>
                                    <a:grpSpLocks/>
                                  </wpg:cNvGrpSpPr>
                                  <wpg:grpSpPr bwMode="auto">
                                    <a:xfrm>
                                      <a:off x="0" y="0"/>
                                      <a:ext cx="5663" cy="13635"/>
                                      <a:chOff x="0" y="0"/>
                                      <a:chExt cx="5663" cy="13635"/>
                                    </a:xfrm>
                                  </wpg:grpSpPr>
                                  <wps:wsp>
                                    <wps:cNvPr id="87" name="AutoShape 4"/>
                                    <wps:cNvSpPr>
                                      <a:spLocks noChangeArrowheads="1"/>
                                    </wps:cNvSpPr>
                                    <wps:spPr bwMode="auto">
                                      <a:xfrm>
                                        <a:off x="0" y="0"/>
                                        <a:ext cx="5663" cy="4928"/>
                                      </a:xfrm>
                                      <a:prstGeom prst="flowChartAlternateProcess">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B37CC"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Main Indicator</w:t>
                                          </w:r>
                                        </w:p>
                                      </w:txbxContent>
                                    </wps:txbx>
                                    <wps:bodyPr rot="0" vert="horz" wrap="square" lIns="54000" tIns="45720" rIns="54000" bIns="45720" anchor="ctr" anchorCtr="0" upright="1">
                                      <a:noAutofit/>
                                    </wps:bodyPr>
                                  </wps:wsp>
                                  <wps:wsp>
                                    <wps:cNvPr id="88" name="AutoShape 57"/>
                                    <wps:cNvSpPr>
                                      <a:spLocks noChangeArrowheads="1"/>
                                    </wps:cNvSpPr>
                                    <wps:spPr bwMode="auto">
                                      <a:xfrm>
                                        <a:off x="0" y="7884"/>
                                        <a:ext cx="5663" cy="5751"/>
                                      </a:xfrm>
                                      <a:prstGeom prst="flowChartAlternateProcess">
                                        <a:avLst/>
                                      </a:prstGeom>
                                      <a:solidFill>
                                        <a:srgbClr val="0E3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5E05D"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F0480F">
                                            <w:rPr>
                                              <w:rFonts w:asciiTheme="majorHAnsi" w:eastAsia="SimSun" w:hAnsiTheme="majorHAnsi" w:cstheme="minorBidi"/>
                                              <w:b/>
                                              <w:bCs/>
                                              <w:color w:val="FFFFFF"/>
                                              <w:sz w:val="16"/>
                                              <w:szCs w:val="16"/>
                                            </w:rPr>
                                            <w:t>Sub-indicator</w:t>
                                          </w:r>
                                        </w:p>
                                      </w:txbxContent>
                                    </wps:txbx>
                                    <wps:bodyPr rot="0" vert="horz" wrap="square" lIns="54000" tIns="45720" rIns="54000" bIns="45720" anchor="ctr" anchorCtr="0" upright="1">
                                      <a:noAutofit/>
                                    </wps:bodyPr>
                                  </wps:wsp>
                                  <wps:wsp>
                                    <wps:cNvPr id="89" name="Shape 107"/>
                                    <wps:cNvCnPr>
                                      <a:cxnSpLocks noChangeShapeType="1"/>
                                    </wps:cNvCnPr>
                                    <wps:spPr bwMode="auto">
                                      <a:xfrm rot="5400000">
                                        <a:off x="1353" y="6406"/>
                                        <a:ext cx="2956" cy="0"/>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g:grpSp>
                                <wpg:grpSp>
                                  <wpg:cNvPr id="90" name="Group 13"/>
                                  <wpg:cNvGrpSpPr>
                                    <a:grpSpLocks/>
                                  </wpg:cNvGrpSpPr>
                                  <wpg:grpSpPr bwMode="auto">
                                    <a:xfrm>
                                      <a:off x="0" y="16261"/>
                                      <a:ext cx="5665" cy="53759"/>
                                      <a:chOff x="0" y="16261"/>
                                      <a:chExt cx="5665" cy="53758"/>
                                    </a:xfrm>
                                  </wpg:grpSpPr>
                                  <wps:wsp>
                                    <wps:cNvPr id="91" name="AutoShape 25"/>
                                    <wps:cNvSpPr>
                                      <a:spLocks noChangeArrowheads="1"/>
                                    </wps:cNvSpPr>
                                    <wps:spPr bwMode="auto">
                                      <a:xfrm>
                                        <a:off x="2" y="39422"/>
                                        <a:ext cx="5663" cy="7563"/>
                                      </a:xfrm>
                                      <a:prstGeom prst="flowChartAlternateProcess">
                                        <a:avLst/>
                                      </a:prstGeom>
                                      <a:solidFill>
                                        <a:srgbClr val="B9CDE5"/>
                                      </a:solidFill>
                                      <a:ln w="9525">
                                        <a:solidFill>
                                          <a:srgbClr val="B0D4EC"/>
                                        </a:solidFill>
                                        <a:miter lim="800000"/>
                                        <a:headEnd/>
                                        <a:tailEnd/>
                                      </a:ln>
                                    </wps:spPr>
                                    <wps:txbx>
                                      <w:txbxContent>
                                        <w:p w14:paraId="11AC59B9"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Lower-level Indicator</w:t>
                                          </w:r>
                                        </w:p>
                                        <w:p w14:paraId="1BFAD10C"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proofErr w:type="spellStart"/>
                                          <w:r w:rsidRPr="000F1CC6">
                                            <w:rPr>
                                              <w:rFonts w:asciiTheme="majorHAnsi" w:eastAsia="SimSun" w:hAnsiTheme="majorHAnsi" w:cstheme="minorBidi"/>
                                              <w:b/>
                                              <w:bCs/>
                                              <w:color w:val="030302"/>
                                              <w:sz w:val="16"/>
                                              <w:szCs w:val="16"/>
                                            </w:rPr>
                                            <w:t>vel</w:t>
                                          </w:r>
                                          <w:proofErr w:type="spellEnd"/>
                                          <w:r w:rsidRPr="000F1CC6">
                                            <w:rPr>
                                              <w:rFonts w:asciiTheme="majorHAnsi" w:eastAsia="SimSun" w:hAnsiTheme="majorHAnsi" w:cstheme="minorBidi"/>
                                              <w:b/>
                                              <w:bCs/>
                                              <w:color w:val="030302"/>
                                              <w:sz w:val="16"/>
                                              <w:szCs w:val="16"/>
                                            </w:rPr>
                                            <w:t xml:space="preserve"> indicator</w:t>
                                          </w:r>
                                        </w:p>
                                      </w:txbxContent>
                                    </wps:txbx>
                                    <wps:bodyPr rot="0" vert="horz" wrap="square" lIns="0" tIns="45720" rIns="0" bIns="45720" anchor="ctr" anchorCtr="0" upright="1">
                                      <a:noAutofit/>
                                    </wps:bodyPr>
                                  </wps:wsp>
                                  <wps:wsp>
                                    <wps:cNvPr id="92" name="AutoShape 26"/>
                                    <wps:cNvSpPr>
                                      <a:spLocks noChangeArrowheads="1"/>
                                    </wps:cNvSpPr>
                                    <wps:spPr bwMode="auto">
                                      <a:xfrm>
                                        <a:off x="2" y="61943"/>
                                        <a:ext cx="5663" cy="8077"/>
                                      </a:xfrm>
                                      <a:prstGeom prst="flowChartAlternateProcess">
                                        <a:avLst/>
                                      </a:prstGeom>
                                      <a:solidFill>
                                        <a:srgbClr val="4BACC6">
                                          <a:lumMod val="20000"/>
                                          <a:lumOff val="80000"/>
                                        </a:srgbClr>
                                      </a:solidFill>
                                      <a:ln w="9525">
                                        <a:solidFill>
                                          <a:srgbClr val="4BACC6">
                                            <a:lumMod val="20000"/>
                                            <a:lumOff val="80000"/>
                                          </a:srgbClr>
                                        </a:solidFill>
                                        <a:miter lim="800000"/>
                                        <a:headEnd/>
                                        <a:tailEnd/>
                                      </a:ln>
                                    </wps:spPr>
                                    <wps:txbx>
                                      <w:txbxContent>
                                        <w:p w14:paraId="29A89DDD"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Individual Questions</w:t>
                                          </w:r>
                                        </w:p>
                                      </w:txbxContent>
                                    </wps:txbx>
                                    <wps:bodyPr rot="0" vert="horz" wrap="square" lIns="0" tIns="45720" rIns="0" bIns="45720" anchor="ctr" anchorCtr="0" upright="1">
                                      <a:noAutofit/>
                                    </wps:bodyPr>
                                  </wps:wsp>
                                  <wps:wsp>
                                    <wps:cNvPr id="93" name="AutoShape 10"/>
                                    <wps:cNvSpPr>
                                      <a:spLocks noChangeArrowheads="1"/>
                                    </wps:cNvSpPr>
                                    <wps:spPr bwMode="auto">
                                      <a:xfrm>
                                        <a:off x="0" y="16261"/>
                                        <a:ext cx="5663" cy="11832"/>
                                      </a:xfrm>
                                      <a:prstGeom prst="flowChartAlternateProcess">
                                        <a:avLst/>
                                      </a:prstGeom>
                                      <a:solidFill>
                                        <a:srgbClr val="558ED5"/>
                                      </a:solidFill>
                                      <a:ln w="9525">
                                        <a:solidFill>
                                          <a:srgbClr val="4F81BD"/>
                                        </a:solidFill>
                                        <a:miter lim="800000"/>
                                        <a:headEnd/>
                                        <a:tailEnd/>
                                      </a:ln>
                                    </wps:spPr>
                                    <wps:txbx>
                                      <w:txbxContent>
                                        <w:p w14:paraId="20265C9A"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F0480F">
                                            <w:rPr>
                                              <w:rFonts w:asciiTheme="majorHAnsi" w:eastAsia="SimSun" w:hAnsiTheme="majorHAnsi" w:cstheme="minorBidi"/>
                                              <w:b/>
                                              <w:bCs/>
                                              <w:color w:val="FFFFFF"/>
                                              <w:sz w:val="16"/>
                                              <w:szCs w:val="16"/>
                                            </w:rPr>
                                            <w:t>Intermediate Indicators</w:t>
                                          </w:r>
                                        </w:p>
                                      </w:txbxContent>
                                    </wps:txbx>
                                    <wps:bodyPr rot="0" vert="horz" wrap="square" lIns="54000" tIns="45720" rIns="54000" bIns="45720" anchor="ctr" anchorCtr="0" upright="1">
                                      <a:noAutofit/>
                                    </wps:bodyPr>
                                  </wps:wsp>
                                  <wps:wsp>
                                    <wps:cNvPr id="94" name="Straight Connector 17"/>
                                    <wps:cNvCnPr>
                                      <a:cxnSpLocks noChangeShapeType="1"/>
                                    </wps:cNvCnPr>
                                    <wps:spPr bwMode="auto">
                                      <a:xfrm>
                                        <a:off x="2834" y="46977"/>
                                        <a:ext cx="0" cy="15386"/>
                                      </a:xfrm>
                                      <a:prstGeom prst="line">
                                        <a:avLst/>
                                      </a:prstGeom>
                                      <a:noFill/>
                                      <a:ln w="15875">
                                        <a:solidFill>
                                          <a:srgbClr val="000000"/>
                                        </a:solidFill>
                                        <a:round/>
                                        <a:headEnd type="triangle" w="med" len="med"/>
                                        <a:tailEnd type="none" w="lg" len="lg"/>
                                      </a:ln>
                                      <a:extLst>
                                        <a:ext uri="{909E8E84-426E-40DD-AFC4-6F175D3DCCD1}">
                                          <a14:hiddenFill xmlns:a14="http://schemas.microsoft.com/office/drawing/2010/main">
                                            <a:noFill/>
                                          </a14:hiddenFill>
                                        </a:ext>
                                      </a:extLst>
                                    </wps:spPr>
                                    <wps:bodyPr/>
                                  </wps:wsp>
                                  <wps:wsp>
                                    <wps:cNvPr id="95" name="Straight Connector 18"/>
                                    <wps:cNvCnPr>
                                      <a:cxnSpLocks noChangeShapeType="1"/>
                                    </wps:cNvCnPr>
                                    <wps:spPr bwMode="auto">
                                      <a:xfrm flipH="1" flipV="1">
                                        <a:off x="2831" y="28093"/>
                                        <a:ext cx="3" cy="11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w14:anchorId="34FB4C32" id="_x0000_s1041" style="width:403.7pt;height:259.7pt;mso-position-horizontal-relative:char;mso-position-vertical-relative:line" coordsize="60607,37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">
                      <v:shape id="Picture 247" o:spid="_x0000_s1042" type="#_x0000_t75" style="position:absolute;width:52793;height:3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">
                        <v:imagedata r:id="rId11" o:title=""/>
                      </v:shape>
                      <v:group id="Group 7" o:spid="_x0000_s1043" style="position:absolute;left:51844;top:431;width:8763;height:36766" coordsize="566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Elbow Connector 10" o:spid="_x0000_s1044" type="#_x0000_t34" style="position:absolute;left:1518;top:14948;width:262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">
                          <v:stroke startarrow="block"/>
                        </v:shape>
                        <v:group id="Group 11" o:spid="_x0000_s1045" style="position:absolute;width:5665;height:70020" coordsize="566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12" o:spid="_x0000_s1046" style="position:absolute;width:5663;height:13635" coordsize="5663,1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AutoShape 4" o:spid="_x0000_s1047" type="#_x0000_t176" style="position:absolute;width:5663;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" fillcolor="#92d050" stroked="f">
                              <v:textbox inset="1.5mm,,1.5mm">
                                <w:txbxContent>
                                  <w:p w14:paraId="7F2B37CC"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Main Indicator</w:t>
                                    </w:r>
                                  </w:p>
                                </w:txbxContent>
                              </v:textbox>
                            </v:shape>
                            <v:shape id="AutoShape 57" o:spid="_x0000_s1048" type="#_x0000_t176" style="position:absolute;top:7884;width:5663;height:5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" fillcolor="#0e387c" stroked="f">
                              <v:textbox inset="1.5mm,,1.5mm">
                                <w:txbxContent>
                                  <w:p w14:paraId="3BC5E05D"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F0480F">
                                      <w:rPr>
                                        <w:rFonts w:asciiTheme="majorHAnsi" w:eastAsia="SimSun" w:hAnsiTheme="majorHAnsi" w:cstheme="minorBidi"/>
                                        <w:b/>
                                        <w:bCs/>
                                        <w:color w:val="FFFFFF"/>
                                        <w:sz w:val="16"/>
                                        <w:szCs w:val="16"/>
                                      </w:rPr>
                                      <w:t>Sub-indicator</w:t>
                                    </w:r>
                                  </w:p>
                                </w:txbxContent>
                              </v:textbox>
                            </v:shape>
                            <v:shape id="Shape 107" o:spid="_x0000_s1049" type="#_x0000_t34" style="position:absolute;left:1353;top:6406;width:295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">
                              <v:stroke startarrow="block"/>
                            </v:shape>
                          </v:group>
                          <v:group id="Group 13" o:spid="_x0000_s1050" style="position:absolute;top:16261;width:5665;height:53759" coordorigin=",16261" coordsize="5665,5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AutoShape 25" o:spid="_x0000_s1051" type="#_x0000_t176" style="position:absolute;left:2;top:39422;width:5663;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" fillcolor="#b9cde5" strokecolor="#b0d4ec">
                              <v:textbox inset="0,,0">
                                <w:txbxContent>
                                  <w:p w14:paraId="11AC59B9"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Lower-level Indicator</w:t>
                                    </w:r>
                                  </w:p>
                                  <w:p w14:paraId="1BFAD10C"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proofErr w:type="spellStart"/>
                                    <w:r w:rsidRPr="000F1CC6">
                                      <w:rPr>
                                        <w:rFonts w:asciiTheme="majorHAnsi" w:eastAsia="SimSun" w:hAnsiTheme="majorHAnsi" w:cstheme="minorBidi"/>
                                        <w:b/>
                                        <w:bCs/>
                                        <w:color w:val="030302"/>
                                        <w:sz w:val="16"/>
                                        <w:szCs w:val="16"/>
                                      </w:rPr>
                                      <w:t>vel</w:t>
                                    </w:r>
                                    <w:proofErr w:type="spellEnd"/>
                                    <w:r w:rsidRPr="000F1CC6">
                                      <w:rPr>
                                        <w:rFonts w:asciiTheme="majorHAnsi" w:eastAsia="SimSun" w:hAnsiTheme="majorHAnsi" w:cstheme="minorBidi"/>
                                        <w:b/>
                                        <w:bCs/>
                                        <w:color w:val="030302"/>
                                        <w:sz w:val="16"/>
                                        <w:szCs w:val="16"/>
                                      </w:rPr>
                                      <w:t xml:space="preserve"> indicator</w:t>
                                    </w:r>
                                  </w:p>
                                </w:txbxContent>
                              </v:textbox>
                            </v:shape>
                            <v:shape id="AutoShape 26" o:spid="_x0000_s1052" type="#_x0000_t176" style="position:absolute;left:2;top:61943;width:5663;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" fillcolor="#dbeef4" strokecolor="#dbeef4">
                              <v:textbox inset="0,,0">
                                <w:txbxContent>
                                  <w:p w14:paraId="29A89DDD"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0F1CC6">
                                      <w:rPr>
                                        <w:rFonts w:asciiTheme="majorHAnsi" w:eastAsia="SimSun" w:hAnsiTheme="majorHAnsi" w:cstheme="minorBidi"/>
                                        <w:b/>
                                        <w:bCs/>
                                        <w:color w:val="030302"/>
                                        <w:sz w:val="16"/>
                                        <w:szCs w:val="16"/>
                                      </w:rPr>
                                      <w:t>Individual Questions</w:t>
                                    </w:r>
                                  </w:p>
                                </w:txbxContent>
                              </v:textbox>
                            </v:shape>
                            <v:shape id="AutoShape 10" o:spid="_x0000_s1053" type="#_x0000_t176" style="position:absolute;top:16261;width:5663;height:1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" fillcolor="#558ed5" strokecolor="#4f81bd">
                              <v:textbox inset="1.5mm,,1.5mm">
                                <w:txbxContent>
                                  <w:p w14:paraId="20265C9A" w14:textId="77777777" w:rsidR="00B42297" w:rsidRPr="00F0480F" w:rsidRDefault="00B42297" w:rsidP="009F5222">
                                    <w:pPr>
                                      <w:pStyle w:val="NormalWeb"/>
                                      <w:spacing w:before="0" w:beforeAutospacing="0" w:after="0" w:afterAutospacing="0"/>
                                      <w:jc w:val="center"/>
                                      <w:textAlignment w:val="baseline"/>
                                      <w:rPr>
                                        <w:rFonts w:asciiTheme="majorHAnsi" w:hAnsiTheme="majorHAnsi"/>
                                        <w:sz w:val="16"/>
                                        <w:szCs w:val="16"/>
                                      </w:rPr>
                                    </w:pPr>
                                    <w:r w:rsidRPr="00F0480F">
                                      <w:rPr>
                                        <w:rFonts w:asciiTheme="majorHAnsi" w:eastAsia="SimSun" w:hAnsiTheme="majorHAnsi" w:cstheme="minorBidi"/>
                                        <w:b/>
                                        <w:bCs/>
                                        <w:color w:val="FFFFFF"/>
                                        <w:sz w:val="16"/>
                                        <w:szCs w:val="16"/>
                                      </w:rPr>
                                      <w:t>Intermediate Indicators</w:t>
                                    </w:r>
                                  </w:p>
                                </w:txbxContent>
                              </v:textbox>
                            </v:shape>
                            <v:line id="Straight Connector 17" o:spid="_x0000_s1054" style="position:absolute;visibility:visible;mso-wrap-style:square" from="2834,46977" to="2834,6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" strokeweight="1.25pt">
                              <v:stroke startarrow="block" endarrowwidth="wide" endarrowlength="long"/>
                            </v:line>
                            <v:line id="Straight Connector 18" o:spid="_x0000_s1055" style="position:absolute;flip:x y;visibility:visible;mso-wrap-style:square" from="2831,28093" to="2834,3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">
                              <v:stroke endarrow="block"/>
                            </v:line>
                          </v:group>
                        </v:group>
                      </v:group>
                      <w10:anchorlock/>
                    </v:group>
                  </w:pict>
                </mc:Fallback>
              </mc:AlternateContent>
            </w:r>
          </w:p>
          <w:p w14:paraId="5427F7CF" w14:textId="77777777" w:rsidR="0043271C" w:rsidRPr="00C91EA2" w:rsidRDefault="0043271C">
            <w:pPr>
              <w:pStyle w:val="L-Box-body"/>
              <w:ind w:left="0"/>
              <w:rPr>
                <w:sz w:val="20"/>
                <w:szCs w:val="20"/>
              </w:rPr>
            </w:pPr>
            <w:r w:rsidRPr="00C91EA2">
              <w:rPr>
                <w:sz w:val="20"/>
                <w:szCs w:val="20"/>
              </w:rPr>
              <w:t xml:space="preserve">Initially built by the OECD for their members and the OECD plus countries (47 countries total), in partnership with the WBG, the dataset has been extended to </w:t>
            </w:r>
            <w:r w:rsidR="00B41703">
              <w:rPr>
                <w:sz w:val="20"/>
                <w:szCs w:val="20"/>
              </w:rPr>
              <w:t>22</w:t>
            </w:r>
            <w:r w:rsidR="00B41703" w:rsidRPr="00C91EA2">
              <w:rPr>
                <w:sz w:val="20"/>
                <w:szCs w:val="20"/>
              </w:rPr>
              <w:t xml:space="preserve"> </w:t>
            </w:r>
            <w:r w:rsidRPr="00C91EA2">
              <w:rPr>
                <w:sz w:val="20"/>
                <w:szCs w:val="20"/>
              </w:rPr>
              <w:t xml:space="preserve">additional countries, including Senegal. </w:t>
            </w:r>
          </w:p>
          <w:p w14:paraId="1C5AA1D5" w14:textId="00C7BF01" w:rsidR="0043271C" w:rsidRPr="00C91EA2" w:rsidRDefault="0043271C">
            <w:pPr>
              <w:pStyle w:val="L-Box-body"/>
              <w:ind w:left="0"/>
              <w:rPr>
                <w:sz w:val="20"/>
                <w:szCs w:val="20"/>
              </w:rPr>
            </w:pPr>
            <w:r w:rsidRPr="00C91EA2">
              <w:rPr>
                <w:sz w:val="20"/>
                <w:szCs w:val="20"/>
              </w:rPr>
              <w:t xml:space="preserve">The PMR indicators are designed to reflect regulations that have the potential to restrict competition in areas where competition is viable. By construction, they have </w:t>
            </w:r>
            <w:proofErr w:type="gramStart"/>
            <w:r w:rsidRPr="00C91EA2">
              <w:rPr>
                <w:sz w:val="20"/>
                <w:szCs w:val="20"/>
              </w:rPr>
              <w:t>a number of</w:t>
            </w:r>
            <w:proofErr w:type="gramEnd"/>
            <w:r w:rsidRPr="00C91EA2">
              <w:rPr>
                <w:sz w:val="20"/>
                <w:szCs w:val="20"/>
              </w:rPr>
              <w:t xml:space="preserve"> features which make them useful not only for analysis, but, more importantly, for policy advice, since they pinpoint specific policies that hamper competition in product markets. The PMR indicators are focused on enacted policies and not on outcomes, </w:t>
            </w:r>
            <w:r w:rsidR="00A51479">
              <w:rPr>
                <w:sz w:val="20"/>
                <w:szCs w:val="20"/>
              </w:rPr>
              <w:t>and thus</w:t>
            </w:r>
            <w:r w:rsidRPr="00C91EA2">
              <w:rPr>
                <w:sz w:val="20"/>
                <w:szCs w:val="20"/>
              </w:rPr>
              <w:t xml:space="preserve"> are ‘objective’, in that they are not based on opinion surveys. Finally, PMR indicators focus on regulatory measures that affect the economy at large and can therefore be considered as comprehensive measures of regulatory restrictiveness. Their advantages notwithstanding, PMR indicators are not designed to capture informal regulatory </w:t>
            </w:r>
            <w:proofErr w:type="gramStart"/>
            <w:r w:rsidRPr="00C91EA2">
              <w:rPr>
                <w:sz w:val="20"/>
                <w:szCs w:val="20"/>
              </w:rPr>
              <w:t xml:space="preserve">practices </w:t>
            </w:r>
            <w:r w:rsidR="00B247C6">
              <w:rPr>
                <w:sz w:val="20"/>
                <w:szCs w:val="20"/>
              </w:rPr>
              <w:t xml:space="preserve"> </w:t>
            </w:r>
            <w:r w:rsidRPr="00C91EA2">
              <w:rPr>
                <w:sz w:val="20"/>
                <w:szCs w:val="20"/>
              </w:rPr>
              <w:t>or</w:t>
            </w:r>
            <w:proofErr w:type="gramEnd"/>
            <w:r w:rsidRPr="00C91EA2">
              <w:rPr>
                <w:sz w:val="20"/>
                <w:szCs w:val="20"/>
              </w:rPr>
              <w:t xml:space="preserve"> the effective enforcement of regulations, since they are only concerned with formal compliance with a number of criteria.</w:t>
            </w:r>
          </w:p>
          <w:p w14:paraId="5BFF35DA"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 xml:space="preserve">Source: OECD 2013 Schemata and </w:t>
            </w:r>
            <w:r w:rsidRPr="00C91EA2">
              <w:rPr>
                <w:rFonts w:ascii="Times New Roman" w:hAnsi="Times New Roman" w:cs="Times New Roman"/>
                <w:sz w:val="20"/>
                <w:szCs w:val="20"/>
              </w:rPr>
              <w:fldChar w:fldCharType="begin"/>
            </w:r>
            <w:r w:rsidRPr="00C91EA2">
              <w:rPr>
                <w:rFonts w:ascii="Times New Roman" w:hAnsi="Times New Roman" w:cs="Times New Roman"/>
                <w:sz w:val="20"/>
                <w:szCs w:val="20"/>
              </w:rPr>
              <w:instrText xml:space="preserve"> ADDIN ZOTERO_ITEM CSL_CITATION {"citationID":"fvDtHZue","properties":{"formattedCitation":"(Koske et al., 2015)","plainCitation":"(Koske et al., 2015)"},"citationItems":[{"id":7299,"uris":["http://zotero.org/groups/42265/items/3X2X2RVU"],"uri":["http://zotero.org/groups/42265/items/3X2X2RVU"],"itemData":{"id":7299,"type":"report","title":"The 2013 update of the OECD's database on product market regulation: policy insights for OECD and non-OECD countries","publisher":"Organisation for Economic Co-operation and Development","publisher-place":"Paris","genre":"OECD Economics Department Working Papers","source":"OECD","event-place":"Paris","abstract":"This paper investigates patterns in product market regulation across 34 OECD and 21 non-OECD countries, using an updated and revised version of the OECD&amp;#8217;s indicators of product market regulation (PMR). The analysis shows that liberalisation of product markets has further slowed over the past five years. However, even though there was little progress on average in the OECD over this period, a number of OECD countries implemented sizable reforms, often in an attempt to boost economic growth in wake of the economic crisis. On average across the OECD, countries have made particular progress in abolishing price controls or improving their design, streamlining administrative procedures for start-ups, simplifying rules and procedures or improving access to information about regulations. Room for further improvements is the largest in the areas of public ownership and the governance of state-owned enterprises as well as with respect to barriers to competition in network and services sectors.","URL":"http://www.oecd-ilibrary.org/content/workingpaper/5js3f5d3n2vl-en","language":"en","author":[{"family":"Koske","given":"Isabell"},{"family":"Wanner","given":"Isabelle"},{"family":"Bitetti","given":"Rosamaria"},{"family":"Barbiero","given":"Omar"}],"issued":{"date-parts":[["2015",3,31]]}}}],"schema":"https://github.com/citation-style-language/schema/raw/master/csl-citation.json"} </w:instrText>
            </w:r>
            <w:r w:rsidRPr="00C91EA2">
              <w:rPr>
                <w:rFonts w:ascii="Times New Roman" w:hAnsi="Times New Roman" w:cs="Times New Roman"/>
                <w:sz w:val="20"/>
                <w:szCs w:val="20"/>
              </w:rPr>
              <w:fldChar w:fldCharType="separate"/>
            </w:r>
            <w:r w:rsidRPr="00C91EA2">
              <w:rPr>
                <w:rFonts w:ascii="Times New Roman" w:hAnsi="Times New Roman" w:cs="Times New Roman"/>
                <w:sz w:val="20"/>
                <w:szCs w:val="20"/>
              </w:rPr>
              <w:t>Koske et al. (2015)</w:t>
            </w:r>
            <w:r w:rsidRPr="00C91EA2">
              <w:rPr>
                <w:rFonts w:ascii="Times New Roman" w:hAnsi="Times New Roman" w:cs="Times New Roman"/>
                <w:sz w:val="20"/>
                <w:szCs w:val="20"/>
              </w:rPr>
              <w:fldChar w:fldCharType="end"/>
            </w:r>
          </w:p>
        </w:tc>
      </w:tr>
    </w:tbl>
    <w:p w14:paraId="7188A2E1" w14:textId="77777777" w:rsidR="00711D1F" w:rsidRPr="00C91EA2" w:rsidRDefault="00711D1F" w:rsidP="0043271C">
      <w:pPr>
        <w:jc w:val="both"/>
        <w:rPr>
          <w:rFonts w:ascii="Times New Roman" w:hAnsi="Times New Roman" w:cs="Times New Roman"/>
        </w:rPr>
      </w:pPr>
    </w:p>
    <w:p w14:paraId="21DD953D" w14:textId="0FE0CF7D" w:rsidR="0043271C" w:rsidRPr="00C91EA2" w:rsidRDefault="0043271C" w:rsidP="0043271C">
      <w:pPr>
        <w:pStyle w:val="ListParagraph"/>
        <w:numPr>
          <w:ilvl w:val="0"/>
          <w:numId w:val="125"/>
        </w:numPr>
        <w:ind w:left="0" w:firstLine="0"/>
        <w:jc w:val="both"/>
        <w:rPr>
          <w:rFonts w:ascii="Times New Roman" w:hAnsi="Times New Roman" w:cs="Times New Roman"/>
        </w:rPr>
      </w:pPr>
      <w:r w:rsidRPr="00AC37B0">
        <w:rPr>
          <w:rFonts w:ascii="Times New Roman" w:hAnsi="Times New Roman" w:cs="Times New Roman"/>
          <w:b/>
          <w:bCs/>
        </w:rPr>
        <w:t>Regulatory restrictiveness</w:t>
      </w:r>
      <w:r w:rsidR="00AC37B0" w:rsidRPr="00AC37B0">
        <w:rPr>
          <w:rFonts w:ascii="Times New Roman" w:hAnsi="Times New Roman" w:cs="Times New Roman"/>
          <w:b/>
          <w:bCs/>
        </w:rPr>
        <w:t xml:space="preserve"> in Senegal</w:t>
      </w:r>
      <w:r w:rsidRPr="00AC37B0">
        <w:rPr>
          <w:rFonts w:ascii="Times New Roman" w:hAnsi="Times New Roman" w:cs="Times New Roman"/>
          <w:b/>
          <w:bCs/>
        </w:rPr>
        <w:t xml:space="preserve"> is relatively high, especially when compared with </w:t>
      </w:r>
      <w:r w:rsidR="00926F55">
        <w:rPr>
          <w:rFonts w:ascii="Times New Roman" w:hAnsi="Times New Roman" w:cs="Times New Roman"/>
          <w:b/>
          <w:bCs/>
        </w:rPr>
        <w:t>peer</w:t>
      </w:r>
      <w:r w:rsidR="00AC37B0">
        <w:rPr>
          <w:rFonts w:ascii="Times New Roman" w:hAnsi="Times New Roman" w:cs="Times New Roman"/>
          <w:b/>
          <w:bCs/>
        </w:rPr>
        <w:t>s</w:t>
      </w:r>
      <w:r w:rsidR="004D766D">
        <w:rPr>
          <w:rFonts w:ascii="Times New Roman" w:hAnsi="Times New Roman" w:cs="Times New Roman"/>
          <w:b/>
          <w:bCs/>
        </w:rPr>
        <w:t xml:space="preserve">, where PMR data </w:t>
      </w:r>
      <w:r w:rsidR="00DC2CB2">
        <w:rPr>
          <w:rFonts w:ascii="Times New Roman" w:hAnsi="Times New Roman" w:cs="Times New Roman"/>
          <w:b/>
          <w:bCs/>
        </w:rPr>
        <w:t>is available</w:t>
      </w:r>
      <w:r w:rsidRPr="00C91EA2">
        <w:rPr>
          <w:rFonts w:ascii="Times New Roman" w:hAnsi="Times New Roman" w:cs="Times New Roman"/>
          <w:bCs/>
        </w:rPr>
        <w:t>.</w:t>
      </w:r>
      <w:r w:rsidRPr="00C91EA2">
        <w:rPr>
          <w:rStyle w:val="FootnoteReference"/>
          <w:rFonts w:ascii="Times New Roman" w:hAnsi="Times New Roman" w:cs="Times New Roman"/>
          <w:bCs/>
        </w:rPr>
        <w:footnoteReference w:id="76"/>
      </w:r>
      <w:r w:rsidRPr="00C91EA2">
        <w:rPr>
          <w:rFonts w:ascii="Times New Roman" w:hAnsi="Times New Roman" w:cs="Times New Roman"/>
          <w:bCs/>
        </w:rPr>
        <w:t xml:space="preserve"> </w:t>
      </w:r>
      <w:r w:rsidRPr="00C91EA2">
        <w:rPr>
          <w:rFonts w:ascii="Times New Roman" w:hAnsi="Times New Roman" w:cs="Times New Roman"/>
        </w:rPr>
        <w:t xml:space="preserve">As </w:t>
      </w:r>
      <w:r w:rsidRPr="00C91EA2">
        <w:rPr>
          <w:rFonts w:ascii="Times New Roman" w:hAnsi="Times New Roman" w:cs="Times New Roman"/>
        </w:rPr>
        <w:fldChar w:fldCharType="begin"/>
      </w:r>
      <w:r w:rsidRPr="00C91EA2">
        <w:rPr>
          <w:rFonts w:ascii="Times New Roman" w:hAnsi="Times New Roman" w:cs="Times New Roman"/>
        </w:rPr>
        <w:instrText xml:space="preserve"> REF _Ref496887333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17</w:t>
      </w:r>
      <w:r w:rsidRPr="00C91EA2">
        <w:rPr>
          <w:rFonts w:ascii="Times New Roman" w:hAnsi="Times New Roman" w:cs="Times New Roman"/>
        </w:rPr>
        <w:fldChar w:fldCharType="end"/>
      </w:r>
      <w:r w:rsidRPr="00C91EA2">
        <w:rPr>
          <w:rFonts w:ascii="Times New Roman" w:hAnsi="Times New Roman" w:cs="Times New Roman"/>
        </w:rPr>
        <w:t xml:space="preserve"> shows, </w:t>
      </w:r>
      <w:r w:rsidR="00FB4269">
        <w:rPr>
          <w:rFonts w:ascii="Times New Roman" w:hAnsi="Times New Roman" w:cs="Times New Roman"/>
        </w:rPr>
        <w:t>Senegal</w:t>
      </w:r>
      <w:r w:rsidR="00983E9D">
        <w:rPr>
          <w:rFonts w:ascii="Times New Roman" w:hAnsi="Times New Roman" w:cs="Times New Roman"/>
        </w:rPr>
        <w:t xml:space="preserve"> has an </w:t>
      </w:r>
      <w:r w:rsidR="00FB4269">
        <w:rPr>
          <w:rFonts w:ascii="Times New Roman" w:hAnsi="Times New Roman" w:cs="Times New Roman"/>
        </w:rPr>
        <w:t xml:space="preserve">overall PMR score of </w:t>
      </w:r>
      <w:r w:rsidR="000C1814" w:rsidRPr="000C1814">
        <w:rPr>
          <w:rFonts w:ascii="Times New Roman" w:hAnsi="Times New Roman" w:cs="Times New Roman"/>
        </w:rPr>
        <w:t>2.56</w:t>
      </w:r>
      <w:r w:rsidR="000774B0" w:rsidRPr="000C1814">
        <w:rPr>
          <w:rFonts w:ascii="Times New Roman" w:hAnsi="Times New Roman" w:cs="Times New Roman"/>
        </w:rPr>
        <w:t>,</w:t>
      </w:r>
      <w:r w:rsidR="000774B0">
        <w:rPr>
          <w:rFonts w:ascii="Times New Roman" w:hAnsi="Times New Roman" w:cs="Times New Roman"/>
        </w:rPr>
        <w:t xml:space="preserve"> which captures </w:t>
      </w:r>
      <w:r w:rsidRPr="00C91EA2">
        <w:rPr>
          <w:rFonts w:ascii="Times New Roman" w:hAnsi="Times New Roman" w:cs="Times New Roman"/>
        </w:rPr>
        <w:t>state control</w:t>
      </w:r>
      <w:r w:rsidR="00DC2CB2">
        <w:rPr>
          <w:rFonts w:ascii="Times New Roman" w:hAnsi="Times New Roman" w:cs="Times New Roman"/>
        </w:rPr>
        <w:t xml:space="preserve"> </w:t>
      </w:r>
      <w:r w:rsidR="00E94CB5">
        <w:rPr>
          <w:rFonts w:ascii="Times New Roman" w:hAnsi="Times New Roman" w:cs="Times New Roman"/>
        </w:rPr>
        <w:t>of</w:t>
      </w:r>
      <w:r w:rsidR="00DC2CB2">
        <w:rPr>
          <w:rFonts w:ascii="Times New Roman" w:hAnsi="Times New Roman" w:cs="Times New Roman"/>
        </w:rPr>
        <w:t xml:space="preserve"> the economy</w:t>
      </w:r>
      <w:r w:rsidRPr="00C91EA2">
        <w:rPr>
          <w:rFonts w:ascii="Times New Roman" w:hAnsi="Times New Roman" w:cs="Times New Roman"/>
        </w:rPr>
        <w:t>, barriers to entry and rivalry and barriers to trade and investment.</w:t>
      </w:r>
      <w:r w:rsidRPr="00C91EA2">
        <w:rPr>
          <w:rFonts w:ascii="Times New Roman" w:hAnsi="Times New Roman" w:cs="Times New Roman"/>
          <w:noProof/>
        </w:rPr>
        <w:t xml:space="preserve"> </w:t>
      </w:r>
    </w:p>
    <w:p w14:paraId="4CB3169B"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2E8C901F"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0D772329" w14:textId="52A1A302" w:rsidR="0043271C" w:rsidRPr="00C91EA2" w:rsidRDefault="0043271C">
            <w:pPr>
              <w:pStyle w:val="Caption"/>
              <w:keepNext/>
              <w:jc w:val="both"/>
              <w:rPr>
                <w:rFonts w:ascii="Times New Roman" w:hAnsi="Times New Roman"/>
              </w:rPr>
            </w:pPr>
            <w:bookmarkStart w:id="84" w:name="_Ref496887333"/>
            <w:bookmarkStart w:id="85" w:name="_Ref497128980"/>
            <w:bookmarkStart w:id="86" w:name="_Toc497990862"/>
            <w:bookmarkStart w:id="87" w:name="_Toc520725573"/>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17</w:t>
            </w:r>
            <w:r w:rsidR="00D91B27">
              <w:rPr>
                <w:rFonts w:ascii="Times New Roman" w:hAnsi="Times New Roman"/>
              </w:rPr>
              <w:fldChar w:fldCharType="end"/>
            </w:r>
            <w:bookmarkEnd w:id="84"/>
            <w:bookmarkEnd w:id="85"/>
            <w:r w:rsidRPr="00C91EA2">
              <w:rPr>
                <w:rFonts w:ascii="Times New Roman" w:hAnsi="Times New Roman"/>
              </w:rPr>
              <w:t xml:space="preserve">: Product Market Regulation </w:t>
            </w:r>
            <w:bookmarkEnd w:id="86"/>
            <w:r w:rsidR="002779F3">
              <w:rPr>
                <w:rFonts w:ascii="Times New Roman" w:hAnsi="Times New Roman"/>
              </w:rPr>
              <w:t>in Senegal and Comparator Countries</w:t>
            </w:r>
            <w:bookmarkEnd w:id="87"/>
            <w:r w:rsidR="002779F3">
              <w:rPr>
                <w:rFonts w:ascii="Times New Roman" w:hAnsi="Times New Roman"/>
              </w:rPr>
              <w:t xml:space="preserve"> </w:t>
            </w:r>
          </w:p>
        </w:tc>
      </w:tr>
      <w:tr w:rsidR="008730F1" w:rsidRPr="00C91EA2" w14:paraId="1A11114D" w14:textId="77777777" w:rsidTr="0043271C">
        <w:trPr>
          <w:trHeight w:val="255"/>
        </w:trPr>
        <w:tc>
          <w:tcPr>
            <w:tcW w:w="8630" w:type="dxa"/>
            <w:tcBorders>
              <w:top w:val="single" w:sz="4" w:space="0" w:color="auto"/>
              <w:left w:val="single" w:sz="4" w:space="0" w:color="auto"/>
              <w:bottom w:val="single" w:sz="4" w:space="0" w:color="auto"/>
              <w:right w:val="single" w:sz="4" w:space="0" w:color="auto"/>
            </w:tcBorders>
          </w:tcPr>
          <w:p w14:paraId="60D3026E" w14:textId="77777777" w:rsidR="008730F1" w:rsidRPr="00C91EA2" w:rsidRDefault="008730F1" w:rsidP="008730F1">
            <w:pPr>
              <w:jc w:val="both"/>
              <w:rPr>
                <w:rFonts w:ascii="Times New Roman" w:hAnsi="Times New Roman" w:cs="Times New Roman"/>
                <w:sz w:val="20"/>
                <w:szCs w:val="20"/>
              </w:rPr>
            </w:pPr>
            <w:r>
              <w:rPr>
                <w:noProof/>
              </w:rPr>
              <w:drawing>
                <wp:inline distT="0" distB="0" distL="0" distR="0" wp14:anchorId="235D6459" wp14:editId="50DF73E9">
                  <wp:extent cx="5372100" cy="4123055"/>
                  <wp:effectExtent l="0" t="0" r="0" b="0"/>
                  <wp:docPr id="26" name="Chart 2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8730F1" w:rsidRPr="00C91EA2" w14:paraId="10C7F6AA" w14:textId="77777777" w:rsidTr="0043271C">
        <w:trPr>
          <w:trHeight w:val="255"/>
        </w:trPr>
        <w:tc>
          <w:tcPr>
            <w:tcW w:w="8630" w:type="dxa"/>
            <w:tcBorders>
              <w:top w:val="single" w:sz="4" w:space="0" w:color="auto"/>
              <w:left w:val="single" w:sz="4" w:space="0" w:color="auto"/>
              <w:bottom w:val="single" w:sz="4" w:space="0" w:color="auto"/>
              <w:right w:val="single" w:sz="4" w:space="0" w:color="auto"/>
            </w:tcBorders>
          </w:tcPr>
          <w:p w14:paraId="1BD17A8F" w14:textId="77777777" w:rsidR="008730F1" w:rsidRPr="00C91EA2" w:rsidRDefault="008730F1" w:rsidP="008730F1">
            <w:pPr>
              <w:jc w:val="both"/>
              <w:rPr>
                <w:rFonts w:ascii="Times New Roman" w:hAnsi="Times New Roman" w:cs="Times New Roman"/>
                <w:sz w:val="20"/>
                <w:szCs w:val="20"/>
              </w:rPr>
            </w:pPr>
            <w:r w:rsidRPr="00C91EA2">
              <w:rPr>
                <w:rFonts w:ascii="Times New Roman" w:hAnsi="Times New Roman" w:cs="Times New Roman"/>
                <w:sz w:val="20"/>
                <w:szCs w:val="20"/>
              </w:rPr>
              <w:t xml:space="preserve">Source: </w:t>
            </w:r>
            <w:r>
              <w:rPr>
                <w:rFonts w:ascii="Times New Roman" w:hAnsi="Times New Roman" w:cs="Times New Roman"/>
                <w:sz w:val="20"/>
                <w:szCs w:val="20"/>
              </w:rPr>
              <w:t>OECD-WBG PMR (2017)</w:t>
            </w:r>
          </w:p>
          <w:p w14:paraId="4E5793A5" w14:textId="77777777" w:rsidR="008730F1" w:rsidRDefault="008730F1" w:rsidP="008730F1">
            <w:pPr>
              <w:jc w:val="both"/>
              <w:rPr>
                <w:noProof/>
              </w:rPr>
            </w:pPr>
            <w:r w:rsidRPr="00C91EA2">
              <w:rPr>
                <w:rFonts w:ascii="Times New Roman" w:hAnsi="Times New Roman" w:cs="Times New Roman"/>
                <w:sz w:val="20"/>
                <w:szCs w:val="20"/>
              </w:rPr>
              <w:t xml:space="preserve">Note: Values range from </w:t>
            </w:r>
            <w:r w:rsidRPr="00C91EA2">
              <w:rPr>
                <w:rFonts w:ascii="Times New Roman" w:hAnsi="Times New Roman" w:cs="Times New Roman"/>
                <w:bCs/>
                <w:sz w:val="20"/>
                <w:szCs w:val="20"/>
              </w:rPr>
              <w:t>0 to 6, whereby h</w:t>
            </w:r>
            <w:r w:rsidRPr="00C91EA2">
              <w:rPr>
                <w:rFonts w:ascii="Times New Roman" w:hAnsi="Times New Roman" w:cs="Times New Roman"/>
                <w:iCs/>
                <w:sz w:val="20"/>
                <w:szCs w:val="20"/>
              </w:rPr>
              <w:t xml:space="preserve">igher values are associated with regulations more restrictive to competition; </w:t>
            </w:r>
            <w:r w:rsidRPr="00C91EA2">
              <w:rPr>
                <w:rFonts w:ascii="Times New Roman" w:hAnsi="Times New Roman" w:cs="Times New Roman"/>
                <w:sz w:val="20"/>
                <w:szCs w:val="20"/>
              </w:rPr>
              <w:t>BTE stands for “Barriers to Entry and Rivalry” and BTI stands for “Barriers to Trade and Investment”; The top 5 performers are: the Netherlands, the United Kingdom, the United States, Austria and Denmark</w:t>
            </w:r>
            <w:r w:rsidRPr="00C91EA2">
              <w:rPr>
                <w:rFonts w:ascii="Times New Roman" w:hAnsi="Times New Roman" w:cs="Times New Roman"/>
                <w:sz w:val="24"/>
                <w:szCs w:val="24"/>
              </w:rPr>
              <w:t>.</w:t>
            </w:r>
          </w:p>
        </w:tc>
      </w:tr>
    </w:tbl>
    <w:p w14:paraId="79155BEA" w14:textId="77777777" w:rsidR="00711D1F" w:rsidRPr="00C91EA2" w:rsidRDefault="00711D1F" w:rsidP="0043271C">
      <w:pPr>
        <w:jc w:val="both"/>
        <w:rPr>
          <w:rFonts w:ascii="Times New Roman" w:hAnsi="Times New Roman" w:cs="Times New Roman"/>
          <w:b/>
        </w:rPr>
      </w:pPr>
    </w:p>
    <w:p w14:paraId="4374265B" w14:textId="09B6E0A5"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Lower (better) PMR scores are generally associated with </w:t>
      </w:r>
      <w:r w:rsidR="009A062A">
        <w:rPr>
          <w:rFonts w:ascii="Times New Roman" w:hAnsi="Times New Roman" w:cs="Times New Roman"/>
          <w:b/>
        </w:rPr>
        <w:t xml:space="preserve">better </w:t>
      </w:r>
      <w:r w:rsidRPr="00C91EA2">
        <w:rPr>
          <w:rFonts w:ascii="Times New Roman" w:hAnsi="Times New Roman" w:cs="Times New Roman"/>
          <w:b/>
        </w:rPr>
        <w:t xml:space="preserve">market outcomes. </w:t>
      </w:r>
      <w:r w:rsidRPr="00C91EA2">
        <w:rPr>
          <w:rFonts w:ascii="Times New Roman" w:hAnsi="Times New Roman" w:cs="Times New Roman"/>
        </w:rPr>
        <w:fldChar w:fldCharType="begin"/>
      </w:r>
      <w:r w:rsidRPr="00C91EA2">
        <w:rPr>
          <w:rFonts w:ascii="Times New Roman" w:hAnsi="Times New Roman" w:cs="Times New Roman"/>
        </w:rPr>
        <w:instrText xml:space="preserve"> REF _Ref496888223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18</w:t>
      </w:r>
      <w:r w:rsidRPr="00C91EA2">
        <w:rPr>
          <w:rFonts w:ascii="Times New Roman" w:hAnsi="Times New Roman" w:cs="Times New Roman"/>
        </w:rPr>
        <w:fldChar w:fldCharType="end"/>
      </w:r>
      <w:r w:rsidRPr="00C91EA2">
        <w:rPr>
          <w:rFonts w:ascii="Times New Roman" w:hAnsi="Times New Roman" w:cs="Times New Roman"/>
        </w:rPr>
        <w:t xml:space="preserve"> </w:t>
      </w:r>
      <w:r w:rsidR="00850AEE">
        <w:rPr>
          <w:rFonts w:ascii="Times New Roman" w:hAnsi="Times New Roman" w:cs="Times New Roman"/>
        </w:rPr>
        <w:t>and</w:t>
      </w:r>
      <w:r w:rsidRPr="00C91EA2">
        <w:rPr>
          <w:rFonts w:ascii="Times New Roman" w:hAnsi="Times New Roman" w:cs="Times New Roman"/>
        </w:rPr>
        <w:t xml:space="preserve"> </w:t>
      </w:r>
      <w:r w:rsidRPr="00C91EA2">
        <w:rPr>
          <w:rFonts w:ascii="Times New Roman" w:hAnsi="Times New Roman" w:cs="Times New Roman"/>
        </w:rPr>
        <w:fldChar w:fldCharType="begin"/>
      </w:r>
      <w:r w:rsidRPr="00C91EA2">
        <w:rPr>
          <w:rFonts w:ascii="Times New Roman" w:hAnsi="Times New Roman" w:cs="Times New Roman"/>
        </w:rPr>
        <w:instrText xml:space="preserve"> REF _Ref496888209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19</w:t>
      </w:r>
      <w:r w:rsidRPr="00C91EA2">
        <w:rPr>
          <w:rFonts w:ascii="Times New Roman" w:hAnsi="Times New Roman" w:cs="Times New Roman"/>
        </w:rPr>
        <w:fldChar w:fldCharType="end"/>
      </w:r>
      <w:r w:rsidRPr="00C91EA2">
        <w:rPr>
          <w:rFonts w:ascii="Times New Roman" w:hAnsi="Times New Roman" w:cs="Times New Roman"/>
        </w:rPr>
        <w:t xml:space="preserve"> show the relati</w:t>
      </w:r>
      <w:r w:rsidR="00850AEE">
        <w:rPr>
          <w:rFonts w:ascii="Times New Roman" w:hAnsi="Times New Roman" w:cs="Times New Roman"/>
        </w:rPr>
        <w:t>onship between Senegal’s</w:t>
      </w:r>
      <w:r w:rsidRPr="00C91EA2">
        <w:rPr>
          <w:rFonts w:ascii="Times New Roman" w:hAnsi="Times New Roman" w:cs="Times New Roman"/>
        </w:rPr>
        <w:t xml:space="preserve"> PMR score and its overall score in the WEF’s GCR. </w:t>
      </w:r>
      <w:r w:rsidR="00832A40">
        <w:rPr>
          <w:rFonts w:ascii="Times New Roman" w:hAnsi="Times New Roman" w:cs="Times New Roman"/>
        </w:rPr>
        <w:t>These</w:t>
      </w:r>
      <w:r w:rsidRPr="00C91EA2">
        <w:rPr>
          <w:rFonts w:ascii="Times New Roman" w:hAnsi="Times New Roman" w:cs="Times New Roman"/>
        </w:rPr>
        <w:t xml:space="preserve"> relationships are negative, indicating that higher (worse) PMR scores are associ</w:t>
      </w:r>
      <w:r w:rsidR="00850AEE">
        <w:rPr>
          <w:rFonts w:ascii="Times New Roman" w:hAnsi="Times New Roman" w:cs="Times New Roman"/>
        </w:rPr>
        <w:t>ated with lower competitiveness</w:t>
      </w:r>
      <w:r w:rsidRPr="00C91EA2">
        <w:rPr>
          <w:rFonts w:ascii="Times New Roman" w:hAnsi="Times New Roman" w:cs="Times New Roman"/>
        </w:rPr>
        <w:t xml:space="preserve">. Furthermore, countries with a lower (better) PMR score generally tend to have higher exports, which can be a measure of trade openness. </w:t>
      </w:r>
    </w:p>
    <w:p w14:paraId="59F03EC2" w14:textId="77777777" w:rsidR="0043271C" w:rsidRPr="00C91EA2" w:rsidRDefault="0043271C" w:rsidP="0043271C">
      <w:pPr>
        <w:jc w:val="both"/>
        <w:rPr>
          <w:rFonts w:ascii="Times New Roman" w:hAnsi="Times New Roman" w:cs="Times New Roman"/>
        </w:rPr>
      </w:pPr>
    </w:p>
    <w:tbl>
      <w:tblPr>
        <w:tblStyle w:val="TableGrid"/>
        <w:tblpPr w:leftFromText="180" w:rightFromText="180" w:horzAnchor="margin" w:tblpXSpec="right" w:tblpY="-338"/>
        <w:tblW w:w="8770" w:type="dxa"/>
        <w:tblLook w:val="04A0" w:firstRow="1" w:lastRow="0" w:firstColumn="1" w:lastColumn="0" w:noHBand="0" w:noVBand="1"/>
      </w:tblPr>
      <w:tblGrid>
        <w:gridCol w:w="4386"/>
        <w:gridCol w:w="4386"/>
      </w:tblGrid>
      <w:tr w:rsidR="00574E80" w:rsidRPr="00C91EA2" w14:paraId="3FA9A152" w14:textId="77777777" w:rsidTr="0071683B">
        <w:trPr>
          <w:trHeight w:val="526"/>
        </w:trPr>
        <w:tc>
          <w:tcPr>
            <w:tcW w:w="4386" w:type="dxa"/>
            <w:tcBorders>
              <w:top w:val="single" w:sz="4" w:space="0" w:color="auto"/>
              <w:left w:val="single" w:sz="4" w:space="0" w:color="auto"/>
              <w:bottom w:val="single" w:sz="4" w:space="0" w:color="auto"/>
              <w:right w:val="single" w:sz="4" w:space="0" w:color="auto"/>
            </w:tcBorders>
            <w:hideMark/>
          </w:tcPr>
          <w:p w14:paraId="70A4802D" w14:textId="39FE8C72" w:rsidR="0043271C" w:rsidRPr="00C91EA2" w:rsidRDefault="0043271C" w:rsidP="0071683B">
            <w:pPr>
              <w:pStyle w:val="Caption"/>
              <w:keepNext/>
              <w:jc w:val="both"/>
              <w:rPr>
                <w:rFonts w:ascii="Times New Roman" w:hAnsi="Times New Roman"/>
              </w:rPr>
            </w:pPr>
            <w:bookmarkStart w:id="88" w:name="_Ref496888223"/>
            <w:bookmarkStart w:id="89" w:name="_Toc497990863"/>
            <w:bookmarkStart w:id="90" w:name="_Toc520725574"/>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18</w:t>
            </w:r>
            <w:r w:rsidR="00D91B27">
              <w:rPr>
                <w:rFonts w:ascii="Times New Roman" w:hAnsi="Times New Roman"/>
              </w:rPr>
              <w:fldChar w:fldCharType="end"/>
            </w:r>
            <w:bookmarkEnd w:id="88"/>
            <w:r w:rsidRPr="00C91EA2">
              <w:rPr>
                <w:rFonts w:ascii="Times New Roman" w:hAnsi="Times New Roman"/>
              </w:rPr>
              <w:t>: Relationship between PMR and Global Competitiveness Index</w:t>
            </w:r>
            <w:bookmarkEnd w:id="89"/>
            <w:bookmarkEnd w:id="90"/>
          </w:p>
        </w:tc>
        <w:tc>
          <w:tcPr>
            <w:tcW w:w="4384" w:type="dxa"/>
            <w:tcBorders>
              <w:top w:val="single" w:sz="4" w:space="0" w:color="auto"/>
              <w:left w:val="single" w:sz="4" w:space="0" w:color="auto"/>
              <w:bottom w:val="single" w:sz="4" w:space="0" w:color="auto"/>
              <w:right w:val="single" w:sz="4" w:space="0" w:color="auto"/>
            </w:tcBorders>
            <w:hideMark/>
          </w:tcPr>
          <w:p w14:paraId="71D6272B" w14:textId="16CB51FD" w:rsidR="0043271C" w:rsidRPr="00C91EA2" w:rsidRDefault="0043271C" w:rsidP="0071683B">
            <w:pPr>
              <w:pStyle w:val="Caption"/>
              <w:keepNext/>
              <w:jc w:val="both"/>
              <w:rPr>
                <w:rFonts w:ascii="Times New Roman" w:hAnsi="Times New Roman"/>
              </w:rPr>
            </w:pPr>
            <w:bookmarkStart w:id="91" w:name="_Ref496888209"/>
            <w:bookmarkStart w:id="92" w:name="_Toc497990865"/>
            <w:bookmarkStart w:id="93" w:name="_Toc520725575"/>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19</w:t>
            </w:r>
            <w:r w:rsidR="00D91B27">
              <w:rPr>
                <w:rFonts w:ascii="Times New Roman" w:hAnsi="Times New Roman"/>
              </w:rPr>
              <w:fldChar w:fldCharType="end"/>
            </w:r>
            <w:bookmarkEnd w:id="91"/>
            <w:r w:rsidRPr="00C91EA2">
              <w:rPr>
                <w:rFonts w:ascii="Times New Roman" w:hAnsi="Times New Roman"/>
              </w:rPr>
              <w:t>: Relationship between PMR and Exports (% of GDP)</w:t>
            </w:r>
            <w:bookmarkEnd w:id="92"/>
            <w:bookmarkEnd w:id="93"/>
          </w:p>
        </w:tc>
      </w:tr>
      <w:tr w:rsidR="00574E80" w:rsidRPr="00C91EA2" w14:paraId="711459C6" w14:textId="77777777" w:rsidTr="0071683B">
        <w:trPr>
          <w:trHeight w:val="3996"/>
        </w:trPr>
        <w:tc>
          <w:tcPr>
            <w:tcW w:w="4386" w:type="dxa"/>
            <w:tcBorders>
              <w:top w:val="single" w:sz="4" w:space="0" w:color="auto"/>
              <w:left w:val="single" w:sz="4" w:space="0" w:color="auto"/>
              <w:bottom w:val="single" w:sz="4" w:space="0" w:color="auto"/>
              <w:right w:val="single" w:sz="4" w:space="0" w:color="auto"/>
            </w:tcBorders>
            <w:hideMark/>
          </w:tcPr>
          <w:p w14:paraId="699E94A3" w14:textId="77777777" w:rsidR="0043271C" w:rsidRPr="00C91EA2" w:rsidRDefault="00574E80" w:rsidP="0071683B">
            <w:pPr>
              <w:jc w:val="both"/>
              <w:rPr>
                <w:rFonts w:ascii="Times New Roman" w:hAnsi="Times New Roman" w:cs="Times New Roman"/>
              </w:rPr>
            </w:pPr>
            <w:r>
              <w:rPr>
                <w:noProof/>
              </w:rPr>
              <w:drawing>
                <wp:inline distT="0" distB="0" distL="0" distR="0" wp14:anchorId="276E99B9" wp14:editId="590C0D25">
                  <wp:extent cx="2635885" cy="2480553"/>
                  <wp:effectExtent l="0" t="0" r="12065" b="15240"/>
                  <wp:docPr id="142" name="Chart 142">
                    <a:extLst xmlns:a="http://schemas.openxmlformats.org/drawingml/2006/main">
                      <a:ext uri="{FF2B5EF4-FFF2-40B4-BE49-F238E27FC236}">
                        <a16:creationId xmlns:a16="http://schemas.microsoft.com/office/drawing/2014/main" id="{00000000-0008-0000-1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384" w:type="dxa"/>
            <w:tcBorders>
              <w:top w:val="single" w:sz="4" w:space="0" w:color="auto"/>
              <w:left w:val="single" w:sz="4" w:space="0" w:color="auto"/>
              <w:bottom w:val="single" w:sz="4" w:space="0" w:color="auto"/>
              <w:right w:val="single" w:sz="4" w:space="0" w:color="auto"/>
            </w:tcBorders>
            <w:hideMark/>
          </w:tcPr>
          <w:p w14:paraId="03B926DB" w14:textId="77777777" w:rsidR="0043271C" w:rsidRPr="00C91EA2" w:rsidRDefault="00574E80" w:rsidP="0071683B">
            <w:pPr>
              <w:jc w:val="both"/>
              <w:rPr>
                <w:rStyle w:val="CommentReference"/>
                <w:rFonts w:ascii="Times New Roman" w:hAnsi="Times New Roman" w:cs="Times New Roman"/>
              </w:rPr>
            </w:pPr>
            <w:r>
              <w:rPr>
                <w:noProof/>
              </w:rPr>
              <w:drawing>
                <wp:inline distT="0" distB="0" distL="0" distR="0" wp14:anchorId="3E613476" wp14:editId="32265B8C">
                  <wp:extent cx="2645410" cy="2514600"/>
                  <wp:effectExtent l="0" t="0" r="2540" b="0"/>
                  <wp:docPr id="145" name="Chart 145">
                    <a:extLst xmlns:a="http://schemas.openxmlformats.org/drawingml/2006/main">
                      <a:ext uri="{FF2B5EF4-FFF2-40B4-BE49-F238E27FC236}">
                        <a16:creationId xmlns:a16="http://schemas.microsoft.com/office/drawing/2014/main" id="{00000000-0008-0000-1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43271C" w:rsidRPr="00C91EA2" w14:paraId="71B11506" w14:textId="77777777" w:rsidTr="0071683B">
        <w:trPr>
          <w:trHeight w:val="483"/>
        </w:trPr>
        <w:tc>
          <w:tcPr>
            <w:tcW w:w="8770" w:type="dxa"/>
            <w:gridSpan w:val="2"/>
            <w:tcBorders>
              <w:top w:val="single" w:sz="4" w:space="0" w:color="auto"/>
              <w:left w:val="single" w:sz="4" w:space="0" w:color="auto"/>
              <w:bottom w:val="single" w:sz="4" w:space="0" w:color="auto"/>
              <w:right w:val="single" w:sz="4" w:space="0" w:color="auto"/>
            </w:tcBorders>
            <w:hideMark/>
          </w:tcPr>
          <w:p w14:paraId="34C5064E" w14:textId="77777777" w:rsidR="0043271C" w:rsidRPr="00C91EA2" w:rsidRDefault="00EE357E" w:rsidP="0071683B">
            <w:pPr>
              <w:jc w:val="both"/>
              <w:rPr>
                <w:rFonts w:ascii="Times New Roman" w:hAnsi="Times New Roman" w:cs="Times New Roman"/>
                <w:noProof/>
                <w:sz w:val="20"/>
                <w:szCs w:val="20"/>
                <w:lang w:val="en-GB" w:eastAsia="en-GB"/>
              </w:rPr>
            </w:pPr>
            <w:r>
              <w:rPr>
                <w:rFonts w:ascii="Times New Roman" w:hAnsi="Times New Roman" w:cs="Times New Roman"/>
                <w:noProof/>
                <w:sz w:val="20"/>
                <w:szCs w:val="24"/>
                <w:lang w:val="en-GB" w:eastAsia="en-GB"/>
              </w:rPr>
              <w:t xml:space="preserve">Sources: </w:t>
            </w:r>
            <w:r w:rsidR="00A4434F">
              <w:rPr>
                <w:rFonts w:ascii="Times New Roman" w:hAnsi="Times New Roman" w:cs="Times New Roman"/>
                <w:noProof/>
                <w:sz w:val="20"/>
                <w:szCs w:val="24"/>
                <w:lang w:val="en-GB" w:eastAsia="en-GB"/>
              </w:rPr>
              <w:t>OECD-WBG PMR (2017)</w:t>
            </w:r>
            <w:r w:rsidR="0043271C" w:rsidRPr="00C91EA2">
              <w:rPr>
                <w:rFonts w:ascii="Times New Roman" w:hAnsi="Times New Roman" w:cs="Times New Roman"/>
                <w:noProof/>
                <w:sz w:val="20"/>
                <w:szCs w:val="24"/>
                <w:lang w:val="en-GB" w:eastAsia="en-GB"/>
              </w:rPr>
              <w:t xml:space="preserve">, World </w:t>
            </w:r>
            <w:r w:rsidR="0071683B">
              <w:rPr>
                <w:rFonts w:ascii="Times New Roman" w:hAnsi="Times New Roman" w:cs="Times New Roman"/>
                <w:noProof/>
                <w:sz w:val="20"/>
                <w:szCs w:val="20"/>
                <w:lang w:val="en-GB" w:eastAsia="en-GB"/>
              </w:rPr>
              <w:t>Economic Forum,</w:t>
            </w:r>
            <w:r w:rsidR="0043271C" w:rsidRPr="00C91EA2">
              <w:rPr>
                <w:rFonts w:ascii="Times New Roman" w:hAnsi="Times New Roman" w:cs="Times New Roman"/>
                <w:noProof/>
                <w:sz w:val="20"/>
                <w:szCs w:val="20"/>
                <w:lang w:val="en-GB" w:eastAsia="en-GB"/>
              </w:rPr>
              <w:t xml:space="preserve"> World Development Indicators</w:t>
            </w:r>
          </w:p>
          <w:p w14:paraId="058F9E1B" w14:textId="16640F75" w:rsidR="0043271C" w:rsidRPr="00C91EA2" w:rsidRDefault="0043271C" w:rsidP="0071683B">
            <w:pPr>
              <w:jc w:val="both"/>
              <w:rPr>
                <w:rFonts w:ascii="Times New Roman" w:hAnsi="Times New Roman" w:cs="Times New Roman"/>
                <w:noProof/>
                <w:sz w:val="20"/>
                <w:szCs w:val="24"/>
                <w:lang w:val="en-GB" w:eastAsia="en-GB"/>
              </w:rPr>
            </w:pPr>
            <w:r w:rsidRPr="00C91EA2">
              <w:rPr>
                <w:rFonts w:ascii="Times New Roman" w:hAnsi="Times New Roman" w:cs="Times New Roman"/>
                <w:noProof/>
                <w:sz w:val="20"/>
                <w:szCs w:val="20"/>
                <w:lang w:val="en-GB" w:eastAsia="en-GB"/>
              </w:rPr>
              <w:t xml:space="preserve">Note: In </w:t>
            </w:r>
            <w:r w:rsidRPr="00C91EA2">
              <w:rPr>
                <w:rFonts w:ascii="Times New Roman" w:hAnsi="Times New Roman" w:cs="Times New Roman"/>
                <w:noProof/>
                <w:sz w:val="20"/>
                <w:szCs w:val="20"/>
                <w:lang w:val="en-GB" w:eastAsia="en-GB"/>
              </w:rPr>
              <w:fldChar w:fldCharType="begin"/>
            </w:r>
            <w:r w:rsidRPr="00C91EA2">
              <w:rPr>
                <w:rFonts w:ascii="Times New Roman" w:hAnsi="Times New Roman" w:cs="Times New Roman"/>
                <w:noProof/>
                <w:sz w:val="20"/>
                <w:szCs w:val="20"/>
                <w:lang w:val="en-GB" w:eastAsia="en-GB"/>
              </w:rPr>
              <w:instrText xml:space="preserve"> REF _Ref496888209 \h  \* MERGEFORMAT </w:instrText>
            </w:r>
            <w:r w:rsidRPr="00C91EA2">
              <w:rPr>
                <w:rFonts w:ascii="Times New Roman" w:hAnsi="Times New Roman" w:cs="Times New Roman"/>
                <w:noProof/>
                <w:sz w:val="20"/>
                <w:szCs w:val="20"/>
                <w:lang w:val="en-GB" w:eastAsia="en-GB"/>
              </w:rPr>
            </w:r>
            <w:r w:rsidRPr="00C91EA2">
              <w:rPr>
                <w:rFonts w:ascii="Times New Roman" w:hAnsi="Times New Roman" w:cs="Times New Roman"/>
                <w:noProof/>
                <w:sz w:val="20"/>
                <w:szCs w:val="20"/>
                <w:lang w:val="en-GB" w:eastAsia="en-GB"/>
              </w:rPr>
              <w:fldChar w:fldCharType="separate"/>
            </w:r>
            <w:r w:rsidR="008261B2" w:rsidRPr="008261B2">
              <w:rPr>
                <w:rFonts w:ascii="Times New Roman" w:hAnsi="Times New Roman" w:cs="Times New Roman"/>
                <w:sz w:val="20"/>
                <w:szCs w:val="20"/>
              </w:rPr>
              <w:t xml:space="preserve">Figure </w:t>
            </w:r>
            <w:r w:rsidR="008261B2" w:rsidRPr="008261B2">
              <w:rPr>
                <w:rFonts w:ascii="Times New Roman" w:hAnsi="Times New Roman" w:cs="Times New Roman"/>
                <w:noProof/>
                <w:sz w:val="20"/>
                <w:szCs w:val="20"/>
              </w:rPr>
              <w:t>19</w:t>
            </w:r>
            <w:r w:rsidRPr="00C91EA2">
              <w:rPr>
                <w:rFonts w:ascii="Times New Roman" w:hAnsi="Times New Roman" w:cs="Times New Roman"/>
                <w:noProof/>
                <w:sz w:val="20"/>
                <w:szCs w:val="20"/>
                <w:lang w:val="en-GB" w:eastAsia="en-GB"/>
              </w:rPr>
              <w:fldChar w:fldCharType="end"/>
            </w:r>
            <w:r w:rsidRPr="00C91EA2">
              <w:rPr>
                <w:rFonts w:ascii="Times New Roman" w:hAnsi="Times New Roman" w:cs="Times New Roman"/>
                <w:noProof/>
                <w:sz w:val="20"/>
                <w:szCs w:val="20"/>
                <w:lang w:val="en-GB" w:eastAsia="en-GB"/>
              </w:rPr>
              <w:t xml:space="preserve"> Luxembourg was excluded as an outlier status (exports make up</w:t>
            </w:r>
            <w:r w:rsidRPr="00C91EA2">
              <w:rPr>
                <w:rFonts w:ascii="Times New Roman" w:hAnsi="Times New Roman" w:cs="Times New Roman"/>
                <w:noProof/>
                <w:sz w:val="20"/>
                <w:szCs w:val="24"/>
                <w:lang w:val="en-GB" w:eastAsia="en-GB"/>
              </w:rPr>
              <w:t xml:space="preserve"> 158% of GDP)</w:t>
            </w:r>
          </w:p>
        </w:tc>
      </w:tr>
    </w:tbl>
    <w:p w14:paraId="31806F42" w14:textId="77777777" w:rsidR="0043271C" w:rsidRDefault="0043271C" w:rsidP="0043271C">
      <w:pPr>
        <w:jc w:val="both"/>
        <w:rPr>
          <w:rFonts w:ascii="Times New Roman" w:hAnsi="Times New Roman" w:cs="Times New Roman"/>
        </w:rPr>
      </w:pPr>
    </w:p>
    <w:p w14:paraId="2738F5FE" w14:textId="7FBA22E9" w:rsidR="0043271C" w:rsidRPr="00C91EA2" w:rsidRDefault="00872603" w:rsidP="0043271C">
      <w:pPr>
        <w:pStyle w:val="ListParagraph"/>
        <w:numPr>
          <w:ilvl w:val="0"/>
          <w:numId w:val="125"/>
        </w:numPr>
        <w:ind w:left="0" w:firstLine="0"/>
        <w:jc w:val="both"/>
        <w:rPr>
          <w:rFonts w:ascii="Times New Roman" w:hAnsi="Times New Roman" w:cs="Times New Roman"/>
        </w:rPr>
      </w:pPr>
      <w:r>
        <w:rPr>
          <w:rFonts w:ascii="Times New Roman" w:hAnsi="Times New Roman" w:cs="Times New Roman"/>
          <w:b/>
        </w:rPr>
        <w:t>S</w:t>
      </w:r>
      <w:r w:rsidR="0043271C" w:rsidRPr="00C91EA2">
        <w:rPr>
          <w:rFonts w:ascii="Times New Roman" w:hAnsi="Times New Roman" w:cs="Times New Roman"/>
          <w:b/>
        </w:rPr>
        <w:t xml:space="preserve">tate control </w:t>
      </w:r>
      <w:r w:rsidR="00BD2C0B">
        <w:rPr>
          <w:rFonts w:ascii="Times New Roman" w:hAnsi="Times New Roman" w:cs="Times New Roman"/>
          <w:b/>
        </w:rPr>
        <w:t>of the economy is still significant in Senegal, being</w:t>
      </w:r>
      <w:r w:rsidR="0043271C" w:rsidRPr="00C91EA2">
        <w:rPr>
          <w:rFonts w:ascii="Times New Roman" w:hAnsi="Times New Roman" w:cs="Times New Roman"/>
          <w:b/>
        </w:rPr>
        <w:t xml:space="preserve"> the main contributor to Senegal’s PMR score, </w:t>
      </w:r>
      <w:r w:rsidR="0043271C" w:rsidRPr="00BC0D1A">
        <w:rPr>
          <w:rFonts w:ascii="Times New Roman" w:hAnsi="Times New Roman" w:cs="Times New Roman"/>
        </w:rPr>
        <w:t xml:space="preserve">of which </w:t>
      </w:r>
      <w:r w:rsidR="00852F8F" w:rsidRPr="00BC0D1A">
        <w:rPr>
          <w:rFonts w:ascii="Times New Roman" w:hAnsi="Times New Roman" w:cs="Times New Roman"/>
        </w:rPr>
        <w:t xml:space="preserve">the extent of </w:t>
      </w:r>
      <w:r w:rsidR="0043271C" w:rsidRPr="00BC0D1A">
        <w:rPr>
          <w:rFonts w:ascii="Times New Roman" w:hAnsi="Times New Roman" w:cs="Times New Roman"/>
        </w:rPr>
        <w:t>public ownership is the primary driver</w:t>
      </w:r>
      <w:r w:rsidRPr="00BC0D1A">
        <w:rPr>
          <w:rFonts w:ascii="Times New Roman" w:hAnsi="Times New Roman" w:cs="Times New Roman"/>
        </w:rPr>
        <w:t xml:space="preserve"> </w:t>
      </w:r>
      <w:r w:rsidRPr="00872603">
        <w:rPr>
          <w:rFonts w:ascii="Times New Roman" w:hAnsi="Times New Roman" w:cs="Times New Roman"/>
        </w:rPr>
        <w:t xml:space="preserve">(see </w:t>
      </w:r>
      <w:r w:rsidR="000014A1">
        <w:rPr>
          <w:rFonts w:ascii="Times New Roman" w:hAnsi="Times New Roman" w:cs="Times New Roman"/>
        </w:rPr>
        <w:fldChar w:fldCharType="begin"/>
      </w:r>
      <w:r w:rsidR="000014A1">
        <w:rPr>
          <w:rFonts w:ascii="Times New Roman" w:hAnsi="Times New Roman" w:cs="Times New Roman"/>
        </w:rPr>
        <w:instrText xml:space="preserve"> REF _Ref520387968 \h </w:instrText>
      </w:r>
      <w:r w:rsidR="000014A1">
        <w:rPr>
          <w:rFonts w:ascii="Times New Roman" w:hAnsi="Times New Roman" w:cs="Times New Roman"/>
        </w:rPr>
      </w:r>
      <w:r w:rsidR="000014A1">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20</w:t>
      </w:r>
      <w:r w:rsidR="000014A1">
        <w:rPr>
          <w:rFonts w:ascii="Times New Roman" w:hAnsi="Times New Roman" w:cs="Times New Roman"/>
        </w:rPr>
        <w:fldChar w:fldCharType="end"/>
      </w:r>
      <w:r w:rsidR="000014A1">
        <w:rPr>
          <w:rFonts w:ascii="Times New Roman" w:hAnsi="Times New Roman" w:cs="Times New Roman"/>
        </w:rPr>
        <w:t xml:space="preserve"> and </w:t>
      </w:r>
      <w:r w:rsidR="000014A1">
        <w:rPr>
          <w:rFonts w:ascii="Times New Roman" w:hAnsi="Times New Roman" w:cs="Times New Roman"/>
        </w:rPr>
        <w:fldChar w:fldCharType="begin"/>
      </w:r>
      <w:r w:rsidR="000014A1">
        <w:rPr>
          <w:rFonts w:ascii="Times New Roman" w:hAnsi="Times New Roman" w:cs="Times New Roman"/>
        </w:rPr>
        <w:instrText xml:space="preserve"> REF _Ref520387971 \h </w:instrText>
      </w:r>
      <w:r w:rsidR="000014A1">
        <w:rPr>
          <w:rFonts w:ascii="Times New Roman" w:hAnsi="Times New Roman" w:cs="Times New Roman"/>
        </w:rPr>
      </w:r>
      <w:r w:rsidR="000014A1">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21</w:t>
      </w:r>
      <w:r w:rsidR="000014A1">
        <w:rPr>
          <w:rFonts w:ascii="Times New Roman" w:hAnsi="Times New Roman" w:cs="Times New Roman"/>
        </w:rPr>
        <w:fldChar w:fldCharType="end"/>
      </w:r>
      <w:r w:rsidRPr="00872603">
        <w:rPr>
          <w:rFonts w:ascii="Times New Roman" w:hAnsi="Times New Roman" w:cs="Times New Roman"/>
        </w:rPr>
        <w:t>)</w:t>
      </w:r>
      <w:r w:rsidR="0043271C" w:rsidRPr="00872603">
        <w:rPr>
          <w:rFonts w:ascii="Times New Roman" w:hAnsi="Times New Roman" w:cs="Times New Roman"/>
        </w:rPr>
        <w:t>.</w:t>
      </w:r>
      <w:r w:rsidR="0043271C" w:rsidRPr="00C91EA2">
        <w:rPr>
          <w:rFonts w:ascii="Times New Roman" w:hAnsi="Times New Roman" w:cs="Times New Roman"/>
        </w:rPr>
        <w:t xml:space="preserve"> Barriers to entry and rivalry also contribute </w:t>
      </w:r>
      <w:r w:rsidR="004A069A">
        <w:rPr>
          <w:rFonts w:ascii="Times New Roman" w:hAnsi="Times New Roman" w:cs="Times New Roman"/>
        </w:rPr>
        <w:t>to</w:t>
      </w:r>
      <w:r w:rsidR="0043271C" w:rsidRPr="00C91EA2">
        <w:rPr>
          <w:rFonts w:ascii="Times New Roman" w:hAnsi="Times New Roman" w:cs="Times New Roman"/>
        </w:rPr>
        <w:t xml:space="preserve"> the overall regulatory </w:t>
      </w:r>
      <w:r w:rsidR="0043271C" w:rsidRPr="009E7F71">
        <w:rPr>
          <w:rFonts w:ascii="Times New Roman" w:hAnsi="Times New Roman" w:cs="Times New Roman"/>
        </w:rPr>
        <w:t xml:space="preserve">restrictiveness, </w:t>
      </w:r>
      <w:r w:rsidR="00B96A03" w:rsidRPr="009E7F71">
        <w:rPr>
          <w:rFonts w:ascii="Times New Roman" w:hAnsi="Times New Roman" w:cs="Times New Roman"/>
        </w:rPr>
        <w:t>mainly because of the</w:t>
      </w:r>
      <w:r w:rsidR="00F72D10" w:rsidRPr="009E7F71">
        <w:rPr>
          <w:rFonts w:ascii="Times New Roman" w:hAnsi="Times New Roman" w:cs="Times New Roman"/>
        </w:rPr>
        <w:t xml:space="preserve"> </w:t>
      </w:r>
      <w:r w:rsidR="00B96A03" w:rsidRPr="009E7F71">
        <w:rPr>
          <w:rFonts w:ascii="Times New Roman" w:hAnsi="Times New Roman" w:cs="Times New Roman"/>
        </w:rPr>
        <w:t xml:space="preserve">existing </w:t>
      </w:r>
      <w:r w:rsidR="0043271C" w:rsidRPr="009E7F71">
        <w:rPr>
          <w:rFonts w:ascii="Times New Roman" w:hAnsi="Times New Roman" w:cs="Times New Roman"/>
        </w:rPr>
        <w:t xml:space="preserve">complex regulatory procedures. </w:t>
      </w:r>
      <w:r w:rsidR="004A069A">
        <w:rPr>
          <w:rFonts w:ascii="Times New Roman" w:hAnsi="Times New Roman" w:cs="Times New Roman"/>
        </w:rPr>
        <w:t>The restrictiveness associated with the b</w:t>
      </w:r>
      <w:r w:rsidR="004A069A" w:rsidRPr="009E7F71">
        <w:rPr>
          <w:rFonts w:ascii="Times New Roman" w:hAnsi="Times New Roman" w:cs="Times New Roman"/>
        </w:rPr>
        <w:t>arriers to trade and investment, the third</w:t>
      </w:r>
      <w:r w:rsidR="004A069A">
        <w:rPr>
          <w:rFonts w:ascii="Times New Roman" w:hAnsi="Times New Roman" w:cs="Times New Roman"/>
        </w:rPr>
        <w:t xml:space="preserve"> contributor to Senegal’s score, is mainly driven by o</w:t>
      </w:r>
      <w:r w:rsidR="0043271C" w:rsidRPr="009E7F71">
        <w:rPr>
          <w:rFonts w:ascii="Times New Roman" w:hAnsi="Times New Roman" w:cs="Times New Roman"/>
        </w:rPr>
        <w:t>ther barriers</w:t>
      </w:r>
      <w:r w:rsidR="0032558C">
        <w:rPr>
          <w:rFonts w:ascii="Times New Roman" w:hAnsi="Times New Roman" w:cs="Times New Roman"/>
        </w:rPr>
        <w:t xml:space="preserve"> to investment (</w:t>
      </w:r>
      <w:r w:rsidR="00E07B9C" w:rsidRPr="009E7F71">
        <w:rPr>
          <w:rFonts w:ascii="Times New Roman" w:hAnsi="Times New Roman" w:cs="Times New Roman"/>
        </w:rPr>
        <w:t xml:space="preserve">including </w:t>
      </w:r>
      <w:r w:rsidR="00497C09" w:rsidRPr="009E7F71">
        <w:rPr>
          <w:rFonts w:ascii="Times New Roman" w:hAnsi="Times New Roman" w:cs="Times New Roman"/>
        </w:rPr>
        <w:t>differential treatment of foreign suppliers and barriers to trade facilitation</w:t>
      </w:r>
      <w:r w:rsidR="0032558C">
        <w:rPr>
          <w:rFonts w:ascii="Times New Roman" w:hAnsi="Times New Roman" w:cs="Times New Roman"/>
        </w:rPr>
        <w:t>)</w:t>
      </w:r>
      <w:r w:rsidR="00497C09" w:rsidRPr="009E7F71">
        <w:rPr>
          <w:rFonts w:ascii="Times New Roman" w:hAnsi="Times New Roman" w:cs="Times New Roman"/>
        </w:rPr>
        <w:t xml:space="preserve"> and </w:t>
      </w:r>
      <w:r w:rsidR="0032558C">
        <w:rPr>
          <w:rFonts w:ascii="Times New Roman" w:hAnsi="Times New Roman" w:cs="Times New Roman"/>
        </w:rPr>
        <w:t xml:space="preserve">high </w:t>
      </w:r>
      <w:r w:rsidR="00497C09" w:rsidRPr="009E7F71">
        <w:rPr>
          <w:rFonts w:ascii="Times New Roman" w:hAnsi="Times New Roman" w:cs="Times New Roman"/>
        </w:rPr>
        <w:t>tariffs</w:t>
      </w:r>
      <w:r w:rsidR="003C4A8A">
        <w:rPr>
          <w:rFonts w:ascii="Times New Roman" w:hAnsi="Times New Roman" w:cs="Times New Roman"/>
        </w:rPr>
        <w:t>. Ba</w:t>
      </w:r>
      <w:r w:rsidR="00212A70">
        <w:rPr>
          <w:rFonts w:ascii="Times New Roman" w:hAnsi="Times New Roman" w:cs="Times New Roman"/>
        </w:rPr>
        <w:t>rriers to trade and investment, while not being the largest component of the PMR score, are the main driver of Senegal’s ranking among comparator countries</w:t>
      </w:r>
      <w:r w:rsidR="004A069A">
        <w:rPr>
          <w:rFonts w:ascii="Times New Roman" w:hAnsi="Times New Roman" w:cs="Times New Roman"/>
        </w:rPr>
        <w:t xml:space="preserve">. </w:t>
      </w:r>
      <w:r w:rsidR="003271A5">
        <w:rPr>
          <w:rFonts w:ascii="Times New Roman" w:hAnsi="Times New Roman" w:cs="Times New Roman"/>
        </w:rPr>
        <w:t>All these aspects and their implications for market function</w:t>
      </w:r>
      <w:r w:rsidR="00127E5D">
        <w:rPr>
          <w:rFonts w:ascii="Times New Roman" w:hAnsi="Times New Roman" w:cs="Times New Roman"/>
        </w:rPr>
        <w:t>ing</w:t>
      </w:r>
      <w:r w:rsidR="003271A5">
        <w:rPr>
          <w:rFonts w:ascii="Times New Roman" w:hAnsi="Times New Roman" w:cs="Times New Roman"/>
        </w:rPr>
        <w:t xml:space="preserve"> and competition will be discussed in the sections below.</w:t>
      </w:r>
    </w:p>
    <w:p w14:paraId="4F41E1E5" w14:textId="77777777" w:rsidR="0043271C" w:rsidRPr="00C91EA2" w:rsidRDefault="0043271C" w:rsidP="0043271C">
      <w:pPr>
        <w:jc w:val="both"/>
        <w:rPr>
          <w:rFonts w:ascii="Times New Roman" w:hAnsi="Times New Roman" w:cs="Times New Roman"/>
        </w:rPr>
      </w:pPr>
    </w:p>
    <w:tbl>
      <w:tblPr>
        <w:tblStyle w:val="TableGrid"/>
        <w:tblW w:w="9120" w:type="dxa"/>
        <w:tblLook w:val="04A0" w:firstRow="1" w:lastRow="0" w:firstColumn="1" w:lastColumn="0" w:noHBand="0" w:noVBand="1"/>
      </w:tblPr>
      <w:tblGrid>
        <w:gridCol w:w="2976"/>
        <w:gridCol w:w="6144"/>
      </w:tblGrid>
      <w:tr w:rsidR="0043271C" w:rsidRPr="00C91EA2" w14:paraId="7161F239" w14:textId="77777777" w:rsidTr="000014A1">
        <w:trPr>
          <w:trHeight w:val="209"/>
        </w:trPr>
        <w:tc>
          <w:tcPr>
            <w:tcW w:w="2976" w:type="dxa"/>
            <w:tcBorders>
              <w:top w:val="single" w:sz="4" w:space="0" w:color="auto"/>
              <w:left w:val="single" w:sz="4" w:space="0" w:color="auto"/>
              <w:bottom w:val="single" w:sz="4" w:space="0" w:color="auto"/>
              <w:right w:val="single" w:sz="4" w:space="0" w:color="auto"/>
            </w:tcBorders>
            <w:hideMark/>
          </w:tcPr>
          <w:p w14:paraId="2D83F91E" w14:textId="4103105D" w:rsidR="0043271C" w:rsidRPr="00C91EA2" w:rsidRDefault="0043271C">
            <w:pPr>
              <w:pStyle w:val="Caption"/>
              <w:keepNext/>
              <w:jc w:val="both"/>
              <w:rPr>
                <w:rFonts w:ascii="Times New Roman" w:hAnsi="Times New Roman"/>
              </w:rPr>
            </w:pPr>
            <w:bookmarkStart w:id="94" w:name="_Ref496888361"/>
            <w:bookmarkStart w:id="95" w:name="_Ref520387968"/>
            <w:bookmarkStart w:id="96" w:name="_Toc497990866"/>
            <w:bookmarkStart w:id="97" w:name="_Toc520725576"/>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20</w:t>
            </w:r>
            <w:r w:rsidR="00D91B27">
              <w:rPr>
                <w:rFonts w:ascii="Times New Roman" w:hAnsi="Times New Roman"/>
              </w:rPr>
              <w:fldChar w:fldCharType="end"/>
            </w:r>
            <w:bookmarkEnd w:id="94"/>
            <w:bookmarkEnd w:id="95"/>
            <w:r w:rsidRPr="00C91EA2">
              <w:rPr>
                <w:rFonts w:ascii="Times New Roman" w:hAnsi="Times New Roman"/>
              </w:rPr>
              <w:t>: Overall PMR Score</w:t>
            </w:r>
            <w:bookmarkEnd w:id="96"/>
            <w:bookmarkEnd w:id="97"/>
          </w:p>
        </w:tc>
        <w:tc>
          <w:tcPr>
            <w:tcW w:w="6144" w:type="dxa"/>
            <w:tcBorders>
              <w:top w:val="single" w:sz="4" w:space="0" w:color="auto"/>
              <w:left w:val="single" w:sz="4" w:space="0" w:color="auto"/>
              <w:bottom w:val="single" w:sz="4" w:space="0" w:color="auto"/>
              <w:right w:val="single" w:sz="4" w:space="0" w:color="auto"/>
            </w:tcBorders>
            <w:hideMark/>
          </w:tcPr>
          <w:p w14:paraId="3AF8AF18" w14:textId="53BD792A" w:rsidR="0043271C" w:rsidRPr="00C91EA2" w:rsidRDefault="0043271C">
            <w:pPr>
              <w:pStyle w:val="Caption"/>
              <w:keepNext/>
              <w:jc w:val="both"/>
              <w:rPr>
                <w:rFonts w:ascii="Times New Roman" w:hAnsi="Times New Roman"/>
              </w:rPr>
            </w:pPr>
            <w:bookmarkStart w:id="98" w:name="_Ref496888363"/>
            <w:bookmarkStart w:id="99" w:name="_Ref520387971"/>
            <w:bookmarkStart w:id="100" w:name="_Toc497990867"/>
            <w:bookmarkStart w:id="101" w:name="_Toc520725577"/>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21</w:t>
            </w:r>
            <w:r w:rsidR="00D91B27">
              <w:rPr>
                <w:rFonts w:ascii="Times New Roman" w:hAnsi="Times New Roman"/>
              </w:rPr>
              <w:fldChar w:fldCharType="end"/>
            </w:r>
            <w:bookmarkEnd w:id="98"/>
            <w:bookmarkEnd w:id="99"/>
            <w:r w:rsidRPr="00C91EA2">
              <w:rPr>
                <w:rFonts w:ascii="Times New Roman" w:hAnsi="Times New Roman"/>
              </w:rPr>
              <w:t>: Senegal’s PMR Score Broken Down</w:t>
            </w:r>
            <w:bookmarkEnd w:id="100"/>
            <w:bookmarkEnd w:id="101"/>
          </w:p>
        </w:tc>
      </w:tr>
      <w:tr w:rsidR="008730F1" w:rsidRPr="00C91EA2" w14:paraId="486F4AE2" w14:textId="77777777" w:rsidTr="007575D7">
        <w:trPr>
          <w:trHeight w:val="64"/>
        </w:trPr>
        <w:tc>
          <w:tcPr>
            <w:tcW w:w="2976" w:type="dxa"/>
            <w:tcBorders>
              <w:top w:val="single" w:sz="4" w:space="0" w:color="auto"/>
              <w:left w:val="single" w:sz="4" w:space="0" w:color="auto"/>
              <w:bottom w:val="single" w:sz="4" w:space="0" w:color="auto"/>
              <w:right w:val="nil"/>
            </w:tcBorders>
          </w:tcPr>
          <w:p w14:paraId="6F657D0C" w14:textId="77777777" w:rsidR="008730F1" w:rsidRPr="00C91EA2" w:rsidRDefault="008730F1" w:rsidP="008730F1">
            <w:pPr>
              <w:jc w:val="both"/>
              <w:rPr>
                <w:rFonts w:ascii="Times New Roman" w:hAnsi="Times New Roman" w:cs="Times New Roman"/>
                <w:noProof/>
                <w:sz w:val="20"/>
                <w:lang w:val="en-GB" w:eastAsia="en-GB"/>
              </w:rPr>
            </w:pPr>
            <w:r>
              <w:rPr>
                <w:noProof/>
              </w:rPr>
              <w:drawing>
                <wp:inline distT="0" distB="0" distL="0" distR="0" wp14:anchorId="174FAB26" wp14:editId="6665924B">
                  <wp:extent cx="1752600" cy="3771900"/>
                  <wp:effectExtent l="0" t="0" r="0" b="0"/>
                  <wp:docPr id="27" name="Chart 2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6144" w:type="dxa"/>
            <w:tcBorders>
              <w:top w:val="single" w:sz="4" w:space="0" w:color="auto"/>
              <w:left w:val="nil"/>
              <w:bottom w:val="single" w:sz="4" w:space="0" w:color="auto"/>
              <w:right w:val="single" w:sz="4" w:space="0" w:color="auto"/>
            </w:tcBorders>
          </w:tcPr>
          <w:p w14:paraId="237B3364" w14:textId="77777777" w:rsidR="008730F1" w:rsidRPr="00C91EA2" w:rsidRDefault="008730F1" w:rsidP="008730F1">
            <w:pPr>
              <w:jc w:val="both"/>
              <w:rPr>
                <w:rFonts w:ascii="Times New Roman" w:hAnsi="Times New Roman" w:cs="Times New Roman"/>
                <w:noProof/>
                <w:lang w:val="en-GB" w:eastAsia="en-GB"/>
              </w:rPr>
            </w:pPr>
            <w:r>
              <w:rPr>
                <w:noProof/>
              </w:rPr>
              <w:drawing>
                <wp:inline distT="0" distB="0" distL="0" distR="0" wp14:anchorId="61AA2EA5" wp14:editId="58CC6341">
                  <wp:extent cx="3244850" cy="3086100"/>
                  <wp:effectExtent l="0" t="0" r="0" b="0"/>
                  <wp:docPr id="29" name="Chart 29">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8730F1" w:rsidRPr="00C91EA2" w14:paraId="6AD8340A" w14:textId="77777777" w:rsidTr="007575D7">
        <w:trPr>
          <w:trHeight w:val="64"/>
        </w:trPr>
        <w:tc>
          <w:tcPr>
            <w:tcW w:w="2976" w:type="dxa"/>
            <w:tcBorders>
              <w:top w:val="single" w:sz="4" w:space="0" w:color="auto"/>
              <w:left w:val="single" w:sz="4" w:space="0" w:color="auto"/>
              <w:bottom w:val="single" w:sz="4" w:space="0" w:color="auto"/>
              <w:right w:val="nil"/>
            </w:tcBorders>
          </w:tcPr>
          <w:p w14:paraId="7098ABD9" w14:textId="77777777" w:rsidR="008730F1" w:rsidRPr="00C91EA2" w:rsidRDefault="008730F1" w:rsidP="008730F1">
            <w:pPr>
              <w:jc w:val="both"/>
              <w:rPr>
                <w:rFonts w:ascii="Times New Roman" w:hAnsi="Times New Roman" w:cs="Times New Roman"/>
                <w:noProof/>
                <w:sz w:val="20"/>
                <w:lang w:val="en-GB" w:eastAsia="en-GB"/>
              </w:rPr>
            </w:pPr>
            <w:r w:rsidRPr="00C91EA2">
              <w:rPr>
                <w:rFonts w:ascii="Times New Roman" w:hAnsi="Times New Roman" w:cs="Times New Roman"/>
                <w:noProof/>
                <w:sz w:val="20"/>
                <w:lang w:val="en-GB" w:eastAsia="en-GB"/>
              </w:rPr>
              <w:t>Source:</w:t>
            </w:r>
            <w:r>
              <w:rPr>
                <w:rFonts w:ascii="Times New Roman" w:hAnsi="Times New Roman" w:cs="Times New Roman"/>
                <w:noProof/>
                <w:sz w:val="20"/>
                <w:lang w:val="en-GB" w:eastAsia="en-GB"/>
              </w:rPr>
              <w:t xml:space="preserve"> OECD-WBG PMR (2017)</w:t>
            </w:r>
          </w:p>
        </w:tc>
        <w:tc>
          <w:tcPr>
            <w:tcW w:w="6144" w:type="dxa"/>
            <w:tcBorders>
              <w:top w:val="single" w:sz="4" w:space="0" w:color="auto"/>
              <w:left w:val="nil"/>
              <w:bottom w:val="single" w:sz="4" w:space="0" w:color="auto"/>
              <w:right w:val="single" w:sz="4" w:space="0" w:color="auto"/>
            </w:tcBorders>
          </w:tcPr>
          <w:p w14:paraId="2C058551" w14:textId="77777777" w:rsidR="008730F1" w:rsidRPr="00C91EA2" w:rsidRDefault="008730F1" w:rsidP="008730F1">
            <w:pPr>
              <w:jc w:val="both"/>
              <w:rPr>
                <w:rFonts w:ascii="Times New Roman" w:hAnsi="Times New Roman" w:cs="Times New Roman"/>
                <w:noProof/>
                <w:lang w:val="en-GB" w:eastAsia="en-GB"/>
              </w:rPr>
            </w:pPr>
          </w:p>
        </w:tc>
      </w:tr>
    </w:tbl>
    <w:p w14:paraId="035145A5" w14:textId="77777777" w:rsidR="0043271C" w:rsidRDefault="0043271C" w:rsidP="0043271C">
      <w:pPr>
        <w:jc w:val="both"/>
        <w:rPr>
          <w:rFonts w:ascii="Times New Roman" w:hAnsi="Times New Roman" w:cs="Times New Roman"/>
        </w:rPr>
      </w:pPr>
    </w:p>
    <w:p w14:paraId="5FE96E88" w14:textId="77777777" w:rsidR="00711D1F" w:rsidRPr="00C91EA2" w:rsidRDefault="00711D1F" w:rsidP="0043271C">
      <w:pPr>
        <w:jc w:val="both"/>
        <w:rPr>
          <w:rFonts w:ascii="Times New Roman" w:hAnsi="Times New Roman" w:cs="Times New Roman"/>
        </w:rPr>
      </w:pPr>
    </w:p>
    <w:p w14:paraId="19423BF7" w14:textId="77777777" w:rsidR="0043271C" w:rsidRPr="00C91EA2" w:rsidRDefault="00576A60" w:rsidP="0043271C">
      <w:pPr>
        <w:pStyle w:val="Heading2"/>
        <w:keepNext w:val="0"/>
        <w:keepLines w:val="0"/>
        <w:spacing w:before="0" w:after="200"/>
        <w:jc w:val="both"/>
        <w:rPr>
          <w:rFonts w:ascii="Times New Roman" w:hAnsi="Times New Roman" w:cs="Times New Roman"/>
        </w:rPr>
      </w:pPr>
      <w:bookmarkStart w:id="102" w:name="_Toc497990822"/>
      <w:bookmarkStart w:id="103" w:name="_Toc427766852"/>
      <w:bookmarkStart w:id="104" w:name="_Toc520724103"/>
      <w:r w:rsidRPr="00C91EA2">
        <w:rPr>
          <w:rFonts w:ascii="Times New Roman" w:hAnsi="Times New Roman" w:cs="Times New Roman"/>
        </w:rPr>
        <w:t xml:space="preserve">3.1 </w:t>
      </w:r>
      <w:r w:rsidR="009F5222">
        <w:rPr>
          <w:rFonts w:ascii="Times New Roman" w:hAnsi="Times New Roman" w:cs="Times New Roman"/>
        </w:rPr>
        <w:t>Restrictions that M</w:t>
      </w:r>
      <w:r w:rsidR="0043271C" w:rsidRPr="00C91EA2">
        <w:rPr>
          <w:rFonts w:ascii="Times New Roman" w:hAnsi="Times New Roman" w:cs="Times New Roman"/>
        </w:rPr>
        <w:t xml:space="preserve">ay </w:t>
      </w:r>
      <w:r w:rsidR="009F5222">
        <w:rPr>
          <w:rFonts w:ascii="Times New Roman" w:hAnsi="Times New Roman" w:cs="Times New Roman"/>
        </w:rPr>
        <w:t>A</w:t>
      </w:r>
      <w:r w:rsidR="0043271C" w:rsidRPr="00C91EA2">
        <w:rPr>
          <w:rFonts w:ascii="Times New Roman" w:hAnsi="Times New Roman" w:cs="Times New Roman"/>
        </w:rPr>
        <w:t xml:space="preserve">ffect the </w:t>
      </w:r>
      <w:r w:rsidR="009F5222">
        <w:rPr>
          <w:rFonts w:ascii="Times New Roman" w:hAnsi="Times New Roman" w:cs="Times New Roman"/>
        </w:rPr>
        <w:t>L</w:t>
      </w:r>
      <w:r w:rsidR="0043271C" w:rsidRPr="00C91EA2">
        <w:rPr>
          <w:rFonts w:ascii="Times New Roman" w:hAnsi="Times New Roman" w:cs="Times New Roman"/>
        </w:rPr>
        <w:t xml:space="preserve">evel </w:t>
      </w:r>
      <w:r w:rsidR="009F5222">
        <w:rPr>
          <w:rFonts w:ascii="Times New Roman" w:hAnsi="Times New Roman" w:cs="Times New Roman"/>
        </w:rPr>
        <w:t>P</w:t>
      </w:r>
      <w:r w:rsidR="0043271C" w:rsidRPr="00C91EA2">
        <w:rPr>
          <w:rFonts w:ascii="Times New Roman" w:hAnsi="Times New Roman" w:cs="Times New Roman"/>
        </w:rPr>
        <w:t xml:space="preserve">laying </w:t>
      </w:r>
      <w:r w:rsidR="009F5222">
        <w:rPr>
          <w:rFonts w:ascii="Times New Roman" w:hAnsi="Times New Roman" w:cs="Times New Roman"/>
        </w:rPr>
        <w:t>F</w:t>
      </w:r>
      <w:r w:rsidR="0043271C" w:rsidRPr="00C91EA2">
        <w:rPr>
          <w:rFonts w:ascii="Times New Roman" w:hAnsi="Times New Roman" w:cs="Times New Roman"/>
        </w:rPr>
        <w:t xml:space="preserve">ield </w:t>
      </w:r>
      <w:r w:rsidR="009F5222">
        <w:rPr>
          <w:rFonts w:ascii="Times New Roman" w:hAnsi="Times New Roman" w:cs="Times New Roman"/>
        </w:rPr>
        <w:t>B</w:t>
      </w:r>
      <w:r w:rsidR="0043271C" w:rsidRPr="00C91EA2">
        <w:rPr>
          <w:rFonts w:ascii="Times New Roman" w:hAnsi="Times New Roman" w:cs="Times New Roman"/>
        </w:rPr>
        <w:t xml:space="preserve">etween </w:t>
      </w:r>
      <w:r w:rsidR="009F5222">
        <w:rPr>
          <w:rFonts w:ascii="Times New Roman" w:hAnsi="Times New Roman" w:cs="Times New Roman"/>
        </w:rPr>
        <w:t>P</w:t>
      </w:r>
      <w:r w:rsidR="0043271C" w:rsidRPr="00C91EA2">
        <w:rPr>
          <w:rFonts w:ascii="Times New Roman" w:hAnsi="Times New Roman" w:cs="Times New Roman"/>
        </w:rPr>
        <w:t xml:space="preserve">ublic and </w:t>
      </w:r>
      <w:r w:rsidR="009F5222">
        <w:rPr>
          <w:rFonts w:ascii="Times New Roman" w:hAnsi="Times New Roman" w:cs="Times New Roman"/>
        </w:rPr>
        <w:t>P</w:t>
      </w:r>
      <w:r w:rsidR="0043271C" w:rsidRPr="00C91EA2">
        <w:rPr>
          <w:rFonts w:ascii="Times New Roman" w:hAnsi="Times New Roman" w:cs="Times New Roman"/>
        </w:rPr>
        <w:t xml:space="preserve">rivate </w:t>
      </w:r>
      <w:r w:rsidR="009F5222">
        <w:rPr>
          <w:rFonts w:ascii="Times New Roman" w:hAnsi="Times New Roman" w:cs="Times New Roman"/>
        </w:rPr>
        <w:t>O</w:t>
      </w:r>
      <w:r w:rsidR="0043271C" w:rsidRPr="00C91EA2">
        <w:rPr>
          <w:rFonts w:ascii="Times New Roman" w:hAnsi="Times New Roman" w:cs="Times New Roman"/>
        </w:rPr>
        <w:t>perators</w:t>
      </w:r>
      <w:bookmarkEnd w:id="102"/>
      <w:bookmarkEnd w:id="103"/>
      <w:bookmarkEnd w:id="104"/>
    </w:p>
    <w:p w14:paraId="1D033412" w14:textId="08AD24E7"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Typically, </w:t>
      </w:r>
      <w:r w:rsidR="003B24ED">
        <w:rPr>
          <w:rFonts w:ascii="Times New Roman" w:hAnsi="Times New Roman" w:cs="Times New Roman"/>
          <w:b/>
        </w:rPr>
        <w:t>Government</w:t>
      </w:r>
      <w:r w:rsidRPr="00C91EA2">
        <w:rPr>
          <w:rFonts w:ascii="Times New Roman" w:hAnsi="Times New Roman" w:cs="Times New Roman"/>
          <w:b/>
        </w:rPr>
        <w:t>s can influence markets</w:t>
      </w:r>
      <w:r w:rsidRPr="00C91EA2">
        <w:rPr>
          <w:rFonts w:ascii="Times New Roman" w:hAnsi="Times New Roman" w:cs="Times New Roman"/>
        </w:rPr>
        <w:t xml:space="preserve"> </w:t>
      </w:r>
      <w:r w:rsidRPr="00C91EA2">
        <w:rPr>
          <w:rFonts w:ascii="Times New Roman" w:hAnsi="Times New Roman" w:cs="Times New Roman"/>
          <w:b/>
        </w:rPr>
        <w:t xml:space="preserve">either through direct </w:t>
      </w:r>
      <w:r w:rsidRPr="003271A5">
        <w:rPr>
          <w:rFonts w:ascii="Times New Roman" w:hAnsi="Times New Roman" w:cs="Times New Roman"/>
          <w:b/>
        </w:rPr>
        <w:t>participation</w:t>
      </w:r>
      <w:r w:rsidRPr="003271A5">
        <w:rPr>
          <w:rFonts w:ascii="Times New Roman" w:hAnsi="Times New Roman" w:cs="Times New Roman"/>
          <w:b/>
          <w:lang w:eastAsia="zh-CN"/>
        </w:rPr>
        <w:t xml:space="preserve"> </w:t>
      </w:r>
      <w:r w:rsidR="003271A5">
        <w:rPr>
          <w:rFonts w:ascii="Times New Roman" w:hAnsi="Times New Roman" w:cs="Times New Roman"/>
          <w:b/>
        </w:rPr>
        <w:t>(</w:t>
      </w:r>
      <w:r w:rsidRPr="00C91EA2">
        <w:rPr>
          <w:rFonts w:ascii="Times New Roman" w:hAnsi="Times New Roman" w:cs="Times New Roman"/>
          <w:b/>
        </w:rPr>
        <w:t xml:space="preserve">as a buyer or supplier of goods and services), or through indirect participation in private markets (through regulation, subsidies or taxation). </w:t>
      </w:r>
      <w:r w:rsidRPr="00C91EA2">
        <w:rPr>
          <w:rFonts w:ascii="Times New Roman" w:hAnsi="Times New Roman" w:cs="Times New Roman"/>
        </w:rPr>
        <w:t xml:space="preserve">The degree of state involvement in the markets is the prerogative of each country. At the same time, reviewing the economic outcomes of state intervention is important </w:t>
      </w:r>
      <w:proofErr w:type="gramStart"/>
      <w:r w:rsidRPr="00C91EA2">
        <w:rPr>
          <w:rFonts w:ascii="Times New Roman" w:hAnsi="Times New Roman" w:cs="Times New Roman"/>
        </w:rPr>
        <w:t>in order to</w:t>
      </w:r>
      <w:proofErr w:type="gramEnd"/>
      <w:r w:rsidRPr="00C91EA2">
        <w:rPr>
          <w:rFonts w:ascii="Times New Roman" w:hAnsi="Times New Roman" w:cs="Times New Roman"/>
        </w:rPr>
        <w:t xml:space="preserve"> balance economic and non-economic policy objectives and their effects on market functioning. The most important criteria to filter distortive </w:t>
      </w:r>
      <w:r w:rsidR="003B24ED">
        <w:rPr>
          <w:rFonts w:ascii="Times New Roman" w:hAnsi="Times New Roman" w:cs="Times New Roman"/>
        </w:rPr>
        <w:t>Government</w:t>
      </w:r>
      <w:r w:rsidRPr="00C91EA2">
        <w:rPr>
          <w:rFonts w:ascii="Times New Roman" w:hAnsi="Times New Roman" w:cs="Times New Roman"/>
        </w:rPr>
        <w:t xml:space="preserve"> intervention </w:t>
      </w:r>
      <w:r w:rsidR="00330D70">
        <w:rPr>
          <w:rFonts w:ascii="Times New Roman" w:hAnsi="Times New Roman" w:cs="Times New Roman"/>
        </w:rPr>
        <w:t>are</w:t>
      </w:r>
      <w:r w:rsidRPr="00C91EA2">
        <w:rPr>
          <w:rFonts w:ascii="Times New Roman" w:hAnsi="Times New Roman" w:cs="Times New Roman"/>
        </w:rPr>
        <w:t xml:space="preserve"> whether the intervention affects (i) the possibility of market entry or exit (such as exclusive rights to supply, limitations on the number of suppliers or interventions that significantly raise the costs of new firms to enter the market), (ii) the market conditions to compete among firms, either through direct restrictions (such as price or product regulation) or by reducing the incentive for firms to compete strongly; and (iii) the ability of consumers to shop around between firms and exercise consumers’ choice.</w:t>
      </w:r>
      <w:r w:rsidRPr="00C91EA2">
        <w:rPr>
          <w:rStyle w:val="FootnoteReference"/>
          <w:rFonts w:ascii="Times New Roman" w:hAnsi="Times New Roman" w:cs="Times New Roman"/>
        </w:rPr>
        <w:footnoteReference w:id="77"/>
      </w:r>
    </w:p>
    <w:p w14:paraId="1EF15901" w14:textId="77777777" w:rsidR="0043271C" w:rsidRPr="00C91EA2" w:rsidRDefault="0043271C" w:rsidP="0043271C">
      <w:pPr>
        <w:pStyle w:val="ListParagraph"/>
        <w:ind w:left="0"/>
        <w:jc w:val="both"/>
        <w:rPr>
          <w:rFonts w:ascii="Times New Roman" w:hAnsi="Times New Roman" w:cs="Times New Roman"/>
        </w:rPr>
      </w:pPr>
    </w:p>
    <w:p w14:paraId="2BF03343" w14:textId="165E29F8" w:rsidR="00BC0D1A" w:rsidRDefault="003B24ED" w:rsidP="00BC0D1A">
      <w:pPr>
        <w:pStyle w:val="ListParagraph"/>
        <w:numPr>
          <w:ilvl w:val="0"/>
          <w:numId w:val="125"/>
        </w:numPr>
        <w:ind w:left="0" w:firstLine="0"/>
        <w:jc w:val="both"/>
        <w:rPr>
          <w:rFonts w:ascii="Times New Roman" w:hAnsi="Times New Roman" w:cs="Times New Roman"/>
        </w:rPr>
      </w:pPr>
      <w:r>
        <w:rPr>
          <w:rFonts w:ascii="Times New Roman" w:hAnsi="Times New Roman" w:cs="Times New Roman"/>
          <w:b/>
        </w:rPr>
        <w:t>Government</w:t>
      </w:r>
      <w:r w:rsidR="0043271C" w:rsidRPr="00C91EA2">
        <w:rPr>
          <w:rFonts w:ascii="Times New Roman" w:hAnsi="Times New Roman" w:cs="Times New Roman"/>
          <w:b/>
        </w:rPr>
        <w:t xml:space="preserve">s justify their direct participation in the economy through a mixture of social and economic goals. </w:t>
      </w:r>
      <w:r>
        <w:rPr>
          <w:rFonts w:ascii="Times New Roman" w:hAnsi="Times New Roman" w:cs="Times New Roman"/>
        </w:rPr>
        <w:t>Government</w:t>
      </w:r>
      <w:r w:rsidR="0043271C" w:rsidRPr="00C91EA2">
        <w:rPr>
          <w:rFonts w:ascii="Times New Roman" w:hAnsi="Times New Roman" w:cs="Times New Roman"/>
        </w:rPr>
        <w:t>s generally invoke the control of strategic resources and the improvement of distribution of wealth and power as justifications to participate in economic activities through SOEs. Employment and industrial policies may also be major drivers for developing a large presence of SOEs in the market.</w:t>
      </w:r>
      <w:r w:rsidR="0043271C" w:rsidRPr="00C91EA2">
        <w:rPr>
          <w:rStyle w:val="FootnoteReference"/>
          <w:rFonts w:ascii="Times New Roman" w:hAnsi="Times New Roman" w:cs="Times New Roman"/>
        </w:rPr>
        <w:footnoteReference w:id="78"/>
      </w:r>
      <w:r w:rsidR="0043271C" w:rsidRPr="00C91EA2">
        <w:rPr>
          <w:rFonts w:ascii="Times New Roman" w:hAnsi="Times New Roman" w:cs="Times New Roman"/>
        </w:rPr>
        <w:t xml:space="preserve"> In times of crisis, state ownership is often used to rescue private businesses affected by systemic economic and financial problems.</w:t>
      </w:r>
      <w:r w:rsidR="0043271C" w:rsidRPr="00C91EA2">
        <w:rPr>
          <w:rStyle w:val="FootnoteReference"/>
          <w:rFonts w:ascii="Times New Roman" w:hAnsi="Times New Roman" w:cs="Times New Roman"/>
        </w:rPr>
        <w:footnoteReference w:id="79"/>
      </w:r>
      <w:r w:rsidR="0043271C" w:rsidRPr="00C91EA2">
        <w:rPr>
          <w:rFonts w:ascii="Times New Roman" w:hAnsi="Times New Roman" w:cs="Times New Roman"/>
        </w:rPr>
        <w:t xml:space="preserve"> Such </w:t>
      </w:r>
      <w:r>
        <w:rPr>
          <w:rFonts w:ascii="Times New Roman" w:hAnsi="Times New Roman" w:cs="Times New Roman"/>
        </w:rPr>
        <w:t>Government</w:t>
      </w:r>
      <w:r w:rsidR="0043271C" w:rsidRPr="00C91EA2">
        <w:rPr>
          <w:rFonts w:ascii="Times New Roman" w:hAnsi="Times New Roman" w:cs="Times New Roman"/>
        </w:rPr>
        <w:t xml:space="preserve"> bailouts for private firms in critical conditions are carried out for a variety of reasons, including the protection of employment, industrial policy considerations, and other strategic and political motivations.</w:t>
      </w:r>
      <w:r w:rsidR="0043271C" w:rsidRPr="00C91EA2">
        <w:rPr>
          <w:rStyle w:val="FootnoteReference"/>
          <w:rFonts w:ascii="Times New Roman" w:hAnsi="Times New Roman" w:cs="Times New Roman"/>
        </w:rPr>
        <w:footnoteReference w:id="80"/>
      </w:r>
      <w:r w:rsidR="0043271C" w:rsidRPr="00C91EA2">
        <w:rPr>
          <w:rFonts w:ascii="Times New Roman" w:hAnsi="Times New Roman" w:cs="Times New Roman"/>
        </w:rPr>
        <w:t xml:space="preserve"> However, it is important to ensure that the participation of the </w:t>
      </w:r>
      <w:r>
        <w:rPr>
          <w:rFonts w:ascii="Times New Roman" w:hAnsi="Times New Roman" w:cs="Times New Roman"/>
        </w:rPr>
        <w:t>Government</w:t>
      </w:r>
      <w:r w:rsidR="0043271C" w:rsidRPr="00C91EA2">
        <w:rPr>
          <w:rFonts w:ascii="Times New Roman" w:hAnsi="Times New Roman" w:cs="Times New Roman"/>
        </w:rPr>
        <w:t xml:space="preserve"> in the economy remains subsidiary to that of the private sector, i.e. the state provides only those goods and services that the private sector cannot provide itself. </w:t>
      </w:r>
    </w:p>
    <w:p w14:paraId="38EB5826" w14:textId="77777777" w:rsidR="00BC0D1A" w:rsidRPr="00BC0D1A" w:rsidRDefault="00BC0D1A" w:rsidP="00BC0D1A">
      <w:pPr>
        <w:pStyle w:val="ListParagraph"/>
        <w:rPr>
          <w:rFonts w:ascii="Times New Roman" w:hAnsi="Times New Roman" w:cs="Times New Roman"/>
          <w:b/>
        </w:rPr>
      </w:pPr>
    </w:p>
    <w:p w14:paraId="37A1763B" w14:textId="4F4F2356" w:rsidR="00BC0D1A" w:rsidRPr="00BC0D1A" w:rsidRDefault="00BC0D1A" w:rsidP="00BC0D1A">
      <w:pPr>
        <w:pStyle w:val="ListParagraph"/>
        <w:numPr>
          <w:ilvl w:val="0"/>
          <w:numId w:val="125"/>
        </w:numPr>
        <w:ind w:left="0" w:firstLine="0"/>
        <w:jc w:val="both"/>
        <w:rPr>
          <w:rFonts w:ascii="Times New Roman" w:hAnsi="Times New Roman" w:cs="Times New Roman"/>
        </w:rPr>
      </w:pPr>
      <w:r w:rsidRPr="00BC0D1A">
        <w:rPr>
          <w:rFonts w:ascii="Times New Roman" w:hAnsi="Times New Roman" w:cs="Times New Roman"/>
          <w:b/>
        </w:rPr>
        <w:t xml:space="preserve">The Senegalese </w:t>
      </w:r>
      <w:r w:rsidR="003B24ED">
        <w:rPr>
          <w:rFonts w:ascii="Times New Roman" w:hAnsi="Times New Roman" w:cs="Times New Roman"/>
          <w:b/>
        </w:rPr>
        <w:t>Government</w:t>
      </w:r>
      <w:r w:rsidRPr="00BC0D1A">
        <w:rPr>
          <w:rFonts w:ascii="Times New Roman" w:hAnsi="Times New Roman" w:cs="Times New Roman"/>
          <w:b/>
        </w:rPr>
        <w:t xml:space="preserve"> is involved in the market both directly through</w:t>
      </w:r>
      <w:r w:rsidR="00437D0C">
        <w:rPr>
          <w:rFonts w:ascii="Times New Roman" w:hAnsi="Times New Roman" w:cs="Times New Roman"/>
          <w:b/>
        </w:rPr>
        <w:t xml:space="preserve"> S</w:t>
      </w:r>
      <w:r w:rsidRPr="00BC0D1A">
        <w:rPr>
          <w:rFonts w:ascii="Times New Roman" w:hAnsi="Times New Roman" w:cs="Times New Roman"/>
          <w:b/>
        </w:rPr>
        <w:t xml:space="preserve">tate-owned enterprises </w:t>
      </w:r>
      <w:r w:rsidR="00437D0C">
        <w:rPr>
          <w:rFonts w:ascii="Times New Roman" w:hAnsi="Times New Roman" w:cs="Times New Roman"/>
          <w:b/>
        </w:rPr>
        <w:t xml:space="preserve">(SOEs) </w:t>
      </w:r>
      <w:r w:rsidRPr="00BC0D1A">
        <w:rPr>
          <w:rFonts w:ascii="Times New Roman" w:hAnsi="Times New Roman" w:cs="Times New Roman"/>
          <w:b/>
        </w:rPr>
        <w:t>and indirectly</w:t>
      </w:r>
      <w:r w:rsidR="0044253A">
        <w:rPr>
          <w:rFonts w:ascii="Times New Roman" w:hAnsi="Times New Roman" w:cs="Times New Roman"/>
          <w:b/>
        </w:rPr>
        <w:t xml:space="preserve"> through regulation that can affect competition conditions</w:t>
      </w:r>
      <w:r w:rsidRPr="00BC0D1A">
        <w:rPr>
          <w:rFonts w:ascii="Times New Roman" w:hAnsi="Times New Roman" w:cs="Times New Roman"/>
          <w:b/>
          <w:bCs/>
        </w:rPr>
        <w:t xml:space="preserve">. </w:t>
      </w:r>
      <w:r w:rsidR="0043271C" w:rsidRPr="00BC0D1A">
        <w:rPr>
          <w:rFonts w:ascii="Times New Roman" w:hAnsi="Times New Roman" w:cs="Times New Roman"/>
        </w:rPr>
        <w:t>The PMR indicator on state control includes aspects</w:t>
      </w:r>
      <w:r w:rsidR="003A1C58">
        <w:rPr>
          <w:rFonts w:ascii="Times New Roman" w:hAnsi="Times New Roman" w:cs="Times New Roman"/>
        </w:rPr>
        <w:t>,</w:t>
      </w:r>
      <w:r w:rsidR="0043271C" w:rsidRPr="00BC0D1A">
        <w:rPr>
          <w:rFonts w:ascii="Times New Roman" w:hAnsi="Times New Roman" w:cs="Times New Roman"/>
        </w:rPr>
        <w:t xml:space="preserve"> such as the scope of SOE involvement in the economy, direct </w:t>
      </w:r>
      <w:r w:rsidR="003B24ED">
        <w:rPr>
          <w:rFonts w:ascii="Times New Roman" w:hAnsi="Times New Roman" w:cs="Times New Roman"/>
        </w:rPr>
        <w:t>Government</w:t>
      </w:r>
      <w:r w:rsidR="0043271C" w:rsidRPr="00BC0D1A">
        <w:rPr>
          <w:rFonts w:ascii="Times New Roman" w:hAnsi="Times New Roman" w:cs="Times New Roman"/>
        </w:rPr>
        <w:t xml:space="preserve"> control of enterprises, price controls, and the use of command and control regulations. With its score on state control of 2.88, Senegal ranks in the </w:t>
      </w:r>
      <w:r w:rsidR="005E411A">
        <w:rPr>
          <w:rFonts w:ascii="Times New Roman" w:hAnsi="Times New Roman" w:cs="Times New Roman"/>
        </w:rPr>
        <w:t>bottom</w:t>
      </w:r>
      <w:r w:rsidR="0043271C" w:rsidRPr="00BC0D1A">
        <w:rPr>
          <w:rFonts w:ascii="Times New Roman" w:hAnsi="Times New Roman" w:cs="Times New Roman"/>
        </w:rPr>
        <w:t xml:space="preserve"> </w:t>
      </w:r>
      <w:r w:rsidR="005E411A">
        <w:rPr>
          <w:rFonts w:ascii="Times New Roman" w:hAnsi="Times New Roman" w:cs="Times New Roman"/>
        </w:rPr>
        <w:t>half</w:t>
      </w:r>
      <w:r w:rsidR="0043271C" w:rsidRPr="00BC0D1A">
        <w:rPr>
          <w:rFonts w:ascii="Times New Roman" w:hAnsi="Times New Roman" w:cs="Times New Roman"/>
        </w:rPr>
        <w:t xml:space="preserve"> of comparator economies,</w:t>
      </w:r>
      <w:r w:rsidR="0043271C" w:rsidRPr="00BC0D1A">
        <w:rPr>
          <w:rFonts w:ascii="Times New Roman" w:hAnsi="Times New Roman" w:cs="Times New Roman"/>
          <w:b/>
        </w:rPr>
        <w:t xml:space="preserve"> </w:t>
      </w:r>
      <w:r w:rsidR="0043271C" w:rsidRPr="00BC0D1A">
        <w:rPr>
          <w:rFonts w:ascii="Times New Roman" w:hAnsi="Times New Roman" w:cs="Times New Roman"/>
        </w:rPr>
        <w:t>behind Kenya and most Latin American countries (</w:t>
      </w:r>
      <w:r w:rsidR="0043271C" w:rsidRPr="00BC0D1A">
        <w:rPr>
          <w:rFonts w:ascii="Times New Roman" w:hAnsi="Times New Roman" w:cs="Times New Roman"/>
        </w:rPr>
        <w:fldChar w:fldCharType="begin"/>
      </w:r>
      <w:r w:rsidR="0043271C" w:rsidRPr="00BC0D1A">
        <w:rPr>
          <w:rFonts w:ascii="Times New Roman" w:hAnsi="Times New Roman" w:cs="Times New Roman"/>
        </w:rPr>
        <w:instrText xml:space="preserve"> REF _Ref496888455 \h </w:instrText>
      </w:r>
      <w:r w:rsidR="00C91EA2" w:rsidRPr="00BC0D1A">
        <w:rPr>
          <w:rFonts w:ascii="Times New Roman" w:hAnsi="Times New Roman" w:cs="Times New Roman"/>
        </w:rPr>
        <w:instrText xml:space="preserve"> \* MERGEFORMAT </w:instrText>
      </w:r>
      <w:r w:rsidR="0043271C" w:rsidRPr="00BC0D1A">
        <w:rPr>
          <w:rFonts w:ascii="Times New Roman" w:hAnsi="Times New Roman" w:cs="Times New Roman"/>
        </w:rPr>
      </w:r>
      <w:r w:rsidR="0043271C" w:rsidRPr="00BC0D1A">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22</w:t>
      </w:r>
      <w:r w:rsidR="0043271C" w:rsidRPr="00BC0D1A">
        <w:rPr>
          <w:rFonts w:ascii="Times New Roman" w:hAnsi="Times New Roman" w:cs="Times New Roman"/>
        </w:rPr>
        <w:fldChar w:fldCharType="end"/>
      </w:r>
      <w:r w:rsidR="0043271C" w:rsidRPr="00BC0D1A">
        <w:rPr>
          <w:rFonts w:ascii="Times New Roman" w:hAnsi="Times New Roman" w:cs="Times New Roman"/>
        </w:rPr>
        <w:t>).</w:t>
      </w:r>
      <w:r w:rsidRPr="00BC0D1A">
        <w:rPr>
          <w:rFonts w:ascii="Times New Roman" w:hAnsi="Times New Roman" w:cs="Times New Roman"/>
        </w:rPr>
        <w:t xml:space="preserve"> </w:t>
      </w:r>
      <w:r w:rsidR="00BB68A5" w:rsidRPr="00BC0D1A">
        <w:rPr>
          <w:rFonts w:ascii="Times New Roman" w:hAnsi="Times New Roman" w:cs="Times New Roman"/>
        </w:rPr>
        <w:t xml:space="preserve">Public ownership of enterprises contributes roughly 58 percent and </w:t>
      </w:r>
      <w:r w:rsidR="003B24ED">
        <w:rPr>
          <w:rFonts w:ascii="Times New Roman" w:hAnsi="Times New Roman" w:cs="Times New Roman"/>
        </w:rPr>
        <w:t>Government</w:t>
      </w:r>
      <w:r w:rsidR="00BB68A5" w:rsidRPr="00BC0D1A">
        <w:rPr>
          <w:rFonts w:ascii="Times New Roman" w:hAnsi="Times New Roman" w:cs="Times New Roman"/>
        </w:rPr>
        <w:t xml:space="preserve"> involvement in business operations 42 percent</w:t>
      </w:r>
      <w:r w:rsidR="00BB68A5">
        <w:rPr>
          <w:rFonts w:ascii="Times New Roman" w:hAnsi="Times New Roman" w:cs="Times New Roman"/>
        </w:rPr>
        <w:t>, respectively,</w:t>
      </w:r>
      <w:r w:rsidR="00BB68A5" w:rsidRPr="00BC0D1A">
        <w:rPr>
          <w:rFonts w:ascii="Times New Roman" w:hAnsi="Times New Roman" w:cs="Times New Roman"/>
        </w:rPr>
        <w:t xml:space="preserve"> to the </w:t>
      </w:r>
      <w:r w:rsidR="00BB68A5">
        <w:rPr>
          <w:rFonts w:ascii="Times New Roman" w:hAnsi="Times New Roman" w:cs="Times New Roman"/>
        </w:rPr>
        <w:t>overall state control indicator (</w:t>
      </w:r>
      <w:r w:rsidR="005F12C1">
        <w:rPr>
          <w:rFonts w:ascii="Times New Roman" w:hAnsi="Times New Roman" w:cs="Times New Roman"/>
        </w:rPr>
        <w:fldChar w:fldCharType="begin"/>
      </w:r>
      <w:r w:rsidR="005F12C1">
        <w:rPr>
          <w:rFonts w:ascii="Times New Roman" w:hAnsi="Times New Roman" w:cs="Times New Roman"/>
        </w:rPr>
        <w:instrText xml:space="preserve"> REF _Ref520388558 \h </w:instrText>
      </w:r>
      <w:r w:rsidR="005F12C1">
        <w:rPr>
          <w:rFonts w:ascii="Times New Roman" w:hAnsi="Times New Roman" w:cs="Times New Roman"/>
        </w:rPr>
      </w:r>
      <w:r w:rsidR="005F12C1">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23</w:t>
      </w:r>
      <w:r w:rsidR="005F12C1">
        <w:rPr>
          <w:rFonts w:ascii="Times New Roman" w:hAnsi="Times New Roman" w:cs="Times New Roman"/>
        </w:rPr>
        <w:fldChar w:fldCharType="end"/>
      </w:r>
      <w:r w:rsidR="00BB68A5">
        <w:rPr>
          <w:rFonts w:ascii="Times New Roman" w:hAnsi="Times New Roman" w:cs="Times New Roman"/>
        </w:rPr>
        <w:t xml:space="preserve">). </w:t>
      </w:r>
      <w:r w:rsidRPr="00BC0D1A">
        <w:rPr>
          <w:rFonts w:ascii="Times New Roman" w:hAnsi="Times New Roman" w:cs="Times New Roman"/>
        </w:rPr>
        <w:t xml:space="preserve">Involvement in business operations is evenly </w:t>
      </w:r>
      <w:r w:rsidR="00BB68A5">
        <w:rPr>
          <w:rFonts w:ascii="Times New Roman" w:hAnsi="Times New Roman" w:cs="Times New Roman"/>
        </w:rPr>
        <w:t xml:space="preserve">driven by existing </w:t>
      </w:r>
      <w:r w:rsidRPr="00BC0D1A">
        <w:rPr>
          <w:rFonts w:ascii="Times New Roman" w:hAnsi="Times New Roman" w:cs="Times New Roman"/>
        </w:rPr>
        <w:t>price controls</w:t>
      </w:r>
      <w:r w:rsidR="00BB68A5">
        <w:rPr>
          <w:rFonts w:ascii="Times New Roman" w:hAnsi="Times New Roman" w:cs="Times New Roman"/>
        </w:rPr>
        <w:t xml:space="preserve"> that the </w:t>
      </w:r>
      <w:r w:rsidR="003B24ED">
        <w:rPr>
          <w:rFonts w:ascii="Times New Roman" w:hAnsi="Times New Roman" w:cs="Times New Roman"/>
        </w:rPr>
        <w:t>Government</w:t>
      </w:r>
      <w:r w:rsidR="00BB68A5">
        <w:rPr>
          <w:rFonts w:ascii="Times New Roman" w:hAnsi="Times New Roman" w:cs="Times New Roman"/>
        </w:rPr>
        <w:t xml:space="preserve"> keeps in place</w:t>
      </w:r>
      <w:r w:rsidRPr="00BC0D1A">
        <w:rPr>
          <w:rFonts w:ascii="Times New Roman" w:hAnsi="Times New Roman" w:cs="Times New Roman"/>
        </w:rPr>
        <w:t xml:space="preserve"> and command and control regulation, which </w:t>
      </w:r>
      <w:r w:rsidR="004E3813">
        <w:rPr>
          <w:rFonts w:ascii="Times New Roman" w:hAnsi="Times New Roman" w:cs="Times New Roman"/>
        </w:rPr>
        <w:t>captures</w:t>
      </w:r>
      <w:r w:rsidRPr="00BC0D1A">
        <w:rPr>
          <w:rFonts w:ascii="Times New Roman" w:hAnsi="Times New Roman" w:cs="Times New Roman"/>
        </w:rPr>
        <w:t xml:space="preserve"> the extent to which the </w:t>
      </w:r>
      <w:r w:rsidR="003B24ED">
        <w:rPr>
          <w:rFonts w:ascii="Times New Roman" w:hAnsi="Times New Roman" w:cs="Times New Roman"/>
        </w:rPr>
        <w:t>Government</w:t>
      </w:r>
      <w:r w:rsidRPr="00BC0D1A">
        <w:rPr>
          <w:rFonts w:ascii="Times New Roman" w:hAnsi="Times New Roman" w:cs="Times New Roman"/>
        </w:rPr>
        <w:t xml:space="preserve"> uses coercive (as opposed to incentive-based) regulation.</w:t>
      </w:r>
    </w:p>
    <w:p w14:paraId="484199C3" w14:textId="77777777" w:rsidR="0043271C" w:rsidRPr="00C91EA2" w:rsidRDefault="0043271C" w:rsidP="0043271C">
      <w:pPr>
        <w:jc w:val="both"/>
        <w:rPr>
          <w:rFonts w:ascii="Times New Roman" w:hAnsi="Times New Roman" w:cs="Times New Roman"/>
        </w:rPr>
      </w:pPr>
    </w:p>
    <w:tbl>
      <w:tblPr>
        <w:tblStyle w:val="TableGrid"/>
        <w:tblW w:w="8645" w:type="dxa"/>
        <w:tblLook w:val="04A0" w:firstRow="1" w:lastRow="0" w:firstColumn="1" w:lastColumn="0" w:noHBand="0" w:noVBand="1"/>
      </w:tblPr>
      <w:tblGrid>
        <w:gridCol w:w="8840"/>
      </w:tblGrid>
      <w:tr w:rsidR="0043271C" w:rsidRPr="00C91EA2" w14:paraId="09D0A188" w14:textId="77777777" w:rsidTr="00FE2A31">
        <w:trPr>
          <w:trHeight w:val="256"/>
        </w:trPr>
        <w:tc>
          <w:tcPr>
            <w:tcW w:w="8645" w:type="dxa"/>
            <w:tcBorders>
              <w:top w:val="single" w:sz="4" w:space="0" w:color="auto"/>
              <w:left w:val="single" w:sz="4" w:space="0" w:color="auto"/>
              <w:bottom w:val="single" w:sz="4" w:space="0" w:color="auto"/>
              <w:right w:val="single" w:sz="4" w:space="0" w:color="auto"/>
            </w:tcBorders>
            <w:hideMark/>
          </w:tcPr>
          <w:p w14:paraId="17B4B000" w14:textId="4788F0E8" w:rsidR="0043271C" w:rsidRPr="00C91EA2" w:rsidRDefault="0043271C">
            <w:pPr>
              <w:pStyle w:val="Caption"/>
              <w:keepNext/>
              <w:jc w:val="both"/>
              <w:rPr>
                <w:rFonts w:ascii="Times New Roman" w:hAnsi="Times New Roman"/>
              </w:rPr>
            </w:pPr>
            <w:bookmarkStart w:id="105" w:name="_Ref496888455"/>
            <w:bookmarkStart w:id="106" w:name="_Toc497990868"/>
            <w:bookmarkStart w:id="107" w:name="_Toc520725578"/>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22</w:t>
            </w:r>
            <w:r w:rsidR="00D91B27">
              <w:rPr>
                <w:rFonts w:ascii="Times New Roman" w:hAnsi="Times New Roman"/>
              </w:rPr>
              <w:fldChar w:fldCharType="end"/>
            </w:r>
            <w:bookmarkEnd w:id="105"/>
            <w:r w:rsidR="00AA19FD">
              <w:rPr>
                <w:rFonts w:ascii="Times New Roman" w:hAnsi="Times New Roman"/>
              </w:rPr>
              <w:t xml:space="preserve">: State Control Indicator in Senegal and </w:t>
            </w:r>
            <w:bookmarkEnd w:id="106"/>
            <w:r w:rsidR="00AA19FD">
              <w:rPr>
                <w:rFonts w:ascii="Times New Roman" w:hAnsi="Times New Roman"/>
              </w:rPr>
              <w:t>Comparator Countries</w:t>
            </w:r>
            <w:bookmarkEnd w:id="107"/>
          </w:p>
        </w:tc>
      </w:tr>
      <w:tr w:rsidR="0043271C" w:rsidRPr="00C91EA2" w14:paraId="3A353882" w14:textId="77777777" w:rsidTr="00FE2A31">
        <w:trPr>
          <w:trHeight w:val="5404"/>
        </w:trPr>
        <w:tc>
          <w:tcPr>
            <w:tcW w:w="8645" w:type="dxa"/>
            <w:tcBorders>
              <w:top w:val="single" w:sz="4" w:space="0" w:color="auto"/>
              <w:left w:val="single" w:sz="4" w:space="0" w:color="auto"/>
              <w:bottom w:val="single" w:sz="4" w:space="0" w:color="auto"/>
              <w:right w:val="single" w:sz="4" w:space="0" w:color="auto"/>
            </w:tcBorders>
            <w:hideMark/>
          </w:tcPr>
          <w:p w14:paraId="23D1945B" w14:textId="77777777" w:rsidR="0043271C" w:rsidRPr="00C91EA2" w:rsidRDefault="00E00F83">
            <w:pPr>
              <w:jc w:val="both"/>
              <w:rPr>
                <w:rFonts w:ascii="Times New Roman" w:hAnsi="Times New Roman" w:cs="Times New Roman"/>
              </w:rPr>
            </w:pPr>
            <w:r>
              <w:rPr>
                <w:noProof/>
              </w:rPr>
              <w:drawing>
                <wp:inline distT="0" distB="0" distL="0" distR="0" wp14:anchorId="3408A35C" wp14:editId="4A6FC5BB">
                  <wp:extent cx="5476673" cy="3657600"/>
                  <wp:effectExtent l="0" t="0" r="0" b="0"/>
                  <wp:docPr id="121" name="Chart 12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43271C" w:rsidRPr="00C91EA2" w14:paraId="681A1961" w14:textId="77777777" w:rsidTr="00FE2A31">
        <w:trPr>
          <w:trHeight w:val="573"/>
        </w:trPr>
        <w:tc>
          <w:tcPr>
            <w:tcW w:w="8645" w:type="dxa"/>
            <w:tcBorders>
              <w:top w:val="single" w:sz="4" w:space="0" w:color="auto"/>
              <w:left w:val="single" w:sz="4" w:space="0" w:color="auto"/>
              <w:bottom w:val="single" w:sz="4" w:space="0" w:color="auto"/>
              <w:right w:val="single" w:sz="4" w:space="0" w:color="auto"/>
            </w:tcBorders>
            <w:hideMark/>
          </w:tcPr>
          <w:p w14:paraId="26C597B6"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 xml:space="preserve">Source: </w:t>
            </w:r>
            <w:r w:rsidR="00A4434F">
              <w:rPr>
                <w:rFonts w:ascii="Times New Roman" w:hAnsi="Times New Roman" w:cs="Times New Roman"/>
                <w:sz w:val="20"/>
                <w:szCs w:val="20"/>
              </w:rPr>
              <w:t>OECD-WBG PMR (2017)</w:t>
            </w:r>
          </w:p>
          <w:p w14:paraId="0559FBB6" w14:textId="77777777" w:rsidR="0043271C" w:rsidRPr="00C91EA2" w:rsidRDefault="0043271C">
            <w:pPr>
              <w:jc w:val="both"/>
              <w:rPr>
                <w:rFonts w:ascii="Times New Roman" w:hAnsi="Times New Roman" w:cs="Times New Roman"/>
                <w:sz w:val="24"/>
                <w:szCs w:val="24"/>
              </w:rPr>
            </w:pPr>
            <w:r w:rsidRPr="00C91EA2">
              <w:rPr>
                <w:rFonts w:ascii="Times New Roman" w:hAnsi="Times New Roman" w:cs="Times New Roman"/>
                <w:sz w:val="20"/>
                <w:szCs w:val="20"/>
              </w:rPr>
              <w:t>Note: The top 5 performers are: the Netherlands, the United States, the United Kingdom, Estonia and Austria.</w:t>
            </w:r>
          </w:p>
        </w:tc>
      </w:tr>
    </w:tbl>
    <w:p w14:paraId="4C4C9B25" w14:textId="77777777" w:rsidR="001F1998" w:rsidRPr="00C91EA2" w:rsidRDefault="001F1998"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2793"/>
        <w:gridCol w:w="5837"/>
      </w:tblGrid>
      <w:tr w:rsidR="0043271C" w:rsidRPr="00C91EA2" w14:paraId="462B2D68" w14:textId="77777777" w:rsidTr="0043271C">
        <w:tc>
          <w:tcPr>
            <w:tcW w:w="8630" w:type="dxa"/>
            <w:gridSpan w:val="2"/>
            <w:tcBorders>
              <w:top w:val="single" w:sz="4" w:space="0" w:color="auto"/>
              <w:left w:val="single" w:sz="4" w:space="0" w:color="auto"/>
              <w:bottom w:val="single" w:sz="4" w:space="0" w:color="auto"/>
              <w:right w:val="single" w:sz="4" w:space="0" w:color="auto"/>
            </w:tcBorders>
            <w:hideMark/>
          </w:tcPr>
          <w:p w14:paraId="31E8AC6A" w14:textId="5D693CFB" w:rsidR="0043271C" w:rsidRPr="00C91EA2" w:rsidRDefault="0043271C">
            <w:pPr>
              <w:pStyle w:val="Caption"/>
              <w:keepNext/>
              <w:jc w:val="both"/>
              <w:rPr>
                <w:rFonts w:ascii="Times New Roman" w:hAnsi="Times New Roman"/>
              </w:rPr>
            </w:pPr>
            <w:bookmarkStart w:id="108" w:name="_Ref496889992"/>
            <w:bookmarkStart w:id="109" w:name="_Ref520388558"/>
            <w:bookmarkStart w:id="110" w:name="_Toc497990869"/>
            <w:bookmarkStart w:id="111" w:name="_Toc520725579"/>
            <w:bookmarkStart w:id="112" w:name="OLE_LINK3"/>
            <w:bookmarkStart w:id="113" w:name="OLE_LINK2"/>
            <w:bookmarkStart w:id="114" w:name="OLE_LINK1"/>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23</w:t>
            </w:r>
            <w:r w:rsidR="00D91B27">
              <w:rPr>
                <w:rFonts w:ascii="Times New Roman" w:hAnsi="Times New Roman"/>
              </w:rPr>
              <w:fldChar w:fldCharType="end"/>
            </w:r>
            <w:bookmarkEnd w:id="108"/>
            <w:bookmarkEnd w:id="109"/>
            <w:r w:rsidR="00BC0D1A">
              <w:rPr>
                <w:rFonts w:ascii="Times New Roman" w:hAnsi="Times New Roman"/>
              </w:rPr>
              <w:t>: Composition of Senegal's State Control I</w:t>
            </w:r>
            <w:r w:rsidRPr="00C91EA2">
              <w:rPr>
                <w:rFonts w:ascii="Times New Roman" w:hAnsi="Times New Roman"/>
              </w:rPr>
              <w:t>ndicator</w:t>
            </w:r>
            <w:bookmarkEnd w:id="110"/>
            <w:bookmarkEnd w:id="111"/>
          </w:p>
        </w:tc>
      </w:tr>
      <w:tr w:rsidR="0043271C" w:rsidRPr="00C91EA2" w14:paraId="34E01FBD" w14:textId="77777777" w:rsidTr="0043271C">
        <w:tc>
          <w:tcPr>
            <w:tcW w:w="3426" w:type="dxa"/>
            <w:tcBorders>
              <w:top w:val="single" w:sz="4" w:space="0" w:color="auto"/>
              <w:left w:val="single" w:sz="4" w:space="0" w:color="auto"/>
              <w:bottom w:val="single" w:sz="4" w:space="0" w:color="auto"/>
              <w:right w:val="nil"/>
            </w:tcBorders>
            <w:hideMark/>
          </w:tcPr>
          <w:p w14:paraId="0179D2E4" w14:textId="77777777" w:rsidR="0043271C" w:rsidRPr="00C91EA2" w:rsidRDefault="0043271C">
            <w:pPr>
              <w:jc w:val="both"/>
              <w:rPr>
                <w:rFonts w:ascii="Times New Roman" w:hAnsi="Times New Roman" w:cs="Times New Roman"/>
              </w:rPr>
            </w:pPr>
            <w:r w:rsidRPr="00C91EA2">
              <w:rPr>
                <w:rFonts w:ascii="Times New Roman" w:hAnsi="Times New Roman" w:cs="Times New Roman"/>
                <w:noProof/>
              </w:rPr>
              <w:drawing>
                <wp:inline distT="0" distB="0" distL="0" distR="0" wp14:anchorId="3D017173" wp14:editId="7B6A0C6F">
                  <wp:extent cx="1666875" cy="3062059"/>
                  <wp:effectExtent l="0" t="0" r="9525" b="11430"/>
                  <wp:docPr id="168" name="Chart 16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204" w:type="dxa"/>
            <w:tcBorders>
              <w:top w:val="single" w:sz="4" w:space="0" w:color="auto"/>
              <w:left w:val="nil"/>
              <w:bottom w:val="single" w:sz="4" w:space="0" w:color="auto"/>
              <w:right w:val="single" w:sz="4" w:space="0" w:color="auto"/>
            </w:tcBorders>
            <w:hideMark/>
          </w:tcPr>
          <w:p w14:paraId="399C1BB7" w14:textId="77777777" w:rsidR="0043271C" w:rsidRPr="00C91EA2" w:rsidRDefault="0043271C">
            <w:pPr>
              <w:jc w:val="both"/>
              <w:rPr>
                <w:rFonts w:ascii="Times New Roman" w:hAnsi="Times New Roman" w:cs="Times New Roman"/>
              </w:rPr>
            </w:pPr>
            <w:r w:rsidRPr="00C91EA2">
              <w:rPr>
                <w:rFonts w:ascii="Times New Roman" w:hAnsi="Times New Roman" w:cs="Times New Roman"/>
                <w:noProof/>
              </w:rPr>
              <w:drawing>
                <wp:inline distT="0" distB="0" distL="0" distR="0" wp14:anchorId="2E6BFF5A" wp14:editId="002FF172">
                  <wp:extent cx="3648075" cy="2604859"/>
                  <wp:effectExtent l="0" t="0" r="9525" b="11430"/>
                  <wp:docPr id="167" name="Chart 16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C91EA2">
              <w:rPr>
                <w:rStyle w:val="CommentReference"/>
                <w:rFonts w:ascii="Times New Roman" w:eastAsiaTheme="minorEastAsia" w:hAnsi="Times New Roman" w:cs="Times New Roman"/>
              </w:rPr>
              <w:t xml:space="preserve"> </w:t>
            </w:r>
          </w:p>
        </w:tc>
      </w:tr>
      <w:tr w:rsidR="0043271C" w:rsidRPr="00C91EA2" w14:paraId="2DA41F46" w14:textId="77777777" w:rsidTr="0043271C">
        <w:tc>
          <w:tcPr>
            <w:tcW w:w="8630" w:type="dxa"/>
            <w:gridSpan w:val="2"/>
            <w:tcBorders>
              <w:top w:val="single" w:sz="4" w:space="0" w:color="auto"/>
              <w:left w:val="single" w:sz="4" w:space="0" w:color="auto"/>
              <w:bottom w:val="single" w:sz="4" w:space="0" w:color="auto"/>
              <w:right w:val="single" w:sz="4" w:space="0" w:color="auto"/>
            </w:tcBorders>
            <w:hideMark/>
          </w:tcPr>
          <w:p w14:paraId="152E55F4" w14:textId="77777777" w:rsidR="0043271C" w:rsidRPr="004C0A5A" w:rsidRDefault="0043271C">
            <w:pPr>
              <w:jc w:val="both"/>
              <w:rPr>
                <w:rFonts w:ascii="Times New Roman" w:hAnsi="Times New Roman" w:cs="Times New Roman"/>
                <w:sz w:val="20"/>
                <w:szCs w:val="20"/>
              </w:rPr>
            </w:pPr>
            <w:r w:rsidRPr="004C0A5A">
              <w:rPr>
                <w:rFonts w:ascii="Times New Roman" w:hAnsi="Times New Roman" w:cs="Times New Roman"/>
                <w:sz w:val="20"/>
                <w:szCs w:val="20"/>
              </w:rPr>
              <w:t xml:space="preserve">Source: </w:t>
            </w:r>
            <w:r w:rsidR="00A4434F">
              <w:rPr>
                <w:rFonts w:ascii="Times New Roman" w:hAnsi="Times New Roman" w:cs="Times New Roman"/>
                <w:sz w:val="20"/>
                <w:szCs w:val="20"/>
              </w:rPr>
              <w:t>OECD-WBG PMR (2017)</w:t>
            </w:r>
          </w:p>
        </w:tc>
      </w:tr>
      <w:bookmarkEnd w:id="112"/>
      <w:bookmarkEnd w:id="113"/>
      <w:bookmarkEnd w:id="114"/>
    </w:tbl>
    <w:p w14:paraId="0C508BA9" w14:textId="77777777" w:rsidR="00711D1F" w:rsidRDefault="00711D1F" w:rsidP="0043271C">
      <w:pPr>
        <w:jc w:val="both"/>
        <w:rPr>
          <w:rFonts w:ascii="Times New Roman" w:hAnsi="Times New Roman" w:cs="Times New Roman"/>
        </w:rPr>
      </w:pPr>
    </w:p>
    <w:p w14:paraId="090A93F6" w14:textId="77777777" w:rsidR="00021E5E" w:rsidRPr="00C91EA2" w:rsidRDefault="00021E5E" w:rsidP="0043271C">
      <w:pPr>
        <w:jc w:val="both"/>
        <w:rPr>
          <w:rFonts w:ascii="Times New Roman" w:hAnsi="Times New Roman" w:cs="Times New Roman"/>
        </w:rPr>
      </w:pPr>
    </w:p>
    <w:p w14:paraId="75DAF55E" w14:textId="2873164F" w:rsidR="0043271C" w:rsidRPr="00351FD7" w:rsidRDefault="00351FD7" w:rsidP="0043271C">
      <w:pPr>
        <w:pStyle w:val="ListParagraph"/>
        <w:numPr>
          <w:ilvl w:val="0"/>
          <w:numId w:val="125"/>
        </w:numPr>
        <w:ind w:left="0" w:firstLine="0"/>
        <w:jc w:val="both"/>
        <w:rPr>
          <w:rFonts w:ascii="Times New Roman" w:hAnsi="Times New Roman" w:cs="Times New Roman"/>
        </w:rPr>
      </w:pPr>
      <w:r w:rsidRPr="00351FD7">
        <w:rPr>
          <w:rFonts w:ascii="Times New Roman" w:hAnsi="Times New Roman" w:cs="Times New Roman"/>
          <w:b/>
        </w:rPr>
        <w:t xml:space="preserve">The regulatory restrictiveness associated with public ownership is primarily </w:t>
      </w:r>
      <w:r w:rsidR="00AB626B">
        <w:rPr>
          <w:rFonts w:ascii="Times New Roman" w:hAnsi="Times New Roman" w:cs="Times New Roman"/>
          <w:b/>
        </w:rPr>
        <w:t xml:space="preserve">driven by </w:t>
      </w:r>
      <w:r w:rsidR="00AB626B" w:rsidRPr="00351FD7">
        <w:rPr>
          <w:rFonts w:ascii="Times New Roman" w:hAnsi="Times New Roman" w:cs="Times New Roman"/>
          <w:b/>
        </w:rPr>
        <w:t xml:space="preserve">the governance of SOEs </w:t>
      </w:r>
      <w:r w:rsidR="00AB626B">
        <w:rPr>
          <w:rFonts w:ascii="Times New Roman" w:hAnsi="Times New Roman" w:cs="Times New Roman"/>
          <w:b/>
        </w:rPr>
        <w:t xml:space="preserve">and the </w:t>
      </w:r>
      <w:r w:rsidR="003B24ED">
        <w:rPr>
          <w:rFonts w:ascii="Times New Roman" w:hAnsi="Times New Roman" w:cs="Times New Roman"/>
          <w:b/>
        </w:rPr>
        <w:t>Government</w:t>
      </w:r>
      <w:r w:rsidRPr="00351FD7">
        <w:rPr>
          <w:rFonts w:ascii="Times New Roman" w:hAnsi="Times New Roman" w:cs="Times New Roman"/>
          <w:b/>
        </w:rPr>
        <w:t xml:space="preserve"> inv</w:t>
      </w:r>
      <w:r w:rsidR="00AB626B">
        <w:rPr>
          <w:rFonts w:ascii="Times New Roman" w:hAnsi="Times New Roman" w:cs="Times New Roman"/>
          <w:b/>
        </w:rPr>
        <w:t>olvement in network sectors and</w:t>
      </w:r>
      <w:r w:rsidRPr="00351FD7">
        <w:rPr>
          <w:rFonts w:ascii="Times New Roman" w:hAnsi="Times New Roman" w:cs="Times New Roman"/>
          <w:b/>
        </w:rPr>
        <w:t xml:space="preserve">, to a lesser extent, </w:t>
      </w:r>
      <w:r w:rsidR="00FD5137">
        <w:rPr>
          <w:rFonts w:ascii="Times New Roman" w:hAnsi="Times New Roman" w:cs="Times New Roman"/>
          <w:b/>
        </w:rPr>
        <w:t>by</w:t>
      </w:r>
      <w:r w:rsidRPr="00351FD7">
        <w:rPr>
          <w:rFonts w:ascii="Times New Roman" w:hAnsi="Times New Roman" w:cs="Times New Roman"/>
          <w:b/>
        </w:rPr>
        <w:t xml:space="preserve"> the scope of SOEs</w:t>
      </w:r>
      <w:r>
        <w:rPr>
          <w:rFonts w:ascii="Times New Roman" w:hAnsi="Times New Roman" w:cs="Times New Roman"/>
        </w:rPr>
        <w:t xml:space="preserve">. </w:t>
      </w:r>
      <w:r w:rsidRPr="00C91EA2">
        <w:rPr>
          <w:rFonts w:ascii="Times New Roman" w:hAnsi="Times New Roman" w:cs="Times New Roman"/>
        </w:rPr>
        <w:t xml:space="preserve">As </w:t>
      </w:r>
      <w:r w:rsidRPr="00C91EA2">
        <w:rPr>
          <w:rFonts w:ascii="Times New Roman" w:hAnsi="Times New Roman" w:cs="Times New Roman"/>
        </w:rPr>
        <w:fldChar w:fldCharType="begin"/>
      </w:r>
      <w:r w:rsidRPr="00C91EA2">
        <w:rPr>
          <w:rFonts w:ascii="Times New Roman" w:hAnsi="Times New Roman" w:cs="Times New Roman"/>
        </w:rPr>
        <w:instrText xml:space="preserve"> REF _Ref496890784 \h </w:instrText>
      </w:r>
      <w:r>
        <w:rPr>
          <w:rFonts w:ascii="Times New Roman" w:hAnsi="Times New Roman" w:cs="Times New Roman"/>
        </w:rPr>
        <w:instrText xml:space="preserve">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24</w:t>
      </w:r>
      <w:r w:rsidRPr="00C91EA2">
        <w:rPr>
          <w:rFonts w:ascii="Times New Roman" w:hAnsi="Times New Roman" w:cs="Times New Roman"/>
        </w:rPr>
        <w:fldChar w:fldCharType="end"/>
      </w:r>
      <w:r w:rsidRPr="00C91EA2">
        <w:rPr>
          <w:rFonts w:ascii="Times New Roman" w:hAnsi="Times New Roman" w:cs="Times New Roman"/>
        </w:rPr>
        <w:t xml:space="preserve"> shows, most Latin American countries and Kenya, for example, receive better scores on </w:t>
      </w:r>
      <w:r w:rsidR="00364C4E">
        <w:rPr>
          <w:rFonts w:ascii="Times New Roman" w:hAnsi="Times New Roman" w:cs="Times New Roman"/>
        </w:rPr>
        <w:t>the public ownership sub-indicator</w:t>
      </w:r>
      <w:r w:rsidRPr="00C91EA2">
        <w:rPr>
          <w:rFonts w:ascii="Times New Roman" w:hAnsi="Times New Roman" w:cs="Times New Roman"/>
        </w:rPr>
        <w:t xml:space="preserve"> than Senegal</w:t>
      </w:r>
      <w:r>
        <w:rPr>
          <w:rFonts w:ascii="Times New Roman" w:hAnsi="Times New Roman" w:cs="Times New Roman"/>
        </w:rPr>
        <w:t xml:space="preserve">, </w:t>
      </w:r>
      <w:r w:rsidRPr="00351FD7">
        <w:rPr>
          <w:rFonts w:ascii="Times New Roman" w:hAnsi="Times New Roman" w:cs="Times New Roman"/>
        </w:rPr>
        <w:t>which is</w:t>
      </w:r>
      <w:r w:rsidR="0043271C" w:rsidRPr="00351FD7">
        <w:rPr>
          <w:rFonts w:ascii="Times New Roman" w:hAnsi="Times New Roman" w:cs="Times New Roman"/>
        </w:rPr>
        <w:t xml:space="preserve"> ranked in the bottom </w:t>
      </w:r>
      <w:r w:rsidR="005E411A">
        <w:rPr>
          <w:rFonts w:ascii="Times New Roman" w:hAnsi="Times New Roman" w:cs="Times New Roman"/>
        </w:rPr>
        <w:t>half</w:t>
      </w:r>
      <w:r w:rsidR="0043271C" w:rsidRPr="00351FD7">
        <w:rPr>
          <w:rFonts w:ascii="Times New Roman" w:hAnsi="Times New Roman" w:cs="Times New Roman"/>
        </w:rPr>
        <w:t xml:space="preserve"> of comparator countries. </w:t>
      </w:r>
    </w:p>
    <w:p w14:paraId="6C040F68"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2F495C13" w14:textId="77777777" w:rsidTr="0043271C">
        <w:trPr>
          <w:trHeight w:val="255"/>
        </w:trPr>
        <w:tc>
          <w:tcPr>
            <w:tcW w:w="8630" w:type="dxa"/>
            <w:tcBorders>
              <w:top w:val="single" w:sz="4" w:space="0" w:color="auto"/>
              <w:left w:val="single" w:sz="4" w:space="0" w:color="auto"/>
              <w:bottom w:val="single" w:sz="4" w:space="0" w:color="auto"/>
              <w:right w:val="single" w:sz="4" w:space="0" w:color="auto"/>
            </w:tcBorders>
            <w:hideMark/>
          </w:tcPr>
          <w:p w14:paraId="72CFF726" w14:textId="42CF06DE" w:rsidR="0043271C" w:rsidRPr="00C91EA2" w:rsidRDefault="0043271C">
            <w:pPr>
              <w:pStyle w:val="Caption"/>
              <w:keepNext/>
              <w:jc w:val="both"/>
              <w:rPr>
                <w:rFonts w:ascii="Times New Roman" w:hAnsi="Times New Roman"/>
              </w:rPr>
            </w:pPr>
            <w:bookmarkStart w:id="115" w:name="_Ref496890784"/>
            <w:bookmarkStart w:id="116" w:name="_Toc497990870"/>
            <w:bookmarkStart w:id="117" w:name="_Toc520725580"/>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24</w:t>
            </w:r>
            <w:r w:rsidR="00D91B27">
              <w:rPr>
                <w:rFonts w:ascii="Times New Roman" w:hAnsi="Times New Roman"/>
              </w:rPr>
              <w:fldChar w:fldCharType="end"/>
            </w:r>
            <w:bookmarkEnd w:id="115"/>
            <w:r w:rsidRPr="00C91EA2">
              <w:rPr>
                <w:rFonts w:ascii="Times New Roman" w:hAnsi="Times New Roman"/>
              </w:rPr>
              <w:t xml:space="preserve">: Public Ownership </w:t>
            </w:r>
            <w:bookmarkEnd w:id="116"/>
            <w:r w:rsidR="00E945BD">
              <w:rPr>
                <w:rFonts w:ascii="Times New Roman" w:hAnsi="Times New Roman"/>
              </w:rPr>
              <w:t>in Senegal and Comparator Countries</w:t>
            </w:r>
            <w:bookmarkEnd w:id="117"/>
            <w:r w:rsidR="00E945BD">
              <w:rPr>
                <w:rFonts w:ascii="Times New Roman" w:hAnsi="Times New Roman"/>
              </w:rPr>
              <w:t xml:space="preserve"> </w:t>
            </w:r>
          </w:p>
        </w:tc>
      </w:tr>
      <w:tr w:rsidR="0043271C" w:rsidRPr="00C91EA2" w14:paraId="304D0207" w14:textId="77777777" w:rsidTr="00695FBC">
        <w:tc>
          <w:tcPr>
            <w:tcW w:w="8630" w:type="dxa"/>
            <w:tcBorders>
              <w:top w:val="single" w:sz="4" w:space="0" w:color="auto"/>
              <w:left w:val="single" w:sz="4" w:space="0" w:color="auto"/>
              <w:bottom w:val="single" w:sz="4" w:space="0" w:color="auto"/>
              <w:right w:val="single" w:sz="4" w:space="0" w:color="auto"/>
            </w:tcBorders>
            <w:hideMark/>
          </w:tcPr>
          <w:p w14:paraId="2C5E14B4" w14:textId="77777777" w:rsidR="0043271C" w:rsidRPr="00C91EA2" w:rsidRDefault="00695FBC">
            <w:pPr>
              <w:jc w:val="both"/>
              <w:rPr>
                <w:rFonts w:ascii="Times New Roman" w:hAnsi="Times New Roman" w:cs="Times New Roman"/>
              </w:rPr>
            </w:pPr>
            <w:r>
              <w:rPr>
                <w:noProof/>
              </w:rPr>
              <w:drawing>
                <wp:inline distT="0" distB="0" distL="0" distR="0" wp14:anchorId="4A4E5C69" wp14:editId="3B3BF240">
                  <wp:extent cx="5486400" cy="3322320"/>
                  <wp:effectExtent l="0" t="0" r="0" b="5080"/>
                  <wp:docPr id="127" name="Chart 127">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43271C" w:rsidRPr="00C91EA2" w14:paraId="46191E5F"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155388B5" w14:textId="77777777" w:rsidR="0043271C" w:rsidRPr="00C91EA2" w:rsidRDefault="0043271C">
            <w:pPr>
              <w:jc w:val="both"/>
              <w:rPr>
                <w:rFonts w:ascii="Times New Roman" w:hAnsi="Times New Roman" w:cs="Times New Roman"/>
                <w:sz w:val="20"/>
                <w:szCs w:val="24"/>
              </w:rPr>
            </w:pPr>
            <w:r w:rsidRPr="00C91EA2">
              <w:rPr>
                <w:rFonts w:ascii="Times New Roman" w:hAnsi="Times New Roman" w:cs="Times New Roman"/>
                <w:sz w:val="20"/>
                <w:szCs w:val="24"/>
              </w:rPr>
              <w:t xml:space="preserve">Source: </w:t>
            </w:r>
            <w:r w:rsidR="00A4434F">
              <w:rPr>
                <w:rFonts w:ascii="Times New Roman" w:hAnsi="Times New Roman" w:cs="Times New Roman"/>
                <w:sz w:val="20"/>
                <w:szCs w:val="24"/>
              </w:rPr>
              <w:t>OECD-WBG PMR (2017)</w:t>
            </w:r>
          </w:p>
          <w:p w14:paraId="40B04A24" w14:textId="77777777" w:rsidR="0043271C" w:rsidRPr="00C91EA2" w:rsidRDefault="0043271C">
            <w:pPr>
              <w:jc w:val="both"/>
              <w:rPr>
                <w:rFonts w:ascii="Times New Roman" w:hAnsi="Times New Roman" w:cs="Times New Roman"/>
                <w:sz w:val="24"/>
                <w:szCs w:val="24"/>
              </w:rPr>
            </w:pPr>
            <w:r w:rsidRPr="00C91EA2">
              <w:rPr>
                <w:rFonts w:ascii="Times New Roman" w:hAnsi="Times New Roman" w:cs="Times New Roman"/>
                <w:sz w:val="20"/>
                <w:szCs w:val="20"/>
              </w:rPr>
              <w:t>Note: The top 5 performers are: the Netherlands, the United States, Spain, Estonia and El Salvador.</w:t>
            </w:r>
          </w:p>
        </w:tc>
      </w:tr>
    </w:tbl>
    <w:p w14:paraId="6DD7D41A" w14:textId="77777777" w:rsidR="00711D1F" w:rsidRPr="00C91EA2" w:rsidRDefault="00711D1F" w:rsidP="0043271C">
      <w:pPr>
        <w:jc w:val="both"/>
        <w:rPr>
          <w:rFonts w:ascii="Times New Roman" w:hAnsi="Times New Roman" w:cs="Times New Roman"/>
        </w:rPr>
      </w:pPr>
    </w:p>
    <w:p w14:paraId="0BF0D14D" w14:textId="14B3DC9F" w:rsidR="00AB626B" w:rsidRPr="00792087" w:rsidRDefault="00AB626B" w:rsidP="00792087">
      <w:pPr>
        <w:pStyle w:val="ListParagraph"/>
        <w:numPr>
          <w:ilvl w:val="0"/>
          <w:numId w:val="125"/>
        </w:numPr>
        <w:ind w:left="0" w:firstLine="0"/>
        <w:jc w:val="both"/>
        <w:rPr>
          <w:rFonts w:ascii="Times New Roman" w:eastAsia="Times New Roman" w:hAnsi="Times New Roman" w:cs="Times New Roman"/>
        </w:rPr>
      </w:pPr>
      <w:r>
        <w:rPr>
          <w:rFonts w:ascii="Times New Roman" w:hAnsi="Times New Roman" w:cs="Times New Roman"/>
          <w:b/>
        </w:rPr>
        <w:t xml:space="preserve">Notwithstanding the scope of SOEs, </w:t>
      </w:r>
      <w:r w:rsidRPr="00C91EA2">
        <w:rPr>
          <w:rFonts w:ascii="Times New Roman" w:hAnsi="Times New Roman" w:cs="Times New Roman"/>
          <w:b/>
        </w:rPr>
        <w:t>the sectors/markets that SOEs participate in also feature private sector presence</w:t>
      </w:r>
      <w:r w:rsidRPr="00AB626B">
        <w:rPr>
          <w:rFonts w:ascii="Times New Roman" w:eastAsia="Times New Roman" w:hAnsi="Times New Roman" w:cs="Times New Roman"/>
          <w:b/>
        </w:rPr>
        <w:t xml:space="preserve"> </w:t>
      </w:r>
      <w:r>
        <w:rPr>
          <w:rFonts w:ascii="Times New Roman" w:eastAsia="Times New Roman" w:hAnsi="Times New Roman" w:cs="Times New Roman"/>
          <w:b/>
        </w:rPr>
        <w:t xml:space="preserve">suggesting that </w:t>
      </w:r>
      <w:r w:rsidR="003B24ED">
        <w:rPr>
          <w:rFonts w:ascii="Times New Roman" w:eastAsia="Times New Roman" w:hAnsi="Times New Roman" w:cs="Times New Roman"/>
          <w:b/>
        </w:rPr>
        <w:t>Government</w:t>
      </w:r>
      <w:r w:rsidRPr="000E7594">
        <w:rPr>
          <w:rFonts w:ascii="Times New Roman" w:eastAsia="Times New Roman" w:hAnsi="Times New Roman" w:cs="Times New Roman"/>
          <w:b/>
        </w:rPr>
        <w:t xml:space="preserve"> interaction with SOEs needs to ensure equal treatment of all enterprises, be they public or private.</w:t>
      </w:r>
      <w:r>
        <w:rPr>
          <w:rFonts w:ascii="Times New Roman" w:hAnsi="Times New Roman" w:cs="Times New Roman"/>
        </w:rPr>
        <w:t xml:space="preserve"> </w:t>
      </w:r>
      <w:r w:rsidR="00FD5137">
        <w:rPr>
          <w:rFonts w:ascii="Times New Roman" w:hAnsi="Times New Roman" w:cs="Times New Roman"/>
        </w:rPr>
        <w:t>Of</w:t>
      </w:r>
      <w:r w:rsidR="00FD5137" w:rsidRPr="00C91EA2">
        <w:rPr>
          <w:rFonts w:ascii="Times New Roman" w:hAnsi="Times New Roman" w:cs="Times New Roman"/>
        </w:rPr>
        <w:t xml:space="preserve"> 27 sectors</w:t>
      </w:r>
      <w:r w:rsidR="00FD5137">
        <w:rPr>
          <w:rFonts w:ascii="Times New Roman" w:hAnsi="Times New Roman" w:cs="Times New Roman"/>
        </w:rPr>
        <w:t xml:space="preserve"> reviewed by the PMR </w:t>
      </w:r>
      <w:r w:rsidR="00FD5137" w:rsidRPr="00C91EA2">
        <w:rPr>
          <w:rFonts w:ascii="Times New Roman" w:hAnsi="Times New Roman" w:cs="Times New Roman"/>
        </w:rPr>
        <w:t xml:space="preserve">(see </w:t>
      </w:r>
      <w:r w:rsidR="00FD5137" w:rsidRPr="007575D7">
        <w:rPr>
          <w:rFonts w:ascii="Times New Roman" w:hAnsi="Times New Roman" w:cs="Times New Roman"/>
        </w:rPr>
        <w:fldChar w:fldCharType="begin"/>
      </w:r>
      <w:r w:rsidR="00FD5137" w:rsidRPr="00F20A8D">
        <w:rPr>
          <w:rFonts w:ascii="Times New Roman" w:hAnsi="Times New Roman" w:cs="Times New Roman"/>
        </w:rPr>
        <w:instrText xml:space="preserve"> REF _Ref496891372 \h  \* MERGEFORMAT </w:instrText>
      </w:r>
      <w:r w:rsidR="00FD5137" w:rsidRPr="007575D7">
        <w:rPr>
          <w:rFonts w:ascii="Times New Roman" w:hAnsi="Times New Roman" w:cs="Times New Roman"/>
        </w:rPr>
      </w:r>
      <w:r w:rsidR="00FD5137" w:rsidRPr="007575D7">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17</w:t>
      </w:r>
      <w:r w:rsidR="00FD5137" w:rsidRPr="007575D7">
        <w:rPr>
          <w:rFonts w:ascii="Times New Roman" w:hAnsi="Times New Roman" w:cs="Times New Roman"/>
        </w:rPr>
        <w:fldChar w:fldCharType="end"/>
      </w:r>
      <w:r w:rsidR="00FD5137" w:rsidRPr="00F20A8D">
        <w:rPr>
          <w:rFonts w:ascii="Times New Roman" w:hAnsi="Times New Roman" w:cs="Times New Roman"/>
        </w:rPr>
        <w:t xml:space="preserve"> in Annex 2</w:t>
      </w:r>
      <w:r w:rsidR="00FD5137">
        <w:rPr>
          <w:rFonts w:ascii="Times New Roman" w:hAnsi="Times New Roman" w:cs="Times New Roman"/>
        </w:rPr>
        <w:t xml:space="preserve">), </w:t>
      </w:r>
      <w:r w:rsidR="00DC2C0B">
        <w:rPr>
          <w:rFonts w:ascii="Times New Roman" w:hAnsi="Times New Roman" w:cs="Times New Roman"/>
        </w:rPr>
        <w:t xml:space="preserve">Senegal has </w:t>
      </w:r>
      <w:r w:rsidR="00E12DC0">
        <w:rPr>
          <w:rFonts w:ascii="Times New Roman" w:hAnsi="Times New Roman" w:cs="Times New Roman"/>
        </w:rPr>
        <w:t xml:space="preserve">13 sectors in which there is </w:t>
      </w:r>
      <w:r w:rsidR="00DC2C0B">
        <w:rPr>
          <w:rFonts w:ascii="Times New Roman" w:hAnsi="Times New Roman" w:cs="Times New Roman"/>
        </w:rPr>
        <w:t>at least one</w:t>
      </w:r>
      <w:r w:rsidRPr="00AB626B">
        <w:rPr>
          <w:rFonts w:ascii="Times New Roman" w:hAnsi="Times New Roman" w:cs="Times New Roman"/>
        </w:rPr>
        <w:t xml:space="preserve"> </w:t>
      </w:r>
      <w:r w:rsidR="00DC2C0B">
        <w:rPr>
          <w:rFonts w:ascii="Times New Roman" w:hAnsi="Times New Roman" w:cs="Times New Roman"/>
        </w:rPr>
        <w:t>SOE</w:t>
      </w:r>
      <w:r>
        <w:rPr>
          <w:rFonts w:ascii="Times New Roman" w:hAnsi="Times New Roman" w:cs="Times New Roman"/>
        </w:rPr>
        <w:t>,</w:t>
      </w:r>
      <w:r w:rsidRPr="00C91EA2">
        <w:rPr>
          <w:rFonts w:ascii="Times New Roman" w:hAnsi="Times New Roman" w:cs="Times New Roman"/>
        </w:rPr>
        <w:t xml:space="preserve"> in line with the OECD average of 13.7 (</w:t>
      </w:r>
      <w:r w:rsidR="005F12C1">
        <w:rPr>
          <w:rFonts w:ascii="Times New Roman" w:hAnsi="Times New Roman" w:cs="Times New Roman"/>
        </w:rPr>
        <w:fldChar w:fldCharType="begin"/>
      </w:r>
      <w:r w:rsidR="005F12C1">
        <w:rPr>
          <w:rFonts w:ascii="Times New Roman" w:hAnsi="Times New Roman" w:cs="Times New Roman"/>
        </w:rPr>
        <w:instrText xml:space="preserve"> REF _Ref520388671 \h </w:instrText>
      </w:r>
      <w:r w:rsidR="005F12C1">
        <w:rPr>
          <w:rFonts w:ascii="Times New Roman" w:hAnsi="Times New Roman" w:cs="Times New Roman"/>
        </w:rPr>
      </w:r>
      <w:r w:rsidR="005F12C1">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25</w:t>
      </w:r>
      <w:r w:rsidR="005F12C1">
        <w:rPr>
          <w:rFonts w:ascii="Times New Roman" w:hAnsi="Times New Roman" w:cs="Times New Roman"/>
        </w:rPr>
        <w:fldChar w:fldCharType="end"/>
      </w:r>
      <w:r w:rsidR="005F12C1">
        <w:rPr>
          <w:rFonts w:ascii="Times New Roman" w:hAnsi="Times New Roman" w:cs="Times New Roman"/>
        </w:rPr>
        <w:t xml:space="preserve"> </w:t>
      </w:r>
      <w:r>
        <w:rPr>
          <w:rFonts w:ascii="Times New Roman" w:hAnsi="Times New Roman" w:cs="Times New Roman"/>
        </w:rPr>
        <w:t>below</w:t>
      </w:r>
      <w:r w:rsidRPr="00C91EA2">
        <w:rPr>
          <w:rFonts w:ascii="Times New Roman" w:hAnsi="Times New Roman" w:cs="Times New Roman"/>
        </w:rPr>
        <w:t xml:space="preserve">). </w:t>
      </w:r>
      <w:r w:rsidR="00FD5137" w:rsidRPr="00FD5137">
        <w:rPr>
          <w:rFonts w:ascii="Times New Roman" w:hAnsi="Times New Roman" w:cs="Times New Roman"/>
        </w:rPr>
        <w:t xml:space="preserve">Although the presence of SOEs in infrastructure sectors is not unusual across countries, especially in sectors that require capital intensive investments (such as electricity transmission and road infrastructure), </w:t>
      </w:r>
      <w:r w:rsidR="00792087">
        <w:rPr>
          <w:rFonts w:ascii="Times New Roman" w:hAnsi="Times New Roman" w:cs="Times New Roman"/>
        </w:rPr>
        <w:t>there are other markets where</w:t>
      </w:r>
      <w:r w:rsidRPr="00AB626B">
        <w:rPr>
          <w:rFonts w:ascii="Times New Roman" w:hAnsi="Times New Roman" w:cs="Times New Roman"/>
        </w:rPr>
        <w:t xml:space="preserve"> the SOEs compete with private sector players, for example in financial services or groundnut processing (</w:t>
      </w:r>
      <w:r w:rsidR="005F12C1">
        <w:rPr>
          <w:rFonts w:ascii="Times New Roman" w:hAnsi="Times New Roman" w:cs="Times New Roman"/>
          <w:highlight w:val="yellow"/>
        </w:rPr>
        <w:fldChar w:fldCharType="begin"/>
      </w:r>
      <w:r w:rsidR="005F12C1">
        <w:rPr>
          <w:rFonts w:ascii="Times New Roman" w:hAnsi="Times New Roman" w:cs="Times New Roman"/>
        </w:rPr>
        <w:instrText xml:space="preserve"> REF _Ref496891491 \h </w:instrText>
      </w:r>
      <w:r w:rsidR="005F12C1">
        <w:rPr>
          <w:rFonts w:ascii="Times New Roman" w:hAnsi="Times New Roman" w:cs="Times New Roman"/>
          <w:highlight w:val="yellow"/>
        </w:rPr>
      </w:r>
      <w:r w:rsidR="005F12C1">
        <w:rPr>
          <w:rFonts w:ascii="Times New Roman" w:hAnsi="Times New Roman" w:cs="Times New Roman"/>
          <w:highlight w:val="yellow"/>
        </w:rPr>
        <w:fldChar w:fldCharType="separate"/>
      </w:r>
      <w:r w:rsidR="008261B2" w:rsidRPr="00C91EA2">
        <w:rPr>
          <w:rFonts w:ascii="Times New Roman" w:hAnsi="Times New Roman"/>
        </w:rPr>
        <w:t xml:space="preserve">Table </w:t>
      </w:r>
      <w:r w:rsidR="008261B2">
        <w:rPr>
          <w:rFonts w:ascii="Times New Roman" w:hAnsi="Times New Roman"/>
          <w:noProof/>
        </w:rPr>
        <w:t>4</w:t>
      </w:r>
      <w:r w:rsidR="005F12C1">
        <w:rPr>
          <w:rFonts w:ascii="Times New Roman" w:hAnsi="Times New Roman" w:cs="Times New Roman"/>
          <w:highlight w:val="yellow"/>
        </w:rPr>
        <w:fldChar w:fldCharType="end"/>
      </w:r>
      <w:r w:rsidR="005F12C1" w:rsidRPr="007575D7">
        <w:rPr>
          <w:rFonts w:ascii="Times New Roman" w:hAnsi="Times New Roman" w:cs="Times New Roman"/>
        </w:rPr>
        <w:t xml:space="preserve"> below</w:t>
      </w:r>
      <w:r w:rsidRPr="00AB626B">
        <w:rPr>
          <w:rFonts w:ascii="Times New Roman" w:hAnsi="Times New Roman" w:cs="Times New Roman"/>
        </w:rPr>
        <w:t xml:space="preserve">). This raises questions about the rationale of SOE presence in these markets and concerns over whether private-sector participants in these markets face a level playing field. </w:t>
      </w:r>
      <w:r w:rsidR="00792087" w:rsidRPr="00C91EA2">
        <w:rPr>
          <w:rFonts w:ascii="Times New Roman" w:eastAsia="Times New Roman" w:hAnsi="Times New Roman" w:cs="Times New Roman"/>
        </w:rPr>
        <w:t xml:space="preserve">Groundnut processing </w:t>
      </w:r>
      <w:r w:rsidR="00792087">
        <w:rPr>
          <w:rFonts w:ascii="Times New Roman" w:eastAsia="Times New Roman" w:hAnsi="Times New Roman" w:cs="Times New Roman"/>
        </w:rPr>
        <w:t>and</w:t>
      </w:r>
      <w:r w:rsidR="00792087" w:rsidRPr="00C91EA2">
        <w:rPr>
          <w:rFonts w:ascii="Times New Roman" w:eastAsia="Times New Roman" w:hAnsi="Times New Roman" w:cs="Times New Roman"/>
        </w:rPr>
        <w:t xml:space="preserve"> fertilizer manufacturing, for example, </w:t>
      </w:r>
      <w:r w:rsidR="009330AA">
        <w:rPr>
          <w:rFonts w:ascii="Times New Roman" w:eastAsia="Times New Roman" w:hAnsi="Times New Roman" w:cs="Times New Roman"/>
        </w:rPr>
        <w:t xml:space="preserve">which </w:t>
      </w:r>
      <w:r w:rsidR="00792087" w:rsidRPr="00C91EA2">
        <w:rPr>
          <w:rFonts w:ascii="Times New Roman" w:eastAsia="Times New Roman" w:hAnsi="Times New Roman" w:cs="Times New Roman"/>
        </w:rPr>
        <w:t>fe</w:t>
      </w:r>
      <w:r w:rsidR="009330AA">
        <w:rPr>
          <w:rFonts w:ascii="Times New Roman" w:eastAsia="Times New Roman" w:hAnsi="Times New Roman" w:cs="Times New Roman"/>
        </w:rPr>
        <w:t>ature private sector players</w:t>
      </w:r>
      <w:r w:rsidR="00792087" w:rsidRPr="00C91EA2">
        <w:rPr>
          <w:rFonts w:ascii="Times New Roman" w:eastAsia="Times New Roman" w:hAnsi="Times New Roman" w:cs="Times New Roman"/>
        </w:rPr>
        <w:t xml:space="preserve"> are traditionally economic activities that can be carried out by the private sector more efficiently than by SOEs. Acknowledging this, the </w:t>
      </w:r>
      <w:r w:rsidR="003B24ED">
        <w:rPr>
          <w:rFonts w:ascii="Times New Roman" w:eastAsia="Times New Roman" w:hAnsi="Times New Roman" w:cs="Times New Roman"/>
        </w:rPr>
        <w:t>Government</w:t>
      </w:r>
      <w:r w:rsidR="00792087" w:rsidRPr="00C91EA2">
        <w:rPr>
          <w:rFonts w:ascii="Times New Roman" w:eastAsia="Times New Roman" w:hAnsi="Times New Roman" w:cs="Times New Roman"/>
        </w:rPr>
        <w:t xml:space="preserve"> attempted to privatize SONACOS, but privatization was not successful. The below analysis of the groundnut sector will explore the role of the state and of SONACOS in the market in more detail.</w:t>
      </w:r>
    </w:p>
    <w:p w14:paraId="309A2129" w14:textId="77777777" w:rsidR="00AB626B" w:rsidRDefault="00AB626B" w:rsidP="00AB626B">
      <w:pPr>
        <w:pStyle w:val="ListParagraph"/>
        <w:ind w:left="0"/>
        <w:jc w:val="both"/>
        <w:rPr>
          <w:rFonts w:ascii="Times New Roman" w:hAnsi="Times New Roman" w:cs="Times New Roman"/>
        </w:rPr>
      </w:pPr>
    </w:p>
    <w:p w14:paraId="23F6DF7D" w14:textId="2F4C2A2D" w:rsidR="00F14096" w:rsidRDefault="00792087" w:rsidP="00AB626B">
      <w:pPr>
        <w:pStyle w:val="ListParagraph"/>
        <w:numPr>
          <w:ilvl w:val="0"/>
          <w:numId w:val="125"/>
        </w:numPr>
        <w:ind w:left="0" w:firstLine="0"/>
        <w:jc w:val="both"/>
        <w:rPr>
          <w:rFonts w:ascii="Times New Roman" w:eastAsia="Times New Roman" w:hAnsi="Times New Roman" w:cs="Times New Roman"/>
        </w:rPr>
      </w:pPr>
      <w:r>
        <w:rPr>
          <w:rFonts w:ascii="Times New Roman" w:eastAsia="Times New Roman" w:hAnsi="Times New Roman" w:cs="Times New Roman"/>
          <w:b/>
        </w:rPr>
        <w:t>Overall, c</w:t>
      </w:r>
      <w:r w:rsidR="00AB626B" w:rsidRPr="00AB626B">
        <w:rPr>
          <w:rFonts w:ascii="Times New Roman" w:eastAsia="Times New Roman" w:hAnsi="Times New Roman" w:cs="Times New Roman"/>
          <w:b/>
        </w:rPr>
        <w:t xml:space="preserve">ompetitive neutrality (CN) </w:t>
      </w:r>
      <w:r w:rsidR="00293B1E">
        <w:rPr>
          <w:rFonts w:ascii="Times New Roman" w:eastAsia="Times New Roman" w:hAnsi="Times New Roman" w:cs="Times New Roman"/>
          <w:b/>
        </w:rPr>
        <w:t>suggests</w:t>
      </w:r>
      <w:r w:rsidR="00293B1E" w:rsidRPr="00AB626B">
        <w:rPr>
          <w:rFonts w:ascii="Times New Roman" w:eastAsia="Times New Roman" w:hAnsi="Times New Roman" w:cs="Times New Roman"/>
          <w:b/>
        </w:rPr>
        <w:t xml:space="preserve"> </w:t>
      </w:r>
      <w:r w:rsidR="00AB626B" w:rsidRPr="00AB626B">
        <w:rPr>
          <w:rFonts w:ascii="Times New Roman" w:eastAsia="Times New Roman" w:hAnsi="Times New Roman" w:cs="Times New Roman"/>
          <w:b/>
        </w:rPr>
        <w:t>that all enterprises, public or private, domestic or foreign, should face the same set of rules</w:t>
      </w:r>
      <w:r w:rsidR="00AB626B" w:rsidRPr="00AB626B">
        <w:rPr>
          <w:rFonts w:ascii="Times New Roman" w:eastAsia="Times New Roman" w:hAnsi="Times New Roman" w:cs="Times New Roman"/>
        </w:rPr>
        <w:t>.</w:t>
      </w:r>
      <w:r w:rsidR="00AB626B" w:rsidRPr="00AB626B">
        <w:rPr>
          <w:rFonts w:ascii="Times New Roman" w:eastAsia="Times New Roman" w:hAnsi="Times New Roman" w:cs="Times New Roman"/>
          <w:b/>
        </w:rPr>
        <w:t xml:space="preserve"> </w:t>
      </w:r>
      <w:r w:rsidR="00AB626B" w:rsidRPr="00AB626B">
        <w:rPr>
          <w:rFonts w:ascii="Times New Roman" w:eastAsia="Times New Roman" w:hAnsi="Times New Roman" w:cs="Times New Roman"/>
        </w:rPr>
        <w:t xml:space="preserve">Contacts with the </w:t>
      </w:r>
      <w:r w:rsidR="003B24ED">
        <w:rPr>
          <w:rFonts w:ascii="Times New Roman" w:eastAsia="Times New Roman" w:hAnsi="Times New Roman" w:cs="Times New Roman"/>
        </w:rPr>
        <w:t>Government</w:t>
      </w:r>
      <w:r w:rsidR="00ED4E33">
        <w:rPr>
          <w:rFonts w:ascii="Times New Roman" w:eastAsia="Times New Roman" w:hAnsi="Times New Roman" w:cs="Times New Roman"/>
        </w:rPr>
        <w:t xml:space="preserve"> </w:t>
      </w:r>
      <w:r w:rsidR="00AB626B" w:rsidRPr="00AB626B">
        <w:rPr>
          <w:rFonts w:ascii="Times New Roman" w:eastAsia="Times New Roman" w:hAnsi="Times New Roman" w:cs="Times New Roman"/>
        </w:rPr>
        <w:t xml:space="preserve">or </w:t>
      </w:r>
      <w:r w:rsidR="003B24ED">
        <w:rPr>
          <w:rFonts w:ascii="Times New Roman" w:eastAsia="Times New Roman" w:hAnsi="Times New Roman" w:cs="Times New Roman"/>
        </w:rPr>
        <w:t>Government</w:t>
      </w:r>
      <w:r w:rsidR="00ED4E33">
        <w:rPr>
          <w:rFonts w:ascii="Times New Roman" w:eastAsia="Times New Roman" w:hAnsi="Times New Roman" w:cs="Times New Roman"/>
        </w:rPr>
        <w:t xml:space="preserve"> </w:t>
      </w:r>
      <w:r w:rsidR="00AB626B" w:rsidRPr="00AB626B">
        <w:rPr>
          <w:rFonts w:ascii="Times New Roman" w:eastAsia="Times New Roman" w:hAnsi="Times New Roman" w:cs="Times New Roman"/>
        </w:rPr>
        <w:t>ownership or involvement in the marketplace, in fact or in law, should not confer an undue competitive advantage on any actual or potential market participant. As part of the broader CN framework, the subsidiarity role of the State in the economy implies that if there are – or could be – private agents interested in performing an economic activity or participating in a given market, the state does not need to participate as an economic agent. Instead, it is typically more efficient and effective for the State to act as a regulator.</w:t>
      </w:r>
    </w:p>
    <w:p w14:paraId="50E87DB9" w14:textId="77777777" w:rsidR="00AB626B" w:rsidRPr="00F14096" w:rsidRDefault="00AB626B" w:rsidP="00F14096">
      <w:pPr>
        <w:rPr>
          <w:rFonts w:ascii="Times New Roman" w:eastAsia="Times New Roman" w:hAnsi="Times New Roman" w:cs="Times New Roman"/>
        </w:rPr>
      </w:pPr>
    </w:p>
    <w:tbl>
      <w:tblPr>
        <w:tblStyle w:val="TableGrid"/>
        <w:tblW w:w="8674" w:type="dxa"/>
        <w:tblLook w:val="04A0" w:firstRow="1" w:lastRow="0" w:firstColumn="1" w:lastColumn="0" w:noHBand="0" w:noVBand="1"/>
      </w:tblPr>
      <w:tblGrid>
        <w:gridCol w:w="8674"/>
      </w:tblGrid>
      <w:tr w:rsidR="0043271C" w:rsidRPr="00C91EA2" w14:paraId="6F3CE9D4" w14:textId="77777777" w:rsidTr="00FE2A31">
        <w:trPr>
          <w:trHeight w:val="235"/>
        </w:trPr>
        <w:tc>
          <w:tcPr>
            <w:tcW w:w="8674" w:type="dxa"/>
            <w:tcBorders>
              <w:top w:val="single" w:sz="4" w:space="0" w:color="auto"/>
              <w:left w:val="single" w:sz="4" w:space="0" w:color="auto"/>
              <w:bottom w:val="single" w:sz="4" w:space="0" w:color="auto"/>
              <w:right w:val="single" w:sz="4" w:space="0" w:color="auto"/>
            </w:tcBorders>
            <w:hideMark/>
          </w:tcPr>
          <w:p w14:paraId="022C0EB5" w14:textId="2A63000A" w:rsidR="0043271C" w:rsidRPr="00C91EA2" w:rsidRDefault="0043271C">
            <w:pPr>
              <w:pStyle w:val="Caption"/>
              <w:keepNext/>
              <w:jc w:val="both"/>
              <w:rPr>
                <w:rFonts w:ascii="Times New Roman" w:hAnsi="Times New Roman"/>
              </w:rPr>
            </w:pPr>
            <w:bookmarkStart w:id="118" w:name="_Ref520388671"/>
            <w:bookmarkStart w:id="119" w:name="_Toc497990872"/>
            <w:bookmarkStart w:id="120" w:name="_Toc520725581"/>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25</w:t>
            </w:r>
            <w:r w:rsidR="00D91B27">
              <w:rPr>
                <w:rFonts w:ascii="Times New Roman" w:hAnsi="Times New Roman"/>
              </w:rPr>
              <w:fldChar w:fldCharType="end"/>
            </w:r>
            <w:bookmarkEnd w:id="118"/>
            <w:r w:rsidRPr="00C91EA2">
              <w:rPr>
                <w:rFonts w:ascii="Times New Roman" w:hAnsi="Times New Roman"/>
              </w:rPr>
              <w:t>: Number of S</w:t>
            </w:r>
            <w:r w:rsidR="00DC5D93">
              <w:rPr>
                <w:rFonts w:ascii="Times New Roman" w:hAnsi="Times New Roman"/>
              </w:rPr>
              <w:t xml:space="preserve">ectors/Markets </w:t>
            </w:r>
            <w:r w:rsidRPr="00C91EA2">
              <w:rPr>
                <w:rFonts w:ascii="Times New Roman" w:hAnsi="Times New Roman"/>
              </w:rPr>
              <w:t xml:space="preserve">with at least one SOEs </w:t>
            </w:r>
            <w:bookmarkEnd w:id="119"/>
            <w:r w:rsidR="00DC2C0B">
              <w:rPr>
                <w:rFonts w:ascii="Times New Roman" w:hAnsi="Times New Roman"/>
              </w:rPr>
              <w:t>in Senegal and Comparator Countries</w:t>
            </w:r>
            <w:bookmarkEnd w:id="120"/>
          </w:p>
        </w:tc>
      </w:tr>
      <w:tr w:rsidR="0043271C" w:rsidRPr="00C91EA2" w14:paraId="4110A167" w14:textId="77777777" w:rsidTr="00BB501C">
        <w:trPr>
          <w:trHeight w:val="9381"/>
        </w:trPr>
        <w:tc>
          <w:tcPr>
            <w:tcW w:w="8674" w:type="dxa"/>
            <w:tcBorders>
              <w:top w:val="single" w:sz="4" w:space="0" w:color="auto"/>
              <w:left w:val="single" w:sz="4" w:space="0" w:color="auto"/>
              <w:bottom w:val="single" w:sz="4" w:space="0" w:color="auto"/>
              <w:right w:val="single" w:sz="4" w:space="0" w:color="auto"/>
            </w:tcBorders>
            <w:hideMark/>
          </w:tcPr>
          <w:p w14:paraId="0EE34D14" w14:textId="77777777" w:rsidR="0043271C" w:rsidRPr="00C91EA2" w:rsidRDefault="00BB501C" w:rsidP="00BB501C">
            <w:pPr>
              <w:jc w:val="center"/>
              <w:rPr>
                <w:rFonts w:ascii="Times New Roman" w:hAnsi="Times New Roman" w:cs="Times New Roman"/>
              </w:rPr>
            </w:pPr>
            <w:r>
              <w:rPr>
                <w:noProof/>
              </w:rPr>
              <w:drawing>
                <wp:inline distT="0" distB="0" distL="0" distR="0" wp14:anchorId="05C95BC4" wp14:editId="18D231DE">
                  <wp:extent cx="4695825" cy="7450068"/>
                  <wp:effectExtent l="0" t="0" r="0" b="0"/>
                  <wp:docPr id="1" name="Chart 1">
                    <a:extLst xmlns:a="http://schemas.openxmlformats.org/drawingml/2006/main">
                      <a:ext uri="{FF2B5EF4-FFF2-40B4-BE49-F238E27FC236}">
                        <a16:creationId xmlns:a16="http://schemas.microsoft.com/office/drawing/2014/main" id="{F142CDDD-BCD3-4C30-A944-5385C9358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43271C" w:rsidRPr="00C91EA2" w14:paraId="5023CA54" w14:textId="77777777" w:rsidTr="00FE2A31">
        <w:trPr>
          <w:trHeight w:val="705"/>
        </w:trPr>
        <w:tc>
          <w:tcPr>
            <w:tcW w:w="8674" w:type="dxa"/>
            <w:tcBorders>
              <w:top w:val="single" w:sz="4" w:space="0" w:color="auto"/>
              <w:left w:val="single" w:sz="4" w:space="0" w:color="auto"/>
              <w:bottom w:val="single" w:sz="4" w:space="0" w:color="auto"/>
              <w:right w:val="single" w:sz="4" w:space="0" w:color="auto"/>
            </w:tcBorders>
            <w:hideMark/>
          </w:tcPr>
          <w:p w14:paraId="360CBB8B"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 xml:space="preserve">Source: </w:t>
            </w:r>
            <w:r w:rsidR="00A4434F">
              <w:rPr>
                <w:rFonts w:ascii="Times New Roman" w:hAnsi="Times New Roman" w:cs="Times New Roman"/>
                <w:sz w:val="20"/>
              </w:rPr>
              <w:t>OECD-WBG PMR (2017)</w:t>
            </w:r>
          </w:p>
          <w:p w14:paraId="21839625" w14:textId="77777777" w:rsidR="0043271C" w:rsidRPr="00C91EA2" w:rsidRDefault="0043271C">
            <w:pPr>
              <w:jc w:val="both"/>
              <w:rPr>
                <w:rFonts w:ascii="Times New Roman" w:hAnsi="Times New Roman" w:cs="Times New Roman"/>
              </w:rPr>
            </w:pPr>
            <w:r w:rsidRPr="00C91EA2">
              <w:rPr>
                <w:rFonts w:ascii="Times New Roman" w:hAnsi="Times New Roman" w:cs="Times New Roman"/>
                <w:sz w:val="20"/>
              </w:rPr>
              <w:t>Note: The top 5 performers are Panama (6), Honduras (7), the United Kingdom (7), as well as Cyprus, Estonia, Latvia, Malta and the Netherlands (each 8)</w:t>
            </w:r>
          </w:p>
        </w:tc>
      </w:tr>
    </w:tbl>
    <w:p w14:paraId="0815DDE6" w14:textId="77777777" w:rsidR="0043271C" w:rsidRPr="00C91EA2" w:rsidRDefault="0043271C" w:rsidP="0043271C">
      <w:pPr>
        <w:rPr>
          <w:rFonts w:ascii="Times New Roman" w:hAnsi="Times New Roman" w:cs="Times New Roman"/>
        </w:rPr>
      </w:pPr>
    </w:p>
    <w:p w14:paraId="49EE6AD0" w14:textId="36AB0A04" w:rsidR="0043271C" w:rsidRPr="00C91EA2" w:rsidRDefault="0043271C" w:rsidP="0043271C">
      <w:pPr>
        <w:pStyle w:val="Caption"/>
        <w:keepNext/>
        <w:rPr>
          <w:rFonts w:ascii="Times New Roman" w:hAnsi="Times New Roman"/>
        </w:rPr>
      </w:pPr>
      <w:bookmarkStart w:id="121" w:name="_Ref496891491"/>
      <w:bookmarkStart w:id="122" w:name="_Toc497990926"/>
      <w:bookmarkStart w:id="123" w:name="_Toc520725691"/>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4</w:t>
      </w:r>
      <w:r w:rsidRPr="00C91EA2">
        <w:rPr>
          <w:rFonts w:ascii="Times New Roman" w:hAnsi="Times New Roman"/>
        </w:rPr>
        <w:fldChar w:fldCharType="end"/>
      </w:r>
      <w:bookmarkEnd w:id="121"/>
      <w:r w:rsidRPr="00C91EA2">
        <w:rPr>
          <w:rFonts w:ascii="Times New Roman" w:hAnsi="Times New Roman"/>
        </w:rPr>
        <w:t xml:space="preserve">: </w:t>
      </w:r>
      <w:r w:rsidR="00124ADC">
        <w:rPr>
          <w:rFonts w:ascii="Times New Roman" w:hAnsi="Times New Roman"/>
        </w:rPr>
        <w:t>Sectors/</w:t>
      </w:r>
      <w:r w:rsidRPr="00C91EA2">
        <w:rPr>
          <w:rFonts w:ascii="Times New Roman" w:hAnsi="Times New Roman"/>
        </w:rPr>
        <w:t xml:space="preserve">Markets with </w:t>
      </w:r>
      <w:bookmarkEnd w:id="122"/>
      <w:r w:rsidR="00124ADC">
        <w:rPr>
          <w:rFonts w:ascii="Times New Roman" w:hAnsi="Times New Roman"/>
        </w:rPr>
        <w:t>SOE Presence</w:t>
      </w:r>
      <w:bookmarkEnd w:id="123"/>
    </w:p>
    <w:tbl>
      <w:tblPr>
        <w:tblW w:w="0" w:type="auto"/>
        <w:tblCellMar>
          <w:left w:w="0" w:type="dxa"/>
          <w:right w:w="0" w:type="dxa"/>
        </w:tblCellMar>
        <w:tblLook w:val="0420" w:firstRow="1" w:lastRow="0" w:firstColumn="0" w:lastColumn="0" w:noHBand="0" w:noVBand="1"/>
      </w:tblPr>
      <w:tblGrid>
        <w:gridCol w:w="2610"/>
        <w:gridCol w:w="1731"/>
        <w:gridCol w:w="1990"/>
        <w:gridCol w:w="2293"/>
      </w:tblGrid>
      <w:tr w:rsidR="00BB501C" w:rsidRPr="00C91EA2" w14:paraId="08A11AEC" w14:textId="77777777" w:rsidTr="0043271C">
        <w:trPr>
          <w:trHeight w:val="23"/>
        </w:trPr>
        <w:tc>
          <w:tcPr>
            <w:tcW w:w="0" w:type="auto"/>
            <w:tcBorders>
              <w:top w:val="single" w:sz="6" w:space="0" w:color="002245"/>
              <w:left w:val="single" w:sz="6" w:space="0" w:color="002245"/>
              <w:bottom w:val="single" w:sz="6" w:space="0" w:color="002245"/>
              <w:right w:val="nil"/>
            </w:tcBorders>
            <w:shd w:val="clear" w:color="auto" w:fill="002345"/>
            <w:tcMar>
              <w:top w:w="72" w:type="dxa"/>
              <w:left w:w="144" w:type="dxa"/>
              <w:bottom w:w="72" w:type="dxa"/>
              <w:right w:w="144" w:type="dxa"/>
            </w:tcMar>
            <w:hideMark/>
          </w:tcPr>
          <w:p w14:paraId="5A84987C"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b/>
                <w:bCs/>
                <w:sz w:val="20"/>
                <w:szCs w:val="20"/>
              </w:rPr>
              <w:t>SOE</w:t>
            </w:r>
          </w:p>
        </w:tc>
        <w:tc>
          <w:tcPr>
            <w:tcW w:w="0" w:type="auto"/>
            <w:tcBorders>
              <w:top w:val="single" w:sz="6" w:space="0" w:color="002245"/>
              <w:left w:val="nil"/>
              <w:bottom w:val="single" w:sz="6" w:space="0" w:color="002245"/>
              <w:right w:val="nil"/>
            </w:tcBorders>
            <w:shd w:val="clear" w:color="auto" w:fill="002345"/>
            <w:tcMar>
              <w:top w:w="72" w:type="dxa"/>
              <w:left w:w="144" w:type="dxa"/>
              <w:bottom w:w="72" w:type="dxa"/>
              <w:right w:w="144" w:type="dxa"/>
            </w:tcMar>
            <w:hideMark/>
          </w:tcPr>
          <w:p w14:paraId="2BDAAE9B" w14:textId="77777777" w:rsidR="0043271C" w:rsidRPr="00C91EA2" w:rsidRDefault="0043271C">
            <w:pPr>
              <w:jc w:val="both"/>
              <w:rPr>
                <w:rFonts w:ascii="Times New Roman" w:hAnsi="Times New Roman" w:cs="Times New Roman"/>
                <w:sz w:val="20"/>
                <w:szCs w:val="20"/>
              </w:rPr>
            </w:pPr>
            <w:proofErr w:type="spellStart"/>
            <w:r w:rsidRPr="00C91EA2">
              <w:rPr>
                <w:rFonts w:ascii="Times New Roman" w:hAnsi="Times New Roman" w:cs="Times New Roman"/>
                <w:b/>
                <w:bCs/>
                <w:sz w:val="20"/>
                <w:szCs w:val="20"/>
              </w:rPr>
              <w:t>GoS</w:t>
            </w:r>
            <w:proofErr w:type="spellEnd"/>
            <w:r w:rsidRPr="00C91EA2">
              <w:rPr>
                <w:rFonts w:ascii="Times New Roman" w:hAnsi="Times New Roman" w:cs="Times New Roman"/>
                <w:b/>
                <w:bCs/>
                <w:sz w:val="20"/>
                <w:szCs w:val="20"/>
              </w:rPr>
              <w:t xml:space="preserve"> share</w:t>
            </w:r>
          </w:p>
        </w:tc>
        <w:tc>
          <w:tcPr>
            <w:tcW w:w="0" w:type="auto"/>
            <w:tcBorders>
              <w:top w:val="single" w:sz="6" w:space="0" w:color="002245"/>
              <w:left w:val="nil"/>
              <w:bottom w:val="single" w:sz="6" w:space="0" w:color="002245"/>
              <w:right w:val="nil"/>
            </w:tcBorders>
            <w:shd w:val="clear" w:color="auto" w:fill="002345"/>
            <w:tcMar>
              <w:top w:w="72" w:type="dxa"/>
              <w:left w:w="144" w:type="dxa"/>
              <w:bottom w:w="72" w:type="dxa"/>
              <w:right w:w="144" w:type="dxa"/>
            </w:tcMar>
            <w:hideMark/>
          </w:tcPr>
          <w:p w14:paraId="7F6936D0"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b/>
                <w:bCs/>
                <w:sz w:val="20"/>
                <w:szCs w:val="20"/>
              </w:rPr>
              <w:t>Sector/Market</w:t>
            </w:r>
          </w:p>
        </w:tc>
        <w:tc>
          <w:tcPr>
            <w:tcW w:w="0" w:type="auto"/>
            <w:tcBorders>
              <w:top w:val="single" w:sz="6" w:space="0" w:color="002245"/>
              <w:left w:val="nil"/>
              <w:bottom w:val="single" w:sz="6" w:space="0" w:color="002245"/>
              <w:right w:val="single" w:sz="6" w:space="0" w:color="002245"/>
            </w:tcBorders>
            <w:shd w:val="clear" w:color="auto" w:fill="002345"/>
            <w:tcMar>
              <w:top w:w="72" w:type="dxa"/>
              <w:left w:w="144" w:type="dxa"/>
              <w:bottom w:w="72" w:type="dxa"/>
              <w:right w:w="144" w:type="dxa"/>
            </w:tcMar>
            <w:hideMark/>
          </w:tcPr>
          <w:p w14:paraId="0268C6D9"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b/>
                <w:bCs/>
                <w:sz w:val="20"/>
                <w:szCs w:val="20"/>
              </w:rPr>
              <w:t>Market Share</w:t>
            </w:r>
          </w:p>
        </w:tc>
      </w:tr>
      <w:tr w:rsidR="00BB501C" w:rsidRPr="00C91EA2" w14:paraId="008AB7E4" w14:textId="77777777" w:rsidTr="0043271C">
        <w:trPr>
          <w:trHeight w:val="525"/>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27928A08"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SENELEC</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3BC62B84"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100%</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3C8030A5"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Electricity</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CD70941"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 xml:space="preserve">Monopoly on transmission and distribution; </w:t>
            </w:r>
            <w:r w:rsidR="00BB501C">
              <w:rPr>
                <w:rFonts w:ascii="Times New Roman" w:hAnsi="Times New Roman" w:cs="Times New Roman"/>
                <w:sz w:val="20"/>
                <w:szCs w:val="20"/>
              </w:rPr>
              <w:t xml:space="preserve">around 50% </w:t>
            </w:r>
            <w:r w:rsidRPr="00C91EA2">
              <w:rPr>
                <w:rFonts w:ascii="Times New Roman" w:hAnsi="Times New Roman" w:cs="Times New Roman"/>
                <w:sz w:val="20"/>
                <w:szCs w:val="20"/>
              </w:rPr>
              <w:t xml:space="preserve">in </w:t>
            </w:r>
            <w:r w:rsidR="00BB501C">
              <w:rPr>
                <w:rFonts w:ascii="Times New Roman" w:hAnsi="Times New Roman" w:cs="Times New Roman"/>
                <w:sz w:val="20"/>
                <w:szCs w:val="20"/>
              </w:rPr>
              <w:t xml:space="preserve">the </w:t>
            </w:r>
            <w:proofErr w:type="gramStart"/>
            <w:r w:rsidRPr="00C91EA2">
              <w:rPr>
                <w:rFonts w:ascii="Times New Roman" w:hAnsi="Times New Roman" w:cs="Times New Roman"/>
                <w:sz w:val="20"/>
                <w:szCs w:val="20"/>
              </w:rPr>
              <w:t>generation</w:t>
            </w:r>
            <w:r w:rsidR="00BB501C">
              <w:rPr>
                <w:rFonts w:ascii="Times New Roman" w:hAnsi="Times New Roman" w:cs="Times New Roman"/>
                <w:sz w:val="20"/>
                <w:szCs w:val="20"/>
              </w:rPr>
              <w:t xml:space="preserve">  market</w:t>
            </w:r>
            <w:proofErr w:type="gramEnd"/>
          </w:p>
        </w:tc>
      </w:tr>
      <w:tr w:rsidR="00BB501C" w:rsidRPr="00C91EA2" w14:paraId="07CCFB54"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64BD5EEC"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PETROSEN</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4FEF6D4F"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99%</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2F415262"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Gas</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7802358B"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Less than 10%</w:t>
            </w:r>
          </w:p>
        </w:tc>
      </w:tr>
      <w:tr w:rsidR="00BB501C" w:rsidRPr="00C91EA2" w14:paraId="5EDA37E4" w14:textId="77777777" w:rsidTr="0043271C">
        <w:trPr>
          <w:trHeight w:val="228"/>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5DD2734C"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SONATEL</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6D9E03C6" w14:textId="77777777" w:rsidR="0043271C" w:rsidRPr="00C91EA2" w:rsidRDefault="0043271C">
            <w:pPr>
              <w:rPr>
                <w:rFonts w:ascii="Times New Roman" w:hAnsi="Times New Roman" w:cs="Times New Roman"/>
                <w:sz w:val="20"/>
                <w:szCs w:val="20"/>
              </w:rPr>
            </w:pPr>
            <w:r w:rsidRPr="00C91EA2">
              <w:rPr>
                <w:rFonts w:ascii="Times New Roman" w:hAnsi="Times New Roman" w:cs="Times New Roman"/>
                <w:sz w:val="20"/>
                <w:szCs w:val="20"/>
              </w:rPr>
              <w:t>17%</w:t>
            </w:r>
            <w:r w:rsidR="00FA09FE">
              <w:rPr>
                <w:rFonts w:ascii="Times New Roman" w:hAnsi="Times New Roman" w:cs="Times New Roman"/>
                <w:sz w:val="20"/>
                <w:szCs w:val="20"/>
              </w:rPr>
              <w:t xml:space="preserve"> state-owned</w:t>
            </w:r>
            <w:r w:rsidRPr="00C91EA2">
              <w:rPr>
                <w:rFonts w:ascii="Times New Roman" w:hAnsi="Times New Roman" w:cs="Times New Roman"/>
                <w:sz w:val="20"/>
                <w:szCs w:val="20"/>
              </w:rPr>
              <w:t>; 52% owned by Orange</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6203A29D"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Telecom</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4082393A"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97% of fixed-line network and services</w:t>
            </w:r>
          </w:p>
        </w:tc>
      </w:tr>
      <w:tr w:rsidR="00BB501C" w:rsidRPr="00C91EA2" w14:paraId="27851881"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749F0D27"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La Poste Senegal</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14C87D84"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100%</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6A83FD9A"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Postal services</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64A4F62D"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~70%</w:t>
            </w:r>
          </w:p>
        </w:tc>
      </w:tr>
      <w:tr w:rsidR="00BB501C" w:rsidRPr="00C91EA2" w14:paraId="23D89256"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3809E5E1"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SONACOS</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6EC4BA7C"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99.78%</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0C330768"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Agriculture/ Groundnuts</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CAFEB0A"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~75%</w:t>
            </w:r>
          </w:p>
        </w:tc>
      </w:tr>
      <w:tr w:rsidR="00BB501C" w:rsidRPr="00C91EA2" w14:paraId="5C6291A6"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4672AD75" w14:textId="77777777" w:rsidR="0043271C" w:rsidRPr="007575D7" w:rsidRDefault="0043271C">
            <w:pPr>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Industries Chimiques du Sénégal (ICS)</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38752E88"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15%</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0286E6C2"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Mining/Fertilizer</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0C4F61AB"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w:t>
            </w:r>
          </w:p>
        </w:tc>
      </w:tr>
      <w:tr w:rsidR="00BB501C" w:rsidRPr="00C91EA2" w14:paraId="7E33649F"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4C7A6470" w14:textId="77777777" w:rsidR="0043271C" w:rsidRPr="007575D7" w:rsidRDefault="0043271C">
            <w:pPr>
              <w:rPr>
                <w:rFonts w:ascii="Times New Roman" w:hAnsi="Times New Roman" w:cs="Times New Roman"/>
                <w:sz w:val="20"/>
                <w:szCs w:val="20"/>
                <w:lang w:val="fr-FR"/>
              </w:rPr>
            </w:pPr>
            <w:r w:rsidRPr="00C91EA2">
              <w:rPr>
                <w:rFonts w:ascii="Times New Roman" w:hAnsi="Times New Roman" w:cs="Times New Roman"/>
                <w:sz w:val="20"/>
                <w:szCs w:val="20"/>
                <w:lang w:val="fr-FR"/>
              </w:rPr>
              <w:t>Société d’Etudes et de Réalisation des Phosphates de Matam (SERPM)</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0E6BF0C3"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5E0014AC"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Mining/Fertilizer</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4425EE4A"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w:t>
            </w:r>
          </w:p>
        </w:tc>
      </w:tr>
      <w:tr w:rsidR="00BB501C" w:rsidRPr="00C91EA2" w14:paraId="58893960"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14A81C81"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SODEFITEX</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105A3458"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46%</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6F96BF46"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Agriculture/Cotton/ Textiles</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0534E030" w14:textId="77777777" w:rsidR="0043271C" w:rsidRPr="00C91EA2" w:rsidRDefault="0043271C" w:rsidP="00212A70">
            <w:pPr>
              <w:jc w:val="both"/>
              <w:rPr>
                <w:rFonts w:ascii="Times New Roman" w:hAnsi="Times New Roman" w:cs="Times New Roman"/>
                <w:sz w:val="20"/>
                <w:szCs w:val="20"/>
              </w:rPr>
            </w:pPr>
            <w:r w:rsidRPr="00C91EA2">
              <w:rPr>
                <w:rFonts w:ascii="Times New Roman" w:hAnsi="Times New Roman" w:cs="Times New Roman"/>
                <w:sz w:val="20"/>
                <w:szCs w:val="20"/>
              </w:rPr>
              <w:t xml:space="preserve">Monopoly on cotton </w:t>
            </w:r>
            <w:r w:rsidR="00212A70">
              <w:rPr>
                <w:rFonts w:ascii="Times New Roman" w:hAnsi="Times New Roman" w:cs="Times New Roman"/>
                <w:sz w:val="20"/>
                <w:szCs w:val="20"/>
              </w:rPr>
              <w:t>ginning</w:t>
            </w:r>
          </w:p>
        </w:tc>
      </w:tr>
      <w:tr w:rsidR="00BB501C" w:rsidRPr="00C91EA2" w14:paraId="56945A0B"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236AEA99" w14:textId="77777777" w:rsidR="0043271C" w:rsidRPr="007575D7" w:rsidRDefault="0043271C">
            <w:pPr>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 xml:space="preserve">Petit Train de </w:t>
            </w:r>
            <w:proofErr w:type="spellStart"/>
            <w:r w:rsidRPr="007575D7">
              <w:rPr>
                <w:rFonts w:ascii="Times New Roman" w:hAnsi="Times New Roman" w:cs="Times New Roman"/>
                <w:sz w:val="20"/>
                <w:szCs w:val="20"/>
                <w:lang w:val="fr-FR"/>
              </w:rPr>
              <w:t>Banlieu</w:t>
            </w:r>
            <w:proofErr w:type="spellEnd"/>
            <w:r w:rsidRPr="007575D7">
              <w:rPr>
                <w:rFonts w:ascii="Times New Roman" w:hAnsi="Times New Roman" w:cs="Times New Roman"/>
                <w:sz w:val="20"/>
                <w:szCs w:val="20"/>
                <w:lang w:val="fr-FR"/>
              </w:rPr>
              <w:t xml:space="preserve"> and Dakar Bamako Ferroviaire</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57B6B770"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100%</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17A824F2"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Rail transport</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289E28EA"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&gt;90% for freight and passenger transport</w:t>
            </w:r>
          </w:p>
        </w:tc>
      </w:tr>
      <w:tr w:rsidR="00BB501C" w:rsidRPr="00C91EA2" w14:paraId="156721DF"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144F4B50"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SONES</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41090472"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100%</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11FC4EBA"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Water</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764E9B9" w14:textId="77777777" w:rsidR="0043271C" w:rsidRPr="00C91EA2" w:rsidRDefault="0043271C">
            <w:pPr>
              <w:rPr>
                <w:rFonts w:ascii="Times New Roman" w:hAnsi="Times New Roman" w:cs="Times New Roman"/>
                <w:sz w:val="20"/>
                <w:szCs w:val="20"/>
              </w:rPr>
            </w:pPr>
          </w:p>
        </w:tc>
      </w:tr>
      <w:tr w:rsidR="00BB501C" w:rsidRPr="00C91EA2" w14:paraId="68FE4BCE"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308B1C50"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 xml:space="preserve">Société </w:t>
            </w:r>
            <w:proofErr w:type="spellStart"/>
            <w:r w:rsidRPr="00C91EA2">
              <w:rPr>
                <w:rFonts w:ascii="Times New Roman" w:hAnsi="Times New Roman" w:cs="Times New Roman"/>
                <w:sz w:val="20"/>
                <w:szCs w:val="20"/>
              </w:rPr>
              <w:t>Africaine</w:t>
            </w:r>
            <w:proofErr w:type="spellEnd"/>
            <w:r w:rsidRPr="00C91EA2">
              <w:rPr>
                <w:rFonts w:ascii="Times New Roman" w:hAnsi="Times New Roman" w:cs="Times New Roman"/>
                <w:sz w:val="20"/>
                <w:szCs w:val="20"/>
              </w:rPr>
              <w:t xml:space="preserve"> de </w:t>
            </w:r>
            <w:proofErr w:type="spellStart"/>
            <w:r w:rsidRPr="00C91EA2">
              <w:rPr>
                <w:rFonts w:ascii="Times New Roman" w:hAnsi="Times New Roman" w:cs="Times New Roman"/>
                <w:sz w:val="20"/>
                <w:szCs w:val="20"/>
              </w:rPr>
              <w:t>Raffinage</w:t>
            </w:r>
            <w:proofErr w:type="spellEnd"/>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63C9FAA8"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Majority-owned by PETROSEN</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56A1F7D1"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Petroleum refining</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EACDF46"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Not known</w:t>
            </w:r>
          </w:p>
        </w:tc>
      </w:tr>
      <w:tr w:rsidR="00BB501C" w:rsidRPr="00C91EA2" w14:paraId="25EDC1F1" w14:textId="77777777" w:rsidTr="0043271C">
        <w:trPr>
          <w:trHeight w:val="340"/>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7EAF13B2"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 xml:space="preserve">Dem </w:t>
            </w:r>
            <w:proofErr w:type="spellStart"/>
            <w:r w:rsidRPr="00C91EA2">
              <w:rPr>
                <w:rFonts w:ascii="Times New Roman" w:hAnsi="Times New Roman" w:cs="Times New Roman"/>
                <w:sz w:val="20"/>
                <w:szCs w:val="20"/>
              </w:rPr>
              <w:t>Dikk</w:t>
            </w:r>
            <w:proofErr w:type="spellEnd"/>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1D938927"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76.7%</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40016FD0"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Urban Transport</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22B65D1"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Not known</w:t>
            </w:r>
          </w:p>
        </w:tc>
      </w:tr>
      <w:tr w:rsidR="00BB501C" w:rsidRPr="00C91EA2" w14:paraId="3AE7B607"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2D360B2D"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POSTEFINANCES</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0D5781E9"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87% owned by La Poste Senegal</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711F82D6"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Financial Services</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60EB389C"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Not known</w:t>
            </w:r>
          </w:p>
        </w:tc>
      </w:tr>
      <w:tr w:rsidR="00BB501C" w:rsidRPr="00C91EA2" w14:paraId="5AB8ADEF" w14:textId="77777777" w:rsidTr="0043271C">
        <w:trPr>
          <w:trHeight w:val="23"/>
        </w:trPr>
        <w:tc>
          <w:tcPr>
            <w:tcW w:w="0" w:type="auto"/>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663EFFF6" w14:textId="77777777" w:rsidR="0043271C" w:rsidRPr="00C91EA2" w:rsidRDefault="0043271C">
            <w:pPr>
              <w:jc w:val="both"/>
              <w:rPr>
                <w:rFonts w:ascii="Times New Roman" w:hAnsi="Times New Roman" w:cs="Times New Roman"/>
                <w:sz w:val="20"/>
                <w:szCs w:val="20"/>
              </w:rPr>
            </w:pPr>
            <w:proofErr w:type="spellStart"/>
            <w:r w:rsidRPr="00C91EA2">
              <w:rPr>
                <w:rFonts w:ascii="Times New Roman" w:hAnsi="Times New Roman" w:cs="Times New Roman"/>
                <w:sz w:val="20"/>
                <w:szCs w:val="20"/>
              </w:rPr>
              <w:t>Caisse</w:t>
            </w:r>
            <w:proofErr w:type="spellEnd"/>
            <w:r w:rsidRPr="00C91EA2">
              <w:rPr>
                <w:rFonts w:ascii="Times New Roman" w:hAnsi="Times New Roman" w:cs="Times New Roman"/>
                <w:sz w:val="20"/>
                <w:szCs w:val="20"/>
              </w:rPr>
              <w:t xml:space="preserve"> de </w:t>
            </w:r>
            <w:proofErr w:type="spellStart"/>
            <w:r w:rsidRPr="00C91EA2">
              <w:rPr>
                <w:rFonts w:ascii="Times New Roman" w:hAnsi="Times New Roman" w:cs="Times New Roman"/>
                <w:sz w:val="20"/>
                <w:szCs w:val="20"/>
              </w:rPr>
              <w:t>Retraite</w:t>
            </w:r>
            <w:proofErr w:type="spellEnd"/>
            <w:r w:rsidRPr="00C91EA2">
              <w:rPr>
                <w:rFonts w:ascii="Times New Roman" w:hAnsi="Times New Roman" w:cs="Times New Roman"/>
                <w:sz w:val="20"/>
                <w:szCs w:val="20"/>
              </w:rPr>
              <w:t xml:space="preserve"> (IPRES)</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19EE5CE8" w14:textId="47CE3DB0"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 xml:space="preserve">Under </w:t>
            </w:r>
            <w:r w:rsidR="003B24ED">
              <w:rPr>
                <w:rFonts w:ascii="Times New Roman" w:hAnsi="Times New Roman" w:cs="Times New Roman"/>
                <w:sz w:val="20"/>
                <w:szCs w:val="20"/>
              </w:rPr>
              <w:t>Government</w:t>
            </w:r>
            <w:r w:rsidR="00BC53B3">
              <w:rPr>
                <w:rFonts w:ascii="Times New Roman" w:hAnsi="Times New Roman" w:cs="Times New Roman"/>
                <w:sz w:val="20"/>
                <w:szCs w:val="20"/>
              </w:rPr>
              <w:t xml:space="preserve"> </w:t>
            </w:r>
            <w:r w:rsidRPr="00C91EA2">
              <w:rPr>
                <w:rFonts w:ascii="Times New Roman" w:hAnsi="Times New Roman" w:cs="Times New Roman"/>
                <w:sz w:val="20"/>
                <w:szCs w:val="20"/>
              </w:rPr>
              <w:t>guardianship</w:t>
            </w:r>
          </w:p>
        </w:tc>
        <w:tc>
          <w:tcPr>
            <w:tcW w:w="0" w:type="auto"/>
            <w:tcBorders>
              <w:top w:val="single" w:sz="6" w:space="0" w:color="002245"/>
              <w:left w:val="nil"/>
              <w:bottom w:val="single" w:sz="6" w:space="0" w:color="002245"/>
              <w:right w:val="nil"/>
            </w:tcBorders>
            <w:tcMar>
              <w:top w:w="72" w:type="dxa"/>
              <w:left w:w="144" w:type="dxa"/>
              <w:bottom w:w="72" w:type="dxa"/>
              <w:right w:w="144" w:type="dxa"/>
            </w:tcMar>
            <w:hideMark/>
          </w:tcPr>
          <w:p w14:paraId="686EF045"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Insurance</w:t>
            </w:r>
          </w:p>
        </w:tc>
        <w:tc>
          <w:tcPr>
            <w:tcW w:w="0" w:type="auto"/>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0304658E" w14:textId="77777777" w:rsidR="0043271C" w:rsidRPr="00C91EA2" w:rsidRDefault="0043271C">
            <w:pPr>
              <w:jc w:val="both"/>
              <w:rPr>
                <w:rFonts w:ascii="Times New Roman" w:hAnsi="Times New Roman" w:cs="Times New Roman"/>
                <w:sz w:val="20"/>
                <w:szCs w:val="20"/>
              </w:rPr>
            </w:pPr>
            <w:r w:rsidRPr="00C91EA2">
              <w:rPr>
                <w:rFonts w:ascii="Times New Roman" w:hAnsi="Times New Roman" w:cs="Times New Roman"/>
                <w:sz w:val="20"/>
                <w:szCs w:val="20"/>
              </w:rPr>
              <w:t>Not known</w:t>
            </w:r>
          </w:p>
        </w:tc>
      </w:tr>
    </w:tbl>
    <w:p w14:paraId="79F59040" w14:textId="77777777" w:rsidR="0043271C" w:rsidRPr="00C91EA2" w:rsidRDefault="0043271C" w:rsidP="0043271C">
      <w:pPr>
        <w:rPr>
          <w:rFonts w:ascii="Times New Roman" w:hAnsi="Times New Roman" w:cs="Times New Roman"/>
          <w:sz w:val="20"/>
          <w:szCs w:val="20"/>
        </w:rPr>
      </w:pPr>
      <w:r w:rsidRPr="00C91EA2">
        <w:rPr>
          <w:rFonts w:ascii="Times New Roman" w:hAnsi="Times New Roman" w:cs="Times New Roman"/>
          <w:sz w:val="20"/>
          <w:szCs w:val="20"/>
        </w:rPr>
        <w:t xml:space="preserve">Source: </w:t>
      </w:r>
      <w:r w:rsidR="00A4434F">
        <w:rPr>
          <w:rFonts w:ascii="Times New Roman" w:hAnsi="Times New Roman" w:cs="Times New Roman"/>
          <w:sz w:val="20"/>
          <w:szCs w:val="20"/>
        </w:rPr>
        <w:t>OECD-WBG PMR (2017)</w:t>
      </w:r>
      <w:r w:rsidRPr="00C91EA2">
        <w:rPr>
          <w:rFonts w:ascii="Times New Roman" w:hAnsi="Times New Roman" w:cs="Times New Roman"/>
          <w:sz w:val="20"/>
          <w:szCs w:val="20"/>
        </w:rPr>
        <w:t xml:space="preserve">, Authors’ </w:t>
      </w:r>
      <w:r w:rsidR="00792087">
        <w:rPr>
          <w:rFonts w:ascii="Times New Roman" w:hAnsi="Times New Roman" w:cs="Times New Roman"/>
          <w:sz w:val="20"/>
          <w:szCs w:val="20"/>
        </w:rPr>
        <w:t>elaboration.</w:t>
      </w:r>
    </w:p>
    <w:p w14:paraId="5CABE3B4" w14:textId="77777777" w:rsidR="00711D1F" w:rsidRPr="00C91EA2" w:rsidRDefault="00711D1F" w:rsidP="0043271C">
      <w:pPr>
        <w:rPr>
          <w:rFonts w:ascii="Times New Roman" w:hAnsi="Times New Roman" w:cs="Times New Roman"/>
        </w:rPr>
      </w:pPr>
    </w:p>
    <w:p w14:paraId="494B655A" w14:textId="4B895235"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The governance of SOEs in Senegal requires </w:t>
      </w:r>
      <w:r w:rsidR="00364C4E" w:rsidRPr="00C91EA2">
        <w:rPr>
          <w:rFonts w:ascii="Times New Roman" w:hAnsi="Times New Roman" w:cs="Times New Roman"/>
          <w:b/>
        </w:rPr>
        <w:t>attention</w:t>
      </w:r>
      <w:r w:rsidR="003A541C">
        <w:rPr>
          <w:rFonts w:ascii="Times New Roman" w:hAnsi="Times New Roman" w:cs="Times New Roman"/>
          <w:b/>
        </w:rPr>
        <w:t xml:space="preserve"> </w:t>
      </w:r>
      <w:proofErr w:type="gramStart"/>
      <w:r w:rsidR="00364C4E">
        <w:rPr>
          <w:rFonts w:ascii="Times New Roman" w:hAnsi="Times New Roman" w:cs="Times New Roman"/>
          <w:b/>
        </w:rPr>
        <w:t>in order to</w:t>
      </w:r>
      <w:proofErr w:type="gramEnd"/>
      <w:r w:rsidR="00364C4E">
        <w:rPr>
          <w:rFonts w:ascii="Times New Roman" w:hAnsi="Times New Roman" w:cs="Times New Roman"/>
          <w:b/>
        </w:rPr>
        <w:t xml:space="preserve"> ensure that SOE</w:t>
      </w:r>
      <w:r w:rsidR="00A97CDB">
        <w:rPr>
          <w:rFonts w:ascii="Times New Roman" w:hAnsi="Times New Roman" w:cs="Times New Roman"/>
          <w:b/>
        </w:rPr>
        <w:t>s</w:t>
      </w:r>
      <w:r w:rsidR="00364C4E">
        <w:rPr>
          <w:rFonts w:ascii="Times New Roman" w:hAnsi="Times New Roman" w:cs="Times New Roman"/>
          <w:b/>
        </w:rPr>
        <w:t xml:space="preserve"> are subject to the same market discipline as the private market players </w:t>
      </w:r>
      <w:r w:rsidR="003A541C" w:rsidRPr="00C91EA2">
        <w:rPr>
          <w:rFonts w:ascii="Times New Roman" w:hAnsi="Times New Roman" w:cs="Times New Roman"/>
        </w:rPr>
        <w:t>(</w:t>
      </w:r>
      <w:r w:rsidR="003A541C" w:rsidRPr="00C91EA2">
        <w:rPr>
          <w:rFonts w:ascii="Times New Roman" w:hAnsi="Times New Roman" w:cs="Times New Roman"/>
        </w:rPr>
        <w:fldChar w:fldCharType="begin"/>
      </w:r>
      <w:r w:rsidR="003A541C" w:rsidRPr="00C91EA2">
        <w:rPr>
          <w:rFonts w:ascii="Times New Roman" w:hAnsi="Times New Roman" w:cs="Times New Roman"/>
        </w:rPr>
        <w:instrText xml:space="preserve"> REF _Ref496891868 \h  \* MERGEFORMAT </w:instrText>
      </w:r>
      <w:r w:rsidR="003A541C" w:rsidRPr="00C91EA2">
        <w:rPr>
          <w:rFonts w:ascii="Times New Roman" w:hAnsi="Times New Roman" w:cs="Times New Roman"/>
        </w:rPr>
      </w:r>
      <w:r w:rsidR="003A541C"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26</w:t>
      </w:r>
      <w:r w:rsidR="003A541C" w:rsidRPr="00C91EA2">
        <w:rPr>
          <w:rFonts w:ascii="Times New Roman" w:hAnsi="Times New Roman" w:cs="Times New Roman"/>
        </w:rPr>
        <w:fldChar w:fldCharType="end"/>
      </w:r>
      <w:r w:rsidR="003A541C" w:rsidRPr="00C91EA2">
        <w:rPr>
          <w:rFonts w:ascii="Times New Roman" w:hAnsi="Times New Roman" w:cs="Times New Roman"/>
        </w:rPr>
        <w:t>)</w:t>
      </w:r>
      <w:r w:rsidRPr="00C91EA2">
        <w:rPr>
          <w:rFonts w:ascii="Times New Roman" w:hAnsi="Times New Roman" w:cs="Times New Roman"/>
          <w:b/>
        </w:rPr>
        <w:t xml:space="preserve">. </w:t>
      </w:r>
      <w:r w:rsidRPr="00C91EA2">
        <w:rPr>
          <w:rFonts w:ascii="Times New Roman" w:hAnsi="Times New Roman" w:cs="Times New Roman"/>
        </w:rPr>
        <w:t xml:space="preserve">The governance of SOE </w:t>
      </w:r>
      <w:r w:rsidR="00364C4E">
        <w:rPr>
          <w:rFonts w:ascii="Times New Roman" w:hAnsi="Times New Roman" w:cs="Times New Roman"/>
        </w:rPr>
        <w:t>sub-</w:t>
      </w:r>
      <w:r w:rsidRPr="00C91EA2">
        <w:rPr>
          <w:rFonts w:ascii="Times New Roman" w:hAnsi="Times New Roman" w:cs="Times New Roman"/>
        </w:rPr>
        <w:t>indicator measures the degree of insulation of</w:t>
      </w:r>
      <w:r w:rsidR="00FA09FE">
        <w:rPr>
          <w:rFonts w:ascii="Times New Roman" w:hAnsi="Times New Roman" w:cs="Times New Roman"/>
        </w:rPr>
        <w:t xml:space="preserve"> state-owned</w:t>
      </w:r>
      <w:r w:rsidRPr="00C91EA2">
        <w:rPr>
          <w:rFonts w:ascii="Times New Roman" w:hAnsi="Times New Roman" w:cs="Times New Roman"/>
        </w:rPr>
        <w:t xml:space="preserve"> enterprises (SOEs) from market discipline and </w:t>
      </w:r>
      <w:r w:rsidR="00B7027C">
        <w:rPr>
          <w:rFonts w:ascii="Times New Roman" w:hAnsi="Times New Roman" w:cs="Times New Roman"/>
        </w:rPr>
        <w:t xml:space="preserve">the </w:t>
      </w:r>
      <w:r w:rsidRPr="00C91EA2">
        <w:rPr>
          <w:rFonts w:ascii="Times New Roman" w:hAnsi="Times New Roman" w:cs="Times New Roman"/>
        </w:rPr>
        <w:t xml:space="preserve">degree of political interference in the management of SOEs. In Senegal, SOEs are </w:t>
      </w:r>
      <w:r w:rsidR="00364C4E">
        <w:rPr>
          <w:rFonts w:ascii="Times New Roman" w:hAnsi="Times New Roman" w:cs="Times New Roman"/>
        </w:rPr>
        <w:t xml:space="preserve">generally </w:t>
      </w:r>
      <w:r w:rsidRPr="00C91EA2">
        <w:rPr>
          <w:rFonts w:ascii="Times New Roman" w:hAnsi="Times New Roman" w:cs="Times New Roman"/>
        </w:rPr>
        <w:t xml:space="preserve">regulated by private company law, but in many </w:t>
      </w:r>
      <w:r w:rsidR="009C03A2" w:rsidRPr="00C91EA2">
        <w:rPr>
          <w:rFonts w:ascii="Times New Roman" w:hAnsi="Times New Roman" w:cs="Times New Roman"/>
        </w:rPr>
        <w:t>cases,</w:t>
      </w:r>
      <w:r w:rsidRPr="00C91EA2">
        <w:rPr>
          <w:rFonts w:ascii="Times New Roman" w:hAnsi="Times New Roman" w:cs="Times New Roman"/>
        </w:rPr>
        <w:t xml:space="preserve"> they are also subject to specific </w:t>
      </w:r>
      <w:r w:rsidR="003B24ED">
        <w:rPr>
          <w:rFonts w:ascii="Times New Roman" w:hAnsi="Times New Roman" w:cs="Times New Roman"/>
        </w:rPr>
        <w:t>Government</w:t>
      </w:r>
      <w:r w:rsidR="00EB0CDC">
        <w:rPr>
          <w:rFonts w:ascii="Times New Roman" w:hAnsi="Times New Roman" w:cs="Times New Roman"/>
        </w:rPr>
        <w:t xml:space="preserve"> </w:t>
      </w:r>
      <w:r w:rsidRPr="00C91EA2">
        <w:rPr>
          <w:rFonts w:ascii="Times New Roman" w:hAnsi="Times New Roman" w:cs="Times New Roman"/>
        </w:rPr>
        <w:t xml:space="preserve">regulation. Strategic choices often </w:t>
      </w:r>
      <w:r w:rsidR="00364C4E" w:rsidRPr="00C91EA2">
        <w:rPr>
          <w:rFonts w:ascii="Times New Roman" w:hAnsi="Times New Roman" w:cs="Times New Roman"/>
        </w:rPr>
        <w:t>must</w:t>
      </w:r>
      <w:r w:rsidRPr="00C91EA2">
        <w:rPr>
          <w:rFonts w:ascii="Times New Roman" w:hAnsi="Times New Roman" w:cs="Times New Roman"/>
        </w:rPr>
        <w:t xml:space="preserve"> be cleared by the Ministry of Finance and the respect</w:t>
      </w:r>
      <w:r w:rsidR="00364C4E">
        <w:rPr>
          <w:rFonts w:ascii="Times New Roman" w:hAnsi="Times New Roman" w:cs="Times New Roman"/>
        </w:rPr>
        <w:t>ive sector ministry of each SOE</w:t>
      </w:r>
      <w:r w:rsidRPr="00C91EA2">
        <w:rPr>
          <w:rFonts w:ascii="Times New Roman" w:hAnsi="Times New Roman" w:cs="Times New Roman"/>
        </w:rPr>
        <w:t>,</w:t>
      </w:r>
      <w:r w:rsidR="00364C4E">
        <w:rPr>
          <w:rFonts w:ascii="Times New Roman" w:hAnsi="Times New Roman" w:cs="Times New Roman"/>
        </w:rPr>
        <w:t xml:space="preserve"> while</w:t>
      </w:r>
      <w:r w:rsidRPr="00C91EA2">
        <w:rPr>
          <w:rFonts w:ascii="Times New Roman" w:hAnsi="Times New Roman" w:cs="Times New Roman"/>
        </w:rPr>
        <w:t xml:space="preserve"> state equity holdings in publicly controlled firms are managed by the Ministry of Finance.</w:t>
      </w:r>
      <w:r w:rsidR="00577B18" w:rsidRPr="00577B18">
        <w:rPr>
          <w:rFonts w:ascii="Times New Roman" w:hAnsi="Times New Roman" w:cs="Times New Roman"/>
        </w:rPr>
        <w:t xml:space="preserve"> International good practice indicates that direct </w:t>
      </w:r>
      <w:r w:rsidR="003B24ED">
        <w:rPr>
          <w:rFonts w:ascii="Times New Roman" w:hAnsi="Times New Roman" w:cs="Times New Roman"/>
        </w:rPr>
        <w:t>Government</w:t>
      </w:r>
      <w:r w:rsidR="00577B18" w:rsidRPr="00577B18">
        <w:rPr>
          <w:rFonts w:ascii="Times New Roman" w:hAnsi="Times New Roman" w:cs="Times New Roman"/>
        </w:rPr>
        <w:t xml:space="preserve"> influence in the management and business decisions of SOEs is not an adequate mean</w:t>
      </w:r>
      <w:r w:rsidR="006813A6">
        <w:rPr>
          <w:rFonts w:ascii="Times New Roman" w:hAnsi="Times New Roman" w:cs="Times New Roman"/>
        </w:rPr>
        <w:t>s</w:t>
      </w:r>
      <w:r w:rsidR="00577B18" w:rsidRPr="00577B18">
        <w:rPr>
          <w:rFonts w:ascii="Times New Roman" w:hAnsi="Times New Roman" w:cs="Times New Roman"/>
        </w:rPr>
        <w:t xml:space="preserve"> </w:t>
      </w:r>
      <w:r w:rsidR="006813A6">
        <w:rPr>
          <w:rFonts w:ascii="Times New Roman" w:hAnsi="Times New Roman" w:cs="Times New Roman"/>
        </w:rPr>
        <w:t>of</w:t>
      </w:r>
      <w:r w:rsidR="00577B18" w:rsidRPr="00577B18">
        <w:rPr>
          <w:rFonts w:ascii="Times New Roman" w:hAnsi="Times New Roman" w:cs="Times New Roman"/>
        </w:rPr>
        <w:t xml:space="preserve"> pursuing policy objectives and tends to negatively affect efficiency due to conflict of interest or weak incentives. </w:t>
      </w:r>
      <w:r w:rsidR="006813A6">
        <w:rPr>
          <w:rFonts w:ascii="Times New Roman" w:hAnsi="Times New Roman" w:cs="Times New Roman"/>
        </w:rPr>
        <w:t>E</w:t>
      </w:r>
      <w:r w:rsidR="00577B18" w:rsidRPr="00577B18">
        <w:rPr>
          <w:rFonts w:ascii="Times New Roman" w:hAnsi="Times New Roman" w:cs="Times New Roman"/>
        </w:rPr>
        <w:t>ntrusting management of state equity holdings to independent bodies typically results in superior market outcomes.</w:t>
      </w:r>
    </w:p>
    <w:p w14:paraId="6C7C1C49" w14:textId="77777777" w:rsidR="0043271C" w:rsidRPr="00C91EA2" w:rsidRDefault="0043271C" w:rsidP="0043271C">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8630"/>
      </w:tblGrid>
      <w:tr w:rsidR="0043271C" w:rsidRPr="00C91EA2" w14:paraId="332E303B" w14:textId="77777777" w:rsidTr="0043271C">
        <w:trPr>
          <w:trHeight w:val="311"/>
        </w:trPr>
        <w:tc>
          <w:tcPr>
            <w:tcW w:w="8630" w:type="dxa"/>
            <w:tcBorders>
              <w:top w:val="single" w:sz="4" w:space="0" w:color="auto"/>
              <w:left w:val="single" w:sz="4" w:space="0" w:color="auto"/>
              <w:bottom w:val="single" w:sz="4" w:space="0" w:color="auto"/>
              <w:right w:val="single" w:sz="4" w:space="0" w:color="auto"/>
            </w:tcBorders>
            <w:hideMark/>
          </w:tcPr>
          <w:p w14:paraId="7056209E" w14:textId="73111A21" w:rsidR="0043271C" w:rsidRPr="00C91EA2" w:rsidRDefault="0043271C">
            <w:pPr>
              <w:pStyle w:val="Caption"/>
              <w:keepNext/>
              <w:rPr>
                <w:rFonts w:ascii="Times New Roman" w:hAnsi="Times New Roman"/>
              </w:rPr>
            </w:pPr>
            <w:bookmarkStart w:id="124" w:name="_Ref496891868"/>
            <w:bookmarkStart w:id="125" w:name="_Toc497990873"/>
            <w:bookmarkStart w:id="126" w:name="_Toc520725582"/>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26</w:t>
            </w:r>
            <w:r w:rsidR="00D91B27">
              <w:rPr>
                <w:rFonts w:ascii="Times New Roman" w:hAnsi="Times New Roman"/>
              </w:rPr>
              <w:fldChar w:fldCharType="end"/>
            </w:r>
            <w:bookmarkEnd w:id="124"/>
            <w:r w:rsidRPr="00C91EA2">
              <w:rPr>
                <w:rFonts w:ascii="Times New Roman" w:hAnsi="Times New Roman"/>
              </w:rPr>
              <w:t xml:space="preserve">: Governance of SOEs </w:t>
            </w:r>
            <w:bookmarkEnd w:id="125"/>
            <w:r w:rsidR="00585CFB">
              <w:rPr>
                <w:rFonts w:ascii="Times New Roman" w:hAnsi="Times New Roman"/>
              </w:rPr>
              <w:t>in Senegal and Comparator Countries</w:t>
            </w:r>
            <w:bookmarkEnd w:id="126"/>
            <w:r w:rsidR="00585CFB">
              <w:rPr>
                <w:rFonts w:ascii="Times New Roman" w:hAnsi="Times New Roman"/>
              </w:rPr>
              <w:t xml:space="preserve"> </w:t>
            </w:r>
          </w:p>
        </w:tc>
      </w:tr>
      <w:tr w:rsidR="0043271C" w:rsidRPr="00C91EA2" w14:paraId="4090E785" w14:textId="77777777" w:rsidTr="00DC6327">
        <w:tc>
          <w:tcPr>
            <w:tcW w:w="8630" w:type="dxa"/>
            <w:tcBorders>
              <w:top w:val="single" w:sz="4" w:space="0" w:color="auto"/>
              <w:left w:val="single" w:sz="4" w:space="0" w:color="auto"/>
              <w:bottom w:val="single" w:sz="4" w:space="0" w:color="auto"/>
              <w:right w:val="single" w:sz="4" w:space="0" w:color="auto"/>
            </w:tcBorders>
            <w:hideMark/>
          </w:tcPr>
          <w:p w14:paraId="0DFD1164" w14:textId="77777777" w:rsidR="0043271C" w:rsidRPr="00C91EA2" w:rsidRDefault="00DC6327">
            <w:pPr>
              <w:rPr>
                <w:rFonts w:ascii="Times New Roman" w:hAnsi="Times New Roman" w:cs="Times New Roman"/>
              </w:rPr>
            </w:pPr>
            <w:r>
              <w:rPr>
                <w:noProof/>
              </w:rPr>
              <w:drawing>
                <wp:inline distT="0" distB="0" distL="0" distR="0" wp14:anchorId="52CFC5F3" wp14:editId="07E9CCE1">
                  <wp:extent cx="5486400" cy="2776220"/>
                  <wp:effectExtent l="0" t="0" r="0" b="5080"/>
                  <wp:docPr id="128" name="Chart 128">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43271C" w:rsidRPr="00C91EA2" w14:paraId="42ED489F"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120EAA04" w14:textId="77777777" w:rsidR="0043271C" w:rsidRPr="00C91EA2" w:rsidRDefault="0043271C">
            <w:pPr>
              <w:rPr>
                <w:rFonts w:ascii="Times New Roman" w:hAnsi="Times New Roman" w:cs="Times New Roman"/>
                <w:sz w:val="20"/>
                <w:szCs w:val="24"/>
              </w:rPr>
            </w:pPr>
            <w:r w:rsidRPr="00C91EA2">
              <w:rPr>
                <w:rFonts w:ascii="Times New Roman" w:hAnsi="Times New Roman" w:cs="Times New Roman"/>
                <w:sz w:val="20"/>
                <w:szCs w:val="24"/>
              </w:rPr>
              <w:t xml:space="preserve">Source: </w:t>
            </w:r>
            <w:r w:rsidR="00A4434F">
              <w:rPr>
                <w:rFonts w:ascii="Times New Roman" w:hAnsi="Times New Roman" w:cs="Times New Roman"/>
                <w:sz w:val="20"/>
                <w:szCs w:val="24"/>
              </w:rPr>
              <w:t>OECD-WBG PMR (2017)</w:t>
            </w:r>
          </w:p>
          <w:p w14:paraId="579D26FB" w14:textId="77777777" w:rsidR="0043271C" w:rsidRPr="00C91EA2" w:rsidRDefault="0043271C">
            <w:pPr>
              <w:rPr>
                <w:rFonts w:ascii="Times New Roman" w:hAnsi="Times New Roman" w:cs="Times New Roman"/>
                <w:sz w:val="20"/>
                <w:szCs w:val="24"/>
              </w:rPr>
            </w:pPr>
            <w:r w:rsidRPr="00C91EA2">
              <w:rPr>
                <w:rFonts w:ascii="Times New Roman" w:hAnsi="Times New Roman" w:cs="Times New Roman"/>
                <w:sz w:val="20"/>
                <w:szCs w:val="24"/>
              </w:rPr>
              <w:t>Note: The top 5 performers are Slovenia, Spain, Latvia, Estonia, and the Netherlands</w:t>
            </w:r>
          </w:p>
        </w:tc>
      </w:tr>
    </w:tbl>
    <w:p w14:paraId="58C30756" w14:textId="77777777" w:rsidR="00711D1F" w:rsidRPr="00C91EA2" w:rsidRDefault="00711D1F" w:rsidP="0043271C">
      <w:pPr>
        <w:jc w:val="both"/>
        <w:rPr>
          <w:rFonts w:ascii="Times New Roman" w:hAnsi="Times New Roman" w:cs="Times New Roman"/>
          <w:b/>
        </w:rPr>
      </w:pPr>
    </w:p>
    <w:p w14:paraId="4CFD4E73" w14:textId="30B1400B" w:rsidR="003746EC" w:rsidRPr="00C91EA2" w:rsidRDefault="0043271C" w:rsidP="00C538DB">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While the liberalization of network industries has been critical </w:t>
      </w:r>
      <w:r w:rsidR="00CB7693">
        <w:rPr>
          <w:rFonts w:ascii="Times New Roman" w:hAnsi="Times New Roman" w:cs="Times New Roman"/>
          <w:b/>
        </w:rPr>
        <w:t>in improving</w:t>
      </w:r>
      <w:r w:rsidRPr="00C91EA2">
        <w:rPr>
          <w:rFonts w:ascii="Times New Roman" w:hAnsi="Times New Roman" w:cs="Times New Roman"/>
          <w:b/>
        </w:rPr>
        <w:t xml:space="preserve"> the overall competitive environment across countries, the </w:t>
      </w:r>
      <w:r w:rsidR="003B24ED">
        <w:rPr>
          <w:rFonts w:ascii="Times New Roman" w:hAnsi="Times New Roman" w:cs="Times New Roman"/>
          <w:b/>
        </w:rPr>
        <w:t>Government</w:t>
      </w:r>
      <w:r w:rsidRPr="00C91EA2">
        <w:rPr>
          <w:rFonts w:ascii="Times New Roman" w:hAnsi="Times New Roman" w:cs="Times New Roman"/>
          <w:b/>
        </w:rPr>
        <w:t xml:space="preserve"> of Senegal maintains a dominant role in network industries. </w:t>
      </w:r>
      <w:r w:rsidRPr="00C91EA2">
        <w:rPr>
          <w:rFonts w:ascii="Times New Roman" w:hAnsi="Times New Roman" w:cs="Times New Roman"/>
        </w:rPr>
        <w:t xml:space="preserve">In several network sectors – electricity, postal services, and railways – the state is the majority shareholder in the largest firm (see </w:t>
      </w:r>
      <w:r w:rsidRPr="00C91EA2">
        <w:rPr>
          <w:rFonts w:ascii="Times New Roman" w:hAnsi="Times New Roman" w:cs="Times New Roman"/>
        </w:rPr>
        <w:fldChar w:fldCharType="begin"/>
      </w:r>
      <w:r w:rsidRPr="00C91EA2">
        <w:rPr>
          <w:rFonts w:ascii="Times New Roman" w:hAnsi="Times New Roman" w:cs="Times New Roman"/>
        </w:rPr>
        <w:instrText xml:space="preserve"> REF _Ref496891491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4</w:t>
      </w:r>
      <w:r w:rsidRPr="00C91EA2">
        <w:rPr>
          <w:rFonts w:ascii="Times New Roman" w:hAnsi="Times New Roman" w:cs="Times New Roman"/>
        </w:rPr>
        <w:fldChar w:fldCharType="end"/>
      </w:r>
      <w:r w:rsidRPr="00C91EA2">
        <w:rPr>
          <w:rFonts w:ascii="Times New Roman" w:hAnsi="Times New Roman" w:cs="Times New Roman"/>
        </w:rPr>
        <w:t xml:space="preserve"> above). In fact, as </w:t>
      </w:r>
      <w:r w:rsidRPr="00C91EA2">
        <w:rPr>
          <w:rFonts w:ascii="Times New Roman" w:hAnsi="Times New Roman" w:cs="Times New Roman"/>
        </w:rPr>
        <w:fldChar w:fldCharType="begin"/>
      </w:r>
      <w:r w:rsidRPr="00C91EA2">
        <w:rPr>
          <w:rFonts w:ascii="Times New Roman" w:hAnsi="Times New Roman" w:cs="Times New Roman"/>
        </w:rPr>
        <w:instrText xml:space="preserve"> REF _Ref497121128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27</w:t>
      </w:r>
      <w:r w:rsidRPr="00C91EA2">
        <w:rPr>
          <w:rFonts w:ascii="Times New Roman" w:hAnsi="Times New Roman" w:cs="Times New Roman"/>
        </w:rPr>
        <w:fldChar w:fldCharType="end"/>
      </w:r>
      <w:r w:rsidRPr="00C91EA2">
        <w:rPr>
          <w:rFonts w:ascii="Times New Roman" w:hAnsi="Times New Roman" w:cs="Times New Roman"/>
        </w:rPr>
        <w:t xml:space="preserve"> shows, </w:t>
      </w:r>
      <w:r w:rsidR="00365CB3">
        <w:rPr>
          <w:rFonts w:ascii="Times New Roman" w:hAnsi="Times New Roman" w:cs="Times New Roman"/>
        </w:rPr>
        <w:t xml:space="preserve">only </w:t>
      </w:r>
      <w:r w:rsidR="00DC6327">
        <w:rPr>
          <w:rFonts w:ascii="Times New Roman" w:hAnsi="Times New Roman" w:cs="Times New Roman"/>
        </w:rPr>
        <w:t>Tunisia</w:t>
      </w:r>
      <w:r w:rsidR="002055C0">
        <w:rPr>
          <w:rFonts w:ascii="Times New Roman" w:hAnsi="Times New Roman" w:cs="Times New Roman"/>
        </w:rPr>
        <w:t xml:space="preserve">, </w:t>
      </w:r>
      <w:r w:rsidR="00DC6327">
        <w:rPr>
          <w:rFonts w:ascii="Times New Roman" w:hAnsi="Times New Roman" w:cs="Times New Roman"/>
        </w:rPr>
        <w:t xml:space="preserve">and </w:t>
      </w:r>
      <w:r w:rsidRPr="00C91EA2">
        <w:rPr>
          <w:rFonts w:ascii="Times New Roman" w:hAnsi="Times New Roman" w:cs="Times New Roman"/>
        </w:rPr>
        <w:t>Egypt</w:t>
      </w:r>
      <w:r w:rsidR="00A97CDB">
        <w:rPr>
          <w:rFonts w:ascii="Times New Roman" w:hAnsi="Times New Roman" w:cs="Times New Roman"/>
        </w:rPr>
        <w:t xml:space="preserve"> score</w:t>
      </w:r>
      <w:r w:rsidRPr="00C91EA2">
        <w:rPr>
          <w:rFonts w:ascii="Times New Roman" w:hAnsi="Times New Roman" w:cs="Times New Roman"/>
        </w:rPr>
        <w:t xml:space="preserve"> </w:t>
      </w:r>
      <w:r w:rsidR="00827DC6">
        <w:rPr>
          <w:rFonts w:ascii="Times New Roman" w:hAnsi="Times New Roman" w:cs="Times New Roman"/>
        </w:rPr>
        <w:t xml:space="preserve">worse </w:t>
      </w:r>
      <w:r w:rsidR="00827DC6" w:rsidRPr="00C91EA2">
        <w:rPr>
          <w:rFonts w:ascii="Times New Roman" w:hAnsi="Times New Roman" w:cs="Times New Roman"/>
        </w:rPr>
        <w:t>than</w:t>
      </w:r>
      <w:r w:rsidRPr="00C91EA2">
        <w:rPr>
          <w:rFonts w:ascii="Times New Roman" w:hAnsi="Times New Roman" w:cs="Times New Roman"/>
        </w:rPr>
        <w:t xml:space="preserve"> Senegal on the PMR indicator of </w:t>
      </w:r>
      <w:r w:rsidR="003B24ED">
        <w:rPr>
          <w:rFonts w:ascii="Times New Roman" w:hAnsi="Times New Roman" w:cs="Times New Roman"/>
        </w:rPr>
        <w:t>Government</w:t>
      </w:r>
      <w:r w:rsidR="0045583C">
        <w:rPr>
          <w:rFonts w:ascii="Times New Roman" w:hAnsi="Times New Roman" w:cs="Times New Roman"/>
        </w:rPr>
        <w:t xml:space="preserve"> </w:t>
      </w:r>
      <w:r w:rsidRPr="00C91EA2">
        <w:rPr>
          <w:rFonts w:ascii="Times New Roman" w:hAnsi="Times New Roman" w:cs="Times New Roman"/>
        </w:rPr>
        <w:t>involvement in network industries</w:t>
      </w:r>
      <w:r w:rsidR="005F12C1">
        <w:rPr>
          <w:rFonts w:ascii="Times New Roman" w:hAnsi="Times New Roman" w:cs="Times New Roman"/>
        </w:rPr>
        <w:t xml:space="preserve"> (see also </w:t>
      </w:r>
      <w:r w:rsidR="005F12C1">
        <w:rPr>
          <w:rFonts w:ascii="Times New Roman" w:hAnsi="Times New Roman" w:cs="Times New Roman"/>
        </w:rPr>
        <w:fldChar w:fldCharType="begin"/>
      </w:r>
      <w:r w:rsidR="005F12C1">
        <w:rPr>
          <w:rFonts w:ascii="Times New Roman" w:hAnsi="Times New Roman" w:cs="Times New Roman"/>
        </w:rPr>
        <w:instrText xml:space="preserve"> REF _Ref520388969 \h </w:instrText>
      </w:r>
      <w:r w:rsidR="005F12C1">
        <w:rPr>
          <w:rFonts w:ascii="Times New Roman" w:hAnsi="Times New Roman" w:cs="Times New Roman"/>
        </w:rPr>
      </w:r>
      <w:r w:rsidR="005F12C1">
        <w:rPr>
          <w:rFonts w:ascii="Times New Roman" w:hAnsi="Times New Roman" w:cs="Times New Roman"/>
        </w:rPr>
        <w:fldChar w:fldCharType="separate"/>
      </w:r>
      <w:r w:rsidR="008261B2" w:rsidRPr="008841FB">
        <w:rPr>
          <w:rFonts w:ascii="Times New Roman" w:hAnsi="Times New Roman"/>
        </w:rPr>
        <w:t xml:space="preserve">Figure </w:t>
      </w:r>
      <w:r w:rsidR="008261B2">
        <w:rPr>
          <w:rFonts w:ascii="Times New Roman" w:hAnsi="Times New Roman"/>
          <w:noProof/>
        </w:rPr>
        <w:t>28</w:t>
      </w:r>
      <w:r w:rsidR="005F12C1">
        <w:rPr>
          <w:rFonts w:ascii="Times New Roman" w:hAnsi="Times New Roman" w:cs="Times New Roman"/>
        </w:rPr>
        <w:fldChar w:fldCharType="end"/>
      </w:r>
      <w:r w:rsidR="005F12C1">
        <w:rPr>
          <w:rFonts w:ascii="Times New Roman" w:hAnsi="Times New Roman" w:cs="Times New Roman"/>
        </w:rPr>
        <w:t xml:space="preserve"> for regulatory restrictiveness in network sectors)</w:t>
      </w:r>
      <w:r w:rsidRPr="00C91EA2">
        <w:rPr>
          <w:rFonts w:ascii="Times New Roman" w:hAnsi="Times New Roman" w:cs="Times New Roman"/>
        </w:rPr>
        <w:t xml:space="preserve">. </w:t>
      </w:r>
      <w:r w:rsidR="003746EC" w:rsidRPr="00170016">
        <w:rPr>
          <w:rFonts w:ascii="Times New Roman" w:hAnsi="Times New Roman" w:cs="Times New Roman"/>
        </w:rPr>
        <w:t xml:space="preserve">The </w:t>
      </w:r>
      <w:r w:rsidR="003746EC" w:rsidRPr="00C538DB">
        <w:rPr>
          <w:rFonts w:ascii="Times New Roman" w:hAnsi="Times New Roman" w:cs="Times New Roman"/>
        </w:rPr>
        <w:t xml:space="preserve">PMR indicators </w:t>
      </w:r>
      <w:r w:rsidR="00167B7A">
        <w:rPr>
          <w:rFonts w:ascii="Times New Roman" w:hAnsi="Times New Roman" w:cs="Times New Roman"/>
        </w:rPr>
        <w:t>for network industries reflect</w:t>
      </w:r>
      <w:r w:rsidR="003746EC" w:rsidRPr="00C538DB">
        <w:rPr>
          <w:rFonts w:ascii="Times New Roman" w:hAnsi="Times New Roman" w:cs="Times New Roman"/>
        </w:rPr>
        <w:t>: (i) entry regulation, (ii) public ownership, (iii) vertical integration and (iv) market structure.</w:t>
      </w:r>
      <w:r w:rsidR="003746EC" w:rsidRPr="00170016">
        <w:rPr>
          <w:rFonts w:ascii="Times New Roman" w:hAnsi="Times New Roman" w:cs="Times New Roman"/>
        </w:rPr>
        <w:t xml:space="preserve"> In</w:t>
      </w:r>
      <w:r w:rsidR="003746EC" w:rsidRPr="00167B7A">
        <w:rPr>
          <w:rFonts w:ascii="Times New Roman" w:hAnsi="Times New Roman" w:cs="Times New Roman"/>
        </w:rPr>
        <w:t xml:space="preserve"> the electricity sector, </w:t>
      </w:r>
      <w:r w:rsidR="00167B7A">
        <w:rPr>
          <w:rFonts w:ascii="Times New Roman" w:hAnsi="Times New Roman" w:cs="Times New Roman"/>
        </w:rPr>
        <w:t xml:space="preserve">for example, the PMR score is 6. </w:t>
      </w:r>
      <w:r w:rsidR="003746EC" w:rsidRPr="00167B7A">
        <w:rPr>
          <w:rFonts w:ascii="Times New Roman" w:hAnsi="Times New Roman" w:cs="Times New Roman"/>
        </w:rPr>
        <w:t>SENELEC holds a monopoly on the transmission and distribution of electricity instituted by the law 98-29 of 14 April 1998</w:t>
      </w:r>
      <w:r w:rsidR="003746EC" w:rsidRPr="00170016">
        <w:rPr>
          <w:rFonts w:ascii="Times New Roman" w:hAnsi="Times New Roman" w:cs="Times New Roman"/>
        </w:rPr>
        <w:t xml:space="preserve"> and</w:t>
      </w:r>
      <w:r w:rsidR="003746EC" w:rsidRPr="00167B7A">
        <w:rPr>
          <w:rFonts w:ascii="Times New Roman" w:hAnsi="Times New Roman" w:cs="Times New Roman"/>
        </w:rPr>
        <w:t xml:space="preserve"> maintains around 50 percent market share in electricity generation. Based on the PMR, there is virtually no vertical separation in the electricity market although separation </w:t>
      </w:r>
      <w:r w:rsidR="003746EC" w:rsidRPr="00167B7A">
        <w:rPr>
          <w:rFonts w:ascii="Times New Roman" w:eastAsia="Times New Roman" w:hAnsi="Times New Roman" w:cs="Times New Roman"/>
        </w:rPr>
        <w:t xml:space="preserve">may facilitate the arrival of new competitors to the market or certain market segments that do not have natural monopoly characteristics. </w:t>
      </w:r>
      <w:r w:rsidR="003746EC" w:rsidRPr="00167B7A">
        <w:rPr>
          <w:rFonts w:ascii="Times New Roman" w:hAnsi="Times New Roman" w:cs="Times New Roman"/>
        </w:rPr>
        <w:t>Furthermore, there is not yet regulation that ensures third party access to the electricity grid.</w:t>
      </w:r>
    </w:p>
    <w:p w14:paraId="2CB7744F" w14:textId="77777777" w:rsidR="0043271C" w:rsidRPr="00C91EA2" w:rsidRDefault="0043271C" w:rsidP="00C538DB">
      <w:pPr>
        <w:pStyle w:val="ListParagraph"/>
        <w:ind w:left="0"/>
        <w:jc w:val="both"/>
        <w:rPr>
          <w:rFonts w:ascii="Times New Roman" w:hAnsi="Times New Roman" w:cs="Times New Roman"/>
        </w:rPr>
      </w:pPr>
    </w:p>
    <w:p w14:paraId="14F5CF12"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1BA41D36"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3515AD3F" w14:textId="0606F8F1" w:rsidR="0043271C" w:rsidRPr="00C91EA2" w:rsidRDefault="0043271C">
            <w:pPr>
              <w:pStyle w:val="Caption"/>
              <w:keepNext/>
              <w:jc w:val="both"/>
              <w:rPr>
                <w:rFonts w:ascii="Times New Roman" w:hAnsi="Times New Roman"/>
              </w:rPr>
            </w:pPr>
            <w:bookmarkStart w:id="127" w:name="_Ref497121128"/>
            <w:bookmarkStart w:id="128" w:name="_Toc497990874"/>
            <w:bookmarkStart w:id="129" w:name="_Toc520725583"/>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27</w:t>
            </w:r>
            <w:r w:rsidR="00D91B27">
              <w:rPr>
                <w:rFonts w:ascii="Times New Roman" w:hAnsi="Times New Roman"/>
              </w:rPr>
              <w:fldChar w:fldCharType="end"/>
            </w:r>
            <w:bookmarkEnd w:id="127"/>
            <w:r w:rsidRPr="00C91EA2">
              <w:rPr>
                <w:rFonts w:ascii="Times New Roman" w:hAnsi="Times New Roman"/>
              </w:rPr>
              <w:t xml:space="preserve">: </w:t>
            </w:r>
            <w:r w:rsidR="003B24ED">
              <w:rPr>
                <w:rFonts w:ascii="Times New Roman" w:hAnsi="Times New Roman"/>
              </w:rPr>
              <w:t>Government</w:t>
            </w:r>
            <w:r w:rsidRPr="00C91EA2">
              <w:rPr>
                <w:rFonts w:ascii="Times New Roman" w:hAnsi="Times New Roman"/>
              </w:rPr>
              <w:t xml:space="preserve"> Involvement in Network Industries </w:t>
            </w:r>
            <w:bookmarkEnd w:id="128"/>
            <w:r w:rsidR="004177A9">
              <w:rPr>
                <w:rFonts w:ascii="Times New Roman" w:hAnsi="Times New Roman"/>
              </w:rPr>
              <w:t>in Senegal and Comparator Countries</w:t>
            </w:r>
            <w:bookmarkEnd w:id="129"/>
          </w:p>
        </w:tc>
      </w:tr>
      <w:tr w:rsidR="0043271C" w:rsidRPr="00C91EA2" w14:paraId="07ECEF6E" w14:textId="77777777" w:rsidTr="00DC6327">
        <w:tc>
          <w:tcPr>
            <w:tcW w:w="8630" w:type="dxa"/>
            <w:tcBorders>
              <w:top w:val="single" w:sz="4" w:space="0" w:color="auto"/>
              <w:left w:val="single" w:sz="4" w:space="0" w:color="auto"/>
              <w:bottom w:val="single" w:sz="4" w:space="0" w:color="auto"/>
              <w:right w:val="single" w:sz="4" w:space="0" w:color="auto"/>
            </w:tcBorders>
            <w:hideMark/>
          </w:tcPr>
          <w:p w14:paraId="0201537F" w14:textId="77777777" w:rsidR="0043271C" w:rsidRPr="00C91EA2" w:rsidRDefault="00DC6327">
            <w:pPr>
              <w:jc w:val="both"/>
              <w:rPr>
                <w:rFonts w:ascii="Times New Roman" w:hAnsi="Times New Roman" w:cs="Times New Roman"/>
              </w:rPr>
            </w:pPr>
            <w:r>
              <w:rPr>
                <w:noProof/>
              </w:rPr>
              <w:drawing>
                <wp:inline distT="0" distB="0" distL="0" distR="0" wp14:anchorId="2F657FCC" wp14:editId="63E48774">
                  <wp:extent cx="5486400" cy="3365500"/>
                  <wp:effectExtent l="0" t="0" r="0" b="0"/>
                  <wp:docPr id="129" name="Chart 129">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3271C" w:rsidRPr="00C91EA2" w14:paraId="69AAFFA9"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27A9FC99" w14:textId="77777777" w:rsidR="0043271C" w:rsidRPr="00C91EA2" w:rsidRDefault="0043271C">
            <w:pPr>
              <w:jc w:val="both"/>
              <w:rPr>
                <w:rFonts w:ascii="Times New Roman" w:hAnsi="Times New Roman" w:cs="Times New Roman"/>
                <w:sz w:val="20"/>
                <w:szCs w:val="24"/>
              </w:rPr>
            </w:pPr>
            <w:r w:rsidRPr="00C91EA2">
              <w:rPr>
                <w:rFonts w:ascii="Times New Roman" w:hAnsi="Times New Roman" w:cs="Times New Roman"/>
                <w:sz w:val="20"/>
                <w:szCs w:val="24"/>
              </w:rPr>
              <w:t xml:space="preserve">Source: </w:t>
            </w:r>
            <w:r w:rsidR="00A4434F">
              <w:rPr>
                <w:rFonts w:ascii="Times New Roman" w:hAnsi="Times New Roman" w:cs="Times New Roman"/>
                <w:sz w:val="20"/>
                <w:szCs w:val="24"/>
              </w:rPr>
              <w:t>OECD-WBG PMR (2017)</w:t>
            </w:r>
          </w:p>
          <w:p w14:paraId="3F4C3571" w14:textId="77777777" w:rsidR="0043271C" w:rsidRPr="00C91EA2" w:rsidRDefault="0043271C">
            <w:pPr>
              <w:jc w:val="both"/>
              <w:rPr>
                <w:rFonts w:ascii="Times New Roman" w:hAnsi="Times New Roman" w:cs="Times New Roman"/>
                <w:sz w:val="24"/>
                <w:szCs w:val="24"/>
              </w:rPr>
            </w:pPr>
            <w:r w:rsidRPr="00C91EA2">
              <w:rPr>
                <w:rFonts w:ascii="Times New Roman" w:hAnsi="Times New Roman" w:cs="Times New Roman"/>
                <w:sz w:val="20"/>
                <w:szCs w:val="24"/>
              </w:rPr>
              <w:t>Note: The top 5 performers are Peru, the United States, the United Kingdom, Colombia and Germany</w:t>
            </w:r>
          </w:p>
        </w:tc>
      </w:tr>
    </w:tbl>
    <w:p w14:paraId="601EE330" w14:textId="77777777" w:rsidR="0043271C"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9F6729" w:rsidRPr="00C91EA2" w14:paraId="121CFE53" w14:textId="77777777" w:rsidTr="009F6729">
        <w:tc>
          <w:tcPr>
            <w:tcW w:w="8630" w:type="dxa"/>
            <w:tcBorders>
              <w:top w:val="single" w:sz="4" w:space="0" w:color="auto"/>
              <w:left w:val="single" w:sz="4" w:space="0" w:color="auto"/>
              <w:bottom w:val="single" w:sz="4" w:space="0" w:color="auto"/>
              <w:right w:val="single" w:sz="4" w:space="0" w:color="auto"/>
            </w:tcBorders>
            <w:hideMark/>
          </w:tcPr>
          <w:p w14:paraId="1BFE9EC0" w14:textId="0F03BA35" w:rsidR="009F6729" w:rsidRPr="00C91EA2" w:rsidRDefault="009F6729">
            <w:pPr>
              <w:pStyle w:val="Caption"/>
              <w:keepNext/>
              <w:rPr>
                <w:rFonts w:ascii="Times New Roman" w:hAnsi="Times New Roman"/>
              </w:rPr>
            </w:pPr>
            <w:bookmarkStart w:id="130" w:name="_Ref497121875"/>
            <w:bookmarkStart w:id="131" w:name="_Ref520388969"/>
            <w:bookmarkStart w:id="132" w:name="_Toc497990875"/>
            <w:bookmarkStart w:id="133" w:name="_Toc520725584"/>
            <w:r w:rsidRPr="008841FB">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28</w:t>
            </w:r>
            <w:r w:rsidR="00D91B27">
              <w:rPr>
                <w:rFonts w:ascii="Times New Roman" w:hAnsi="Times New Roman"/>
              </w:rPr>
              <w:fldChar w:fldCharType="end"/>
            </w:r>
            <w:bookmarkEnd w:id="130"/>
            <w:bookmarkEnd w:id="131"/>
            <w:r w:rsidRPr="008841FB">
              <w:rPr>
                <w:rFonts w:ascii="Times New Roman" w:hAnsi="Times New Roman"/>
              </w:rPr>
              <w:t xml:space="preserve">: Regulations in Network Sectors </w:t>
            </w:r>
            <w:bookmarkEnd w:id="132"/>
            <w:r w:rsidR="00915EAA" w:rsidRPr="008841FB">
              <w:rPr>
                <w:rFonts w:ascii="Times New Roman" w:hAnsi="Times New Roman"/>
              </w:rPr>
              <w:t>in Senegal and Comparator Countries</w:t>
            </w:r>
            <w:bookmarkEnd w:id="133"/>
            <w:r w:rsidR="00915EAA">
              <w:rPr>
                <w:rFonts w:ascii="Times New Roman" w:hAnsi="Times New Roman"/>
              </w:rPr>
              <w:t xml:space="preserve"> </w:t>
            </w:r>
          </w:p>
        </w:tc>
      </w:tr>
      <w:tr w:rsidR="009F6729" w:rsidRPr="00C91EA2" w14:paraId="51B94C0A" w14:textId="77777777" w:rsidTr="008841FB">
        <w:tc>
          <w:tcPr>
            <w:tcW w:w="8630" w:type="dxa"/>
            <w:tcBorders>
              <w:top w:val="single" w:sz="4" w:space="0" w:color="auto"/>
              <w:left w:val="single" w:sz="4" w:space="0" w:color="auto"/>
              <w:bottom w:val="single" w:sz="4" w:space="0" w:color="auto"/>
              <w:right w:val="single" w:sz="4" w:space="0" w:color="auto"/>
            </w:tcBorders>
            <w:hideMark/>
          </w:tcPr>
          <w:p w14:paraId="7D557012" w14:textId="77777777" w:rsidR="009F6729" w:rsidRPr="00C91EA2" w:rsidRDefault="008841FB">
            <w:pPr>
              <w:rPr>
                <w:rFonts w:ascii="Times New Roman" w:hAnsi="Times New Roman" w:cs="Times New Roman"/>
                <w:noProof/>
              </w:rPr>
            </w:pPr>
            <w:r>
              <w:rPr>
                <w:noProof/>
              </w:rPr>
              <w:drawing>
                <wp:inline distT="0" distB="0" distL="0" distR="0" wp14:anchorId="512D5EE2" wp14:editId="549DD399">
                  <wp:extent cx="5486400" cy="3545205"/>
                  <wp:effectExtent l="0" t="0" r="0" b="0"/>
                  <wp:docPr id="146" name="Chart 14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43271C" w:rsidRPr="00C91EA2" w14:paraId="2737ABE0"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4CA6EBE1" w14:textId="77777777" w:rsidR="0043271C" w:rsidRPr="00C91EA2" w:rsidRDefault="0043271C">
            <w:pPr>
              <w:rPr>
                <w:rFonts w:ascii="Times New Roman" w:hAnsi="Times New Roman" w:cs="Times New Roman"/>
                <w:noProof/>
                <w:sz w:val="20"/>
                <w:lang w:val="en-GB" w:eastAsia="en-GB"/>
              </w:rPr>
            </w:pPr>
            <w:r w:rsidRPr="00C91EA2">
              <w:rPr>
                <w:rFonts w:ascii="Times New Roman" w:hAnsi="Times New Roman" w:cs="Times New Roman"/>
                <w:noProof/>
                <w:sz w:val="20"/>
                <w:lang w:val="en-GB" w:eastAsia="en-GB"/>
              </w:rPr>
              <w:t xml:space="preserve">Source: </w:t>
            </w:r>
            <w:r w:rsidR="00A4434F">
              <w:rPr>
                <w:rFonts w:ascii="Times New Roman" w:hAnsi="Times New Roman" w:cs="Times New Roman"/>
                <w:noProof/>
                <w:sz w:val="20"/>
                <w:lang w:val="en-GB" w:eastAsia="en-GB"/>
              </w:rPr>
              <w:t>OECD-WBG PMR (2017)</w:t>
            </w:r>
          </w:p>
          <w:p w14:paraId="3AB4052F" w14:textId="5E4C2BA3" w:rsidR="0043271C" w:rsidRPr="00C91EA2" w:rsidRDefault="0043271C">
            <w:pPr>
              <w:rPr>
                <w:rFonts w:ascii="Times New Roman" w:hAnsi="Times New Roman" w:cs="Times New Roman"/>
                <w:sz w:val="24"/>
                <w:szCs w:val="24"/>
              </w:rPr>
            </w:pPr>
            <w:r w:rsidRPr="00C91EA2">
              <w:rPr>
                <w:rFonts w:ascii="Times New Roman" w:hAnsi="Times New Roman" w:cs="Times New Roman"/>
                <w:noProof/>
                <w:sz w:val="20"/>
                <w:lang w:val="en-GB" w:eastAsia="en-GB"/>
              </w:rPr>
              <w:t xml:space="preserve">Note: The top 5 performers in </w:t>
            </w:r>
            <w:r w:rsidRPr="00C91EA2">
              <w:rPr>
                <w:rFonts w:ascii="Times New Roman" w:hAnsi="Times New Roman" w:cs="Times New Roman"/>
                <w:noProof/>
                <w:sz w:val="20"/>
                <w:lang w:val="en-GB" w:eastAsia="en-GB"/>
              </w:rPr>
              <w:fldChar w:fldCharType="begin"/>
            </w:r>
            <w:r w:rsidRPr="00C91EA2">
              <w:rPr>
                <w:rFonts w:ascii="Times New Roman" w:hAnsi="Times New Roman" w:cs="Times New Roman"/>
                <w:noProof/>
                <w:sz w:val="20"/>
                <w:lang w:val="en-GB" w:eastAsia="en-GB"/>
              </w:rPr>
              <w:instrText xml:space="preserve"> REF _Ref497121875 \h  \* MERGEFORMAT </w:instrText>
            </w:r>
            <w:r w:rsidRPr="00C91EA2">
              <w:rPr>
                <w:rFonts w:ascii="Times New Roman" w:hAnsi="Times New Roman" w:cs="Times New Roman"/>
                <w:noProof/>
                <w:sz w:val="20"/>
                <w:lang w:val="en-GB" w:eastAsia="en-GB"/>
              </w:rPr>
            </w:r>
            <w:r w:rsidRPr="00C91EA2">
              <w:rPr>
                <w:rFonts w:ascii="Times New Roman" w:hAnsi="Times New Roman" w:cs="Times New Roman"/>
                <w:noProof/>
                <w:sz w:val="20"/>
                <w:lang w:val="en-GB" w:eastAsia="en-GB"/>
              </w:rPr>
              <w:fldChar w:fldCharType="separate"/>
            </w:r>
            <w:r w:rsidR="008261B2" w:rsidRPr="008261B2">
              <w:rPr>
                <w:rFonts w:ascii="Times New Roman" w:hAnsi="Times New Roman" w:cs="Times New Roman"/>
                <w:sz w:val="20"/>
              </w:rPr>
              <w:t xml:space="preserve">Figure </w:t>
            </w:r>
            <w:r w:rsidR="008261B2" w:rsidRPr="008261B2">
              <w:rPr>
                <w:rFonts w:ascii="Times New Roman" w:hAnsi="Times New Roman" w:cs="Times New Roman"/>
                <w:noProof/>
                <w:sz w:val="20"/>
              </w:rPr>
              <w:t>28</w:t>
            </w:r>
            <w:r w:rsidRPr="00C91EA2">
              <w:rPr>
                <w:rFonts w:ascii="Times New Roman" w:hAnsi="Times New Roman" w:cs="Times New Roman"/>
                <w:noProof/>
                <w:sz w:val="20"/>
                <w:lang w:val="en-GB" w:eastAsia="en-GB"/>
              </w:rPr>
              <w:fldChar w:fldCharType="end"/>
            </w:r>
            <w:r w:rsidRPr="00C91EA2">
              <w:rPr>
                <w:rFonts w:ascii="Times New Roman" w:hAnsi="Times New Roman" w:cs="Times New Roman"/>
                <w:noProof/>
                <w:sz w:val="20"/>
                <w:lang w:val="en-GB" w:eastAsia="en-GB"/>
              </w:rPr>
              <w:t xml:space="preserve"> are the United Kingdom, Germany, Peru, the United States, and Australia</w:t>
            </w:r>
            <w:r w:rsidR="003746EC">
              <w:rPr>
                <w:rFonts w:ascii="Times New Roman" w:hAnsi="Times New Roman" w:cs="Times New Roman"/>
                <w:noProof/>
                <w:sz w:val="20"/>
                <w:lang w:val="en-GB" w:eastAsia="en-GB"/>
              </w:rPr>
              <w:t>.</w:t>
            </w:r>
          </w:p>
        </w:tc>
      </w:tr>
    </w:tbl>
    <w:p w14:paraId="1DC97503" w14:textId="77777777" w:rsidR="0043271C" w:rsidRDefault="0043271C" w:rsidP="0043271C">
      <w:pPr>
        <w:jc w:val="center"/>
        <w:rPr>
          <w:rFonts w:ascii="Times New Roman" w:hAnsi="Times New Roman" w:cs="Times New Roman"/>
        </w:rPr>
      </w:pPr>
    </w:p>
    <w:p w14:paraId="549AB640" w14:textId="77777777" w:rsidR="00711D1F" w:rsidRPr="00C91EA2" w:rsidRDefault="00711D1F" w:rsidP="0043271C">
      <w:pPr>
        <w:jc w:val="center"/>
        <w:rPr>
          <w:rFonts w:ascii="Times New Roman" w:hAnsi="Times New Roman" w:cs="Times New Roman"/>
        </w:rPr>
      </w:pPr>
    </w:p>
    <w:p w14:paraId="4E4E9E00" w14:textId="203398EB"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In addition to direct </w:t>
      </w:r>
      <w:r w:rsidR="003B24ED">
        <w:rPr>
          <w:rFonts w:ascii="Times New Roman" w:hAnsi="Times New Roman" w:cs="Times New Roman"/>
          <w:b/>
        </w:rPr>
        <w:t>Government</w:t>
      </w:r>
      <w:r w:rsidRPr="00C91EA2">
        <w:rPr>
          <w:rFonts w:ascii="Times New Roman" w:hAnsi="Times New Roman" w:cs="Times New Roman"/>
          <w:b/>
        </w:rPr>
        <w:t xml:space="preserve"> participation, the Senegalese </w:t>
      </w:r>
      <w:r w:rsidR="003B24ED">
        <w:rPr>
          <w:rFonts w:ascii="Times New Roman" w:hAnsi="Times New Roman" w:cs="Times New Roman"/>
          <w:b/>
        </w:rPr>
        <w:t>Government</w:t>
      </w:r>
      <w:r w:rsidRPr="00C91EA2">
        <w:rPr>
          <w:rFonts w:ascii="Times New Roman" w:hAnsi="Times New Roman" w:cs="Times New Roman"/>
          <w:b/>
        </w:rPr>
        <w:t xml:space="preserve"> indirectly participates in the market through price controls and </w:t>
      </w:r>
      <w:r w:rsidR="00265878">
        <w:rPr>
          <w:rFonts w:ascii="Times New Roman" w:hAnsi="Times New Roman" w:cs="Times New Roman"/>
          <w:b/>
        </w:rPr>
        <w:t>coercive rather than incentive-based</w:t>
      </w:r>
      <w:r w:rsidRPr="00C91EA2">
        <w:rPr>
          <w:rFonts w:ascii="Times New Roman" w:hAnsi="Times New Roman" w:cs="Times New Roman"/>
          <w:b/>
        </w:rPr>
        <w:t xml:space="preserve"> regulations. </w:t>
      </w:r>
      <w:r w:rsidRPr="00C91EA2">
        <w:rPr>
          <w:rFonts w:ascii="Times New Roman" w:hAnsi="Times New Roman" w:cs="Times New Roman"/>
        </w:rPr>
        <w:t xml:space="preserve">Regarding the </w:t>
      </w:r>
      <w:r w:rsidR="003B24ED">
        <w:rPr>
          <w:rFonts w:ascii="Times New Roman" w:hAnsi="Times New Roman" w:cs="Times New Roman"/>
        </w:rPr>
        <w:t>Government</w:t>
      </w:r>
      <w:r w:rsidRPr="00C91EA2">
        <w:rPr>
          <w:rFonts w:ascii="Times New Roman" w:hAnsi="Times New Roman" w:cs="Times New Roman"/>
        </w:rPr>
        <w:t xml:space="preserve">’s involvement in business operations, Senegal scores </w:t>
      </w:r>
      <w:r w:rsidR="00A97CDB">
        <w:rPr>
          <w:rFonts w:ascii="Times New Roman" w:hAnsi="Times New Roman" w:cs="Times New Roman"/>
        </w:rPr>
        <w:t xml:space="preserve">around the median of its </w:t>
      </w:r>
      <w:r w:rsidRPr="00C91EA2">
        <w:rPr>
          <w:rFonts w:ascii="Times New Roman" w:hAnsi="Times New Roman" w:cs="Times New Roman"/>
        </w:rPr>
        <w:t>comparator countries (</w:t>
      </w:r>
      <w:r w:rsidRPr="00C91EA2">
        <w:rPr>
          <w:rFonts w:ascii="Times New Roman" w:hAnsi="Times New Roman" w:cs="Times New Roman"/>
        </w:rPr>
        <w:fldChar w:fldCharType="begin"/>
      </w:r>
      <w:r w:rsidRPr="00C91EA2">
        <w:rPr>
          <w:rFonts w:ascii="Times New Roman" w:hAnsi="Times New Roman" w:cs="Times New Roman"/>
        </w:rPr>
        <w:instrText xml:space="preserve"> REF _Ref497122778 \h </w:instrText>
      </w:r>
      <w:r w:rsidR="00C91EA2">
        <w:rPr>
          <w:rFonts w:ascii="Times New Roman" w:hAnsi="Times New Roman" w:cs="Times New Roman"/>
        </w:rPr>
        <w:instrText xml:space="preserve">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29</w:t>
      </w:r>
      <w:r w:rsidRPr="00C91EA2">
        <w:rPr>
          <w:rFonts w:ascii="Times New Roman" w:hAnsi="Times New Roman" w:cs="Times New Roman"/>
        </w:rPr>
        <w:fldChar w:fldCharType="end"/>
      </w:r>
      <w:r w:rsidRPr="00C91EA2">
        <w:rPr>
          <w:rFonts w:ascii="Times New Roman" w:hAnsi="Times New Roman" w:cs="Times New Roman"/>
        </w:rPr>
        <w:t>).</w:t>
      </w:r>
      <w:r w:rsidRPr="00C91EA2">
        <w:rPr>
          <w:rFonts w:ascii="Times New Roman" w:hAnsi="Times New Roman" w:cs="Times New Roman"/>
          <w:b/>
        </w:rPr>
        <w:t xml:space="preserve"> </w:t>
      </w:r>
      <w:r w:rsidR="00F25877">
        <w:rPr>
          <w:rFonts w:ascii="Times New Roman" w:hAnsi="Times New Roman" w:cs="Times New Roman"/>
        </w:rPr>
        <w:t>For t</w:t>
      </w:r>
      <w:r w:rsidR="00F25877" w:rsidRPr="00C91EA2">
        <w:rPr>
          <w:rFonts w:ascii="Times New Roman" w:hAnsi="Times New Roman" w:cs="Times New Roman"/>
        </w:rPr>
        <w:t xml:space="preserve">he </w:t>
      </w:r>
      <w:r w:rsidRPr="00C91EA2">
        <w:rPr>
          <w:rFonts w:ascii="Times New Roman" w:hAnsi="Times New Roman" w:cs="Times New Roman"/>
        </w:rPr>
        <w:t>country’s score of 2.4</w:t>
      </w:r>
      <w:r w:rsidR="00F25877">
        <w:rPr>
          <w:rFonts w:ascii="Times New Roman" w:hAnsi="Times New Roman" w:cs="Times New Roman"/>
        </w:rPr>
        <w:t>,</w:t>
      </w:r>
      <w:r w:rsidRPr="00C91EA2">
        <w:rPr>
          <w:rFonts w:ascii="Times New Roman" w:hAnsi="Times New Roman" w:cs="Times New Roman"/>
        </w:rPr>
        <w:t xml:space="preserve"> </w:t>
      </w:r>
      <w:r w:rsidR="00785BB6">
        <w:rPr>
          <w:rFonts w:ascii="Times New Roman" w:hAnsi="Times New Roman" w:cs="Times New Roman"/>
        </w:rPr>
        <w:t xml:space="preserve">the indicator for </w:t>
      </w:r>
      <w:r w:rsidRPr="00C91EA2">
        <w:rPr>
          <w:rFonts w:ascii="Times New Roman" w:hAnsi="Times New Roman" w:cs="Times New Roman"/>
        </w:rPr>
        <w:t xml:space="preserve">price controls </w:t>
      </w:r>
      <w:r w:rsidR="00F25877">
        <w:rPr>
          <w:rFonts w:ascii="Times New Roman" w:hAnsi="Times New Roman" w:cs="Times New Roman"/>
        </w:rPr>
        <w:t>account</w:t>
      </w:r>
      <w:r w:rsidR="00785BB6">
        <w:rPr>
          <w:rFonts w:ascii="Times New Roman" w:hAnsi="Times New Roman" w:cs="Times New Roman"/>
        </w:rPr>
        <w:t>s</w:t>
      </w:r>
      <w:r w:rsidR="00F25877">
        <w:rPr>
          <w:rFonts w:ascii="Times New Roman" w:hAnsi="Times New Roman" w:cs="Times New Roman"/>
        </w:rPr>
        <w:t xml:space="preserve"> for 57 percent </w:t>
      </w:r>
      <w:r w:rsidRPr="00C91EA2">
        <w:rPr>
          <w:rFonts w:ascii="Times New Roman" w:hAnsi="Times New Roman" w:cs="Times New Roman"/>
        </w:rPr>
        <w:t xml:space="preserve">and </w:t>
      </w:r>
      <w:r w:rsidR="00F25877">
        <w:rPr>
          <w:rFonts w:ascii="Times New Roman" w:hAnsi="Times New Roman" w:cs="Times New Roman"/>
        </w:rPr>
        <w:t xml:space="preserve">the remaining </w:t>
      </w:r>
      <w:r w:rsidRPr="00C91EA2">
        <w:rPr>
          <w:rFonts w:ascii="Times New Roman" w:hAnsi="Times New Roman" w:cs="Times New Roman"/>
        </w:rPr>
        <w:t xml:space="preserve">43 percent </w:t>
      </w:r>
      <w:r w:rsidR="00F25877">
        <w:rPr>
          <w:rFonts w:ascii="Times New Roman" w:hAnsi="Times New Roman" w:cs="Times New Roman"/>
        </w:rPr>
        <w:t xml:space="preserve">is accounted for </w:t>
      </w:r>
      <w:r w:rsidRPr="00C91EA2">
        <w:rPr>
          <w:rFonts w:ascii="Times New Roman" w:hAnsi="Times New Roman" w:cs="Times New Roman"/>
        </w:rPr>
        <w:t xml:space="preserve">by </w:t>
      </w:r>
      <w:r w:rsidR="00785BB6">
        <w:rPr>
          <w:rFonts w:ascii="Times New Roman" w:hAnsi="Times New Roman" w:cs="Times New Roman"/>
        </w:rPr>
        <w:t xml:space="preserve">the indicator for </w:t>
      </w:r>
      <w:r w:rsidRPr="00C91EA2">
        <w:rPr>
          <w:rFonts w:ascii="Times New Roman" w:hAnsi="Times New Roman" w:cs="Times New Roman"/>
        </w:rPr>
        <w:t xml:space="preserve">command and control regulations, which measures the extent to which the </w:t>
      </w:r>
      <w:r w:rsidR="003B24ED">
        <w:rPr>
          <w:rFonts w:ascii="Times New Roman" w:hAnsi="Times New Roman" w:cs="Times New Roman"/>
        </w:rPr>
        <w:t>Government</w:t>
      </w:r>
      <w:r w:rsidRPr="00C91EA2">
        <w:rPr>
          <w:rFonts w:ascii="Times New Roman" w:hAnsi="Times New Roman" w:cs="Times New Roman"/>
        </w:rPr>
        <w:t xml:space="preserve"> uses coercive (as opposed to incentive-based) regulation. </w:t>
      </w:r>
      <w:r w:rsidR="007C4D7E">
        <w:rPr>
          <w:rFonts w:ascii="Times New Roman" w:hAnsi="Times New Roman" w:cs="Times New Roman"/>
        </w:rPr>
        <w:t>I</w:t>
      </w:r>
      <w:r w:rsidRPr="00C91EA2">
        <w:rPr>
          <w:rFonts w:ascii="Times New Roman" w:hAnsi="Times New Roman" w:cs="Times New Roman"/>
        </w:rPr>
        <w:t xml:space="preserve">n Senegal, </w:t>
      </w:r>
      <w:r w:rsidR="00660AB4">
        <w:rPr>
          <w:rFonts w:ascii="Times New Roman" w:hAnsi="Times New Roman" w:cs="Times New Roman"/>
        </w:rPr>
        <w:t xml:space="preserve">PMR data indicate that </w:t>
      </w:r>
      <w:r w:rsidRPr="00C91EA2">
        <w:rPr>
          <w:rFonts w:ascii="Times New Roman" w:hAnsi="Times New Roman" w:cs="Times New Roman"/>
        </w:rPr>
        <w:t>regulators are not required to assess alternative policy instruments before adopting new regulation</w:t>
      </w:r>
      <w:r w:rsidR="007C4D7E">
        <w:rPr>
          <w:rFonts w:ascii="Times New Roman" w:hAnsi="Times New Roman" w:cs="Times New Roman"/>
        </w:rPr>
        <w:t>s</w:t>
      </w:r>
      <w:r w:rsidRPr="00C91EA2">
        <w:rPr>
          <w:rFonts w:ascii="Times New Roman" w:hAnsi="Times New Roman" w:cs="Times New Roman"/>
        </w:rPr>
        <w:t xml:space="preserve"> and </w:t>
      </w:r>
      <w:r w:rsidR="00E46203">
        <w:rPr>
          <w:rFonts w:ascii="Times New Roman" w:hAnsi="Times New Roman" w:cs="Times New Roman"/>
        </w:rPr>
        <w:t xml:space="preserve">that </w:t>
      </w:r>
      <w:r w:rsidRPr="00C91EA2">
        <w:rPr>
          <w:rFonts w:ascii="Times New Roman" w:hAnsi="Times New Roman" w:cs="Times New Roman"/>
        </w:rPr>
        <w:t xml:space="preserve">no guidance has been issued on using alternatives to traditional regulation. </w:t>
      </w:r>
    </w:p>
    <w:p w14:paraId="39103D4B" w14:textId="77777777" w:rsidR="0043271C" w:rsidRPr="00C91EA2" w:rsidRDefault="0043271C" w:rsidP="0043271C">
      <w:pPr>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51C75766"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3F0C312D" w14:textId="47C30239" w:rsidR="0043271C" w:rsidRPr="00C91EA2" w:rsidRDefault="0043271C">
            <w:pPr>
              <w:pStyle w:val="Caption"/>
              <w:keepNext/>
              <w:rPr>
                <w:rFonts w:ascii="Times New Roman" w:hAnsi="Times New Roman"/>
              </w:rPr>
            </w:pPr>
            <w:bookmarkStart w:id="134" w:name="_Ref497122778"/>
            <w:bookmarkStart w:id="135" w:name="_Toc497990877"/>
            <w:bookmarkStart w:id="136" w:name="_Toc520725585"/>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29</w:t>
            </w:r>
            <w:r w:rsidR="00D91B27">
              <w:rPr>
                <w:rFonts w:ascii="Times New Roman" w:hAnsi="Times New Roman"/>
              </w:rPr>
              <w:fldChar w:fldCharType="end"/>
            </w:r>
            <w:bookmarkEnd w:id="134"/>
            <w:r w:rsidRPr="00C91EA2">
              <w:rPr>
                <w:rFonts w:ascii="Times New Roman" w:hAnsi="Times New Roman"/>
              </w:rPr>
              <w:t xml:space="preserve">: Involvement in Business Operations </w:t>
            </w:r>
            <w:bookmarkEnd w:id="135"/>
            <w:r w:rsidR="00005122">
              <w:rPr>
                <w:rFonts w:ascii="Times New Roman" w:hAnsi="Times New Roman"/>
              </w:rPr>
              <w:t>in Senegal and Comparator Countries</w:t>
            </w:r>
            <w:bookmarkEnd w:id="136"/>
            <w:r w:rsidR="00005122">
              <w:rPr>
                <w:rFonts w:ascii="Times New Roman" w:hAnsi="Times New Roman"/>
              </w:rPr>
              <w:t xml:space="preserve"> </w:t>
            </w:r>
          </w:p>
        </w:tc>
      </w:tr>
      <w:tr w:rsidR="0043271C" w:rsidRPr="00C91EA2" w14:paraId="6D4B53AD" w14:textId="77777777" w:rsidTr="00FC7B02">
        <w:tc>
          <w:tcPr>
            <w:tcW w:w="8630" w:type="dxa"/>
            <w:tcBorders>
              <w:top w:val="single" w:sz="4" w:space="0" w:color="auto"/>
              <w:left w:val="single" w:sz="4" w:space="0" w:color="auto"/>
              <w:bottom w:val="single" w:sz="4" w:space="0" w:color="auto"/>
              <w:right w:val="single" w:sz="4" w:space="0" w:color="auto"/>
            </w:tcBorders>
            <w:hideMark/>
          </w:tcPr>
          <w:p w14:paraId="6770CBE7" w14:textId="77777777" w:rsidR="0043271C" w:rsidRPr="00C91EA2" w:rsidRDefault="00FC7B02">
            <w:pPr>
              <w:rPr>
                <w:rFonts w:ascii="Times New Roman" w:hAnsi="Times New Roman" w:cs="Times New Roman"/>
              </w:rPr>
            </w:pPr>
            <w:r>
              <w:rPr>
                <w:noProof/>
              </w:rPr>
              <w:drawing>
                <wp:inline distT="0" distB="0" distL="0" distR="0" wp14:anchorId="45CB8A12" wp14:editId="2C7CA730">
                  <wp:extent cx="5486400" cy="4305300"/>
                  <wp:effectExtent l="0" t="0" r="0" b="0"/>
                  <wp:docPr id="130" name="Chart 13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43271C" w:rsidRPr="00C91EA2" w14:paraId="6E63CBBB" w14:textId="77777777" w:rsidTr="00073975">
        <w:trPr>
          <w:trHeight w:val="422"/>
        </w:trPr>
        <w:tc>
          <w:tcPr>
            <w:tcW w:w="8630" w:type="dxa"/>
            <w:tcBorders>
              <w:top w:val="single" w:sz="4" w:space="0" w:color="auto"/>
              <w:left w:val="single" w:sz="4" w:space="0" w:color="auto"/>
              <w:bottom w:val="single" w:sz="4" w:space="0" w:color="auto"/>
              <w:right w:val="single" w:sz="4" w:space="0" w:color="auto"/>
            </w:tcBorders>
            <w:hideMark/>
          </w:tcPr>
          <w:p w14:paraId="7DD6103A" w14:textId="77777777" w:rsidR="0043271C" w:rsidRPr="00C91EA2" w:rsidRDefault="0043271C">
            <w:pPr>
              <w:rPr>
                <w:rFonts w:ascii="Times New Roman" w:hAnsi="Times New Roman" w:cs="Times New Roman"/>
                <w:sz w:val="20"/>
                <w:szCs w:val="24"/>
              </w:rPr>
            </w:pPr>
            <w:r w:rsidRPr="00C91EA2">
              <w:rPr>
                <w:rFonts w:ascii="Times New Roman" w:hAnsi="Times New Roman" w:cs="Times New Roman"/>
                <w:sz w:val="20"/>
                <w:szCs w:val="24"/>
              </w:rPr>
              <w:t xml:space="preserve">Source: </w:t>
            </w:r>
            <w:r w:rsidR="00A4434F">
              <w:rPr>
                <w:rFonts w:ascii="Times New Roman" w:hAnsi="Times New Roman" w:cs="Times New Roman"/>
                <w:sz w:val="20"/>
                <w:szCs w:val="24"/>
              </w:rPr>
              <w:t>OECD-WBG PMR (2017)</w:t>
            </w:r>
          </w:p>
          <w:p w14:paraId="18396EFE" w14:textId="77777777" w:rsidR="0043271C" w:rsidRPr="00C91EA2" w:rsidRDefault="0043271C">
            <w:pPr>
              <w:rPr>
                <w:rFonts w:ascii="Times New Roman" w:hAnsi="Times New Roman" w:cs="Times New Roman"/>
                <w:sz w:val="24"/>
                <w:szCs w:val="24"/>
              </w:rPr>
            </w:pPr>
            <w:r w:rsidRPr="00C91EA2">
              <w:rPr>
                <w:rFonts w:ascii="Times New Roman" w:hAnsi="Times New Roman" w:cs="Times New Roman"/>
                <w:sz w:val="20"/>
                <w:szCs w:val="24"/>
              </w:rPr>
              <w:t xml:space="preserve">Note: The top 5 performers are Norway, Australia, </w:t>
            </w:r>
            <w:r w:rsidR="00073975">
              <w:rPr>
                <w:rFonts w:ascii="Times New Roman" w:hAnsi="Times New Roman" w:cs="Times New Roman"/>
                <w:sz w:val="20"/>
                <w:szCs w:val="24"/>
              </w:rPr>
              <w:t xml:space="preserve">the </w:t>
            </w:r>
            <w:r w:rsidRPr="00C91EA2">
              <w:rPr>
                <w:rFonts w:ascii="Times New Roman" w:hAnsi="Times New Roman" w:cs="Times New Roman"/>
                <w:sz w:val="20"/>
                <w:szCs w:val="24"/>
              </w:rPr>
              <w:t>Czech Republic, Germany and Sweden</w:t>
            </w:r>
          </w:p>
        </w:tc>
      </w:tr>
    </w:tbl>
    <w:p w14:paraId="058BAD63" w14:textId="77777777" w:rsidR="0043271C" w:rsidRDefault="0043271C" w:rsidP="0043271C">
      <w:pPr>
        <w:rPr>
          <w:rFonts w:ascii="Times New Roman" w:hAnsi="Times New Roman" w:cs="Times New Roman"/>
        </w:rPr>
      </w:pPr>
    </w:p>
    <w:p w14:paraId="5A876A88" w14:textId="77777777" w:rsidR="00711D1F" w:rsidRPr="00C91EA2" w:rsidRDefault="00711D1F" w:rsidP="0043271C">
      <w:pPr>
        <w:rPr>
          <w:rFonts w:ascii="Times New Roman" w:hAnsi="Times New Roman" w:cs="Times New Roman"/>
        </w:rPr>
      </w:pPr>
    </w:p>
    <w:p w14:paraId="180ECCC2" w14:textId="4B3E336F"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At least 15 products are subject to price regulation</w:t>
      </w:r>
      <w:r w:rsidRPr="00C91EA2">
        <w:rPr>
          <w:rFonts w:ascii="Times New Roman" w:hAnsi="Times New Roman" w:cs="Times New Roman"/>
        </w:rPr>
        <w:t xml:space="preserve"> </w:t>
      </w:r>
      <w:r w:rsidR="0072585F">
        <w:rPr>
          <w:rFonts w:ascii="Times New Roman" w:hAnsi="Times New Roman" w:cs="Times New Roman"/>
          <w:b/>
        </w:rPr>
        <w:t xml:space="preserve">for </w:t>
      </w:r>
      <w:r w:rsidR="00BC307C" w:rsidRPr="00BC307C">
        <w:rPr>
          <w:rFonts w:ascii="Times New Roman" w:hAnsi="Times New Roman" w:cs="Times New Roman"/>
          <w:b/>
        </w:rPr>
        <w:t>end consumers</w:t>
      </w:r>
      <w:r w:rsidR="00BC307C">
        <w:rPr>
          <w:rFonts w:ascii="Times New Roman" w:hAnsi="Times New Roman" w:cs="Times New Roman"/>
        </w:rPr>
        <w:t xml:space="preserve"> </w:t>
      </w:r>
      <w:r w:rsidRPr="00C91EA2">
        <w:rPr>
          <w:rFonts w:ascii="Times New Roman" w:hAnsi="Times New Roman" w:cs="Times New Roman"/>
        </w:rPr>
        <w:t>(see</w:t>
      </w:r>
      <w:r w:rsidRPr="00C91EA2">
        <w:rPr>
          <w:rFonts w:ascii="Times New Roman" w:hAnsi="Times New Roman" w:cs="Times New Roman"/>
          <w:b/>
        </w:rPr>
        <w:t xml:space="preserve"> </w:t>
      </w:r>
      <w:r w:rsidRPr="00C91EA2">
        <w:rPr>
          <w:rFonts w:ascii="Times New Roman" w:hAnsi="Times New Roman" w:cs="Times New Roman"/>
        </w:rPr>
        <w:fldChar w:fldCharType="begin"/>
      </w:r>
      <w:r w:rsidRPr="00C91EA2">
        <w:rPr>
          <w:rFonts w:ascii="Times New Roman" w:hAnsi="Times New Roman" w:cs="Times New Roman"/>
          <w:b/>
        </w:rPr>
        <w:instrText xml:space="preserve"> REF _Ref497123638 \h </w:instrText>
      </w:r>
      <w:r w:rsidR="00C91EA2">
        <w:rPr>
          <w:rFonts w:ascii="Times New Roman" w:hAnsi="Times New Roman" w:cs="Times New Roman"/>
        </w:rPr>
        <w:instrText xml:space="preserve">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5</w:t>
      </w:r>
      <w:r w:rsidRPr="00C91EA2">
        <w:rPr>
          <w:rFonts w:ascii="Times New Roman" w:hAnsi="Times New Roman" w:cs="Times New Roman"/>
        </w:rPr>
        <w:fldChar w:fldCharType="end"/>
      </w:r>
      <w:r w:rsidRPr="00C91EA2">
        <w:rPr>
          <w:rFonts w:ascii="Times New Roman" w:hAnsi="Times New Roman" w:cs="Times New Roman"/>
        </w:rPr>
        <w:t xml:space="preserve">), which places Senegal in the bottom </w:t>
      </w:r>
      <w:r w:rsidR="00941A13">
        <w:rPr>
          <w:rFonts w:ascii="Times New Roman" w:hAnsi="Times New Roman" w:cs="Times New Roman"/>
        </w:rPr>
        <w:t>half</w:t>
      </w:r>
      <w:r w:rsidRPr="00C91EA2">
        <w:rPr>
          <w:rFonts w:ascii="Times New Roman" w:hAnsi="Times New Roman" w:cs="Times New Roman"/>
        </w:rPr>
        <w:t xml:space="preserve"> of comparator countries (</w:t>
      </w:r>
      <w:r w:rsidRPr="00C91EA2">
        <w:rPr>
          <w:rFonts w:ascii="Times New Roman" w:hAnsi="Times New Roman" w:cs="Times New Roman"/>
        </w:rPr>
        <w:fldChar w:fldCharType="begin"/>
      </w:r>
      <w:r w:rsidRPr="00C91EA2">
        <w:rPr>
          <w:rFonts w:ascii="Times New Roman" w:hAnsi="Times New Roman" w:cs="Times New Roman"/>
        </w:rPr>
        <w:instrText xml:space="preserve"> REF _Ref497123655 \h </w:instrText>
      </w:r>
      <w:r w:rsidR="00C91EA2">
        <w:rPr>
          <w:rFonts w:ascii="Times New Roman" w:hAnsi="Times New Roman" w:cs="Times New Roman"/>
        </w:rPr>
        <w:instrText xml:space="preserve">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30</w:t>
      </w:r>
      <w:r w:rsidRPr="00C91EA2">
        <w:rPr>
          <w:rFonts w:ascii="Times New Roman" w:hAnsi="Times New Roman" w:cs="Times New Roman"/>
        </w:rPr>
        <w:fldChar w:fldCharType="end"/>
      </w:r>
      <w:r w:rsidRPr="00C91EA2">
        <w:rPr>
          <w:rFonts w:ascii="Times New Roman" w:hAnsi="Times New Roman" w:cs="Times New Roman"/>
        </w:rPr>
        <w:t xml:space="preserve">). These include staples such as rice and bread, other food products like soy bean oil, sugar </w:t>
      </w:r>
      <w:r w:rsidRPr="006B1372">
        <w:rPr>
          <w:rFonts w:ascii="Times New Roman" w:hAnsi="Times New Roman" w:cs="Times New Roman"/>
        </w:rPr>
        <w:t>and wheat flour, agricultural products like fer</w:t>
      </w:r>
      <w:r w:rsidR="00256678" w:rsidRPr="006B1372">
        <w:rPr>
          <w:rFonts w:ascii="Times New Roman" w:hAnsi="Times New Roman" w:cs="Times New Roman"/>
        </w:rPr>
        <w:t xml:space="preserve">tilizer, seed and machinery, </w:t>
      </w:r>
      <w:r w:rsidR="002C7A2C">
        <w:rPr>
          <w:rFonts w:ascii="Times New Roman" w:hAnsi="Times New Roman" w:cs="Times New Roman"/>
        </w:rPr>
        <w:t xml:space="preserve">products in </w:t>
      </w:r>
      <w:r w:rsidR="00D8433E">
        <w:rPr>
          <w:rFonts w:ascii="Times New Roman" w:hAnsi="Times New Roman" w:cs="Times New Roman"/>
        </w:rPr>
        <w:t xml:space="preserve">network industries such as </w:t>
      </w:r>
      <w:r w:rsidRPr="005118E5">
        <w:rPr>
          <w:rFonts w:ascii="Times New Roman" w:hAnsi="Times New Roman" w:cs="Times New Roman"/>
        </w:rPr>
        <w:t>water</w:t>
      </w:r>
      <w:r w:rsidRPr="000A2111">
        <w:rPr>
          <w:rFonts w:ascii="Times New Roman" w:hAnsi="Times New Roman" w:cs="Times New Roman"/>
        </w:rPr>
        <w:t xml:space="preserve">, </w:t>
      </w:r>
      <w:r w:rsidRPr="00103B44">
        <w:rPr>
          <w:rFonts w:ascii="Times New Roman" w:hAnsi="Times New Roman" w:cs="Times New Roman"/>
        </w:rPr>
        <w:t>electricity, gas</w:t>
      </w:r>
      <w:r w:rsidR="00D8433E">
        <w:rPr>
          <w:rFonts w:ascii="Times New Roman" w:hAnsi="Times New Roman" w:cs="Times New Roman"/>
        </w:rPr>
        <w:t>,</w:t>
      </w:r>
      <w:r w:rsidRPr="00C91EA2">
        <w:rPr>
          <w:rFonts w:ascii="Times New Roman" w:hAnsi="Times New Roman" w:cs="Times New Roman"/>
        </w:rPr>
        <w:t xml:space="preserve"> </w:t>
      </w:r>
      <w:r w:rsidR="00D8433E" w:rsidRPr="000A2111">
        <w:rPr>
          <w:rFonts w:ascii="Times New Roman" w:hAnsi="Times New Roman" w:cs="Times New Roman"/>
        </w:rPr>
        <w:t>fuels</w:t>
      </w:r>
      <w:r w:rsidR="00D8433E">
        <w:rPr>
          <w:rFonts w:ascii="Times New Roman" w:hAnsi="Times New Roman" w:cs="Times New Roman"/>
        </w:rPr>
        <w:t xml:space="preserve"> (with segments exhibiting natural monopoly characteristics)</w:t>
      </w:r>
      <w:r w:rsidR="00D8433E" w:rsidRPr="000A2111">
        <w:rPr>
          <w:rFonts w:ascii="Times New Roman" w:hAnsi="Times New Roman" w:cs="Times New Roman"/>
        </w:rPr>
        <w:t xml:space="preserve">, </w:t>
      </w:r>
      <w:r w:rsidR="00D8433E">
        <w:rPr>
          <w:rFonts w:ascii="Times New Roman" w:hAnsi="Times New Roman" w:cs="Times New Roman"/>
        </w:rPr>
        <w:t xml:space="preserve">and others like cargo transport </w:t>
      </w:r>
      <w:r w:rsidRPr="00C91EA2">
        <w:rPr>
          <w:rFonts w:ascii="Times New Roman" w:hAnsi="Times New Roman" w:cs="Times New Roman"/>
        </w:rPr>
        <w:t xml:space="preserve">and pharmaceuticals. </w:t>
      </w:r>
      <w:r w:rsidR="00C9454B">
        <w:rPr>
          <w:rFonts w:ascii="Times New Roman" w:hAnsi="Times New Roman" w:cs="Times New Roman"/>
          <w:bCs/>
          <w:iCs/>
        </w:rPr>
        <w:t>By contrast, i</w:t>
      </w:r>
      <w:r w:rsidR="00C9454B" w:rsidRPr="00C91EA2">
        <w:rPr>
          <w:rFonts w:ascii="Times New Roman" w:hAnsi="Times New Roman" w:cs="Times New Roman"/>
          <w:bCs/>
          <w:iCs/>
        </w:rPr>
        <w:t xml:space="preserve">n </w:t>
      </w:r>
      <w:r w:rsidRPr="00C91EA2">
        <w:rPr>
          <w:rFonts w:ascii="Times New Roman" w:hAnsi="Times New Roman" w:cs="Times New Roman"/>
          <w:bCs/>
          <w:iCs/>
        </w:rPr>
        <w:t>Morocco, for example, the list of price controls is limited to few agricultural products (</w:t>
      </w:r>
      <w:r w:rsidR="0098273F">
        <w:rPr>
          <w:rFonts w:ascii="Times New Roman" w:hAnsi="Times New Roman" w:cs="Times New Roman"/>
          <w:bCs/>
          <w:iCs/>
        </w:rPr>
        <w:t>e.g., soft</w:t>
      </w:r>
      <w:r w:rsidRPr="00C91EA2">
        <w:rPr>
          <w:rFonts w:ascii="Times New Roman" w:hAnsi="Times New Roman" w:cs="Times New Roman"/>
          <w:bCs/>
          <w:iCs/>
        </w:rPr>
        <w:t xml:space="preserve"> wheat flour, sugar, raw tobacco, manufactured tobacco).</w:t>
      </w:r>
      <w:r w:rsidRPr="00C91EA2">
        <w:rPr>
          <w:rStyle w:val="FootnoteReference"/>
          <w:rFonts w:ascii="Times New Roman" w:hAnsi="Times New Roman" w:cs="Times New Roman"/>
          <w:bCs/>
          <w:iCs/>
        </w:rPr>
        <w:footnoteReference w:id="81"/>
      </w:r>
      <w:r w:rsidRPr="00C91EA2">
        <w:rPr>
          <w:rFonts w:ascii="Times New Roman" w:hAnsi="Times New Roman" w:cs="Times New Roman"/>
        </w:rPr>
        <w:t xml:space="preserve"> OECD-WBG </w:t>
      </w:r>
      <w:r w:rsidR="00AF7BFA">
        <w:rPr>
          <w:rFonts w:ascii="Times New Roman" w:hAnsi="Times New Roman" w:cs="Times New Roman"/>
        </w:rPr>
        <w:t>PMR</w:t>
      </w:r>
      <w:r w:rsidRPr="00C91EA2">
        <w:rPr>
          <w:rFonts w:ascii="Times New Roman" w:hAnsi="Times New Roman" w:cs="Times New Roman"/>
        </w:rPr>
        <w:t xml:space="preserve"> data indicates that out of 33 non-OECD countries from Eastern and Central Asia, East Asia and Pacific, Latin America, Middle East and North Africa and Sub-Saharan Africa, slightly more than 50 percent have price controls for food staples, such as milk and bread.</w:t>
      </w:r>
      <w:r w:rsidRPr="00C91EA2">
        <w:rPr>
          <w:rStyle w:val="FootnoteReference"/>
          <w:rFonts w:ascii="Times New Roman" w:hAnsi="Times New Roman" w:cs="Times New Roman"/>
        </w:rPr>
        <w:footnoteReference w:id="82"/>
      </w:r>
      <w:r w:rsidRPr="00C91EA2">
        <w:rPr>
          <w:rFonts w:ascii="Times New Roman" w:hAnsi="Times New Roman" w:cs="Times New Roman"/>
        </w:rPr>
        <w:t xml:space="preserve"> </w:t>
      </w:r>
      <w:r w:rsidR="00256678" w:rsidRPr="00256678">
        <w:rPr>
          <w:rFonts w:ascii="Times New Roman" w:hAnsi="Times New Roman" w:cs="Times New Roman"/>
          <w:bCs/>
        </w:rPr>
        <w:t xml:space="preserve">The methodology for selecting these products and for setting or assessing the level of prices is not clear. The prices are decided by a committee with representatives from different ministries, producers, private sector associations and consumer bodies. Regional committees of the Ministry of Commerce are responsible for monitoring these prices. For example, in the transport of cargo, the </w:t>
      </w:r>
      <w:r w:rsidR="003B24ED">
        <w:rPr>
          <w:rFonts w:ascii="Times New Roman" w:hAnsi="Times New Roman" w:cs="Times New Roman"/>
          <w:bCs/>
        </w:rPr>
        <w:t>Government</w:t>
      </w:r>
      <w:r w:rsidR="00256678" w:rsidRPr="00256678">
        <w:rPr>
          <w:rFonts w:ascii="Times New Roman" w:hAnsi="Times New Roman" w:cs="Times New Roman"/>
          <w:bCs/>
        </w:rPr>
        <w:t xml:space="preserve"> provides and monitors rate ranges, as well as setting retail price caps for petrol and fuel oil.</w:t>
      </w:r>
      <w:r w:rsidR="00256678">
        <w:rPr>
          <w:rFonts w:ascii="Times New Roman" w:hAnsi="Times New Roman" w:cs="Times New Roman"/>
          <w:bCs/>
        </w:rPr>
        <w:t xml:space="preserve"> </w:t>
      </w:r>
      <w:r w:rsidRPr="00C91EA2">
        <w:rPr>
          <w:rFonts w:ascii="Times New Roman" w:hAnsi="Times New Roman" w:cs="Times New Roman"/>
        </w:rPr>
        <w:t xml:space="preserve">In the medium term, </w:t>
      </w:r>
      <w:r w:rsidRPr="00C91EA2">
        <w:rPr>
          <w:rFonts w:ascii="Times New Roman" w:hAnsi="Times New Roman" w:cs="Times New Roman"/>
          <w:bCs/>
        </w:rPr>
        <w:t xml:space="preserve">extensive price controls may lead to inefficiencies and </w:t>
      </w:r>
      <w:r w:rsidRPr="00C91EA2">
        <w:rPr>
          <w:rFonts w:ascii="Times New Roman" w:hAnsi="Times New Roman" w:cs="Times New Roman"/>
        </w:rPr>
        <w:t>discourage increases in productivity or quality of supplied products.</w:t>
      </w:r>
    </w:p>
    <w:p w14:paraId="0AD1F0CB" w14:textId="77777777" w:rsidR="00877242" w:rsidRPr="00C91EA2" w:rsidRDefault="00877242" w:rsidP="0043271C">
      <w:pPr>
        <w:pStyle w:val="ListParagraph"/>
        <w:ind w:left="0"/>
        <w:jc w:val="both"/>
        <w:rPr>
          <w:rFonts w:ascii="Times New Roman" w:hAnsi="Times New Roman" w:cs="Times New Roman"/>
        </w:rPr>
      </w:pPr>
    </w:p>
    <w:p w14:paraId="330F45B5" w14:textId="0CAB2871" w:rsidR="0043271C" w:rsidRPr="00C91EA2" w:rsidRDefault="0043271C" w:rsidP="0043271C">
      <w:pPr>
        <w:pStyle w:val="Caption"/>
        <w:keepNext/>
        <w:rPr>
          <w:rFonts w:ascii="Times New Roman" w:hAnsi="Times New Roman"/>
        </w:rPr>
      </w:pPr>
      <w:bookmarkStart w:id="137" w:name="_Ref497123638"/>
      <w:bookmarkStart w:id="138" w:name="_Toc497990927"/>
      <w:bookmarkStart w:id="139" w:name="_Toc520725692"/>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5</w:t>
      </w:r>
      <w:r w:rsidRPr="00C91EA2">
        <w:rPr>
          <w:rFonts w:ascii="Times New Roman" w:hAnsi="Times New Roman"/>
        </w:rPr>
        <w:fldChar w:fldCharType="end"/>
      </w:r>
      <w:bookmarkEnd w:id="137"/>
      <w:r w:rsidR="00AF7BFA">
        <w:rPr>
          <w:rFonts w:ascii="Times New Roman" w:hAnsi="Times New Roman"/>
        </w:rPr>
        <w:t>: List of Controlled P</w:t>
      </w:r>
      <w:r w:rsidRPr="00C91EA2">
        <w:rPr>
          <w:rFonts w:ascii="Times New Roman" w:hAnsi="Times New Roman"/>
        </w:rPr>
        <w:t>rices</w:t>
      </w:r>
      <w:bookmarkEnd w:id="138"/>
      <w:bookmarkEnd w:id="139"/>
    </w:p>
    <w:tbl>
      <w:tblPr>
        <w:tblW w:w="8632" w:type="dxa"/>
        <w:tblCellMar>
          <w:left w:w="0" w:type="dxa"/>
          <w:right w:w="0" w:type="dxa"/>
        </w:tblCellMar>
        <w:tblLook w:val="0420" w:firstRow="1" w:lastRow="0" w:firstColumn="0" w:lastColumn="0" w:noHBand="0" w:noVBand="1"/>
      </w:tblPr>
      <w:tblGrid>
        <w:gridCol w:w="1890"/>
        <w:gridCol w:w="2152"/>
        <w:gridCol w:w="2349"/>
        <w:gridCol w:w="2241"/>
      </w:tblGrid>
      <w:tr w:rsidR="00C538DB" w:rsidRPr="00C91EA2" w14:paraId="2445CB71" w14:textId="77777777" w:rsidTr="006C33C3">
        <w:trPr>
          <w:trHeight w:val="23"/>
        </w:trPr>
        <w:tc>
          <w:tcPr>
            <w:tcW w:w="0" w:type="auto"/>
            <w:tcBorders>
              <w:top w:val="single" w:sz="6" w:space="0" w:color="002245"/>
              <w:left w:val="single" w:sz="6" w:space="0" w:color="002245"/>
              <w:bottom w:val="single" w:sz="6" w:space="0" w:color="002245"/>
            </w:tcBorders>
            <w:tcMar>
              <w:top w:w="72" w:type="dxa"/>
              <w:left w:w="144" w:type="dxa"/>
              <w:bottom w:w="72" w:type="dxa"/>
              <w:right w:w="144" w:type="dxa"/>
            </w:tcMar>
            <w:hideMark/>
          </w:tcPr>
          <w:p w14:paraId="6BF1FFCD" w14:textId="77777777" w:rsidR="00C538DB" w:rsidRPr="00C91EA2" w:rsidRDefault="00C538DB">
            <w:pPr>
              <w:rPr>
                <w:rFonts w:ascii="Times New Roman" w:hAnsi="Times New Roman" w:cs="Times New Roman"/>
                <w:sz w:val="20"/>
                <w:szCs w:val="20"/>
              </w:rPr>
            </w:pPr>
            <w:r w:rsidRPr="00C91EA2">
              <w:rPr>
                <w:rFonts w:ascii="Times New Roman" w:hAnsi="Times New Roman" w:cs="Times New Roman"/>
                <w:sz w:val="20"/>
                <w:szCs w:val="20"/>
              </w:rPr>
              <w:t>Foodstuffs</w:t>
            </w:r>
          </w:p>
        </w:tc>
        <w:tc>
          <w:tcPr>
            <w:tcW w:w="0" w:type="auto"/>
            <w:tcBorders>
              <w:top w:val="single" w:sz="6" w:space="0" w:color="002245"/>
              <w:bottom w:val="single" w:sz="6" w:space="0" w:color="002245"/>
            </w:tcBorders>
            <w:tcMar>
              <w:top w:w="72" w:type="dxa"/>
              <w:left w:w="144" w:type="dxa"/>
              <w:bottom w:w="72" w:type="dxa"/>
              <w:right w:w="144" w:type="dxa"/>
            </w:tcMar>
            <w:hideMark/>
          </w:tcPr>
          <w:p w14:paraId="3DEF4D84" w14:textId="77777777" w:rsidR="00C538DB" w:rsidRPr="00C91EA2" w:rsidRDefault="00C538DB">
            <w:pPr>
              <w:rPr>
                <w:rFonts w:ascii="Times New Roman" w:hAnsi="Times New Roman" w:cs="Times New Roman"/>
                <w:sz w:val="20"/>
                <w:szCs w:val="20"/>
              </w:rPr>
            </w:pPr>
            <w:r w:rsidRPr="00C91EA2">
              <w:rPr>
                <w:rFonts w:ascii="Times New Roman" w:hAnsi="Times New Roman" w:cs="Times New Roman"/>
                <w:sz w:val="20"/>
                <w:szCs w:val="20"/>
              </w:rPr>
              <w:t>Agriculture</w:t>
            </w:r>
          </w:p>
        </w:tc>
        <w:tc>
          <w:tcPr>
            <w:tcW w:w="1841" w:type="dxa"/>
            <w:tcBorders>
              <w:top w:val="single" w:sz="6" w:space="0" w:color="002245"/>
              <w:bottom w:val="single" w:sz="6" w:space="0" w:color="002245"/>
            </w:tcBorders>
            <w:tcMar>
              <w:top w:w="72" w:type="dxa"/>
              <w:left w:w="144" w:type="dxa"/>
              <w:bottom w:w="72" w:type="dxa"/>
              <w:right w:w="144" w:type="dxa"/>
            </w:tcMar>
            <w:hideMark/>
          </w:tcPr>
          <w:p w14:paraId="207D861D" w14:textId="77777777" w:rsidR="00C538DB" w:rsidRPr="00C91EA2" w:rsidRDefault="00C538DB">
            <w:pPr>
              <w:rPr>
                <w:rFonts w:ascii="Times New Roman" w:hAnsi="Times New Roman" w:cs="Times New Roman"/>
                <w:sz w:val="20"/>
                <w:szCs w:val="20"/>
              </w:rPr>
            </w:pPr>
            <w:r>
              <w:rPr>
                <w:rFonts w:ascii="Times New Roman" w:hAnsi="Times New Roman" w:cs="Times New Roman"/>
                <w:sz w:val="20"/>
                <w:szCs w:val="20"/>
              </w:rPr>
              <w:t>Network industries</w:t>
            </w:r>
          </w:p>
        </w:tc>
        <w:tc>
          <w:tcPr>
            <w:tcW w:w="2241" w:type="dxa"/>
            <w:tcBorders>
              <w:top w:val="single" w:sz="6" w:space="0" w:color="002245"/>
              <w:bottom w:val="single" w:sz="6" w:space="0" w:color="002245"/>
              <w:right w:val="single" w:sz="6" w:space="0" w:color="002245"/>
            </w:tcBorders>
          </w:tcPr>
          <w:p w14:paraId="0A8ED31E" w14:textId="77777777" w:rsidR="00C538DB" w:rsidRPr="00C91EA2" w:rsidRDefault="00C538DB">
            <w:pPr>
              <w:rPr>
                <w:rFonts w:ascii="Times New Roman" w:hAnsi="Times New Roman" w:cs="Times New Roman"/>
                <w:sz w:val="20"/>
                <w:szCs w:val="20"/>
              </w:rPr>
            </w:pPr>
            <w:r w:rsidRPr="00C91EA2">
              <w:rPr>
                <w:rFonts w:ascii="Times New Roman" w:hAnsi="Times New Roman" w:cs="Times New Roman"/>
                <w:sz w:val="20"/>
                <w:szCs w:val="20"/>
              </w:rPr>
              <w:t>Other</w:t>
            </w:r>
          </w:p>
        </w:tc>
      </w:tr>
      <w:tr w:rsidR="00C538DB" w:rsidRPr="00C91EA2" w14:paraId="010FA3BB" w14:textId="77777777" w:rsidTr="006C33C3">
        <w:trPr>
          <w:trHeight w:val="1623"/>
        </w:trPr>
        <w:tc>
          <w:tcPr>
            <w:tcW w:w="0" w:type="auto"/>
            <w:tcBorders>
              <w:top w:val="single" w:sz="6" w:space="0" w:color="002245"/>
              <w:left w:val="single" w:sz="6" w:space="0" w:color="002245"/>
              <w:bottom w:val="single" w:sz="6" w:space="0" w:color="002245"/>
            </w:tcBorders>
            <w:tcMar>
              <w:top w:w="72" w:type="dxa"/>
              <w:left w:w="144" w:type="dxa"/>
              <w:bottom w:w="72" w:type="dxa"/>
              <w:right w:w="144" w:type="dxa"/>
            </w:tcMar>
            <w:hideMark/>
          </w:tcPr>
          <w:p w14:paraId="249A619A" w14:textId="77777777" w:rsidR="00C538DB" w:rsidRPr="00C91EA2" w:rsidRDefault="00C538DB" w:rsidP="0043271C">
            <w:pPr>
              <w:numPr>
                <w:ilvl w:val="0"/>
                <w:numId w:val="128"/>
              </w:numPr>
              <w:rPr>
                <w:rFonts w:ascii="Times New Roman" w:hAnsi="Times New Roman" w:cs="Times New Roman"/>
                <w:sz w:val="20"/>
                <w:szCs w:val="20"/>
              </w:rPr>
            </w:pPr>
            <w:r w:rsidRPr="00C91EA2">
              <w:rPr>
                <w:rFonts w:ascii="Times New Roman" w:hAnsi="Times New Roman" w:cs="Times New Roman"/>
                <w:sz w:val="20"/>
                <w:szCs w:val="20"/>
              </w:rPr>
              <w:t>Rice</w:t>
            </w:r>
          </w:p>
          <w:p w14:paraId="519F2996" w14:textId="77777777" w:rsidR="00C538DB" w:rsidRPr="00C91EA2" w:rsidRDefault="00C538DB" w:rsidP="0043271C">
            <w:pPr>
              <w:numPr>
                <w:ilvl w:val="0"/>
                <w:numId w:val="128"/>
              </w:numPr>
              <w:rPr>
                <w:rFonts w:ascii="Times New Roman" w:hAnsi="Times New Roman" w:cs="Times New Roman"/>
                <w:sz w:val="20"/>
                <w:szCs w:val="20"/>
              </w:rPr>
            </w:pPr>
            <w:r w:rsidRPr="00C91EA2">
              <w:rPr>
                <w:rFonts w:ascii="Times New Roman" w:hAnsi="Times New Roman" w:cs="Times New Roman"/>
                <w:sz w:val="20"/>
                <w:szCs w:val="20"/>
              </w:rPr>
              <w:t>Sugar</w:t>
            </w:r>
          </w:p>
          <w:p w14:paraId="620B34C2" w14:textId="77777777" w:rsidR="00C538DB" w:rsidRPr="00C91EA2" w:rsidRDefault="00C538DB" w:rsidP="0043271C">
            <w:pPr>
              <w:numPr>
                <w:ilvl w:val="0"/>
                <w:numId w:val="128"/>
              </w:numPr>
              <w:rPr>
                <w:rFonts w:ascii="Times New Roman" w:hAnsi="Times New Roman" w:cs="Times New Roman"/>
                <w:sz w:val="20"/>
                <w:szCs w:val="20"/>
              </w:rPr>
            </w:pPr>
            <w:r w:rsidRPr="00C91EA2">
              <w:rPr>
                <w:rFonts w:ascii="Times New Roman" w:hAnsi="Times New Roman" w:cs="Times New Roman"/>
                <w:sz w:val="20"/>
                <w:szCs w:val="20"/>
              </w:rPr>
              <w:t>Wheat flour</w:t>
            </w:r>
          </w:p>
          <w:p w14:paraId="62F3EB70" w14:textId="77777777" w:rsidR="00C538DB" w:rsidRPr="00C91EA2" w:rsidRDefault="00C538DB" w:rsidP="0043271C">
            <w:pPr>
              <w:numPr>
                <w:ilvl w:val="0"/>
                <w:numId w:val="128"/>
              </w:numPr>
              <w:rPr>
                <w:rFonts w:ascii="Times New Roman" w:hAnsi="Times New Roman" w:cs="Times New Roman"/>
                <w:sz w:val="20"/>
                <w:szCs w:val="20"/>
              </w:rPr>
            </w:pPr>
            <w:r w:rsidRPr="00C91EA2">
              <w:rPr>
                <w:rFonts w:ascii="Times New Roman" w:hAnsi="Times New Roman" w:cs="Times New Roman"/>
                <w:sz w:val="20"/>
                <w:szCs w:val="20"/>
              </w:rPr>
              <w:t>Bread</w:t>
            </w:r>
          </w:p>
          <w:p w14:paraId="429C1648" w14:textId="77777777" w:rsidR="00C538DB" w:rsidRPr="00C91EA2" w:rsidRDefault="00C538DB" w:rsidP="0043271C">
            <w:pPr>
              <w:numPr>
                <w:ilvl w:val="0"/>
                <w:numId w:val="128"/>
              </w:numPr>
              <w:rPr>
                <w:rFonts w:ascii="Times New Roman" w:hAnsi="Times New Roman" w:cs="Times New Roman"/>
                <w:sz w:val="20"/>
                <w:szCs w:val="20"/>
              </w:rPr>
            </w:pPr>
            <w:r w:rsidRPr="00C91EA2">
              <w:rPr>
                <w:rFonts w:ascii="Times New Roman" w:hAnsi="Times New Roman" w:cs="Times New Roman"/>
                <w:sz w:val="20"/>
                <w:szCs w:val="20"/>
              </w:rPr>
              <w:t>Soy bean oil</w:t>
            </w:r>
          </w:p>
        </w:tc>
        <w:tc>
          <w:tcPr>
            <w:tcW w:w="2152" w:type="dxa"/>
            <w:tcBorders>
              <w:top w:val="single" w:sz="6" w:space="0" w:color="002245"/>
              <w:bottom w:val="single" w:sz="6" w:space="0" w:color="002245"/>
            </w:tcBorders>
            <w:tcMar>
              <w:top w:w="72" w:type="dxa"/>
              <w:left w:w="144" w:type="dxa"/>
              <w:bottom w:w="72" w:type="dxa"/>
              <w:right w:w="144" w:type="dxa"/>
            </w:tcMar>
            <w:hideMark/>
          </w:tcPr>
          <w:p w14:paraId="790FA5E3" w14:textId="77777777" w:rsidR="00C538DB" w:rsidRPr="00C91EA2" w:rsidRDefault="00C538DB" w:rsidP="0043271C">
            <w:pPr>
              <w:numPr>
                <w:ilvl w:val="0"/>
                <w:numId w:val="129"/>
              </w:numPr>
              <w:rPr>
                <w:rFonts w:ascii="Times New Roman" w:hAnsi="Times New Roman" w:cs="Times New Roman"/>
                <w:sz w:val="20"/>
                <w:szCs w:val="20"/>
              </w:rPr>
            </w:pPr>
            <w:r w:rsidRPr="00C91EA2">
              <w:rPr>
                <w:rFonts w:ascii="Times New Roman" w:hAnsi="Times New Roman" w:cs="Times New Roman"/>
                <w:sz w:val="20"/>
                <w:szCs w:val="20"/>
              </w:rPr>
              <w:t>Fertilizer</w:t>
            </w:r>
          </w:p>
          <w:p w14:paraId="685BFE95" w14:textId="77777777" w:rsidR="00C538DB" w:rsidRPr="00C91EA2" w:rsidRDefault="00C538DB" w:rsidP="0043271C">
            <w:pPr>
              <w:numPr>
                <w:ilvl w:val="0"/>
                <w:numId w:val="129"/>
              </w:numPr>
              <w:rPr>
                <w:rFonts w:ascii="Times New Roman" w:hAnsi="Times New Roman" w:cs="Times New Roman"/>
                <w:sz w:val="20"/>
                <w:szCs w:val="20"/>
              </w:rPr>
            </w:pPr>
            <w:r w:rsidRPr="00C91EA2">
              <w:rPr>
                <w:rFonts w:ascii="Times New Roman" w:hAnsi="Times New Roman" w:cs="Times New Roman"/>
                <w:sz w:val="20"/>
                <w:szCs w:val="20"/>
              </w:rPr>
              <w:t>Seed</w:t>
            </w:r>
          </w:p>
          <w:p w14:paraId="2C42838E" w14:textId="77777777" w:rsidR="00C538DB" w:rsidRPr="00C91EA2" w:rsidRDefault="00C538DB" w:rsidP="0043271C">
            <w:pPr>
              <w:numPr>
                <w:ilvl w:val="0"/>
                <w:numId w:val="129"/>
              </w:numPr>
              <w:rPr>
                <w:rFonts w:ascii="Times New Roman" w:hAnsi="Times New Roman" w:cs="Times New Roman"/>
                <w:sz w:val="20"/>
                <w:szCs w:val="20"/>
              </w:rPr>
            </w:pPr>
            <w:r w:rsidRPr="00C91EA2">
              <w:rPr>
                <w:rFonts w:ascii="Times New Roman" w:hAnsi="Times New Roman" w:cs="Times New Roman"/>
                <w:sz w:val="20"/>
                <w:szCs w:val="20"/>
              </w:rPr>
              <w:t>Agricultural equipment</w:t>
            </w:r>
          </w:p>
        </w:tc>
        <w:tc>
          <w:tcPr>
            <w:tcW w:w="2349" w:type="dxa"/>
            <w:tcBorders>
              <w:top w:val="single" w:sz="6" w:space="0" w:color="002245"/>
              <w:bottom w:val="single" w:sz="6" w:space="0" w:color="002245"/>
            </w:tcBorders>
            <w:tcMar>
              <w:top w:w="72" w:type="dxa"/>
              <w:left w:w="144" w:type="dxa"/>
              <w:bottom w:w="72" w:type="dxa"/>
              <w:right w:w="144" w:type="dxa"/>
            </w:tcMar>
            <w:hideMark/>
          </w:tcPr>
          <w:p w14:paraId="0EBDA7DF" w14:textId="77777777" w:rsidR="00C538DB" w:rsidRPr="00C91EA2" w:rsidRDefault="00C538DB" w:rsidP="00C538DB">
            <w:pPr>
              <w:numPr>
                <w:ilvl w:val="0"/>
                <w:numId w:val="130"/>
              </w:numPr>
              <w:rPr>
                <w:rFonts w:ascii="Times New Roman" w:hAnsi="Times New Roman" w:cs="Times New Roman"/>
                <w:sz w:val="20"/>
                <w:szCs w:val="20"/>
              </w:rPr>
            </w:pPr>
            <w:r w:rsidRPr="00C91EA2">
              <w:rPr>
                <w:rFonts w:ascii="Times New Roman" w:hAnsi="Times New Roman" w:cs="Times New Roman"/>
                <w:sz w:val="20"/>
                <w:szCs w:val="20"/>
              </w:rPr>
              <w:t>Water</w:t>
            </w:r>
          </w:p>
          <w:p w14:paraId="1CDDBBDA" w14:textId="77777777" w:rsidR="00C538DB" w:rsidRDefault="00C538DB" w:rsidP="00C538DB">
            <w:pPr>
              <w:numPr>
                <w:ilvl w:val="0"/>
                <w:numId w:val="130"/>
              </w:numPr>
              <w:rPr>
                <w:rFonts w:ascii="Times New Roman" w:hAnsi="Times New Roman" w:cs="Times New Roman"/>
                <w:sz w:val="20"/>
                <w:szCs w:val="20"/>
              </w:rPr>
            </w:pPr>
            <w:r w:rsidRPr="00C91EA2">
              <w:rPr>
                <w:rFonts w:ascii="Times New Roman" w:hAnsi="Times New Roman" w:cs="Times New Roman"/>
                <w:sz w:val="20"/>
                <w:szCs w:val="20"/>
              </w:rPr>
              <w:t>Electricity</w:t>
            </w:r>
          </w:p>
          <w:p w14:paraId="017C69A0" w14:textId="77777777" w:rsidR="00C538DB" w:rsidRDefault="00C538DB" w:rsidP="00C538DB">
            <w:pPr>
              <w:numPr>
                <w:ilvl w:val="0"/>
                <w:numId w:val="130"/>
              </w:numPr>
              <w:rPr>
                <w:rFonts w:ascii="Times New Roman" w:hAnsi="Times New Roman" w:cs="Times New Roman"/>
                <w:sz w:val="20"/>
                <w:szCs w:val="20"/>
              </w:rPr>
            </w:pPr>
            <w:r w:rsidRPr="00C538DB">
              <w:rPr>
                <w:rFonts w:ascii="Times New Roman" w:hAnsi="Times New Roman" w:cs="Times New Roman"/>
                <w:sz w:val="20"/>
                <w:szCs w:val="20"/>
              </w:rPr>
              <w:t>Gas</w:t>
            </w:r>
          </w:p>
          <w:p w14:paraId="1CECC0EC" w14:textId="77777777" w:rsidR="00C538DB" w:rsidRDefault="00C538DB" w:rsidP="00C538DB">
            <w:pPr>
              <w:numPr>
                <w:ilvl w:val="0"/>
                <w:numId w:val="130"/>
              </w:numPr>
              <w:rPr>
                <w:rFonts w:ascii="Times New Roman" w:hAnsi="Times New Roman" w:cs="Times New Roman"/>
                <w:sz w:val="20"/>
                <w:szCs w:val="20"/>
              </w:rPr>
            </w:pPr>
            <w:r>
              <w:rPr>
                <w:rFonts w:ascii="Times New Roman" w:hAnsi="Times New Roman" w:cs="Times New Roman"/>
                <w:sz w:val="20"/>
                <w:szCs w:val="20"/>
              </w:rPr>
              <w:t xml:space="preserve">Petrol </w:t>
            </w:r>
          </w:p>
          <w:p w14:paraId="41B1CE24" w14:textId="77777777" w:rsidR="00C538DB" w:rsidRPr="00C538DB" w:rsidRDefault="00C538DB" w:rsidP="00C538DB">
            <w:pPr>
              <w:numPr>
                <w:ilvl w:val="0"/>
                <w:numId w:val="130"/>
              </w:numPr>
              <w:rPr>
                <w:rFonts w:ascii="Times New Roman" w:hAnsi="Times New Roman" w:cs="Times New Roman"/>
                <w:sz w:val="20"/>
                <w:szCs w:val="20"/>
              </w:rPr>
            </w:pPr>
            <w:r>
              <w:rPr>
                <w:rFonts w:ascii="Times New Roman" w:hAnsi="Times New Roman" w:cs="Times New Roman"/>
                <w:sz w:val="20"/>
                <w:szCs w:val="20"/>
              </w:rPr>
              <w:t>Fuel oil</w:t>
            </w:r>
          </w:p>
        </w:tc>
        <w:tc>
          <w:tcPr>
            <w:tcW w:w="2241" w:type="dxa"/>
            <w:tcBorders>
              <w:top w:val="single" w:sz="6" w:space="0" w:color="002245"/>
              <w:bottom w:val="single" w:sz="6" w:space="0" w:color="002245"/>
              <w:right w:val="single" w:sz="6" w:space="0" w:color="002245"/>
            </w:tcBorders>
          </w:tcPr>
          <w:p w14:paraId="5D3E0717" w14:textId="77777777" w:rsidR="00C538DB" w:rsidRPr="00C538DB" w:rsidRDefault="00C538DB" w:rsidP="00C538DB">
            <w:pPr>
              <w:numPr>
                <w:ilvl w:val="0"/>
                <w:numId w:val="130"/>
              </w:numPr>
              <w:rPr>
                <w:rFonts w:ascii="Times New Roman" w:hAnsi="Times New Roman" w:cs="Times New Roman"/>
                <w:sz w:val="20"/>
                <w:szCs w:val="20"/>
              </w:rPr>
            </w:pPr>
            <w:r w:rsidRPr="00C91EA2">
              <w:rPr>
                <w:rFonts w:ascii="Times New Roman" w:hAnsi="Times New Roman" w:cs="Times New Roman"/>
                <w:sz w:val="20"/>
                <w:szCs w:val="20"/>
              </w:rPr>
              <w:t>Transport of cargo</w:t>
            </w:r>
          </w:p>
          <w:p w14:paraId="2FA2F4F1" w14:textId="77777777" w:rsidR="00C538DB" w:rsidRPr="00C91EA2" w:rsidRDefault="00C538DB" w:rsidP="00C538DB">
            <w:pPr>
              <w:numPr>
                <w:ilvl w:val="0"/>
                <w:numId w:val="130"/>
              </w:numPr>
              <w:rPr>
                <w:rFonts w:ascii="Times New Roman" w:hAnsi="Times New Roman" w:cs="Times New Roman"/>
                <w:sz w:val="20"/>
                <w:szCs w:val="20"/>
              </w:rPr>
            </w:pPr>
            <w:r w:rsidRPr="00C91EA2">
              <w:rPr>
                <w:rFonts w:ascii="Times New Roman" w:hAnsi="Times New Roman" w:cs="Times New Roman"/>
                <w:sz w:val="20"/>
                <w:szCs w:val="20"/>
              </w:rPr>
              <w:t>Pharmaceuticals</w:t>
            </w:r>
          </w:p>
          <w:p w14:paraId="199B977F" w14:textId="77777777" w:rsidR="00C538DB" w:rsidRPr="00C91EA2" w:rsidRDefault="00C538DB" w:rsidP="00C538DB">
            <w:pPr>
              <w:ind w:left="720"/>
              <w:rPr>
                <w:rFonts w:ascii="Times New Roman" w:hAnsi="Times New Roman" w:cs="Times New Roman"/>
                <w:sz w:val="20"/>
                <w:szCs w:val="20"/>
              </w:rPr>
            </w:pPr>
          </w:p>
        </w:tc>
      </w:tr>
      <w:tr w:rsidR="00D8433E" w:rsidRPr="00C91EA2" w14:paraId="7F891A02" w14:textId="77777777" w:rsidTr="00D8433E">
        <w:trPr>
          <w:trHeight w:val="23"/>
        </w:trPr>
        <w:tc>
          <w:tcPr>
            <w:tcW w:w="8632" w:type="dxa"/>
            <w:gridSpan w:val="4"/>
            <w:tcBorders>
              <w:top w:val="single" w:sz="6" w:space="0" w:color="002245"/>
              <w:left w:val="single" w:sz="6" w:space="0" w:color="002245"/>
              <w:bottom w:val="single" w:sz="6" w:space="0" w:color="002245"/>
              <w:right w:val="single" w:sz="6" w:space="0" w:color="002245"/>
            </w:tcBorders>
            <w:tcMar>
              <w:top w:w="72" w:type="dxa"/>
              <w:left w:w="144" w:type="dxa"/>
              <w:bottom w:w="72" w:type="dxa"/>
              <w:right w:w="144" w:type="dxa"/>
            </w:tcMar>
            <w:hideMark/>
          </w:tcPr>
          <w:p w14:paraId="5008E013" w14:textId="77777777" w:rsidR="00D8433E" w:rsidRPr="00C91EA2" w:rsidRDefault="00D8433E">
            <w:pPr>
              <w:rPr>
                <w:rFonts w:ascii="Times New Roman" w:hAnsi="Times New Roman" w:cs="Times New Roman"/>
                <w:sz w:val="20"/>
                <w:szCs w:val="20"/>
              </w:rPr>
            </w:pPr>
            <w:r w:rsidRPr="00C91EA2">
              <w:rPr>
                <w:rFonts w:ascii="Times New Roman" w:hAnsi="Times New Roman" w:cs="Times New Roman"/>
                <w:sz w:val="20"/>
                <w:szCs w:val="20"/>
              </w:rPr>
              <w:t xml:space="preserve">Source: </w:t>
            </w:r>
            <w:r>
              <w:rPr>
                <w:rFonts w:ascii="Times New Roman" w:hAnsi="Times New Roman" w:cs="Times New Roman"/>
                <w:sz w:val="20"/>
                <w:szCs w:val="20"/>
              </w:rPr>
              <w:t>OECD-WBG PMR (2017)</w:t>
            </w:r>
            <w:r w:rsidRPr="00C91EA2">
              <w:rPr>
                <w:rFonts w:ascii="Times New Roman" w:hAnsi="Times New Roman" w:cs="Times New Roman"/>
                <w:sz w:val="20"/>
                <w:szCs w:val="20"/>
              </w:rPr>
              <w:t xml:space="preserve"> and </w:t>
            </w:r>
            <w:r w:rsidR="002055C0">
              <w:rPr>
                <w:rFonts w:ascii="Times New Roman" w:hAnsi="Times New Roman" w:cs="Times New Roman"/>
                <w:sz w:val="20"/>
                <w:szCs w:val="20"/>
              </w:rPr>
              <w:t xml:space="preserve">Markets and </w:t>
            </w:r>
            <w:r w:rsidRPr="00C91EA2">
              <w:rPr>
                <w:rFonts w:ascii="Times New Roman" w:hAnsi="Times New Roman" w:cs="Times New Roman"/>
                <w:sz w:val="20"/>
                <w:szCs w:val="20"/>
              </w:rPr>
              <w:t>Competition Team elaboration</w:t>
            </w:r>
          </w:p>
        </w:tc>
      </w:tr>
    </w:tbl>
    <w:p w14:paraId="49B7B39D" w14:textId="77777777" w:rsidR="0043271C" w:rsidRPr="00C91EA2" w:rsidRDefault="0043271C" w:rsidP="0043271C">
      <w:pPr>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6D18B640"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277275AA" w14:textId="771D02D8" w:rsidR="0043271C" w:rsidRPr="00C91EA2" w:rsidRDefault="0043271C">
            <w:pPr>
              <w:pStyle w:val="Caption"/>
              <w:keepNext/>
              <w:rPr>
                <w:rFonts w:ascii="Times New Roman" w:hAnsi="Times New Roman"/>
              </w:rPr>
            </w:pPr>
            <w:bookmarkStart w:id="140" w:name="_Ref497123655"/>
            <w:bookmarkStart w:id="141" w:name="_Toc497990878"/>
            <w:bookmarkStart w:id="142" w:name="_Toc520725586"/>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30</w:t>
            </w:r>
            <w:r w:rsidR="00D91B27">
              <w:rPr>
                <w:rFonts w:ascii="Times New Roman" w:hAnsi="Times New Roman"/>
              </w:rPr>
              <w:fldChar w:fldCharType="end"/>
            </w:r>
            <w:bookmarkEnd w:id="140"/>
            <w:r w:rsidRPr="00C91EA2">
              <w:rPr>
                <w:rFonts w:ascii="Times New Roman" w:hAnsi="Times New Roman"/>
              </w:rPr>
              <w:t xml:space="preserve">: Price Controls </w:t>
            </w:r>
            <w:bookmarkEnd w:id="141"/>
            <w:r w:rsidR="00AF7BFA">
              <w:rPr>
                <w:rFonts w:ascii="Times New Roman" w:hAnsi="Times New Roman"/>
              </w:rPr>
              <w:t>in Senegal and Comparator Countries</w:t>
            </w:r>
            <w:bookmarkEnd w:id="142"/>
            <w:r w:rsidR="00AF7BFA">
              <w:rPr>
                <w:rFonts w:ascii="Times New Roman" w:hAnsi="Times New Roman"/>
              </w:rPr>
              <w:t xml:space="preserve"> </w:t>
            </w:r>
          </w:p>
        </w:tc>
      </w:tr>
      <w:tr w:rsidR="0043271C" w:rsidRPr="00C91EA2" w14:paraId="7909E85B" w14:textId="77777777" w:rsidTr="00FC7B02">
        <w:tc>
          <w:tcPr>
            <w:tcW w:w="8630" w:type="dxa"/>
            <w:tcBorders>
              <w:top w:val="single" w:sz="4" w:space="0" w:color="auto"/>
              <w:left w:val="single" w:sz="4" w:space="0" w:color="auto"/>
              <w:bottom w:val="single" w:sz="4" w:space="0" w:color="auto"/>
              <w:right w:val="single" w:sz="4" w:space="0" w:color="auto"/>
            </w:tcBorders>
            <w:hideMark/>
          </w:tcPr>
          <w:p w14:paraId="681497A1" w14:textId="77777777" w:rsidR="0043271C" w:rsidRPr="00C91EA2" w:rsidRDefault="00FC7B02">
            <w:pPr>
              <w:rPr>
                <w:rFonts w:ascii="Times New Roman" w:hAnsi="Times New Roman" w:cs="Times New Roman"/>
              </w:rPr>
            </w:pPr>
            <w:r>
              <w:rPr>
                <w:noProof/>
              </w:rPr>
              <w:drawing>
                <wp:inline distT="0" distB="0" distL="0" distR="0" wp14:anchorId="45269D53" wp14:editId="756E5E87">
                  <wp:extent cx="5486400" cy="3312795"/>
                  <wp:effectExtent l="0" t="0" r="0" b="1905"/>
                  <wp:docPr id="131" name="Chart 131">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43271C" w:rsidRPr="00C91EA2" w14:paraId="6BFB99BE"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0C23E858" w14:textId="77777777" w:rsidR="0043271C" w:rsidRPr="00C91EA2" w:rsidRDefault="0043271C">
            <w:pPr>
              <w:rPr>
                <w:rFonts w:ascii="Times New Roman" w:hAnsi="Times New Roman" w:cs="Times New Roman"/>
                <w:sz w:val="20"/>
              </w:rPr>
            </w:pPr>
            <w:r w:rsidRPr="00C91EA2">
              <w:rPr>
                <w:rFonts w:ascii="Times New Roman" w:hAnsi="Times New Roman" w:cs="Times New Roman"/>
                <w:sz w:val="20"/>
              </w:rPr>
              <w:t xml:space="preserve">Source: </w:t>
            </w:r>
            <w:r w:rsidR="00A4434F">
              <w:rPr>
                <w:rFonts w:ascii="Times New Roman" w:hAnsi="Times New Roman" w:cs="Times New Roman"/>
                <w:sz w:val="20"/>
              </w:rPr>
              <w:t>OECD-WBG PMR (2017)</w:t>
            </w:r>
          </w:p>
          <w:p w14:paraId="5895200E" w14:textId="77777777" w:rsidR="0043271C" w:rsidRPr="00C91EA2" w:rsidRDefault="0043271C">
            <w:pPr>
              <w:rPr>
                <w:rFonts w:ascii="Times New Roman" w:hAnsi="Times New Roman" w:cs="Times New Roman"/>
              </w:rPr>
            </w:pPr>
            <w:r w:rsidRPr="00C91EA2">
              <w:rPr>
                <w:rFonts w:ascii="Times New Roman" w:hAnsi="Times New Roman" w:cs="Times New Roman"/>
                <w:sz w:val="20"/>
              </w:rPr>
              <w:t>Note: The top 5 performers are Lithuania, Austria, Sweden, France and the United States</w:t>
            </w:r>
          </w:p>
        </w:tc>
      </w:tr>
    </w:tbl>
    <w:p w14:paraId="2E45F401" w14:textId="77777777" w:rsidR="0043271C" w:rsidRPr="00C91EA2" w:rsidRDefault="0043271C" w:rsidP="0043271C">
      <w:pPr>
        <w:rPr>
          <w:rFonts w:ascii="Times New Roman" w:hAnsi="Times New Roman" w:cs="Times New Roman"/>
        </w:rPr>
      </w:pPr>
    </w:p>
    <w:p w14:paraId="4CAE8615" w14:textId="77777777" w:rsidR="0043271C" w:rsidRPr="00C91EA2" w:rsidRDefault="0043271C" w:rsidP="0043271C">
      <w:pPr>
        <w:rPr>
          <w:rFonts w:ascii="Times New Roman" w:hAnsi="Times New Roman" w:cs="Times New Roman"/>
        </w:rPr>
      </w:pPr>
    </w:p>
    <w:p w14:paraId="5E5AA48D" w14:textId="77777777" w:rsidR="0043271C" w:rsidRPr="00C91EA2" w:rsidRDefault="00576A60" w:rsidP="0043271C">
      <w:pPr>
        <w:pStyle w:val="Heading2"/>
        <w:keepNext w:val="0"/>
        <w:keepLines w:val="0"/>
        <w:spacing w:before="0" w:after="200"/>
        <w:jc w:val="both"/>
        <w:rPr>
          <w:rFonts w:ascii="Times New Roman" w:hAnsi="Times New Roman" w:cs="Times New Roman"/>
        </w:rPr>
      </w:pPr>
      <w:bookmarkStart w:id="143" w:name="_Toc520724104"/>
      <w:bookmarkStart w:id="144" w:name="_Toc497990823"/>
      <w:r w:rsidRPr="00C91EA2">
        <w:rPr>
          <w:rFonts w:ascii="Times New Roman" w:hAnsi="Times New Roman" w:cs="Times New Roman"/>
        </w:rPr>
        <w:t xml:space="preserve">3.2 </w:t>
      </w:r>
      <w:r w:rsidR="002D5C71">
        <w:rPr>
          <w:rFonts w:ascii="Times New Roman" w:hAnsi="Times New Roman" w:cs="Times New Roman"/>
        </w:rPr>
        <w:t>Entry R</w:t>
      </w:r>
      <w:r w:rsidR="0043271C" w:rsidRPr="00C91EA2">
        <w:rPr>
          <w:rFonts w:ascii="Times New Roman" w:hAnsi="Times New Roman" w:cs="Times New Roman"/>
        </w:rPr>
        <w:t>e</w:t>
      </w:r>
      <w:r w:rsidR="002D5C71">
        <w:rPr>
          <w:rFonts w:ascii="Times New Roman" w:hAnsi="Times New Roman" w:cs="Times New Roman"/>
        </w:rPr>
        <w:t>strictions that Inhibit Competition and Private Sector Development in Key S</w:t>
      </w:r>
      <w:r w:rsidR="0043271C" w:rsidRPr="00C91EA2">
        <w:rPr>
          <w:rFonts w:ascii="Times New Roman" w:hAnsi="Times New Roman" w:cs="Times New Roman"/>
        </w:rPr>
        <w:t>ectors</w:t>
      </w:r>
      <w:bookmarkEnd w:id="143"/>
      <w:r w:rsidR="0043271C" w:rsidRPr="00C91EA2">
        <w:rPr>
          <w:rFonts w:ascii="Times New Roman" w:hAnsi="Times New Roman" w:cs="Times New Roman"/>
        </w:rPr>
        <w:t xml:space="preserve"> </w:t>
      </w:r>
      <w:bookmarkEnd w:id="144"/>
    </w:p>
    <w:p w14:paraId="566795A8" w14:textId="0C3C9C8A"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Senegal has room to improve its regulatory framework on entry and rivalry </w:t>
      </w:r>
      <w:r w:rsidR="00FB275E" w:rsidRPr="00C91EA2">
        <w:rPr>
          <w:rFonts w:ascii="Times New Roman" w:hAnsi="Times New Roman" w:cs="Times New Roman"/>
          <w:b/>
        </w:rPr>
        <w:t>to</w:t>
      </w:r>
      <w:r w:rsidRPr="00C91EA2">
        <w:rPr>
          <w:rFonts w:ascii="Times New Roman" w:hAnsi="Times New Roman" w:cs="Times New Roman"/>
          <w:b/>
        </w:rPr>
        <w:t xml:space="preserve"> facilitate private sector investment and growth. </w:t>
      </w:r>
      <w:r w:rsidRPr="00C91EA2">
        <w:rPr>
          <w:rFonts w:ascii="Times New Roman" w:hAnsi="Times New Roman" w:cs="Times New Roman"/>
        </w:rPr>
        <w:t xml:space="preserve">Barriers to entry and rivalry include the complexity of regulatory procedures, administrative burdens on startups and the regulatory protection of incumbents. Senegal’s PMR score of 2.73 </w:t>
      </w:r>
      <w:r w:rsidR="00BC3055">
        <w:rPr>
          <w:rFonts w:ascii="Times New Roman" w:hAnsi="Times New Roman" w:cs="Times New Roman"/>
        </w:rPr>
        <w:t>places</w:t>
      </w:r>
      <w:r w:rsidRPr="00C91EA2">
        <w:rPr>
          <w:rFonts w:ascii="Times New Roman" w:hAnsi="Times New Roman" w:cs="Times New Roman"/>
        </w:rPr>
        <w:t xml:space="preserve"> the country </w:t>
      </w:r>
      <w:r w:rsidR="00941A13">
        <w:rPr>
          <w:rFonts w:ascii="Times New Roman" w:hAnsi="Times New Roman" w:cs="Times New Roman"/>
        </w:rPr>
        <w:t>towards</w:t>
      </w:r>
      <w:r w:rsidRPr="00C91EA2">
        <w:rPr>
          <w:rFonts w:ascii="Times New Roman" w:hAnsi="Times New Roman" w:cs="Times New Roman"/>
        </w:rPr>
        <w:t xml:space="preserve"> the bottom half of comparator countries (</w:t>
      </w:r>
      <w:r w:rsidRPr="00C91EA2">
        <w:rPr>
          <w:rFonts w:ascii="Times New Roman" w:hAnsi="Times New Roman" w:cs="Times New Roman"/>
        </w:rPr>
        <w:fldChar w:fldCharType="begin"/>
      </w:r>
      <w:r w:rsidRPr="00C91EA2">
        <w:rPr>
          <w:rFonts w:ascii="Times New Roman" w:hAnsi="Times New Roman" w:cs="Times New Roman"/>
        </w:rPr>
        <w:instrText xml:space="preserve"> REF _Ref497126290 \h </w:instrText>
      </w:r>
      <w:r w:rsidR="00C91EA2">
        <w:rPr>
          <w:rFonts w:ascii="Times New Roman" w:hAnsi="Times New Roman" w:cs="Times New Roman"/>
        </w:rPr>
        <w:instrText xml:space="preserve">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31</w:t>
      </w:r>
      <w:r w:rsidRPr="00C91EA2">
        <w:rPr>
          <w:rFonts w:ascii="Times New Roman" w:hAnsi="Times New Roman" w:cs="Times New Roman"/>
        </w:rPr>
        <w:fldChar w:fldCharType="end"/>
      </w:r>
      <w:r w:rsidRPr="00C91EA2">
        <w:rPr>
          <w:rFonts w:ascii="Times New Roman" w:hAnsi="Times New Roman" w:cs="Times New Roman"/>
        </w:rPr>
        <w:t>), indicating more restrictive procedures to entry and rivalry than in most countries from Latin American and Eastern Europe and Central Asia.</w:t>
      </w:r>
    </w:p>
    <w:p w14:paraId="5EE51F1A"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3A6318C2"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16E716D1" w14:textId="2CB31DD6" w:rsidR="0043271C" w:rsidRPr="00C91EA2" w:rsidRDefault="0043271C">
            <w:pPr>
              <w:pStyle w:val="Caption"/>
              <w:keepNext/>
              <w:rPr>
                <w:rFonts w:ascii="Times New Roman" w:hAnsi="Times New Roman"/>
              </w:rPr>
            </w:pPr>
            <w:bookmarkStart w:id="145" w:name="_Ref497126290"/>
            <w:bookmarkStart w:id="146" w:name="_Ref497126285"/>
            <w:bookmarkStart w:id="147" w:name="_Toc497990879"/>
            <w:bookmarkStart w:id="148" w:name="_Toc520725587"/>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31</w:t>
            </w:r>
            <w:r w:rsidR="00D91B27">
              <w:rPr>
                <w:rFonts w:ascii="Times New Roman" w:hAnsi="Times New Roman"/>
              </w:rPr>
              <w:fldChar w:fldCharType="end"/>
            </w:r>
            <w:bookmarkEnd w:id="145"/>
            <w:r w:rsidRPr="00C91EA2">
              <w:rPr>
                <w:rFonts w:ascii="Times New Roman" w:hAnsi="Times New Roman"/>
              </w:rPr>
              <w:t xml:space="preserve">: Barriers to Entry and Rivalry </w:t>
            </w:r>
            <w:bookmarkEnd w:id="146"/>
            <w:bookmarkEnd w:id="147"/>
            <w:r w:rsidR="00807747">
              <w:rPr>
                <w:rFonts w:ascii="Times New Roman" w:hAnsi="Times New Roman"/>
              </w:rPr>
              <w:t>in Senegal and Comparator Countries</w:t>
            </w:r>
            <w:bookmarkEnd w:id="148"/>
            <w:r w:rsidR="00807747">
              <w:rPr>
                <w:rFonts w:ascii="Times New Roman" w:hAnsi="Times New Roman"/>
              </w:rPr>
              <w:t xml:space="preserve"> </w:t>
            </w:r>
          </w:p>
        </w:tc>
      </w:tr>
      <w:tr w:rsidR="0043271C" w:rsidRPr="00C91EA2" w14:paraId="18522696" w14:textId="77777777" w:rsidTr="00FC7B02">
        <w:tc>
          <w:tcPr>
            <w:tcW w:w="8630" w:type="dxa"/>
            <w:tcBorders>
              <w:top w:val="single" w:sz="4" w:space="0" w:color="auto"/>
              <w:left w:val="single" w:sz="4" w:space="0" w:color="auto"/>
              <w:bottom w:val="single" w:sz="4" w:space="0" w:color="auto"/>
              <w:right w:val="single" w:sz="4" w:space="0" w:color="auto"/>
            </w:tcBorders>
            <w:hideMark/>
          </w:tcPr>
          <w:p w14:paraId="06B9933C" w14:textId="77777777" w:rsidR="0043271C" w:rsidRPr="00C91EA2" w:rsidRDefault="00FC7B02">
            <w:pPr>
              <w:rPr>
                <w:rFonts w:ascii="Times New Roman" w:hAnsi="Times New Roman" w:cs="Times New Roman"/>
              </w:rPr>
            </w:pPr>
            <w:r>
              <w:rPr>
                <w:noProof/>
              </w:rPr>
              <w:drawing>
                <wp:inline distT="0" distB="0" distL="0" distR="0" wp14:anchorId="262D5808" wp14:editId="3496EF77">
                  <wp:extent cx="5486400" cy="2870835"/>
                  <wp:effectExtent l="0" t="0" r="0" b="0"/>
                  <wp:docPr id="132" name="Chart 132">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43271C" w:rsidRPr="00C91EA2" w14:paraId="32603BB2"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229F0E67" w14:textId="77777777" w:rsidR="0043271C" w:rsidRPr="00C91EA2" w:rsidRDefault="0043271C">
            <w:pPr>
              <w:rPr>
                <w:rFonts w:ascii="Times New Roman" w:hAnsi="Times New Roman" w:cs="Times New Roman"/>
                <w:sz w:val="20"/>
              </w:rPr>
            </w:pPr>
            <w:r w:rsidRPr="00C91EA2">
              <w:rPr>
                <w:rFonts w:ascii="Times New Roman" w:hAnsi="Times New Roman" w:cs="Times New Roman"/>
                <w:sz w:val="20"/>
              </w:rPr>
              <w:t xml:space="preserve">Source: </w:t>
            </w:r>
            <w:r w:rsidR="00A4434F">
              <w:rPr>
                <w:rFonts w:ascii="Times New Roman" w:hAnsi="Times New Roman" w:cs="Times New Roman"/>
                <w:sz w:val="20"/>
              </w:rPr>
              <w:t>OECD-WBG PMR (2017)</w:t>
            </w:r>
          </w:p>
          <w:p w14:paraId="4AF84AF3" w14:textId="77777777" w:rsidR="0043271C" w:rsidRPr="00C91EA2" w:rsidRDefault="0043271C">
            <w:pPr>
              <w:rPr>
                <w:rFonts w:ascii="Times New Roman" w:hAnsi="Times New Roman" w:cs="Times New Roman"/>
              </w:rPr>
            </w:pPr>
            <w:r w:rsidRPr="00C91EA2">
              <w:rPr>
                <w:rFonts w:ascii="Times New Roman" w:hAnsi="Times New Roman" w:cs="Times New Roman"/>
                <w:sz w:val="20"/>
              </w:rPr>
              <w:t>Note: The top 5 performers are</w:t>
            </w:r>
            <w:r w:rsidR="00160D6A">
              <w:rPr>
                <w:rFonts w:ascii="Times New Roman" w:hAnsi="Times New Roman" w:cs="Times New Roman"/>
                <w:sz w:val="20"/>
              </w:rPr>
              <w:t xml:space="preserve"> Ukraine,</w:t>
            </w:r>
            <w:r w:rsidRPr="00C91EA2">
              <w:rPr>
                <w:rFonts w:ascii="Times New Roman" w:hAnsi="Times New Roman" w:cs="Times New Roman"/>
                <w:sz w:val="20"/>
              </w:rPr>
              <w:t xml:space="preserve"> the Slovak Republic, New Zealand, the Netherlands,</w:t>
            </w:r>
            <w:r w:rsidR="00160D6A">
              <w:rPr>
                <w:rFonts w:ascii="Times New Roman" w:hAnsi="Times New Roman" w:cs="Times New Roman"/>
                <w:sz w:val="20"/>
              </w:rPr>
              <w:t xml:space="preserve"> and</w:t>
            </w:r>
            <w:r w:rsidRPr="00C91EA2">
              <w:rPr>
                <w:rFonts w:ascii="Times New Roman" w:hAnsi="Times New Roman" w:cs="Times New Roman"/>
                <w:sz w:val="20"/>
              </w:rPr>
              <w:t xml:space="preserve"> Italy</w:t>
            </w:r>
          </w:p>
        </w:tc>
      </w:tr>
    </w:tbl>
    <w:p w14:paraId="30DEF953" w14:textId="77777777" w:rsidR="0043271C" w:rsidRDefault="0043271C" w:rsidP="0043271C">
      <w:pPr>
        <w:jc w:val="both"/>
        <w:rPr>
          <w:rFonts w:ascii="Times New Roman" w:hAnsi="Times New Roman" w:cs="Times New Roman"/>
        </w:rPr>
      </w:pPr>
    </w:p>
    <w:p w14:paraId="750FC0F0" w14:textId="77777777" w:rsidR="00711D1F" w:rsidRPr="00C91EA2" w:rsidRDefault="00711D1F" w:rsidP="0043271C">
      <w:pPr>
        <w:jc w:val="both"/>
        <w:rPr>
          <w:rFonts w:ascii="Times New Roman" w:hAnsi="Times New Roman" w:cs="Times New Roman"/>
        </w:rPr>
      </w:pPr>
    </w:p>
    <w:p w14:paraId="7869A494" w14:textId="69F31520"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Complex regulatory procedures are </w:t>
      </w:r>
      <w:r w:rsidR="00ED517A">
        <w:rPr>
          <w:rFonts w:ascii="Times New Roman" w:hAnsi="Times New Roman" w:cs="Times New Roman"/>
          <w:b/>
        </w:rPr>
        <w:t xml:space="preserve">largely contributing to the </w:t>
      </w:r>
      <w:r w:rsidR="00107A4D">
        <w:rPr>
          <w:rFonts w:ascii="Times New Roman" w:hAnsi="Times New Roman" w:cs="Times New Roman"/>
          <w:b/>
        </w:rPr>
        <w:t xml:space="preserve">existing </w:t>
      </w:r>
      <w:r w:rsidR="00107A4D" w:rsidRPr="00C91EA2">
        <w:rPr>
          <w:rFonts w:ascii="Times New Roman" w:hAnsi="Times New Roman" w:cs="Times New Roman"/>
          <w:b/>
        </w:rPr>
        <w:t>barriers</w:t>
      </w:r>
      <w:r w:rsidRPr="00C91EA2">
        <w:rPr>
          <w:rFonts w:ascii="Times New Roman" w:hAnsi="Times New Roman" w:cs="Times New Roman"/>
          <w:b/>
        </w:rPr>
        <w:t xml:space="preserve"> to entry and rivalry</w:t>
      </w:r>
      <w:r w:rsidR="00ED517A">
        <w:rPr>
          <w:rFonts w:ascii="Times New Roman" w:hAnsi="Times New Roman" w:cs="Times New Roman"/>
          <w:b/>
        </w:rPr>
        <w:t xml:space="preserve"> in Senegal</w:t>
      </w:r>
      <w:r w:rsidRPr="00C91EA2">
        <w:rPr>
          <w:rFonts w:ascii="Times New Roman" w:hAnsi="Times New Roman" w:cs="Times New Roman"/>
          <w:b/>
        </w:rPr>
        <w:t xml:space="preserve">. </w:t>
      </w:r>
      <w:r w:rsidR="00107A4D" w:rsidRPr="00107A4D">
        <w:rPr>
          <w:rFonts w:ascii="Times New Roman" w:hAnsi="Times New Roman" w:cs="Times New Roman"/>
        </w:rPr>
        <w:t>Next, administrative</w:t>
      </w:r>
      <w:r w:rsidR="00107A4D">
        <w:rPr>
          <w:rFonts w:ascii="Times New Roman" w:hAnsi="Times New Roman" w:cs="Times New Roman"/>
          <w:b/>
        </w:rPr>
        <w:t xml:space="preserve"> </w:t>
      </w:r>
      <w:r w:rsidR="00107A4D">
        <w:rPr>
          <w:rFonts w:ascii="Times New Roman" w:hAnsi="Times New Roman" w:cs="Times New Roman"/>
        </w:rPr>
        <w:t>b</w:t>
      </w:r>
      <w:r w:rsidRPr="00C91EA2">
        <w:rPr>
          <w:rFonts w:ascii="Times New Roman" w:hAnsi="Times New Roman" w:cs="Times New Roman"/>
        </w:rPr>
        <w:t>urdens on startups, particularly in the services sectors, and the regulatory protection of incumbents contribute roughly equally</w:t>
      </w:r>
      <w:r w:rsidR="00107A4D">
        <w:rPr>
          <w:rFonts w:ascii="Times New Roman" w:hAnsi="Times New Roman" w:cs="Times New Roman"/>
        </w:rPr>
        <w:t xml:space="preserve"> to the PMR sub-indicator</w:t>
      </w:r>
      <w:r w:rsidRPr="00C91EA2">
        <w:rPr>
          <w:rFonts w:ascii="Times New Roman" w:hAnsi="Times New Roman" w:cs="Times New Roman"/>
        </w:rPr>
        <w:t xml:space="preserve">. The score for the latter is primarily driven by barriers in network sectors, which have already been mentioned above. The score for the former is relatively equally </w:t>
      </w:r>
      <w:r w:rsidR="00734012">
        <w:rPr>
          <w:rFonts w:ascii="Times New Roman" w:hAnsi="Times New Roman" w:cs="Times New Roman"/>
        </w:rPr>
        <w:t>driven by the existing regulatory</w:t>
      </w:r>
      <w:r w:rsidRPr="00C91EA2">
        <w:rPr>
          <w:rFonts w:ascii="Times New Roman" w:hAnsi="Times New Roman" w:cs="Times New Roman"/>
        </w:rPr>
        <w:t xml:space="preserve"> barriers in </w:t>
      </w:r>
      <w:r w:rsidR="00734012">
        <w:rPr>
          <w:rFonts w:ascii="Times New Roman" w:hAnsi="Times New Roman" w:cs="Times New Roman"/>
        </w:rPr>
        <w:t xml:space="preserve">the </w:t>
      </w:r>
      <w:r w:rsidRPr="00C91EA2">
        <w:rPr>
          <w:rFonts w:ascii="Times New Roman" w:hAnsi="Times New Roman" w:cs="Times New Roman"/>
        </w:rPr>
        <w:t>services sectors, administrative burdens for sole proprietor firms and administrative burdens for corporations</w:t>
      </w:r>
      <w:r w:rsidR="00107A4D">
        <w:rPr>
          <w:rFonts w:ascii="Times New Roman" w:hAnsi="Times New Roman" w:cs="Times New Roman"/>
        </w:rPr>
        <w:t>, all of which may ultimately raise business costs for firms and affect their ability to enter and to invest</w:t>
      </w:r>
      <w:r w:rsidRPr="00C91EA2">
        <w:rPr>
          <w:rFonts w:ascii="Times New Roman" w:hAnsi="Times New Roman" w:cs="Times New Roman"/>
        </w:rPr>
        <w:t xml:space="preserve"> (</w:t>
      </w:r>
      <w:r w:rsidRPr="00C91EA2">
        <w:rPr>
          <w:rFonts w:ascii="Times New Roman" w:hAnsi="Times New Roman" w:cs="Times New Roman"/>
        </w:rPr>
        <w:fldChar w:fldCharType="begin"/>
      </w:r>
      <w:r w:rsidRPr="00C91EA2">
        <w:rPr>
          <w:rFonts w:ascii="Times New Roman" w:hAnsi="Times New Roman" w:cs="Times New Roman"/>
        </w:rPr>
        <w:instrText xml:space="preserve"> REF _Ref497126374 \h </w:instrText>
      </w:r>
      <w:r w:rsidR="00C91EA2">
        <w:rPr>
          <w:rFonts w:ascii="Times New Roman" w:hAnsi="Times New Roman" w:cs="Times New Roman"/>
        </w:rPr>
        <w:instrText xml:space="preserve">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32</w:t>
      </w:r>
      <w:r w:rsidRPr="00C91EA2">
        <w:rPr>
          <w:rFonts w:ascii="Times New Roman" w:hAnsi="Times New Roman" w:cs="Times New Roman"/>
        </w:rPr>
        <w:fldChar w:fldCharType="end"/>
      </w:r>
      <w:r w:rsidRPr="00C91EA2">
        <w:rPr>
          <w:rFonts w:ascii="Times New Roman" w:hAnsi="Times New Roman" w:cs="Times New Roman"/>
        </w:rPr>
        <w:t>).</w:t>
      </w:r>
    </w:p>
    <w:p w14:paraId="07DBC977"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2397"/>
        <w:gridCol w:w="6233"/>
      </w:tblGrid>
      <w:tr w:rsidR="0043271C" w:rsidRPr="00C91EA2" w14:paraId="63202D87" w14:textId="77777777" w:rsidTr="0043271C">
        <w:tc>
          <w:tcPr>
            <w:tcW w:w="8856" w:type="dxa"/>
            <w:gridSpan w:val="2"/>
            <w:tcBorders>
              <w:top w:val="single" w:sz="4" w:space="0" w:color="auto"/>
              <w:left w:val="single" w:sz="4" w:space="0" w:color="auto"/>
              <w:bottom w:val="single" w:sz="4" w:space="0" w:color="auto"/>
              <w:right w:val="single" w:sz="4" w:space="0" w:color="auto"/>
            </w:tcBorders>
            <w:hideMark/>
          </w:tcPr>
          <w:p w14:paraId="15CC8BE9" w14:textId="6BD4BD94" w:rsidR="0043271C" w:rsidRPr="00C91EA2" w:rsidRDefault="0043271C">
            <w:pPr>
              <w:pStyle w:val="Caption"/>
              <w:keepNext/>
              <w:jc w:val="both"/>
              <w:rPr>
                <w:rFonts w:ascii="Times New Roman" w:hAnsi="Times New Roman"/>
              </w:rPr>
            </w:pPr>
            <w:bookmarkStart w:id="149" w:name="_Ref497126374"/>
            <w:bookmarkStart w:id="150" w:name="_Toc497990880"/>
            <w:bookmarkStart w:id="151" w:name="_Toc520725588"/>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32</w:t>
            </w:r>
            <w:r w:rsidR="00D91B27">
              <w:rPr>
                <w:rFonts w:ascii="Times New Roman" w:hAnsi="Times New Roman"/>
              </w:rPr>
              <w:fldChar w:fldCharType="end"/>
            </w:r>
            <w:bookmarkEnd w:id="149"/>
            <w:r w:rsidRPr="00C91EA2">
              <w:rPr>
                <w:rFonts w:ascii="Times New Roman" w:hAnsi="Times New Roman"/>
              </w:rPr>
              <w:t>: Barriers to Entry and Rivalry, Composition</w:t>
            </w:r>
            <w:bookmarkEnd w:id="150"/>
            <w:bookmarkEnd w:id="151"/>
          </w:p>
        </w:tc>
      </w:tr>
      <w:tr w:rsidR="0043271C" w:rsidRPr="00C91EA2" w14:paraId="2363A19D" w14:textId="77777777" w:rsidTr="0043271C">
        <w:tc>
          <w:tcPr>
            <w:tcW w:w="3505" w:type="dxa"/>
            <w:tcBorders>
              <w:top w:val="single" w:sz="4" w:space="0" w:color="auto"/>
              <w:left w:val="single" w:sz="4" w:space="0" w:color="auto"/>
              <w:bottom w:val="single" w:sz="4" w:space="0" w:color="auto"/>
              <w:right w:val="nil"/>
            </w:tcBorders>
            <w:hideMark/>
          </w:tcPr>
          <w:p w14:paraId="647F839C" w14:textId="77777777" w:rsidR="0043271C" w:rsidRPr="00C91EA2" w:rsidRDefault="0043271C">
            <w:pPr>
              <w:jc w:val="both"/>
              <w:rPr>
                <w:rFonts w:ascii="Times New Roman" w:hAnsi="Times New Roman" w:cs="Times New Roman"/>
              </w:rPr>
            </w:pPr>
            <w:r w:rsidRPr="00C91EA2">
              <w:rPr>
                <w:rFonts w:ascii="Times New Roman" w:hAnsi="Times New Roman" w:cs="Times New Roman"/>
                <w:noProof/>
              </w:rPr>
              <w:drawing>
                <wp:inline distT="0" distB="0" distL="0" distR="0" wp14:anchorId="1D6D89CA" wp14:editId="0E4BD0E5">
                  <wp:extent cx="1457325" cy="3157752"/>
                  <wp:effectExtent l="0" t="0" r="0" b="0"/>
                  <wp:docPr id="151" name="Chart 15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5351" w:type="dxa"/>
            <w:tcBorders>
              <w:top w:val="single" w:sz="4" w:space="0" w:color="auto"/>
              <w:left w:val="nil"/>
              <w:bottom w:val="single" w:sz="4" w:space="0" w:color="auto"/>
              <w:right w:val="single" w:sz="4" w:space="0" w:color="auto"/>
            </w:tcBorders>
            <w:hideMark/>
          </w:tcPr>
          <w:p w14:paraId="0AE8E346" w14:textId="77777777" w:rsidR="0043271C" w:rsidRPr="00C91EA2" w:rsidRDefault="0043271C">
            <w:pPr>
              <w:jc w:val="both"/>
              <w:rPr>
                <w:rFonts w:ascii="Times New Roman" w:hAnsi="Times New Roman" w:cs="Times New Roman"/>
              </w:rPr>
            </w:pPr>
            <w:r w:rsidRPr="00C91EA2">
              <w:rPr>
                <w:rFonts w:ascii="Times New Roman" w:hAnsi="Times New Roman" w:cs="Times New Roman"/>
                <w:noProof/>
              </w:rPr>
              <w:drawing>
                <wp:inline distT="0" distB="0" distL="0" distR="0" wp14:anchorId="0D9991C0" wp14:editId="57791AD6">
                  <wp:extent cx="4019550" cy="2743200"/>
                  <wp:effectExtent l="0" t="0" r="0" b="0"/>
                  <wp:docPr id="150" name="Chart 150">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43271C" w:rsidRPr="00C91EA2" w14:paraId="5106EB37" w14:textId="77777777" w:rsidTr="0043271C">
        <w:tc>
          <w:tcPr>
            <w:tcW w:w="8856" w:type="dxa"/>
            <w:gridSpan w:val="2"/>
            <w:tcBorders>
              <w:top w:val="single" w:sz="4" w:space="0" w:color="auto"/>
              <w:left w:val="single" w:sz="4" w:space="0" w:color="auto"/>
              <w:bottom w:val="single" w:sz="4" w:space="0" w:color="auto"/>
              <w:right w:val="single" w:sz="4" w:space="0" w:color="auto"/>
            </w:tcBorders>
            <w:hideMark/>
          </w:tcPr>
          <w:p w14:paraId="403BCBD1" w14:textId="77777777" w:rsidR="0043271C" w:rsidRPr="00C91EA2" w:rsidRDefault="0043271C">
            <w:pPr>
              <w:jc w:val="both"/>
              <w:rPr>
                <w:rFonts w:ascii="Times New Roman" w:hAnsi="Times New Roman" w:cs="Times New Roman"/>
                <w:sz w:val="24"/>
                <w:szCs w:val="24"/>
              </w:rPr>
            </w:pPr>
            <w:r w:rsidRPr="00C91EA2">
              <w:rPr>
                <w:rFonts w:ascii="Times New Roman" w:hAnsi="Times New Roman" w:cs="Times New Roman"/>
                <w:sz w:val="20"/>
                <w:szCs w:val="24"/>
              </w:rPr>
              <w:t xml:space="preserve">Source: </w:t>
            </w:r>
            <w:r w:rsidR="00A4434F">
              <w:rPr>
                <w:rFonts w:ascii="Times New Roman" w:hAnsi="Times New Roman" w:cs="Times New Roman"/>
                <w:sz w:val="20"/>
                <w:szCs w:val="24"/>
              </w:rPr>
              <w:t>OECD-WBG PMR (2017)</w:t>
            </w:r>
          </w:p>
        </w:tc>
      </w:tr>
    </w:tbl>
    <w:p w14:paraId="117A721A" w14:textId="77777777" w:rsidR="0043271C" w:rsidRDefault="0043271C" w:rsidP="0043271C">
      <w:pPr>
        <w:rPr>
          <w:rFonts w:ascii="Times New Roman" w:hAnsi="Times New Roman" w:cs="Times New Roman"/>
        </w:rPr>
      </w:pPr>
    </w:p>
    <w:p w14:paraId="2178101C" w14:textId="77777777" w:rsidR="00711D1F" w:rsidRPr="00C91EA2" w:rsidRDefault="00711D1F" w:rsidP="0043271C">
      <w:pPr>
        <w:rPr>
          <w:rFonts w:ascii="Times New Roman" w:hAnsi="Times New Roman" w:cs="Times New Roman"/>
        </w:rPr>
      </w:pPr>
    </w:p>
    <w:p w14:paraId="160ED2A6" w14:textId="48C18650"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Navigating Senegal’s system of regulations can be difficult</w:t>
      </w:r>
      <w:r w:rsidR="00A03F15">
        <w:rPr>
          <w:rFonts w:ascii="Times New Roman" w:hAnsi="Times New Roman" w:cs="Times New Roman"/>
          <w:b/>
        </w:rPr>
        <w:t xml:space="preserve"> </w:t>
      </w:r>
      <w:r w:rsidRPr="00C91EA2">
        <w:rPr>
          <w:rFonts w:ascii="Times New Roman" w:hAnsi="Times New Roman" w:cs="Times New Roman"/>
          <w:b/>
        </w:rPr>
        <w:t>given that regulations are not easily available</w:t>
      </w:r>
      <w:r w:rsidR="00A03F15">
        <w:rPr>
          <w:rFonts w:ascii="Times New Roman" w:hAnsi="Times New Roman" w:cs="Times New Roman"/>
          <w:b/>
        </w:rPr>
        <w:t>, and this difficulty amplifies competition restrictions</w:t>
      </w:r>
      <w:r w:rsidRPr="00C91EA2">
        <w:rPr>
          <w:rFonts w:ascii="Times New Roman" w:hAnsi="Times New Roman" w:cs="Times New Roman"/>
          <w:b/>
        </w:rPr>
        <w:t xml:space="preserve">. </w:t>
      </w:r>
      <w:r w:rsidRPr="00C91EA2">
        <w:rPr>
          <w:rFonts w:ascii="Times New Roman" w:hAnsi="Times New Roman" w:cs="Times New Roman"/>
        </w:rPr>
        <w:t xml:space="preserve">PMR data indicate that requirements for existing businesses or start-ups and legislation and regulations are not systematically available online. Anticipated changes or planned regulatory reforms are not published on the internet, complicating strategic planning for companies. Existing legislation can be difficult to </w:t>
      </w:r>
      <w:r w:rsidR="00A35814">
        <w:rPr>
          <w:rFonts w:ascii="Times New Roman" w:hAnsi="Times New Roman" w:cs="Times New Roman"/>
        </w:rPr>
        <w:t>interpret and understand</w:t>
      </w:r>
      <w:r w:rsidRPr="00C91EA2">
        <w:rPr>
          <w:rFonts w:ascii="Times New Roman" w:hAnsi="Times New Roman" w:cs="Times New Roman"/>
        </w:rPr>
        <w:t xml:space="preserve"> for companies without sufficient legal sophistication given that there is no law requiring that regulations are published in plain language. Start-ups </w:t>
      </w:r>
      <w:r w:rsidR="002C4BE1">
        <w:rPr>
          <w:rFonts w:ascii="Times New Roman" w:hAnsi="Times New Roman" w:cs="Times New Roman"/>
        </w:rPr>
        <w:t>would struggle to</w:t>
      </w:r>
      <w:r w:rsidRPr="00C91EA2">
        <w:rPr>
          <w:rFonts w:ascii="Times New Roman" w:hAnsi="Times New Roman" w:cs="Times New Roman"/>
        </w:rPr>
        <w:t xml:space="preserve"> ensure that they are in possession of all licenses and permits that are required, because there is no complete account of them available online.</w:t>
      </w:r>
      <w:r w:rsidR="00C854AE">
        <w:rPr>
          <w:rStyle w:val="FootnoteReference"/>
          <w:rFonts w:ascii="Times New Roman" w:hAnsi="Times New Roman" w:cs="Times New Roman"/>
        </w:rPr>
        <w:footnoteReference w:id="83"/>
      </w:r>
      <w:r w:rsidRPr="00C91EA2">
        <w:rPr>
          <w:rFonts w:ascii="Times New Roman" w:hAnsi="Times New Roman" w:cs="Times New Roman"/>
        </w:rPr>
        <w:t xml:space="preserve"> </w:t>
      </w:r>
      <w:r w:rsidR="00EE7E1F" w:rsidRPr="00C91EA2">
        <w:rPr>
          <w:rFonts w:ascii="Times New Roman" w:hAnsi="Times New Roman" w:cs="Times New Roman"/>
        </w:rPr>
        <w:t>Thus</w:t>
      </w:r>
      <w:r w:rsidRPr="00C91EA2">
        <w:rPr>
          <w:rFonts w:ascii="Times New Roman" w:hAnsi="Times New Roman" w:cs="Times New Roman"/>
        </w:rPr>
        <w:t xml:space="preserve">, Senegal compares poorly on measures of entrepreneurship. </w:t>
      </w:r>
      <w:r w:rsidRPr="00C91EA2">
        <w:rPr>
          <w:rFonts w:ascii="Times New Roman" w:hAnsi="Times New Roman" w:cs="Times New Roman"/>
        </w:rPr>
        <w:fldChar w:fldCharType="begin"/>
      </w:r>
      <w:r w:rsidRPr="00C91EA2">
        <w:rPr>
          <w:rFonts w:ascii="Times New Roman" w:hAnsi="Times New Roman" w:cs="Times New Roman"/>
        </w:rPr>
        <w:instrText xml:space="preserve"> REF _Ref497126814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33</w:t>
      </w:r>
      <w:r w:rsidRPr="00C91EA2">
        <w:rPr>
          <w:rFonts w:ascii="Times New Roman" w:hAnsi="Times New Roman" w:cs="Times New Roman"/>
        </w:rPr>
        <w:fldChar w:fldCharType="end"/>
      </w:r>
      <w:r w:rsidRPr="00C91EA2">
        <w:rPr>
          <w:rFonts w:ascii="Times New Roman" w:hAnsi="Times New Roman" w:cs="Times New Roman"/>
        </w:rPr>
        <w:t xml:space="preserve"> highlights that few countries exhibit a more burdensome regulatory environment than </w:t>
      </w:r>
      <w:r w:rsidR="00EE7E1F">
        <w:rPr>
          <w:rFonts w:ascii="Times New Roman" w:hAnsi="Times New Roman" w:cs="Times New Roman"/>
        </w:rPr>
        <w:t xml:space="preserve">that of </w:t>
      </w:r>
      <w:r w:rsidRPr="00C91EA2">
        <w:rPr>
          <w:rFonts w:ascii="Times New Roman" w:hAnsi="Times New Roman" w:cs="Times New Roman"/>
        </w:rPr>
        <w:t xml:space="preserve">Senegal. According to the </w:t>
      </w:r>
      <w:r w:rsidR="005145F8">
        <w:rPr>
          <w:rFonts w:ascii="Times New Roman" w:hAnsi="Times New Roman" w:cs="Times New Roman"/>
        </w:rPr>
        <w:t xml:space="preserve">latest </w:t>
      </w:r>
      <w:r w:rsidRPr="00C91EA2">
        <w:rPr>
          <w:rFonts w:ascii="Times New Roman" w:hAnsi="Times New Roman" w:cs="Times New Roman"/>
        </w:rPr>
        <w:t xml:space="preserve">World Bank’s Doing Business report, </w:t>
      </w:r>
      <w:r w:rsidR="00DE231E">
        <w:rPr>
          <w:rFonts w:ascii="Times New Roman" w:hAnsi="Times New Roman" w:cs="Times New Roman"/>
        </w:rPr>
        <w:t>f</w:t>
      </w:r>
      <w:r w:rsidRPr="00C91EA2">
        <w:rPr>
          <w:rFonts w:ascii="Times New Roman" w:hAnsi="Times New Roman" w:cs="Times New Roman"/>
        </w:rPr>
        <w:t xml:space="preserve">iling taxes takes almost </w:t>
      </w:r>
      <w:r w:rsidR="00CE699A">
        <w:rPr>
          <w:rFonts w:ascii="Times New Roman" w:hAnsi="Times New Roman" w:cs="Times New Roman"/>
        </w:rPr>
        <w:t>double the time</w:t>
      </w:r>
      <w:r w:rsidRPr="00C91EA2">
        <w:rPr>
          <w:rFonts w:ascii="Times New Roman" w:hAnsi="Times New Roman" w:cs="Times New Roman"/>
        </w:rPr>
        <w:t xml:space="preserve"> in Senegal than in other Sub-Saharan African countries (441 vs</w:t>
      </w:r>
      <w:r w:rsidR="00CE699A">
        <w:rPr>
          <w:rFonts w:ascii="Times New Roman" w:hAnsi="Times New Roman" w:cs="Times New Roman"/>
        </w:rPr>
        <w:t>.</w:t>
      </w:r>
      <w:r w:rsidRPr="00C91EA2">
        <w:rPr>
          <w:rFonts w:ascii="Times New Roman" w:hAnsi="Times New Roman" w:cs="Times New Roman"/>
        </w:rPr>
        <w:t xml:space="preserve"> </w:t>
      </w:r>
      <w:r w:rsidR="00EE7E1F">
        <w:rPr>
          <w:rFonts w:ascii="Times New Roman" w:hAnsi="Times New Roman" w:cs="Times New Roman"/>
        </w:rPr>
        <w:t xml:space="preserve">on average </w:t>
      </w:r>
      <w:r w:rsidR="00CE699A">
        <w:rPr>
          <w:rFonts w:ascii="Times New Roman" w:hAnsi="Times New Roman" w:cs="Times New Roman"/>
        </w:rPr>
        <w:t>281</w:t>
      </w:r>
      <w:r w:rsidRPr="00C91EA2">
        <w:rPr>
          <w:rFonts w:ascii="Times New Roman" w:hAnsi="Times New Roman" w:cs="Times New Roman"/>
        </w:rPr>
        <w:t xml:space="preserve"> hours per year).</w:t>
      </w:r>
      <w:r w:rsidR="000D497C">
        <w:rPr>
          <w:rStyle w:val="FootnoteReference"/>
          <w:rFonts w:ascii="Times New Roman" w:hAnsi="Times New Roman" w:cs="Times New Roman"/>
        </w:rPr>
        <w:footnoteReference w:id="84"/>
      </w:r>
      <w:r w:rsidRPr="00C91EA2">
        <w:rPr>
          <w:rFonts w:ascii="Times New Roman" w:hAnsi="Times New Roman" w:cs="Times New Roman"/>
        </w:rPr>
        <w:t xml:space="preserve"> </w:t>
      </w:r>
      <w:r w:rsidR="00A07839">
        <w:rPr>
          <w:rFonts w:ascii="Times New Roman" w:hAnsi="Times New Roman" w:cs="Times New Roman"/>
        </w:rPr>
        <w:t xml:space="preserve">In Senegal, </w:t>
      </w:r>
      <w:r w:rsidR="00E53E59">
        <w:rPr>
          <w:rFonts w:ascii="Times New Roman" w:hAnsi="Times New Roman" w:cs="Times New Roman"/>
        </w:rPr>
        <w:t xml:space="preserve">as the PMR data points out, </w:t>
      </w:r>
      <w:r w:rsidR="00A07839">
        <w:rPr>
          <w:rFonts w:ascii="Times New Roman" w:hAnsi="Times New Roman" w:cs="Times New Roman"/>
        </w:rPr>
        <w:t>there</w:t>
      </w:r>
      <w:r w:rsidRPr="00C91EA2">
        <w:rPr>
          <w:rFonts w:ascii="Times New Roman" w:hAnsi="Times New Roman" w:cs="Times New Roman"/>
        </w:rPr>
        <w:t xml:space="preserve"> is no program underway to review and reduce the </w:t>
      </w:r>
      <w:r w:rsidR="00A07839" w:rsidRPr="00C91EA2">
        <w:rPr>
          <w:rFonts w:ascii="Times New Roman" w:hAnsi="Times New Roman" w:cs="Times New Roman"/>
        </w:rPr>
        <w:t xml:space="preserve">required </w:t>
      </w:r>
      <w:r w:rsidRPr="00C91EA2">
        <w:rPr>
          <w:rFonts w:ascii="Times New Roman" w:hAnsi="Times New Roman" w:cs="Times New Roman"/>
        </w:rPr>
        <w:t>number of licenses and permits.</w:t>
      </w:r>
    </w:p>
    <w:p w14:paraId="51B3E0ED"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3E8FB650"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7CC8CDE5" w14:textId="59784F30" w:rsidR="0043271C" w:rsidRPr="00C91EA2" w:rsidRDefault="0043271C">
            <w:pPr>
              <w:pStyle w:val="Caption"/>
              <w:keepNext/>
              <w:jc w:val="both"/>
              <w:rPr>
                <w:rFonts w:ascii="Times New Roman" w:hAnsi="Times New Roman"/>
              </w:rPr>
            </w:pPr>
            <w:bookmarkStart w:id="152" w:name="_Ref497126814"/>
            <w:bookmarkStart w:id="153" w:name="_Toc497990881"/>
            <w:bookmarkStart w:id="154" w:name="_Toc520725589"/>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33</w:t>
            </w:r>
            <w:r w:rsidR="00D91B27">
              <w:rPr>
                <w:rFonts w:ascii="Times New Roman" w:hAnsi="Times New Roman"/>
              </w:rPr>
              <w:fldChar w:fldCharType="end"/>
            </w:r>
            <w:bookmarkEnd w:id="152"/>
            <w:r w:rsidRPr="00C91EA2">
              <w:rPr>
                <w:rFonts w:ascii="Times New Roman" w:hAnsi="Times New Roman"/>
              </w:rPr>
              <w:t xml:space="preserve">: Complexity of Regulatory Procedures </w:t>
            </w:r>
            <w:bookmarkEnd w:id="153"/>
            <w:r w:rsidR="005145F8">
              <w:rPr>
                <w:rFonts w:ascii="Times New Roman" w:hAnsi="Times New Roman"/>
              </w:rPr>
              <w:t>in Senegal and Comparator Countries</w:t>
            </w:r>
            <w:bookmarkEnd w:id="154"/>
            <w:r w:rsidR="005145F8">
              <w:rPr>
                <w:rFonts w:ascii="Times New Roman" w:hAnsi="Times New Roman"/>
              </w:rPr>
              <w:t xml:space="preserve"> </w:t>
            </w:r>
          </w:p>
        </w:tc>
      </w:tr>
      <w:tr w:rsidR="0043271C" w:rsidRPr="00C91EA2" w14:paraId="25CE0C59" w14:textId="77777777" w:rsidTr="00FC7B02">
        <w:tc>
          <w:tcPr>
            <w:tcW w:w="8630" w:type="dxa"/>
            <w:tcBorders>
              <w:top w:val="single" w:sz="4" w:space="0" w:color="auto"/>
              <w:left w:val="single" w:sz="4" w:space="0" w:color="auto"/>
              <w:bottom w:val="single" w:sz="4" w:space="0" w:color="auto"/>
              <w:right w:val="single" w:sz="4" w:space="0" w:color="auto"/>
            </w:tcBorders>
            <w:hideMark/>
          </w:tcPr>
          <w:p w14:paraId="2A51F919" w14:textId="77777777" w:rsidR="0043271C" w:rsidRPr="00C91EA2" w:rsidRDefault="00FC7B02">
            <w:pPr>
              <w:jc w:val="both"/>
              <w:rPr>
                <w:rFonts w:ascii="Times New Roman" w:hAnsi="Times New Roman" w:cs="Times New Roman"/>
              </w:rPr>
            </w:pPr>
            <w:r>
              <w:rPr>
                <w:noProof/>
              </w:rPr>
              <w:drawing>
                <wp:inline distT="0" distB="0" distL="0" distR="0" wp14:anchorId="5C076466" wp14:editId="22A38309">
                  <wp:extent cx="5600700" cy="3248025"/>
                  <wp:effectExtent l="0" t="0" r="0" b="0"/>
                  <wp:docPr id="133" name="Chart 133">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43271C" w:rsidRPr="00C91EA2" w14:paraId="52554CF3"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6CBC8B1F"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 xml:space="preserve">Source: </w:t>
            </w:r>
            <w:r w:rsidR="00A4434F">
              <w:rPr>
                <w:rFonts w:ascii="Times New Roman" w:hAnsi="Times New Roman" w:cs="Times New Roman"/>
                <w:sz w:val="20"/>
              </w:rPr>
              <w:t>OECD-WBG PMR (2017)</w:t>
            </w:r>
          </w:p>
          <w:p w14:paraId="18320778" w14:textId="77777777" w:rsidR="0043271C" w:rsidRPr="00C91EA2" w:rsidRDefault="0043271C">
            <w:pPr>
              <w:jc w:val="both"/>
              <w:rPr>
                <w:rFonts w:ascii="Times New Roman" w:hAnsi="Times New Roman" w:cs="Times New Roman"/>
              </w:rPr>
            </w:pPr>
            <w:r w:rsidRPr="00C91EA2">
              <w:rPr>
                <w:rFonts w:ascii="Times New Roman" w:hAnsi="Times New Roman" w:cs="Times New Roman"/>
                <w:sz w:val="20"/>
              </w:rPr>
              <w:t xml:space="preserve">Note: The top 5 performers are Indonesia, the United States, Portugal, the Slovak Republic, </w:t>
            </w:r>
            <w:r w:rsidR="00362C3A">
              <w:rPr>
                <w:rFonts w:ascii="Times New Roman" w:hAnsi="Times New Roman" w:cs="Times New Roman"/>
                <w:sz w:val="20"/>
              </w:rPr>
              <w:t>and Ukraine</w:t>
            </w:r>
          </w:p>
        </w:tc>
      </w:tr>
    </w:tbl>
    <w:p w14:paraId="215CAB75" w14:textId="77777777" w:rsidR="00711D1F" w:rsidRPr="00C91EA2" w:rsidRDefault="00711D1F" w:rsidP="0043271C">
      <w:pPr>
        <w:jc w:val="both"/>
        <w:rPr>
          <w:rFonts w:ascii="Times New Roman" w:hAnsi="Times New Roman" w:cs="Times New Roman"/>
        </w:rPr>
      </w:pPr>
    </w:p>
    <w:p w14:paraId="7B2A610C" w14:textId="20437419"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The regulatory framework in Senegal </w:t>
      </w:r>
      <w:r w:rsidR="00941A13">
        <w:rPr>
          <w:rFonts w:ascii="Times New Roman" w:hAnsi="Times New Roman" w:cs="Times New Roman"/>
          <w:b/>
        </w:rPr>
        <w:t>can help insulate</w:t>
      </w:r>
      <w:r w:rsidRPr="00C91EA2">
        <w:rPr>
          <w:rFonts w:ascii="Times New Roman" w:hAnsi="Times New Roman" w:cs="Times New Roman"/>
          <w:b/>
        </w:rPr>
        <w:t xml:space="preserve"> incumbents from competition.</w:t>
      </w:r>
      <w:r w:rsidRPr="00C91EA2">
        <w:rPr>
          <w:rFonts w:ascii="Times New Roman" w:hAnsi="Times New Roman" w:cs="Times New Roman"/>
        </w:rPr>
        <w:t xml:space="preserve"> </w:t>
      </w:r>
      <w:r w:rsidR="00941A13">
        <w:rPr>
          <w:rFonts w:ascii="Times New Roman" w:hAnsi="Times New Roman" w:cs="Times New Roman"/>
        </w:rPr>
        <w:t xml:space="preserve">While </w:t>
      </w:r>
      <w:r w:rsidRPr="00C91EA2">
        <w:rPr>
          <w:rFonts w:ascii="Times New Roman" w:hAnsi="Times New Roman" w:cs="Times New Roman"/>
        </w:rPr>
        <w:t xml:space="preserve">Senegal </w:t>
      </w:r>
      <w:r w:rsidR="00941A13">
        <w:rPr>
          <w:rFonts w:ascii="Times New Roman" w:hAnsi="Times New Roman" w:cs="Times New Roman"/>
        </w:rPr>
        <w:t xml:space="preserve">does not score particularly poorly compared to </w:t>
      </w:r>
      <w:r w:rsidRPr="00C91EA2">
        <w:rPr>
          <w:rFonts w:ascii="Times New Roman" w:hAnsi="Times New Roman" w:cs="Times New Roman"/>
        </w:rPr>
        <w:t xml:space="preserve">comparator countries </w:t>
      </w:r>
      <w:proofErr w:type="gramStart"/>
      <w:r w:rsidRPr="00C91EA2">
        <w:rPr>
          <w:rFonts w:ascii="Times New Roman" w:hAnsi="Times New Roman" w:cs="Times New Roman"/>
        </w:rPr>
        <w:t>with regard to</w:t>
      </w:r>
      <w:proofErr w:type="gramEnd"/>
      <w:r w:rsidRPr="00C91EA2">
        <w:rPr>
          <w:rFonts w:ascii="Times New Roman" w:hAnsi="Times New Roman" w:cs="Times New Roman"/>
        </w:rPr>
        <w:t xml:space="preserve"> the regulatory protection of incumbents</w:t>
      </w:r>
      <w:r w:rsidR="00941A13">
        <w:rPr>
          <w:rFonts w:ascii="Times New Roman" w:hAnsi="Times New Roman" w:cs="Times New Roman"/>
        </w:rPr>
        <w:t xml:space="preserve"> (</w:t>
      </w:r>
      <w:r w:rsidR="00941A13" w:rsidRPr="00C91EA2">
        <w:rPr>
          <w:rFonts w:ascii="Times New Roman" w:hAnsi="Times New Roman" w:cs="Times New Roman"/>
        </w:rPr>
        <w:fldChar w:fldCharType="begin"/>
      </w:r>
      <w:r w:rsidR="00941A13" w:rsidRPr="00C91EA2">
        <w:rPr>
          <w:rFonts w:ascii="Times New Roman" w:hAnsi="Times New Roman" w:cs="Times New Roman"/>
        </w:rPr>
        <w:instrText xml:space="preserve"> REF _Ref497127119 \h </w:instrText>
      </w:r>
      <w:r w:rsidR="00941A13">
        <w:rPr>
          <w:rFonts w:ascii="Times New Roman" w:hAnsi="Times New Roman" w:cs="Times New Roman"/>
        </w:rPr>
        <w:instrText xml:space="preserve"> \* MERGEFORMAT </w:instrText>
      </w:r>
      <w:r w:rsidR="00941A13" w:rsidRPr="00C91EA2">
        <w:rPr>
          <w:rFonts w:ascii="Times New Roman" w:hAnsi="Times New Roman" w:cs="Times New Roman"/>
        </w:rPr>
      </w:r>
      <w:r w:rsidR="00941A13"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34</w:t>
      </w:r>
      <w:r w:rsidR="00941A13" w:rsidRPr="00C91EA2">
        <w:rPr>
          <w:rFonts w:ascii="Times New Roman" w:hAnsi="Times New Roman" w:cs="Times New Roman"/>
        </w:rPr>
        <w:fldChar w:fldCharType="end"/>
      </w:r>
      <w:r w:rsidR="00941A13">
        <w:rPr>
          <w:rFonts w:ascii="Times New Roman" w:hAnsi="Times New Roman" w:cs="Times New Roman"/>
        </w:rPr>
        <w:t>), room for improvement remains</w:t>
      </w:r>
      <w:r w:rsidRPr="00C91EA2">
        <w:rPr>
          <w:rFonts w:ascii="Times New Roman" w:hAnsi="Times New Roman" w:cs="Times New Roman"/>
        </w:rPr>
        <w:t xml:space="preserve">. </w:t>
      </w:r>
      <w:r w:rsidR="00941A13">
        <w:rPr>
          <w:rFonts w:ascii="Times New Roman" w:hAnsi="Times New Roman" w:cs="Times New Roman"/>
        </w:rPr>
        <w:t>Senegal’s score</w:t>
      </w:r>
      <w:r w:rsidRPr="00C91EA2">
        <w:rPr>
          <w:rFonts w:ascii="Times New Roman" w:hAnsi="Times New Roman" w:cs="Times New Roman"/>
        </w:rPr>
        <w:t xml:space="preserve"> is largely associated with the continued protection of SENELEC</w:t>
      </w:r>
      <w:r w:rsidR="003B3A86">
        <w:rPr>
          <w:rFonts w:ascii="Times New Roman" w:hAnsi="Times New Roman" w:cs="Times New Roman"/>
        </w:rPr>
        <w:t>, which has</w:t>
      </w:r>
      <w:r w:rsidRPr="00C91EA2">
        <w:rPr>
          <w:rFonts w:ascii="Times New Roman" w:hAnsi="Times New Roman" w:cs="Times New Roman"/>
        </w:rPr>
        <w:t xml:space="preserve"> monopoly over transmission and distribution of electricity. </w:t>
      </w:r>
      <w:r w:rsidR="0082345B">
        <w:rPr>
          <w:rFonts w:ascii="Times New Roman" w:hAnsi="Times New Roman" w:cs="Times New Roman"/>
        </w:rPr>
        <w:t xml:space="preserve">Regulation also restricts the number of competitors </w:t>
      </w:r>
      <w:r w:rsidRPr="00C91EA2">
        <w:rPr>
          <w:rFonts w:ascii="Times New Roman" w:hAnsi="Times New Roman" w:cs="Times New Roman"/>
        </w:rPr>
        <w:t>in other sectors such as post (basic letter services, basic parcel services, courier services), air transport,</w:t>
      </w:r>
      <w:r w:rsidR="00541233">
        <w:rPr>
          <w:rFonts w:ascii="Times New Roman" w:hAnsi="Times New Roman" w:cs="Times New Roman"/>
        </w:rPr>
        <w:t xml:space="preserve"> telecom</w:t>
      </w:r>
      <w:r w:rsidR="00D70A94">
        <w:rPr>
          <w:rFonts w:ascii="Times New Roman" w:hAnsi="Times New Roman" w:cs="Times New Roman"/>
        </w:rPr>
        <w:t>,</w:t>
      </w:r>
      <w:r w:rsidRPr="00C91EA2">
        <w:rPr>
          <w:rFonts w:ascii="Times New Roman" w:hAnsi="Times New Roman" w:cs="Times New Roman"/>
        </w:rPr>
        <w:t xml:space="preserve"> railway infrastructure, and water collection, treatment and supply. Protection from new entrants tends to allow incumbents to be less innovative and less efficient than under competitive pressure, where viable, which ultimately </w:t>
      </w:r>
      <w:r w:rsidR="00EA1326">
        <w:rPr>
          <w:rFonts w:ascii="Times New Roman" w:hAnsi="Times New Roman" w:cs="Times New Roman"/>
        </w:rPr>
        <w:t>harms</w:t>
      </w:r>
      <w:r w:rsidRPr="00C91EA2">
        <w:rPr>
          <w:rFonts w:ascii="Times New Roman" w:hAnsi="Times New Roman" w:cs="Times New Roman"/>
        </w:rPr>
        <w:t xml:space="preserve"> consumers through higher prices, fewer consumption options and poor quality.</w:t>
      </w:r>
    </w:p>
    <w:p w14:paraId="23D9F662" w14:textId="77777777" w:rsidR="0043271C" w:rsidRPr="00C91EA2" w:rsidRDefault="0043271C" w:rsidP="0043271C">
      <w:pPr>
        <w:jc w:val="both"/>
        <w:rPr>
          <w:rFonts w:ascii="Times New Roman" w:hAnsi="Times New Roman" w:cs="Times New Roman"/>
          <w:sz w:val="28"/>
        </w:rPr>
      </w:pPr>
    </w:p>
    <w:tbl>
      <w:tblPr>
        <w:tblStyle w:val="TableGrid"/>
        <w:tblW w:w="5000" w:type="pct"/>
        <w:tblLook w:val="04A0" w:firstRow="1" w:lastRow="0" w:firstColumn="1" w:lastColumn="0" w:noHBand="0" w:noVBand="1"/>
      </w:tblPr>
      <w:tblGrid>
        <w:gridCol w:w="8630"/>
      </w:tblGrid>
      <w:tr w:rsidR="0043271C" w:rsidRPr="00C91EA2" w14:paraId="211E5ACD" w14:textId="77777777" w:rsidTr="0043271C">
        <w:tc>
          <w:tcPr>
            <w:tcW w:w="5000" w:type="pct"/>
            <w:tcBorders>
              <w:top w:val="single" w:sz="4" w:space="0" w:color="auto"/>
              <w:left w:val="single" w:sz="4" w:space="0" w:color="auto"/>
              <w:bottom w:val="single" w:sz="4" w:space="0" w:color="auto"/>
              <w:right w:val="single" w:sz="4" w:space="0" w:color="auto"/>
            </w:tcBorders>
            <w:hideMark/>
          </w:tcPr>
          <w:p w14:paraId="7BCDCC2A" w14:textId="1F2C7A4A" w:rsidR="0043271C" w:rsidRPr="00C91EA2" w:rsidRDefault="0043271C">
            <w:pPr>
              <w:pStyle w:val="Caption"/>
              <w:keepNext/>
              <w:jc w:val="both"/>
              <w:rPr>
                <w:rFonts w:ascii="Times New Roman" w:hAnsi="Times New Roman"/>
              </w:rPr>
            </w:pPr>
            <w:bookmarkStart w:id="155" w:name="_Ref497127119"/>
            <w:bookmarkStart w:id="156" w:name="_Toc497990882"/>
            <w:bookmarkStart w:id="157" w:name="_Toc520725590"/>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34</w:t>
            </w:r>
            <w:r w:rsidR="00D91B27">
              <w:rPr>
                <w:rFonts w:ascii="Times New Roman" w:hAnsi="Times New Roman"/>
              </w:rPr>
              <w:fldChar w:fldCharType="end"/>
            </w:r>
            <w:bookmarkEnd w:id="155"/>
            <w:r w:rsidRPr="00C91EA2">
              <w:rPr>
                <w:rFonts w:ascii="Times New Roman" w:hAnsi="Times New Roman"/>
              </w:rPr>
              <w:t xml:space="preserve">: Regulatory Protection of Incumbents </w:t>
            </w:r>
            <w:bookmarkEnd w:id="156"/>
            <w:r w:rsidR="004048B9">
              <w:rPr>
                <w:rFonts w:ascii="Times New Roman" w:hAnsi="Times New Roman"/>
              </w:rPr>
              <w:t>in Senegal and Comparator Countries</w:t>
            </w:r>
            <w:bookmarkEnd w:id="157"/>
            <w:r w:rsidR="004048B9">
              <w:rPr>
                <w:rFonts w:ascii="Times New Roman" w:hAnsi="Times New Roman"/>
              </w:rPr>
              <w:t xml:space="preserve"> </w:t>
            </w:r>
          </w:p>
        </w:tc>
      </w:tr>
      <w:tr w:rsidR="0043271C" w:rsidRPr="00C91EA2" w14:paraId="7BA9BEBD" w14:textId="77777777" w:rsidTr="00A05133">
        <w:tc>
          <w:tcPr>
            <w:tcW w:w="5000" w:type="pct"/>
            <w:tcBorders>
              <w:top w:val="single" w:sz="4" w:space="0" w:color="auto"/>
              <w:left w:val="single" w:sz="4" w:space="0" w:color="auto"/>
              <w:bottom w:val="single" w:sz="4" w:space="0" w:color="auto"/>
              <w:right w:val="single" w:sz="4" w:space="0" w:color="auto"/>
            </w:tcBorders>
            <w:hideMark/>
          </w:tcPr>
          <w:p w14:paraId="248E218C" w14:textId="77777777" w:rsidR="0043271C" w:rsidRPr="00C91EA2" w:rsidRDefault="00A05133">
            <w:pPr>
              <w:jc w:val="both"/>
              <w:rPr>
                <w:rFonts w:ascii="Times New Roman" w:hAnsi="Times New Roman" w:cs="Times New Roman"/>
              </w:rPr>
            </w:pPr>
            <w:r>
              <w:rPr>
                <w:noProof/>
              </w:rPr>
              <w:drawing>
                <wp:inline distT="0" distB="0" distL="0" distR="0" wp14:anchorId="75E6ABE9" wp14:editId="2D5DF9F7">
                  <wp:extent cx="5486400" cy="3484245"/>
                  <wp:effectExtent l="0" t="0" r="0" b="1905"/>
                  <wp:docPr id="134" name="Chart 134">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43271C" w:rsidRPr="00C91EA2" w14:paraId="6472C8AA" w14:textId="77777777" w:rsidTr="0043271C">
        <w:tc>
          <w:tcPr>
            <w:tcW w:w="5000" w:type="pct"/>
            <w:tcBorders>
              <w:top w:val="single" w:sz="4" w:space="0" w:color="auto"/>
              <w:left w:val="single" w:sz="4" w:space="0" w:color="auto"/>
              <w:bottom w:val="single" w:sz="4" w:space="0" w:color="auto"/>
              <w:right w:val="single" w:sz="4" w:space="0" w:color="auto"/>
            </w:tcBorders>
            <w:hideMark/>
          </w:tcPr>
          <w:p w14:paraId="3A07526B"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 xml:space="preserve">Source: </w:t>
            </w:r>
            <w:r w:rsidR="00A4434F">
              <w:rPr>
                <w:rFonts w:ascii="Times New Roman" w:hAnsi="Times New Roman" w:cs="Times New Roman"/>
                <w:sz w:val="20"/>
              </w:rPr>
              <w:t>OECD-WBG PMR (2017)</w:t>
            </w:r>
          </w:p>
          <w:p w14:paraId="45F1B327"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Note: The top 5 performers are the United Kingdom, Estonia, the Czech Republic, Austria, and the Slovak Republic</w:t>
            </w:r>
          </w:p>
        </w:tc>
      </w:tr>
    </w:tbl>
    <w:p w14:paraId="2289185F" w14:textId="77777777" w:rsidR="0043271C" w:rsidRDefault="0043271C" w:rsidP="0043271C">
      <w:pPr>
        <w:rPr>
          <w:rFonts w:ascii="Times New Roman" w:hAnsi="Times New Roman" w:cs="Times New Roman"/>
        </w:rPr>
      </w:pPr>
    </w:p>
    <w:p w14:paraId="0078BC99" w14:textId="77777777" w:rsidR="00711D1F" w:rsidRPr="00C91EA2" w:rsidRDefault="00711D1F" w:rsidP="0043271C">
      <w:pPr>
        <w:rPr>
          <w:rFonts w:ascii="Times New Roman" w:hAnsi="Times New Roman" w:cs="Times New Roman"/>
        </w:rPr>
      </w:pPr>
    </w:p>
    <w:p w14:paraId="32E7E305" w14:textId="719DBA10"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High barriers to entry and rivalry in key services that are essential for doing business may further increase costs for all market players. </w:t>
      </w:r>
      <w:r w:rsidRPr="00C91EA2">
        <w:rPr>
          <w:rFonts w:ascii="Times New Roman" w:hAnsi="Times New Roman" w:cs="Times New Roman"/>
        </w:rPr>
        <w:t>The PMR data on professional services provide information on entry restrictions and conduct regulations affecting accounting, legal, architectural and engineering businesses. Entry restrictions are prevalent in Senegal across the four professions and are higher than in comparator countries</w:t>
      </w:r>
      <w:r w:rsidR="0020796A">
        <w:rPr>
          <w:rFonts w:ascii="Times New Roman" w:hAnsi="Times New Roman" w:cs="Times New Roman"/>
        </w:rPr>
        <w:t>,</w:t>
      </w:r>
      <w:r w:rsidRPr="00C91EA2">
        <w:rPr>
          <w:rFonts w:ascii="Times New Roman" w:hAnsi="Times New Roman" w:cs="Times New Roman"/>
        </w:rPr>
        <w:t xml:space="preserve"> </w:t>
      </w:r>
      <w:r w:rsidR="00F33492" w:rsidRPr="00C91EA2">
        <w:rPr>
          <w:rFonts w:ascii="Times New Roman" w:hAnsi="Times New Roman" w:cs="Times New Roman"/>
        </w:rPr>
        <w:t>except for</w:t>
      </w:r>
      <w:r w:rsidRPr="00C91EA2">
        <w:rPr>
          <w:rFonts w:ascii="Times New Roman" w:hAnsi="Times New Roman" w:cs="Times New Roman"/>
        </w:rPr>
        <w:t xml:space="preserve"> the Philippines </w:t>
      </w:r>
      <w:r w:rsidR="00CB0289">
        <w:rPr>
          <w:rFonts w:ascii="Times New Roman" w:hAnsi="Times New Roman" w:cs="Times New Roman"/>
        </w:rPr>
        <w:t xml:space="preserve">and Tunisia </w:t>
      </w:r>
      <w:r w:rsidRPr="00C91EA2">
        <w:rPr>
          <w:rFonts w:ascii="Times New Roman" w:hAnsi="Times New Roman" w:cs="Times New Roman"/>
        </w:rPr>
        <w:t>(</w:t>
      </w:r>
      <w:r w:rsidRPr="00C91EA2">
        <w:rPr>
          <w:rFonts w:ascii="Times New Roman" w:hAnsi="Times New Roman" w:cs="Times New Roman"/>
        </w:rPr>
        <w:fldChar w:fldCharType="begin"/>
      </w:r>
      <w:r w:rsidRPr="00C91EA2">
        <w:rPr>
          <w:rFonts w:ascii="Times New Roman" w:hAnsi="Times New Roman" w:cs="Times New Roman"/>
        </w:rPr>
        <w:instrText xml:space="preserve"> REF _Ref497127917 \h </w:instrText>
      </w:r>
      <w:r w:rsidR="00C91EA2">
        <w:rPr>
          <w:rFonts w:ascii="Times New Roman" w:hAnsi="Times New Roman" w:cs="Times New Roman"/>
        </w:rPr>
        <w:instrText xml:space="preserve">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35</w:t>
      </w:r>
      <w:r w:rsidRPr="00C91EA2">
        <w:rPr>
          <w:rFonts w:ascii="Times New Roman" w:hAnsi="Times New Roman" w:cs="Times New Roman"/>
        </w:rPr>
        <w:fldChar w:fldCharType="end"/>
      </w:r>
      <w:r w:rsidRPr="00C91EA2">
        <w:rPr>
          <w:rFonts w:ascii="Times New Roman" w:hAnsi="Times New Roman" w:cs="Times New Roman"/>
        </w:rPr>
        <w:t>).</w:t>
      </w:r>
      <w:r w:rsidR="00B37223">
        <w:rPr>
          <w:rStyle w:val="FootnoteReference"/>
          <w:rFonts w:ascii="Times New Roman" w:hAnsi="Times New Roman" w:cs="Times New Roman"/>
        </w:rPr>
        <w:footnoteReference w:id="85"/>
      </w:r>
      <w:r w:rsidRPr="00C91EA2">
        <w:rPr>
          <w:rFonts w:ascii="Times New Roman" w:hAnsi="Times New Roman" w:cs="Times New Roman"/>
        </w:rPr>
        <w:t xml:space="preserve"> </w:t>
      </w:r>
      <w:r w:rsidR="00C40BA6">
        <w:rPr>
          <w:rFonts w:ascii="Times New Roman" w:hAnsi="Times New Roman" w:cs="Times New Roman"/>
        </w:rPr>
        <w:t xml:space="preserve">With </w:t>
      </w:r>
      <w:r w:rsidR="00C40BA6" w:rsidRPr="00C91EA2">
        <w:rPr>
          <w:rFonts w:ascii="Times New Roman" w:hAnsi="Times New Roman" w:cs="Times New Roman"/>
        </w:rPr>
        <w:t>regard to entry regulations in both legal and accounting services, the cou</w:t>
      </w:r>
      <w:r w:rsidR="00C40BA6">
        <w:rPr>
          <w:rFonts w:ascii="Times New Roman" w:hAnsi="Times New Roman" w:cs="Times New Roman"/>
        </w:rPr>
        <w:t xml:space="preserve">ntry scores are </w:t>
      </w:r>
      <w:r w:rsidR="00C40BA6" w:rsidRPr="00C91EA2">
        <w:rPr>
          <w:rFonts w:ascii="Times New Roman" w:hAnsi="Times New Roman" w:cs="Times New Roman"/>
        </w:rPr>
        <w:t>5.67 and 5.75</w:t>
      </w:r>
      <w:r w:rsidR="00C40BA6">
        <w:rPr>
          <w:rFonts w:ascii="Times New Roman" w:hAnsi="Times New Roman" w:cs="Times New Roman"/>
        </w:rPr>
        <w:t>,</w:t>
      </w:r>
      <w:r w:rsidR="00C40BA6" w:rsidRPr="00C91EA2">
        <w:rPr>
          <w:rFonts w:ascii="Times New Roman" w:hAnsi="Times New Roman" w:cs="Times New Roman"/>
        </w:rPr>
        <w:t xml:space="preserve"> respectively</w:t>
      </w:r>
      <w:r w:rsidR="00C40BA6">
        <w:rPr>
          <w:rFonts w:ascii="Times New Roman" w:hAnsi="Times New Roman" w:cs="Times New Roman"/>
        </w:rPr>
        <w:t xml:space="preserve">, compared to 4.63 for entry regulations governing architecture services and 3 for those governing engineering services. </w:t>
      </w:r>
      <w:r w:rsidR="00AF55F7">
        <w:rPr>
          <w:rFonts w:ascii="Times New Roman" w:hAnsi="Times New Roman" w:cs="Times New Roman"/>
        </w:rPr>
        <w:t xml:space="preserve">To provide </w:t>
      </w:r>
      <w:r w:rsidR="00AF55F7" w:rsidRPr="00C91EA2">
        <w:rPr>
          <w:rFonts w:ascii="Times New Roman" w:hAnsi="Times New Roman" w:cs="Times New Roman"/>
        </w:rPr>
        <w:t>accounting, legal, architectural and engineering</w:t>
      </w:r>
      <w:r w:rsidR="00D6254F">
        <w:rPr>
          <w:rFonts w:ascii="Times New Roman" w:hAnsi="Times New Roman" w:cs="Times New Roman"/>
        </w:rPr>
        <w:t xml:space="preserve"> service</w:t>
      </w:r>
      <w:r w:rsidR="00AF55F7">
        <w:rPr>
          <w:rFonts w:ascii="Times New Roman" w:hAnsi="Times New Roman" w:cs="Times New Roman"/>
        </w:rPr>
        <w:t xml:space="preserve">, membership </w:t>
      </w:r>
      <w:r w:rsidR="001D5ED5">
        <w:rPr>
          <w:rFonts w:ascii="Times New Roman" w:hAnsi="Times New Roman" w:cs="Times New Roman"/>
        </w:rPr>
        <w:t>in</w:t>
      </w:r>
      <w:r w:rsidR="00AF55F7">
        <w:rPr>
          <w:rFonts w:ascii="Times New Roman" w:hAnsi="Times New Roman" w:cs="Times New Roman"/>
        </w:rPr>
        <w:t xml:space="preserve"> a professional organization is mandatory. </w:t>
      </w:r>
      <w:r w:rsidRPr="00C91EA2">
        <w:rPr>
          <w:rFonts w:ascii="Times New Roman" w:hAnsi="Times New Roman" w:cs="Times New Roman"/>
        </w:rPr>
        <w:t>In accounting and architectural services, entry is regulated by public authorities.</w:t>
      </w:r>
      <w:r w:rsidRPr="00C91EA2">
        <w:rPr>
          <w:rStyle w:val="FootnoteReference"/>
          <w:rFonts w:ascii="Times New Roman" w:hAnsi="Times New Roman" w:cs="Times New Roman"/>
        </w:rPr>
        <w:footnoteReference w:id="86"/>
      </w:r>
      <w:r w:rsidRPr="00C91EA2">
        <w:rPr>
          <w:rFonts w:ascii="Times New Roman" w:hAnsi="Times New Roman" w:cs="Times New Roman"/>
        </w:rPr>
        <w:t xml:space="preserve"> For legal services, a professional body decides on entry to the sector, which may also suggest that incumbents </w:t>
      </w:r>
      <w:r w:rsidR="00F46DEF">
        <w:rPr>
          <w:rFonts w:ascii="Times New Roman" w:hAnsi="Times New Roman" w:cs="Times New Roman"/>
        </w:rPr>
        <w:t>could be</w:t>
      </w:r>
      <w:r w:rsidRPr="00C91EA2">
        <w:rPr>
          <w:rFonts w:ascii="Times New Roman" w:hAnsi="Times New Roman" w:cs="Times New Roman"/>
        </w:rPr>
        <w:t xml:space="preserve"> invol</w:t>
      </w:r>
      <w:r w:rsidR="00F46DEF">
        <w:rPr>
          <w:rFonts w:ascii="Times New Roman" w:hAnsi="Times New Roman" w:cs="Times New Roman"/>
        </w:rPr>
        <w:t>ved in allowing competitors in</w:t>
      </w:r>
      <w:r w:rsidRPr="00C91EA2">
        <w:rPr>
          <w:rFonts w:ascii="Times New Roman" w:hAnsi="Times New Roman" w:cs="Times New Roman"/>
        </w:rPr>
        <w:t xml:space="preserve"> the market. </w:t>
      </w:r>
      <w:r w:rsidR="00811E8A">
        <w:rPr>
          <w:rFonts w:ascii="Times New Roman" w:hAnsi="Times New Roman" w:cs="Times New Roman"/>
        </w:rPr>
        <w:t>Further, b</w:t>
      </w:r>
      <w:r w:rsidR="00D6254F">
        <w:rPr>
          <w:rFonts w:ascii="Times New Roman" w:hAnsi="Times New Roman" w:cs="Times New Roman"/>
        </w:rPr>
        <w:t>inding m</w:t>
      </w:r>
      <w:r w:rsidRPr="00C91EA2">
        <w:rPr>
          <w:rFonts w:ascii="Times New Roman" w:hAnsi="Times New Roman" w:cs="Times New Roman"/>
        </w:rPr>
        <w:t>inimum fees</w:t>
      </w:r>
      <w:r w:rsidR="004F314B">
        <w:rPr>
          <w:rFonts w:ascii="Times New Roman" w:hAnsi="Times New Roman" w:cs="Times New Roman"/>
        </w:rPr>
        <w:t xml:space="preserve"> for accounting services may also affect the service providers</w:t>
      </w:r>
      <w:r w:rsidR="003B64ED">
        <w:rPr>
          <w:rFonts w:ascii="Times New Roman" w:hAnsi="Times New Roman" w:cs="Times New Roman"/>
        </w:rPr>
        <w:t>’ incentives</w:t>
      </w:r>
      <w:r w:rsidR="004F314B">
        <w:rPr>
          <w:rFonts w:ascii="Times New Roman" w:hAnsi="Times New Roman" w:cs="Times New Roman"/>
        </w:rPr>
        <w:t xml:space="preserve"> to compete based on quality and to innovate. </w:t>
      </w:r>
      <w:r w:rsidR="00D6254F">
        <w:rPr>
          <w:rFonts w:ascii="Times New Roman" w:hAnsi="Times New Roman" w:cs="Times New Roman"/>
        </w:rPr>
        <w:t>P</w:t>
      </w:r>
      <w:r w:rsidR="00563333" w:rsidRPr="00563333">
        <w:rPr>
          <w:rFonts w:ascii="Times New Roman" w:hAnsi="Times New Roman" w:cs="Times New Roman"/>
        </w:rPr>
        <w:t>rice controls</w:t>
      </w:r>
      <w:r w:rsidR="00D6254F">
        <w:rPr>
          <w:rFonts w:ascii="Times New Roman" w:hAnsi="Times New Roman" w:cs="Times New Roman"/>
        </w:rPr>
        <w:t xml:space="preserve"> that</w:t>
      </w:r>
      <w:r w:rsidR="00563333" w:rsidRPr="00563333">
        <w:rPr>
          <w:rFonts w:ascii="Times New Roman" w:hAnsi="Times New Roman" w:cs="Times New Roman"/>
        </w:rPr>
        <w:t xml:space="preserve"> are self-imposed </w:t>
      </w:r>
      <w:r w:rsidR="00D6254F">
        <w:rPr>
          <w:rFonts w:ascii="Times New Roman" w:hAnsi="Times New Roman" w:cs="Times New Roman"/>
        </w:rPr>
        <w:t>may also hinder</w:t>
      </w:r>
      <w:r w:rsidR="00563333" w:rsidRPr="00563333">
        <w:rPr>
          <w:rFonts w:ascii="Times New Roman" w:hAnsi="Times New Roman" w:cs="Times New Roman"/>
        </w:rPr>
        <w:t xml:space="preserve"> competition in services since the market effects of these practices are </w:t>
      </w:r>
      <w:r w:rsidR="009306DA" w:rsidRPr="00563333">
        <w:rPr>
          <w:rFonts w:ascii="Times New Roman" w:hAnsi="Times New Roman" w:cs="Times New Roman"/>
        </w:rPr>
        <w:t>like</w:t>
      </w:r>
      <w:r w:rsidR="009306DA">
        <w:rPr>
          <w:rFonts w:ascii="Times New Roman" w:hAnsi="Times New Roman" w:cs="Times New Roman"/>
        </w:rPr>
        <w:t xml:space="preserve"> those of</w:t>
      </w:r>
      <w:r w:rsidR="00563333" w:rsidRPr="00563333">
        <w:rPr>
          <w:rFonts w:ascii="Times New Roman" w:hAnsi="Times New Roman" w:cs="Times New Roman"/>
        </w:rPr>
        <w:t xml:space="preserve"> cartel agreements.</w:t>
      </w:r>
      <w:r w:rsidR="00563333" w:rsidRPr="00563333">
        <w:rPr>
          <w:rStyle w:val="FootnoteReference"/>
          <w:rFonts w:ascii="Times New Roman" w:hAnsi="Times New Roman" w:cs="Times New Roman"/>
        </w:rPr>
        <w:t xml:space="preserve"> </w:t>
      </w:r>
      <w:r w:rsidR="00563333" w:rsidRPr="00563333">
        <w:rPr>
          <w:rStyle w:val="FootnoteReference"/>
          <w:rFonts w:ascii="Times New Roman" w:hAnsi="Times New Roman" w:cs="Times New Roman"/>
        </w:rPr>
        <w:footnoteReference w:id="87"/>
      </w:r>
    </w:p>
    <w:p w14:paraId="04FCFB75"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650CD5DE"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78475ECD" w14:textId="021BEE34" w:rsidR="0043271C" w:rsidRPr="00C91EA2" w:rsidRDefault="0043271C">
            <w:pPr>
              <w:pStyle w:val="Caption"/>
              <w:keepNext/>
              <w:rPr>
                <w:rFonts w:ascii="Times New Roman" w:hAnsi="Times New Roman"/>
              </w:rPr>
            </w:pPr>
            <w:bookmarkStart w:id="158" w:name="_Ref497127917"/>
            <w:bookmarkStart w:id="159" w:name="_Toc497990883"/>
            <w:bookmarkStart w:id="160" w:name="_Toc520725591"/>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35</w:t>
            </w:r>
            <w:r w:rsidR="00D91B27">
              <w:rPr>
                <w:rFonts w:ascii="Times New Roman" w:hAnsi="Times New Roman"/>
              </w:rPr>
              <w:fldChar w:fldCharType="end"/>
            </w:r>
            <w:bookmarkEnd w:id="158"/>
            <w:r w:rsidRPr="00C91EA2">
              <w:rPr>
                <w:rFonts w:ascii="Times New Roman" w:hAnsi="Times New Roman"/>
              </w:rPr>
              <w:t xml:space="preserve">: Regulation in Professional Services </w:t>
            </w:r>
            <w:bookmarkEnd w:id="159"/>
            <w:r w:rsidR="00A36ED1">
              <w:rPr>
                <w:rFonts w:ascii="Times New Roman" w:hAnsi="Times New Roman"/>
              </w:rPr>
              <w:t>in Senegal and Comparator Countries</w:t>
            </w:r>
            <w:bookmarkEnd w:id="160"/>
          </w:p>
        </w:tc>
      </w:tr>
      <w:tr w:rsidR="0043271C" w:rsidRPr="00C91EA2" w14:paraId="1417F17E" w14:textId="77777777" w:rsidTr="001B7B7E">
        <w:tc>
          <w:tcPr>
            <w:tcW w:w="8630" w:type="dxa"/>
            <w:tcBorders>
              <w:top w:val="single" w:sz="4" w:space="0" w:color="auto"/>
              <w:left w:val="single" w:sz="4" w:space="0" w:color="auto"/>
              <w:bottom w:val="single" w:sz="4" w:space="0" w:color="auto"/>
              <w:right w:val="single" w:sz="4" w:space="0" w:color="auto"/>
            </w:tcBorders>
            <w:hideMark/>
          </w:tcPr>
          <w:p w14:paraId="3875A3C1" w14:textId="77777777" w:rsidR="0043271C" w:rsidRPr="007F75B6" w:rsidRDefault="001B7B7E" w:rsidP="005F05CB">
            <w:pPr>
              <w:jc w:val="right"/>
              <w:rPr>
                <w:rFonts w:ascii="Times New Roman" w:hAnsi="Times New Roman" w:cs="Times New Roman"/>
              </w:rPr>
            </w:pPr>
            <w:r>
              <w:rPr>
                <w:noProof/>
              </w:rPr>
              <w:drawing>
                <wp:inline distT="0" distB="0" distL="0" distR="0" wp14:anchorId="094B3700" wp14:editId="2589AC4E">
                  <wp:extent cx="5486400" cy="3659505"/>
                  <wp:effectExtent l="0" t="0" r="0" b="0"/>
                  <wp:docPr id="137" name="Chart 13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43271C" w:rsidRPr="00C91EA2" w14:paraId="6CC3DD57"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75982219" w14:textId="77777777" w:rsidR="0043271C" w:rsidRPr="00C91EA2" w:rsidRDefault="0043271C">
            <w:pPr>
              <w:rPr>
                <w:rFonts w:ascii="Times New Roman" w:hAnsi="Times New Roman" w:cs="Times New Roman"/>
                <w:noProof/>
                <w:sz w:val="20"/>
                <w:lang w:val="en-GB" w:eastAsia="en-GB"/>
              </w:rPr>
            </w:pPr>
            <w:r w:rsidRPr="00C91EA2">
              <w:rPr>
                <w:rFonts w:ascii="Times New Roman" w:hAnsi="Times New Roman" w:cs="Times New Roman"/>
                <w:noProof/>
                <w:sz w:val="20"/>
                <w:lang w:val="en-GB" w:eastAsia="en-GB"/>
              </w:rPr>
              <w:t xml:space="preserve">Source: </w:t>
            </w:r>
            <w:r w:rsidR="00A4434F">
              <w:rPr>
                <w:rFonts w:ascii="Times New Roman" w:hAnsi="Times New Roman" w:cs="Times New Roman"/>
                <w:noProof/>
                <w:sz w:val="20"/>
                <w:lang w:val="en-GB" w:eastAsia="en-GB"/>
              </w:rPr>
              <w:t>OECD-WBG PMR (2017)</w:t>
            </w:r>
          </w:p>
          <w:p w14:paraId="6861032E" w14:textId="77777777" w:rsidR="0043271C" w:rsidRPr="00C91EA2" w:rsidRDefault="00860715">
            <w:pPr>
              <w:rPr>
                <w:rFonts w:ascii="Times New Roman" w:hAnsi="Times New Roman" w:cs="Times New Roman"/>
                <w:noProof/>
                <w:sz w:val="20"/>
                <w:lang w:val="en-GB" w:eastAsia="en-GB"/>
              </w:rPr>
            </w:pPr>
            <w:r>
              <w:rPr>
                <w:rFonts w:ascii="Times New Roman" w:hAnsi="Times New Roman" w:cs="Times New Roman"/>
                <w:noProof/>
                <w:sz w:val="20"/>
                <w:lang w:val="en-GB" w:eastAsia="en-GB"/>
              </w:rPr>
              <w:t>Note: Data for India was not available; t</w:t>
            </w:r>
            <w:r w:rsidR="0043271C" w:rsidRPr="00C91EA2">
              <w:rPr>
                <w:rFonts w:ascii="Times New Roman" w:hAnsi="Times New Roman" w:cs="Times New Roman"/>
                <w:noProof/>
                <w:sz w:val="20"/>
                <w:lang w:val="en-GB" w:eastAsia="en-GB"/>
              </w:rPr>
              <w:t>he top 5 performers are Sweden, Finland, the United Kingdom, Denmark, and Ecuador</w:t>
            </w:r>
          </w:p>
        </w:tc>
      </w:tr>
    </w:tbl>
    <w:p w14:paraId="310F4672" w14:textId="77777777" w:rsidR="0043271C" w:rsidRDefault="0043271C" w:rsidP="0043271C">
      <w:pPr>
        <w:jc w:val="both"/>
        <w:rPr>
          <w:rFonts w:ascii="Times New Roman" w:hAnsi="Times New Roman" w:cs="Times New Roman"/>
        </w:rPr>
      </w:pPr>
    </w:p>
    <w:p w14:paraId="320E565C" w14:textId="77777777" w:rsidR="00711D1F" w:rsidRPr="00C91EA2" w:rsidRDefault="00711D1F" w:rsidP="0043271C">
      <w:pPr>
        <w:jc w:val="both"/>
        <w:rPr>
          <w:rFonts w:ascii="Times New Roman" w:hAnsi="Times New Roman" w:cs="Times New Roman"/>
        </w:rPr>
      </w:pPr>
    </w:p>
    <w:p w14:paraId="6B13E42E" w14:textId="09EF5F7B" w:rsidR="0043271C" w:rsidRPr="00C91EA2" w:rsidRDefault="0043271C" w:rsidP="0043271C">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Further, Senegal </w:t>
      </w:r>
      <w:r w:rsidR="00BC5B64">
        <w:rPr>
          <w:rFonts w:ascii="Times New Roman" w:hAnsi="Times New Roman" w:cs="Times New Roman"/>
          <w:b/>
        </w:rPr>
        <w:t>exhibits a relatively restrictive</w:t>
      </w:r>
      <w:r w:rsidRPr="00C91EA2">
        <w:rPr>
          <w:rFonts w:ascii="Times New Roman" w:hAnsi="Times New Roman" w:cs="Times New Roman"/>
          <w:b/>
        </w:rPr>
        <w:t xml:space="preserve"> regulatory framework governing retail trade. </w:t>
      </w:r>
      <w:r w:rsidRPr="00C91EA2">
        <w:rPr>
          <w:rFonts w:ascii="Times New Roman" w:hAnsi="Times New Roman" w:cs="Times New Roman"/>
        </w:rPr>
        <w:fldChar w:fldCharType="begin"/>
      </w:r>
      <w:r w:rsidRPr="00C91EA2">
        <w:rPr>
          <w:rFonts w:ascii="Times New Roman" w:hAnsi="Times New Roman" w:cs="Times New Roman"/>
          <w:b/>
        </w:rPr>
        <w:instrText xml:space="preserve"> REF _Ref497128418 \h </w:instrText>
      </w:r>
      <w:r w:rsidR="00C91EA2">
        <w:rPr>
          <w:rFonts w:ascii="Times New Roman" w:hAnsi="Times New Roman" w:cs="Times New Roman"/>
        </w:rPr>
        <w:instrText xml:space="preserve">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36</w:t>
      </w:r>
      <w:r w:rsidRPr="00C91EA2">
        <w:rPr>
          <w:rFonts w:ascii="Times New Roman" w:hAnsi="Times New Roman" w:cs="Times New Roman"/>
        </w:rPr>
        <w:fldChar w:fldCharType="end"/>
      </w:r>
      <w:r w:rsidRPr="00C91EA2">
        <w:rPr>
          <w:rFonts w:ascii="Times New Roman" w:hAnsi="Times New Roman" w:cs="Times New Roman"/>
        </w:rPr>
        <w:t xml:space="preserve"> shows that only Argentina performs worse in the sample. Senegal’s score of 2.6 places the country significantly behind the OECD average (1.97) and behind the top 5 </w:t>
      </w:r>
      <w:proofErr w:type="gramStart"/>
      <w:r w:rsidRPr="00C91EA2">
        <w:rPr>
          <w:rFonts w:ascii="Times New Roman" w:hAnsi="Times New Roman" w:cs="Times New Roman"/>
        </w:rPr>
        <w:t>average</w:t>
      </w:r>
      <w:proofErr w:type="gramEnd"/>
      <w:r w:rsidRPr="00C91EA2">
        <w:rPr>
          <w:rFonts w:ascii="Times New Roman" w:hAnsi="Times New Roman" w:cs="Times New Roman"/>
        </w:rPr>
        <w:t xml:space="preserve"> of 0.38. The key contributor to Senegal’s </w:t>
      </w:r>
      <w:r w:rsidR="0069436B">
        <w:rPr>
          <w:rFonts w:ascii="Times New Roman" w:hAnsi="Times New Roman" w:cs="Times New Roman"/>
        </w:rPr>
        <w:t>score</w:t>
      </w:r>
      <w:r w:rsidRPr="00C91EA2">
        <w:rPr>
          <w:rFonts w:ascii="Times New Roman" w:hAnsi="Times New Roman" w:cs="Times New Roman"/>
        </w:rPr>
        <w:t xml:space="preserve"> is the country’s protection of existing firms, where Senegal </w:t>
      </w:r>
      <w:r w:rsidRPr="00FA21AE">
        <w:rPr>
          <w:rFonts w:ascii="Times New Roman" w:hAnsi="Times New Roman" w:cs="Times New Roman"/>
        </w:rPr>
        <w:t>receives a score of 6 out of 6. Also, the number of licenses and permits required to engage in commercial activities</w:t>
      </w:r>
      <w:r w:rsidR="0069436B" w:rsidRPr="00FA21AE">
        <w:rPr>
          <w:rFonts w:ascii="Times New Roman" w:hAnsi="Times New Roman" w:cs="Times New Roman"/>
        </w:rPr>
        <w:t xml:space="preserve"> is cumbersome</w:t>
      </w:r>
      <w:r w:rsidRPr="00FA21AE">
        <w:rPr>
          <w:rFonts w:ascii="Times New Roman" w:hAnsi="Times New Roman" w:cs="Times New Roman"/>
        </w:rPr>
        <w:t xml:space="preserve"> (</w:t>
      </w:r>
      <w:r w:rsidR="0019176B" w:rsidRPr="00FA21AE">
        <w:rPr>
          <w:rFonts w:ascii="Times New Roman" w:hAnsi="Times New Roman" w:cs="Times New Roman"/>
        </w:rPr>
        <w:t xml:space="preserve">the country receives a score of </w:t>
      </w:r>
      <w:r w:rsidRPr="00FA21AE">
        <w:rPr>
          <w:rFonts w:ascii="Times New Roman" w:hAnsi="Times New Roman" w:cs="Times New Roman"/>
        </w:rPr>
        <w:t>4.2</w:t>
      </w:r>
      <w:r w:rsidR="0069436B" w:rsidRPr="00FA21AE">
        <w:rPr>
          <w:rFonts w:ascii="Times New Roman" w:hAnsi="Times New Roman" w:cs="Times New Roman"/>
        </w:rPr>
        <w:t>)</w:t>
      </w:r>
      <w:r w:rsidRPr="00FA21AE">
        <w:rPr>
          <w:rFonts w:ascii="Times New Roman" w:hAnsi="Times New Roman" w:cs="Times New Roman"/>
        </w:rPr>
        <w:t>. For example, to be able to sell food products, it is necessary to register, notify authorities, and to obtain licenses</w:t>
      </w:r>
      <w:r w:rsidRPr="00C91EA2">
        <w:rPr>
          <w:rFonts w:ascii="Times New Roman" w:hAnsi="Times New Roman" w:cs="Times New Roman"/>
        </w:rPr>
        <w:t xml:space="preserve"> and permits, which may be product</w:t>
      </w:r>
      <w:r w:rsidR="006D1C8C">
        <w:rPr>
          <w:rFonts w:ascii="Times New Roman" w:hAnsi="Times New Roman" w:cs="Times New Roman"/>
        </w:rPr>
        <w:t>-</w:t>
      </w:r>
      <w:r w:rsidRPr="00C91EA2">
        <w:rPr>
          <w:rFonts w:ascii="Times New Roman" w:hAnsi="Times New Roman" w:cs="Times New Roman"/>
        </w:rPr>
        <w:t xml:space="preserve"> or activity-specific. Through stakeholder engagement procedures, professional bodies or representatives of trade and commercial interests, existing enterprises can be involved in licensing decisions or decisions about regulation specific to large outlets, which allows them to shape such regulations in their favor and to the disadvantage of existing or potential competitors. There are products, such as pharmaceuticals that can only be sold in outlets operating under a local or national lega</w:t>
      </w:r>
      <w:r w:rsidR="009E7F09">
        <w:rPr>
          <w:rFonts w:ascii="Times New Roman" w:hAnsi="Times New Roman" w:cs="Times New Roman"/>
        </w:rPr>
        <w:t>l monopoly, which provides the</w:t>
      </w:r>
      <w:r w:rsidRPr="00C91EA2">
        <w:rPr>
          <w:rFonts w:ascii="Times New Roman" w:hAnsi="Times New Roman" w:cs="Times New Roman"/>
        </w:rPr>
        <w:t xml:space="preserve"> existing firms an advantage over potential new entrants.</w:t>
      </w:r>
    </w:p>
    <w:p w14:paraId="7525B3F7"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446911C3"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4276034A" w14:textId="317C8D8A" w:rsidR="0043271C" w:rsidRPr="00C91EA2" w:rsidRDefault="0043271C">
            <w:pPr>
              <w:pStyle w:val="Caption"/>
              <w:keepNext/>
              <w:jc w:val="both"/>
              <w:rPr>
                <w:rFonts w:ascii="Times New Roman" w:hAnsi="Times New Roman"/>
              </w:rPr>
            </w:pPr>
            <w:bookmarkStart w:id="161" w:name="_Ref497128418"/>
            <w:bookmarkStart w:id="162" w:name="_Toc497990884"/>
            <w:bookmarkStart w:id="163" w:name="_Toc520725592"/>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36</w:t>
            </w:r>
            <w:r w:rsidR="00D91B27">
              <w:rPr>
                <w:rFonts w:ascii="Times New Roman" w:hAnsi="Times New Roman"/>
              </w:rPr>
              <w:fldChar w:fldCharType="end"/>
            </w:r>
            <w:bookmarkEnd w:id="161"/>
            <w:r w:rsidRPr="00C91EA2">
              <w:rPr>
                <w:rFonts w:ascii="Times New Roman" w:hAnsi="Times New Roman"/>
              </w:rPr>
              <w:t xml:space="preserve">: Regulations in Retail Trade </w:t>
            </w:r>
            <w:bookmarkEnd w:id="162"/>
            <w:r w:rsidR="00A67C47">
              <w:rPr>
                <w:rFonts w:ascii="Times New Roman" w:hAnsi="Times New Roman"/>
              </w:rPr>
              <w:t>in Senegal and Comparator Countries</w:t>
            </w:r>
            <w:bookmarkEnd w:id="163"/>
            <w:r w:rsidR="00A67C47">
              <w:rPr>
                <w:rFonts w:ascii="Times New Roman" w:hAnsi="Times New Roman"/>
              </w:rPr>
              <w:t xml:space="preserve"> </w:t>
            </w:r>
          </w:p>
        </w:tc>
      </w:tr>
      <w:tr w:rsidR="0043271C" w:rsidRPr="00C91EA2" w14:paraId="2FE19F7A" w14:textId="77777777" w:rsidTr="001B7B7E">
        <w:tc>
          <w:tcPr>
            <w:tcW w:w="8630" w:type="dxa"/>
            <w:tcBorders>
              <w:top w:val="single" w:sz="4" w:space="0" w:color="auto"/>
              <w:left w:val="single" w:sz="4" w:space="0" w:color="auto"/>
              <w:bottom w:val="single" w:sz="4" w:space="0" w:color="auto"/>
              <w:right w:val="single" w:sz="4" w:space="0" w:color="auto"/>
            </w:tcBorders>
            <w:hideMark/>
          </w:tcPr>
          <w:p w14:paraId="0DDB448D" w14:textId="77777777" w:rsidR="0043271C" w:rsidRPr="00C91EA2" w:rsidRDefault="001B7B7E">
            <w:pPr>
              <w:jc w:val="both"/>
              <w:rPr>
                <w:rFonts w:ascii="Times New Roman" w:hAnsi="Times New Roman" w:cs="Times New Roman"/>
              </w:rPr>
            </w:pPr>
            <w:r>
              <w:rPr>
                <w:noProof/>
              </w:rPr>
              <w:drawing>
                <wp:inline distT="0" distB="0" distL="0" distR="0" wp14:anchorId="2DA3F3BE" wp14:editId="05CA9DD6">
                  <wp:extent cx="5486400" cy="3295015"/>
                  <wp:effectExtent l="0" t="0" r="0" b="0"/>
                  <wp:docPr id="135" name="Chart 13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43271C" w:rsidRPr="00C91EA2" w14:paraId="7288FCCF" w14:textId="77777777" w:rsidTr="0043271C">
        <w:tc>
          <w:tcPr>
            <w:tcW w:w="8630" w:type="dxa"/>
            <w:tcBorders>
              <w:top w:val="single" w:sz="4" w:space="0" w:color="auto"/>
              <w:left w:val="single" w:sz="4" w:space="0" w:color="auto"/>
              <w:bottom w:val="single" w:sz="4" w:space="0" w:color="auto"/>
              <w:right w:val="single" w:sz="4" w:space="0" w:color="auto"/>
            </w:tcBorders>
            <w:hideMark/>
          </w:tcPr>
          <w:p w14:paraId="7DAFE561" w14:textId="77777777" w:rsidR="0043271C" w:rsidRPr="00C91EA2" w:rsidRDefault="0043271C">
            <w:pPr>
              <w:rPr>
                <w:rFonts w:ascii="Times New Roman" w:hAnsi="Times New Roman" w:cs="Times New Roman"/>
                <w:noProof/>
                <w:sz w:val="20"/>
                <w:lang w:val="en-GB" w:eastAsia="en-GB"/>
              </w:rPr>
            </w:pPr>
            <w:r w:rsidRPr="00C91EA2">
              <w:rPr>
                <w:rFonts w:ascii="Times New Roman" w:hAnsi="Times New Roman" w:cs="Times New Roman"/>
                <w:noProof/>
                <w:sz w:val="20"/>
                <w:lang w:val="en-GB" w:eastAsia="en-GB"/>
              </w:rPr>
              <w:t xml:space="preserve">Source: </w:t>
            </w:r>
            <w:r w:rsidR="00A4434F">
              <w:rPr>
                <w:rFonts w:ascii="Times New Roman" w:hAnsi="Times New Roman" w:cs="Times New Roman"/>
                <w:noProof/>
                <w:sz w:val="20"/>
                <w:lang w:val="en-GB" w:eastAsia="en-GB"/>
              </w:rPr>
              <w:t>OECD-WBG PMR (2017)</w:t>
            </w:r>
          </w:p>
          <w:p w14:paraId="5FFFC72D" w14:textId="77777777" w:rsidR="0043271C" w:rsidRPr="00C91EA2" w:rsidRDefault="0043271C">
            <w:pPr>
              <w:rPr>
                <w:rFonts w:ascii="Times New Roman" w:hAnsi="Times New Roman" w:cs="Times New Roman"/>
                <w:noProof/>
                <w:sz w:val="20"/>
                <w:lang w:val="en-GB" w:eastAsia="en-GB"/>
              </w:rPr>
            </w:pPr>
            <w:r w:rsidRPr="00C91EA2">
              <w:rPr>
                <w:rFonts w:ascii="Times New Roman" w:hAnsi="Times New Roman" w:cs="Times New Roman"/>
                <w:noProof/>
                <w:sz w:val="20"/>
                <w:lang w:val="en-GB" w:eastAsia="en-GB"/>
              </w:rPr>
              <w:t>Note: The top 5 performers are Bulgaria, Latvia, Paraguay, Sweden</w:t>
            </w:r>
            <w:r w:rsidR="00182770">
              <w:rPr>
                <w:rFonts w:ascii="Times New Roman" w:hAnsi="Times New Roman" w:cs="Times New Roman"/>
                <w:noProof/>
                <w:sz w:val="20"/>
                <w:lang w:val="en-GB" w:eastAsia="en-GB"/>
              </w:rPr>
              <w:t>, and Slovenia.</w:t>
            </w:r>
          </w:p>
        </w:tc>
      </w:tr>
    </w:tbl>
    <w:p w14:paraId="0C578DE2" w14:textId="77777777" w:rsidR="0043271C" w:rsidRPr="00C91EA2" w:rsidRDefault="0043271C" w:rsidP="0043271C">
      <w:pPr>
        <w:jc w:val="both"/>
        <w:rPr>
          <w:rFonts w:ascii="Times New Roman" w:hAnsi="Times New Roman" w:cs="Times New Roman"/>
        </w:rPr>
      </w:pPr>
    </w:p>
    <w:p w14:paraId="15EAD42C" w14:textId="77777777" w:rsidR="0043271C" w:rsidRPr="00C91EA2" w:rsidRDefault="0043271C" w:rsidP="001D3344">
      <w:pPr>
        <w:jc w:val="both"/>
        <w:rPr>
          <w:rFonts w:ascii="Times New Roman" w:hAnsi="Times New Roman" w:cs="Times New Roman"/>
        </w:rPr>
      </w:pPr>
    </w:p>
    <w:p w14:paraId="6CDA50E2" w14:textId="77777777" w:rsidR="0043271C" w:rsidRPr="00C91EA2" w:rsidRDefault="00576A60" w:rsidP="001D3344">
      <w:pPr>
        <w:pStyle w:val="Heading2"/>
        <w:jc w:val="both"/>
        <w:rPr>
          <w:rFonts w:ascii="Times New Roman" w:hAnsi="Times New Roman" w:cs="Times New Roman"/>
        </w:rPr>
      </w:pPr>
      <w:bookmarkStart w:id="164" w:name="_Toc497990824"/>
      <w:bookmarkStart w:id="165" w:name="_Toc520724105"/>
      <w:r w:rsidRPr="00C91EA2">
        <w:rPr>
          <w:rFonts w:ascii="Times New Roman" w:hAnsi="Times New Roman" w:cs="Times New Roman"/>
        </w:rPr>
        <w:t xml:space="preserve">3.3 </w:t>
      </w:r>
      <w:r w:rsidR="008B5EA1">
        <w:rPr>
          <w:rFonts w:ascii="Times New Roman" w:hAnsi="Times New Roman" w:cs="Times New Roman"/>
        </w:rPr>
        <w:t>Restrictions to T</w:t>
      </w:r>
      <w:r w:rsidR="0043271C" w:rsidRPr="00C91EA2">
        <w:rPr>
          <w:rFonts w:ascii="Times New Roman" w:hAnsi="Times New Roman" w:cs="Times New Roman"/>
        </w:rPr>
        <w:t xml:space="preserve">rade and </w:t>
      </w:r>
      <w:r w:rsidR="008B5EA1">
        <w:rPr>
          <w:rFonts w:ascii="Times New Roman" w:hAnsi="Times New Roman" w:cs="Times New Roman"/>
        </w:rPr>
        <w:t>F</w:t>
      </w:r>
      <w:r w:rsidR="0043271C" w:rsidRPr="00C91EA2">
        <w:rPr>
          <w:rFonts w:ascii="Times New Roman" w:hAnsi="Times New Roman" w:cs="Times New Roman"/>
        </w:rPr>
        <w:t xml:space="preserve">oreign </w:t>
      </w:r>
      <w:r w:rsidR="008B5EA1">
        <w:rPr>
          <w:rFonts w:ascii="Times New Roman" w:hAnsi="Times New Roman" w:cs="Times New Roman"/>
        </w:rPr>
        <w:t>D</w:t>
      </w:r>
      <w:r w:rsidR="0043271C" w:rsidRPr="00C91EA2">
        <w:rPr>
          <w:rFonts w:ascii="Times New Roman" w:hAnsi="Times New Roman" w:cs="Times New Roman"/>
        </w:rPr>
        <w:t xml:space="preserve">irect </w:t>
      </w:r>
      <w:r w:rsidR="008B5EA1">
        <w:rPr>
          <w:rFonts w:ascii="Times New Roman" w:hAnsi="Times New Roman" w:cs="Times New Roman"/>
        </w:rPr>
        <w:t>I</w:t>
      </w:r>
      <w:r w:rsidR="0043271C" w:rsidRPr="00C91EA2">
        <w:rPr>
          <w:rFonts w:ascii="Times New Roman" w:hAnsi="Times New Roman" w:cs="Times New Roman"/>
        </w:rPr>
        <w:t xml:space="preserve">nvestment </w:t>
      </w:r>
      <w:r w:rsidR="008B5EA1">
        <w:rPr>
          <w:rFonts w:ascii="Times New Roman" w:hAnsi="Times New Roman" w:cs="Times New Roman"/>
        </w:rPr>
        <w:t>C</w:t>
      </w:r>
      <w:r w:rsidR="0043271C" w:rsidRPr="00C91EA2">
        <w:rPr>
          <w:rFonts w:ascii="Times New Roman" w:hAnsi="Times New Roman" w:cs="Times New Roman"/>
        </w:rPr>
        <w:t xml:space="preserve">ould </w:t>
      </w:r>
      <w:r w:rsidR="008B5EA1">
        <w:rPr>
          <w:rFonts w:ascii="Times New Roman" w:hAnsi="Times New Roman" w:cs="Times New Roman"/>
        </w:rPr>
        <w:t>A</w:t>
      </w:r>
      <w:r w:rsidR="0043271C" w:rsidRPr="00C91EA2">
        <w:rPr>
          <w:rFonts w:ascii="Times New Roman" w:hAnsi="Times New Roman" w:cs="Times New Roman"/>
        </w:rPr>
        <w:t xml:space="preserve">ffect </w:t>
      </w:r>
      <w:r w:rsidR="008B5EA1">
        <w:rPr>
          <w:rFonts w:ascii="Times New Roman" w:hAnsi="Times New Roman" w:cs="Times New Roman"/>
        </w:rPr>
        <w:t>I</w:t>
      </w:r>
      <w:r w:rsidR="0043271C" w:rsidRPr="00C91EA2">
        <w:rPr>
          <w:rFonts w:ascii="Times New Roman" w:hAnsi="Times New Roman" w:cs="Times New Roman"/>
        </w:rPr>
        <w:t xml:space="preserve">nternational </w:t>
      </w:r>
      <w:r w:rsidR="008B5EA1">
        <w:rPr>
          <w:rFonts w:ascii="Times New Roman" w:hAnsi="Times New Roman" w:cs="Times New Roman"/>
        </w:rPr>
        <w:t>C</w:t>
      </w:r>
      <w:r w:rsidR="0043271C" w:rsidRPr="00C91EA2">
        <w:rPr>
          <w:rFonts w:ascii="Times New Roman" w:hAnsi="Times New Roman" w:cs="Times New Roman"/>
        </w:rPr>
        <w:t>ompetitiveness</w:t>
      </w:r>
      <w:bookmarkEnd w:id="164"/>
      <w:bookmarkEnd w:id="165"/>
      <w:r w:rsidR="0043271C" w:rsidRPr="00C91EA2">
        <w:rPr>
          <w:rFonts w:ascii="Times New Roman" w:hAnsi="Times New Roman" w:cs="Times New Roman"/>
        </w:rPr>
        <w:t xml:space="preserve"> </w:t>
      </w:r>
    </w:p>
    <w:p w14:paraId="0E5DD116" w14:textId="77777777" w:rsidR="0043271C" w:rsidRPr="00C91EA2" w:rsidRDefault="0043271C" w:rsidP="0043271C">
      <w:pPr>
        <w:jc w:val="both"/>
        <w:rPr>
          <w:rFonts w:ascii="Times New Roman" w:hAnsi="Times New Roman" w:cs="Times New Roman"/>
        </w:rPr>
      </w:pPr>
    </w:p>
    <w:p w14:paraId="402AEA85" w14:textId="496107BB" w:rsidR="009B2F31" w:rsidRPr="009B2F31" w:rsidRDefault="0043271C" w:rsidP="009B2F31">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 xml:space="preserve">Senegal has a relatively restrictive trade and investment regime compared to the other countries for which </w:t>
      </w:r>
      <w:r w:rsidR="00602E7C">
        <w:rPr>
          <w:rFonts w:ascii="Times New Roman" w:hAnsi="Times New Roman" w:cs="Times New Roman"/>
          <w:b/>
        </w:rPr>
        <w:t xml:space="preserve">PMR </w:t>
      </w:r>
      <w:r w:rsidRPr="00C91EA2">
        <w:rPr>
          <w:rFonts w:ascii="Times New Roman" w:hAnsi="Times New Roman" w:cs="Times New Roman"/>
          <w:b/>
        </w:rPr>
        <w:t xml:space="preserve">data are available </w:t>
      </w:r>
      <w:r w:rsidRPr="00C91EA2">
        <w:rPr>
          <w:rFonts w:ascii="Times New Roman" w:hAnsi="Times New Roman" w:cs="Times New Roman"/>
        </w:rPr>
        <w:t>(</w:t>
      </w:r>
      <w:r w:rsidRPr="00C91EA2">
        <w:rPr>
          <w:rFonts w:ascii="Times New Roman" w:hAnsi="Times New Roman" w:cs="Times New Roman"/>
        </w:rPr>
        <w:fldChar w:fldCharType="begin"/>
      </w:r>
      <w:r w:rsidRPr="00C91EA2">
        <w:rPr>
          <w:rFonts w:ascii="Times New Roman" w:hAnsi="Times New Roman" w:cs="Times New Roman"/>
        </w:rPr>
        <w:instrText xml:space="preserve"> REF _Ref497128919 \h </w:instrText>
      </w:r>
      <w:r w:rsidR="00C91EA2">
        <w:rPr>
          <w:rFonts w:ascii="Times New Roman" w:hAnsi="Times New Roman" w:cs="Times New Roman"/>
        </w:rPr>
        <w:instrText xml:space="preserve">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37</w:t>
      </w:r>
      <w:r w:rsidRPr="00C91EA2">
        <w:rPr>
          <w:rFonts w:ascii="Times New Roman" w:hAnsi="Times New Roman" w:cs="Times New Roman"/>
        </w:rPr>
        <w:fldChar w:fldCharType="end"/>
      </w:r>
      <w:r w:rsidR="00B317CB">
        <w:rPr>
          <w:rFonts w:ascii="Times New Roman" w:hAnsi="Times New Roman" w:cs="Times New Roman"/>
        </w:rPr>
        <w:t xml:space="preserve"> and </w:t>
      </w:r>
      <w:r w:rsidR="00B317CB">
        <w:rPr>
          <w:rFonts w:ascii="Times New Roman" w:hAnsi="Times New Roman" w:cs="Times New Roman"/>
        </w:rPr>
        <w:fldChar w:fldCharType="begin"/>
      </w:r>
      <w:r w:rsidR="00B317CB">
        <w:rPr>
          <w:rFonts w:ascii="Times New Roman" w:hAnsi="Times New Roman" w:cs="Times New Roman"/>
        </w:rPr>
        <w:instrText xml:space="preserve"> REF _Ref520389420 \h </w:instrText>
      </w:r>
      <w:r w:rsidR="00B317CB">
        <w:rPr>
          <w:rFonts w:ascii="Times New Roman" w:hAnsi="Times New Roman" w:cs="Times New Roman"/>
        </w:rPr>
      </w:r>
      <w:r w:rsidR="00B317CB">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38</w:t>
      </w:r>
      <w:r w:rsidR="00B317CB">
        <w:rPr>
          <w:rFonts w:ascii="Times New Roman" w:hAnsi="Times New Roman" w:cs="Times New Roman"/>
        </w:rPr>
        <w:fldChar w:fldCharType="end"/>
      </w:r>
      <w:r w:rsidR="00B317CB">
        <w:rPr>
          <w:rFonts w:ascii="Times New Roman" w:hAnsi="Times New Roman" w:cs="Times New Roman"/>
        </w:rPr>
        <w:t xml:space="preserve"> below</w:t>
      </w:r>
      <w:r w:rsidRPr="00C91EA2">
        <w:rPr>
          <w:rFonts w:ascii="Times New Roman" w:hAnsi="Times New Roman" w:cs="Times New Roman"/>
        </w:rPr>
        <w:t>).</w:t>
      </w:r>
      <w:r w:rsidRPr="00C91EA2">
        <w:rPr>
          <w:rFonts w:ascii="Times New Roman" w:hAnsi="Times New Roman" w:cs="Times New Roman"/>
          <w:b/>
        </w:rPr>
        <w:t xml:space="preserve"> </w:t>
      </w:r>
      <w:r w:rsidRPr="00C91EA2">
        <w:rPr>
          <w:rFonts w:ascii="Times New Roman" w:hAnsi="Times New Roman" w:cs="Times New Roman"/>
        </w:rPr>
        <w:t>Although they are not</w:t>
      </w:r>
      <w:r w:rsidR="0019176B">
        <w:rPr>
          <w:rFonts w:ascii="Times New Roman" w:hAnsi="Times New Roman" w:cs="Times New Roman"/>
        </w:rPr>
        <w:t xml:space="preserve"> the</w:t>
      </w:r>
      <w:r w:rsidRPr="00C91EA2">
        <w:rPr>
          <w:rFonts w:ascii="Times New Roman" w:hAnsi="Times New Roman" w:cs="Times New Roman"/>
        </w:rPr>
        <w:t xml:space="preserve"> </w:t>
      </w:r>
      <w:r w:rsidRPr="00602E7C">
        <w:rPr>
          <w:rFonts w:ascii="Times New Roman" w:hAnsi="Times New Roman" w:cs="Times New Roman"/>
        </w:rPr>
        <w:t xml:space="preserve">largest part of Senegal’s overall PMR score, barriers to trade and investment appear to be the most important </w:t>
      </w:r>
      <w:r w:rsidR="0019176B" w:rsidRPr="00602E7C">
        <w:rPr>
          <w:rFonts w:ascii="Times New Roman" w:hAnsi="Times New Roman" w:cs="Times New Roman"/>
        </w:rPr>
        <w:t>driver of</w:t>
      </w:r>
      <w:r w:rsidRPr="00602E7C">
        <w:rPr>
          <w:rFonts w:ascii="Times New Roman" w:hAnsi="Times New Roman" w:cs="Times New Roman"/>
        </w:rPr>
        <w:t xml:space="preserve"> Senegal’s </w:t>
      </w:r>
      <w:r w:rsidR="0019176B" w:rsidRPr="00602E7C">
        <w:rPr>
          <w:rFonts w:ascii="Times New Roman" w:hAnsi="Times New Roman" w:cs="Times New Roman"/>
        </w:rPr>
        <w:t>placement in comparison to other countries</w:t>
      </w:r>
      <w:r w:rsidRPr="00602E7C">
        <w:rPr>
          <w:rFonts w:ascii="Times New Roman" w:hAnsi="Times New Roman" w:cs="Times New Roman"/>
        </w:rPr>
        <w:t xml:space="preserve"> (see</w:t>
      </w:r>
      <w:r w:rsidR="007A2E2A">
        <w:rPr>
          <w:rFonts w:ascii="Times New Roman" w:hAnsi="Times New Roman" w:cs="Times New Roman"/>
        </w:rPr>
        <w:t xml:space="preserve"> also</w:t>
      </w:r>
      <w:r w:rsidRPr="00602E7C">
        <w:rPr>
          <w:rFonts w:ascii="Times New Roman" w:hAnsi="Times New Roman" w:cs="Times New Roman"/>
        </w:rPr>
        <w:t xml:space="preserve"> </w:t>
      </w:r>
      <w:r w:rsidRPr="00602E7C">
        <w:rPr>
          <w:rFonts w:ascii="Times New Roman" w:hAnsi="Times New Roman" w:cs="Times New Roman"/>
        </w:rPr>
        <w:fldChar w:fldCharType="begin"/>
      </w:r>
      <w:r w:rsidRPr="00602E7C">
        <w:rPr>
          <w:rFonts w:ascii="Times New Roman" w:hAnsi="Times New Roman" w:cs="Times New Roman"/>
        </w:rPr>
        <w:instrText xml:space="preserve"> REF _Ref497128980 \h </w:instrText>
      </w:r>
      <w:r w:rsidR="00C91EA2" w:rsidRPr="00602E7C">
        <w:rPr>
          <w:rFonts w:ascii="Times New Roman" w:hAnsi="Times New Roman" w:cs="Times New Roman"/>
        </w:rPr>
        <w:instrText xml:space="preserve"> \* MERGEFORMAT </w:instrText>
      </w:r>
      <w:r w:rsidRPr="00602E7C">
        <w:rPr>
          <w:rFonts w:ascii="Times New Roman" w:hAnsi="Times New Roman" w:cs="Times New Roman"/>
        </w:rPr>
      </w:r>
      <w:r w:rsidRPr="00602E7C">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17</w:t>
      </w:r>
      <w:r w:rsidRPr="00602E7C">
        <w:rPr>
          <w:rFonts w:ascii="Times New Roman" w:hAnsi="Times New Roman" w:cs="Times New Roman"/>
        </w:rPr>
        <w:fldChar w:fldCharType="end"/>
      </w:r>
      <w:r w:rsidRPr="00602E7C">
        <w:rPr>
          <w:rFonts w:ascii="Times New Roman" w:hAnsi="Times New Roman" w:cs="Times New Roman"/>
        </w:rPr>
        <w:t xml:space="preserve"> above).</w:t>
      </w:r>
      <w:r w:rsidRPr="00C91EA2">
        <w:rPr>
          <w:rFonts w:ascii="Times New Roman" w:hAnsi="Times New Roman" w:cs="Times New Roman"/>
          <w:b/>
        </w:rPr>
        <w:t xml:space="preserve"> </w:t>
      </w:r>
    </w:p>
    <w:p w14:paraId="4973CCA1" w14:textId="77777777" w:rsidR="009B2F31" w:rsidRPr="009B2F31" w:rsidRDefault="009B2F31" w:rsidP="009B2F31">
      <w:pPr>
        <w:pStyle w:val="ListParagraph"/>
        <w:ind w:left="0"/>
        <w:jc w:val="both"/>
        <w:rPr>
          <w:rFonts w:ascii="Times New Roman" w:hAnsi="Times New Roman" w:cs="Times New Roman"/>
        </w:rPr>
      </w:pPr>
    </w:p>
    <w:p w14:paraId="7A7E0DEF" w14:textId="77777777" w:rsidR="0043271C" w:rsidRPr="009B2F31" w:rsidRDefault="009B2F31" w:rsidP="009B2F31">
      <w:pPr>
        <w:pStyle w:val="ListParagraph"/>
        <w:numPr>
          <w:ilvl w:val="0"/>
          <w:numId w:val="125"/>
        </w:numPr>
        <w:ind w:left="0" w:firstLine="0"/>
        <w:jc w:val="both"/>
        <w:rPr>
          <w:rFonts w:ascii="Times New Roman" w:hAnsi="Times New Roman" w:cs="Times New Roman"/>
        </w:rPr>
      </w:pPr>
      <w:r w:rsidRPr="00C91EA2">
        <w:rPr>
          <w:rFonts w:ascii="Times New Roman" w:hAnsi="Times New Roman" w:cs="Times New Roman"/>
          <w:b/>
        </w:rPr>
        <w:t>The most impor</w:t>
      </w:r>
      <w:r w:rsidR="00EE384E">
        <w:rPr>
          <w:rFonts w:ascii="Times New Roman" w:hAnsi="Times New Roman" w:cs="Times New Roman"/>
          <w:b/>
        </w:rPr>
        <w:t>tant contributors to the restrictiveness of</w:t>
      </w:r>
      <w:r w:rsidRPr="00C91EA2">
        <w:rPr>
          <w:rFonts w:ascii="Times New Roman" w:hAnsi="Times New Roman" w:cs="Times New Roman"/>
          <w:b/>
        </w:rPr>
        <w:t xml:space="preserve"> barriers to trade and investment in Senegal are tariff barriers and barriers to trade facilitation.</w:t>
      </w:r>
      <w:r w:rsidRPr="00C91EA2">
        <w:rPr>
          <w:rFonts w:ascii="Times New Roman" w:hAnsi="Times New Roman" w:cs="Times New Roman"/>
        </w:rPr>
        <w:t xml:space="preserve"> The important weight of tariff barriers results from the relatively high effectively applied tariff of almost 13 percent (simple average). The other African countries for which PMR data are available have consistently lower tariff rates, with Rwanda at 10.7 percent, South Africa at 7 percent, Kenya at 12 percent, and Egypt at 9.2 percent. Tariff barriers can be found in </w:t>
      </w:r>
      <w:proofErr w:type="gramStart"/>
      <w:r w:rsidRPr="00C91EA2">
        <w:rPr>
          <w:rFonts w:ascii="Times New Roman" w:hAnsi="Times New Roman" w:cs="Times New Roman"/>
        </w:rPr>
        <w:t>a number of</w:t>
      </w:r>
      <w:proofErr w:type="gramEnd"/>
      <w:r w:rsidRPr="00C91EA2">
        <w:rPr>
          <w:rFonts w:ascii="Times New Roman" w:hAnsi="Times New Roman" w:cs="Times New Roman"/>
        </w:rPr>
        <w:t xml:space="preserve"> sectors and for various products such as rice, sugar, wheat, and vegetable oils. Furthermore, there are non-tariff barriers</w:t>
      </w:r>
      <w:r w:rsidR="00A05BD2">
        <w:rPr>
          <w:rFonts w:ascii="Times New Roman" w:hAnsi="Times New Roman" w:cs="Times New Roman"/>
        </w:rPr>
        <w:t>,</w:t>
      </w:r>
      <w:r w:rsidRPr="00C91EA2">
        <w:rPr>
          <w:rFonts w:ascii="Times New Roman" w:hAnsi="Times New Roman" w:cs="Times New Roman"/>
        </w:rPr>
        <w:t xml:space="preserve"> such as specific import permits required for seed imports.</w:t>
      </w:r>
      <w:r w:rsidRPr="003943F3">
        <w:rPr>
          <w:rFonts w:ascii="Times New Roman" w:hAnsi="Times New Roman" w:cs="Times New Roman"/>
        </w:rPr>
        <w:t xml:space="preserve"> </w:t>
      </w:r>
      <w:r w:rsidRPr="00C91EA2">
        <w:rPr>
          <w:rFonts w:ascii="Times New Roman" w:hAnsi="Times New Roman" w:cs="Times New Roman"/>
        </w:rPr>
        <w:t>There are no barriers to FDI</w:t>
      </w:r>
      <w:r w:rsidR="009B6939">
        <w:rPr>
          <w:rFonts w:ascii="Times New Roman" w:hAnsi="Times New Roman" w:cs="Times New Roman"/>
        </w:rPr>
        <w:t xml:space="preserve"> according to the scope of the PMR indicators</w:t>
      </w:r>
      <w:r w:rsidR="00B61CDD">
        <w:rPr>
          <w:rFonts w:ascii="Times New Roman" w:hAnsi="Times New Roman" w:cs="Times New Roman"/>
        </w:rPr>
        <w:t xml:space="preserve">, although there is preferential treatment for domestically-owned telecommunications enterprises </w:t>
      </w:r>
      <w:r w:rsidR="00D70A94">
        <w:rPr>
          <w:rFonts w:ascii="Times New Roman" w:hAnsi="Times New Roman" w:cs="Times New Roman"/>
        </w:rPr>
        <w:t>in participating in tenders for various services (e.g. internet servi</w:t>
      </w:r>
      <w:r w:rsidR="00071581">
        <w:rPr>
          <w:rFonts w:ascii="Times New Roman" w:hAnsi="Times New Roman" w:cs="Times New Roman"/>
        </w:rPr>
        <w:t>ce providers</w:t>
      </w:r>
      <w:r w:rsidR="00750F2A">
        <w:rPr>
          <w:rFonts w:ascii="Times New Roman" w:hAnsi="Times New Roman" w:cs="Times New Roman"/>
        </w:rPr>
        <w:t>)</w:t>
      </w:r>
      <w:r w:rsidR="00071581">
        <w:rPr>
          <w:rFonts w:ascii="Times New Roman" w:hAnsi="Times New Roman" w:cs="Times New Roman"/>
        </w:rPr>
        <w:t xml:space="preserve"> </w:t>
      </w:r>
      <w:r w:rsidR="00071581" w:rsidRPr="00113EDD">
        <w:rPr>
          <w:rFonts w:ascii="Times New Roman" w:hAnsi="Times New Roman" w:cs="Times New Roman"/>
        </w:rPr>
        <w:t>(see also Section 5</w:t>
      </w:r>
      <w:r w:rsidR="00D70A94" w:rsidRPr="00113EDD">
        <w:rPr>
          <w:rFonts w:ascii="Times New Roman" w:hAnsi="Times New Roman" w:cs="Times New Roman"/>
        </w:rPr>
        <w:t>)</w:t>
      </w:r>
      <w:r w:rsidR="00B61CDD" w:rsidRPr="00113EDD">
        <w:rPr>
          <w:rFonts w:ascii="Times New Roman" w:hAnsi="Times New Roman" w:cs="Times New Roman"/>
        </w:rPr>
        <w:t>.</w:t>
      </w:r>
    </w:p>
    <w:p w14:paraId="50E974AC"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21F3F446" w14:textId="77777777" w:rsidTr="0043271C">
        <w:trPr>
          <w:trHeight w:val="255"/>
        </w:trPr>
        <w:tc>
          <w:tcPr>
            <w:tcW w:w="8630" w:type="dxa"/>
            <w:tcBorders>
              <w:top w:val="single" w:sz="4" w:space="0" w:color="auto"/>
              <w:left w:val="single" w:sz="4" w:space="0" w:color="auto"/>
              <w:bottom w:val="single" w:sz="4" w:space="0" w:color="auto"/>
              <w:right w:val="single" w:sz="4" w:space="0" w:color="auto"/>
            </w:tcBorders>
            <w:hideMark/>
          </w:tcPr>
          <w:p w14:paraId="272DC539" w14:textId="0770356D" w:rsidR="0043271C" w:rsidRPr="00C91EA2" w:rsidRDefault="0043271C">
            <w:pPr>
              <w:pStyle w:val="Caption"/>
              <w:keepNext/>
              <w:rPr>
                <w:rFonts w:ascii="Times New Roman" w:hAnsi="Times New Roman"/>
              </w:rPr>
            </w:pPr>
            <w:bookmarkStart w:id="166" w:name="_Ref497128919"/>
            <w:bookmarkStart w:id="167" w:name="_Toc497990885"/>
            <w:bookmarkStart w:id="168" w:name="_Toc520725593"/>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37</w:t>
            </w:r>
            <w:r w:rsidR="00D91B27">
              <w:rPr>
                <w:rFonts w:ascii="Times New Roman" w:hAnsi="Times New Roman"/>
              </w:rPr>
              <w:fldChar w:fldCharType="end"/>
            </w:r>
            <w:bookmarkEnd w:id="166"/>
            <w:r w:rsidRPr="00C91EA2">
              <w:rPr>
                <w:rFonts w:ascii="Times New Roman" w:hAnsi="Times New Roman"/>
              </w:rPr>
              <w:t xml:space="preserve">: Barriers to Trade and Investment </w:t>
            </w:r>
            <w:bookmarkEnd w:id="167"/>
            <w:r w:rsidR="00E8554C">
              <w:rPr>
                <w:rFonts w:ascii="Times New Roman" w:hAnsi="Times New Roman"/>
              </w:rPr>
              <w:t>in Senegal and Comparator Countries</w:t>
            </w:r>
            <w:bookmarkEnd w:id="168"/>
            <w:r w:rsidR="00E8554C">
              <w:rPr>
                <w:rFonts w:ascii="Times New Roman" w:hAnsi="Times New Roman"/>
              </w:rPr>
              <w:t xml:space="preserve"> </w:t>
            </w:r>
          </w:p>
        </w:tc>
      </w:tr>
      <w:tr w:rsidR="008730F1" w:rsidRPr="00C91EA2" w14:paraId="21AF0A33" w14:textId="77777777" w:rsidTr="0043271C">
        <w:tc>
          <w:tcPr>
            <w:tcW w:w="8630" w:type="dxa"/>
            <w:tcBorders>
              <w:top w:val="single" w:sz="4" w:space="0" w:color="auto"/>
              <w:left w:val="single" w:sz="4" w:space="0" w:color="auto"/>
              <w:bottom w:val="single" w:sz="4" w:space="0" w:color="auto"/>
              <w:right w:val="single" w:sz="4" w:space="0" w:color="auto"/>
            </w:tcBorders>
          </w:tcPr>
          <w:p w14:paraId="2983004B" w14:textId="77777777" w:rsidR="008730F1" w:rsidRPr="00C91EA2" w:rsidRDefault="008730F1" w:rsidP="008730F1">
            <w:pPr>
              <w:rPr>
                <w:rFonts w:ascii="Times New Roman" w:hAnsi="Times New Roman" w:cs="Times New Roman"/>
                <w:sz w:val="20"/>
              </w:rPr>
            </w:pPr>
            <w:r>
              <w:rPr>
                <w:noProof/>
              </w:rPr>
              <w:drawing>
                <wp:inline distT="0" distB="0" distL="0" distR="0" wp14:anchorId="174A7FAA" wp14:editId="20106DAF">
                  <wp:extent cx="5362575" cy="4526280"/>
                  <wp:effectExtent l="0" t="0" r="0" b="7620"/>
                  <wp:docPr id="30" name="Chart 30">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8730F1" w:rsidRPr="00C91EA2" w14:paraId="207DFC28" w14:textId="77777777" w:rsidTr="0043271C">
        <w:tc>
          <w:tcPr>
            <w:tcW w:w="8630" w:type="dxa"/>
            <w:tcBorders>
              <w:top w:val="single" w:sz="4" w:space="0" w:color="auto"/>
              <w:left w:val="single" w:sz="4" w:space="0" w:color="auto"/>
              <w:bottom w:val="single" w:sz="4" w:space="0" w:color="auto"/>
              <w:right w:val="single" w:sz="4" w:space="0" w:color="auto"/>
            </w:tcBorders>
          </w:tcPr>
          <w:p w14:paraId="53270EE8" w14:textId="77777777" w:rsidR="008730F1" w:rsidRPr="00C91EA2" w:rsidRDefault="008730F1" w:rsidP="008730F1">
            <w:pPr>
              <w:rPr>
                <w:rFonts w:ascii="Times New Roman" w:hAnsi="Times New Roman" w:cs="Times New Roman"/>
                <w:sz w:val="20"/>
              </w:rPr>
            </w:pPr>
            <w:r w:rsidRPr="00C91EA2">
              <w:rPr>
                <w:rFonts w:ascii="Times New Roman" w:hAnsi="Times New Roman" w:cs="Times New Roman"/>
                <w:sz w:val="20"/>
              </w:rPr>
              <w:t xml:space="preserve">Source: </w:t>
            </w:r>
            <w:r>
              <w:rPr>
                <w:rFonts w:ascii="Times New Roman" w:hAnsi="Times New Roman" w:cs="Times New Roman"/>
                <w:sz w:val="20"/>
              </w:rPr>
              <w:t>OECD-WBG PMR (2017)</w:t>
            </w:r>
          </w:p>
          <w:p w14:paraId="1C73C5F5" w14:textId="77777777" w:rsidR="008730F1" w:rsidRPr="00C91EA2" w:rsidRDefault="008730F1" w:rsidP="008730F1">
            <w:pPr>
              <w:rPr>
                <w:rFonts w:ascii="Times New Roman" w:hAnsi="Times New Roman" w:cs="Times New Roman"/>
                <w:sz w:val="20"/>
              </w:rPr>
            </w:pPr>
            <w:r w:rsidRPr="00C91EA2">
              <w:rPr>
                <w:rFonts w:ascii="Times New Roman" w:hAnsi="Times New Roman" w:cs="Times New Roman"/>
                <w:sz w:val="20"/>
              </w:rPr>
              <w:t>Note: The top 5 performers are the Netherlands, Belgium, Australia, the United Kingdom, and Finland</w:t>
            </w:r>
          </w:p>
        </w:tc>
      </w:tr>
    </w:tbl>
    <w:p w14:paraId="1C3F4E32" w14:textId="77777777" w:rsidR="0043271C" w:rsidRPr="00C91EA2" w:rsidRDefault="0043271C"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3358"/>
        <w:gridCol w:w="5272"/>
      </w:tblGrid>
      <w:tr w:rsidR="0043271C" w:rsidRPr="00C91EA2" w14:paraId="0D2B0ED5" w14:textId="77777777" w:rsidTr="0043271C">
        <w:tc>
          <w:tcPr>
            <w:tcW w:w="8630" w:type="dxa"/>
            <w:gridSpan w:val="2"/>
            <w:tcBorders>
              <w:top w:val="single" w:sz="4" w:space="0" w:color="auto"/>
              <w:left w:val="single" w:sz="4" w:space="0" w:color="auto"/>
              <w:bottom w:val="single" w:sz="4" w:space="0" w:color="auto"/>
              <w:right w:val="single" w:sz="4" w:space="0" w:color="auto"/>
            </w:tcBorders>
            <w:hideMark/>
          </w:tcPr>
          <w:p w14:paraId="43A78877" w14:textId="2505758A" w:rsidR="0043271C" w:rsidRPr="00C91EA2" w:rsidRDefault="0043271C">
            <w:pPr>
              <w:pStyle w:val="Caption"/>
              <w:keepNext/>
              <w:jc w:val="both"/>
              <w:rPr>
                <w:rFonts w:ascii="Times New Roman" w:hAnsi="Times New Roman"/>
              </w:rPr>
            </w:pPr>
            <w:bookmarkStart w:id="169" w:name="_Ref520389420"/>
            <w:bookmarkStart w:id="170" w:name="_Toc497990886"/>
            <w:bookmarkStart w:id="171" w:name="_Toc520725594"/>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38</w:t>
            </w:r>
            <w:r w:rsidR="00D91B27">
              <w:rPr>
                <w:rFonts w:ascii="Times New Roman" w:hAnsi="Times New Roman"/>
              </w:rPr>
              <w:fldChar w:fldCharType="end"/>
            </w:r>
            <w:bookmarkEnd w:id="169"/>
            <w:r w:rsidRPr="00C91EA2">
              <w:rPr>
                <w:rFonts w:ascii="Times New Roman" w:hAnsi="Times New Roman"/>
              </w:rPr>
              <w:t>: Composition of Barriers to Trade and Investment Indicator</w:t>
            </w:r>
            <w:bookmarkEnd w:id="170"/>
            <w:bookmarkEnd w:id="171"/>
          </w:p>
        </w:tc>
      </w:tr>
      <w:tr w:rsidR="008730F1" w:rsidRPr="00C91EA2" w14:paraId="69365803" w14:textId="77777777" w:rsidTr="007575D7">
        <w:trPr>
          <w:trHeight w:val="5597"/>
        </w:trPr>
        <w:tc>
          <w:tcPr>
            <w:tcW w:w="3208" w:type="dxa"/>
            <w:tcBorders>
              <w:top w:val="single" w:sz="4" w:space="0" w:color="auto"/>
              <w:left w:val="single" w:sz="4" w:space="0" w:color="auto"/>
              <w:bottom w:val="single" w:sz="4" w:space="0" w:color="auto"/>
              <w:right w:val="nil"/>
            </w:tcBorders>
          </w:tcPr>
          <w:p w14:paraId="78EDD7CD" w14:textId="77777777" w:rsidR="008730F1" w:rsidRPr="00C91EA2" w:rsidRDefault="008730F1" w:rsidP="008730F1">
            <w:pPr>
              <w:jc w:val="both"/>
              <w:rPr>
                <w:rFonts w:ascii="Times New Roman" w:hAnsi="Times New Roman" w:cs="Times New Roman"/>
                <w:noProof/>
              </w:rPr>
            </w:pPr>
            <w:r>
              <w:rPr>
                <w:noProof/>
              </w:rPr>
              <w:drawing>
                <wp:inline distT="0" distB="0" distL="0" distR="0" wp14:anchorId="712702C8" wp14:editId="00A29AD0">
                  <wp:extent cx="2047875" cy="3705225"/>
                  <wp:effectExtent l="0" t="0" r="0" b="0"/>
                  <wp:docPr id="37" name="Chart 37">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5422" w:type="dxa"/>
            <w:tcBorders>
              <w:top w:val="single" w:sz="4" w:space="0" w:color="auto"/>
              <w:left w:val="nil"/>
              <w:bottom w:val="single" w:sz="4" w:space="0" w:color="auto"/>
              <w:right w:val="single" w:sz="4" w:space="0" w:color="auto"/>
            </w:tcBorders>
          </w:tcPr>
          <w:p w14:paraId="577CC8F6" w14:textId="77777777" w:rsidR="008730F1" w:rsidRPr="00C91EA2" w:rsidRDefault="008730F1" w:rsidP="008730F1">
            <w:pPr>
              <w:jc w:val="both"/>
              <w:rPr>
                <w:rFonts w:ascii="Times New Roman" w:hAnsi="Times New Roman" w:cs="Times New Roman"/>
                <w:noProof/>
              </w:rPr>
            </w:pPr>
            <w:r>
              <w:rPr>
                <w:noProof/>
              </w:rPr>
              <w:drawing>
                <wp:inline distT="0" distB="0" distL="0" distR="0" wp14:anchorId="7919BD41" wp14:editId="6B7E6072">
                  <wp:extent cx="3295650" cy="4143375"/>
                  <wp:effectExtent l="0" t="0" r="0" b="0"/>
                  <wp:docPr id="38" name="Chart 38">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8730F1" w:rsidRPr="00C91EA2" w14:paraId="4CF2B8FC" w14:textId="77777777" w:rsidTr="007575D7">
        <w:trPr>
          <w:trHeight w:val="143"/>
        </w:trPr>
        <w:tc>
          <w:tcPr>
            <w:tcW w:w="8630" w:type="dxa"/>
            <w:gridSpan w:val="2"/>
            <w:tcBorders>
              <w:top w:val="single" w:sz="4" w:space="0" w:color="auto"/>
              <w:left w:val="single" w:sz="4" w:space="0" w:color="auto"/>
              <w:bottom w:val="single" w:sz="4" w:space="0" w:color="auto"/>
              <w:right w:val="single" w:sz="4" w:space="0" w:color="auto"/>
            </w:tcBorders>
          </w:tcPr>
          <w:p w14:paraId="64DB5257" w14:textId="77777777" w:rsidR="008730F1" w:rsidRDefault="008730F1" w:rsidP="008730F1">
            <w:pPr>
              <w:jc w:val="both"/>
              <w:rPr>
                <w:noProof/>
              </w:rPr>
            </w:pPr>
            <w:r w:rsidRPr="00C91EA2">
              <w:rPr>
                <w:rFonts w:ascii="Times New Roman" w:hAnsi="Times New Roman" w:cs="Times New Roman"/>
                <w:sz w:val="20"/>
              </w:rPr>
              <w:t xml:space="preserve">Source: </w:t>
            </w:r>
            <w:r>
              <w:rPr>
                <w:rFonts w:ascii="Times New Roman" w:hAnsi="Times New Roman" w:cs="Times New Roman"/>
                <w:sz w:val="20"/>
              </w:rPr>
              <w:t>OECD-WBG PMR (2017)</w:t>
            </w:r>
          </w:p>
        </w:tc>
      </w:tr>
    </w:tbl>
    <w:p w14:paraId="3749EE0E" w14:textId="77777777" w:rsidR="0043271C" w:rsidRDefault="0043271C" w:rsidP="0043271C">
      <w:pPr>
        <w:jc w:val="both"/>
        <w:rPr>
          <w:rFonts w:ascii="Times New Roman" w:hAnsi="Times New Roman" w:cs="Times New Roman"/>
        </w:rPr>
      </w:pPr>
    </w:p>
    <w:p w14:paraId="2A3E5598" w14:textId="77777777" w:rsidR="00711D1F" w:rsidRPr="00C91EA2" w:rsidRDefault="00711D1F" w:rsidP="0043271C">
      <w:pPr>
        <w:jc w:val="both"/>
        <w:rPr>
          <w:rFonts w:ascii="Times New Roman" w:hAnsi="Times New Roman" w:cs="Times New Roman"/>
        </w:rPr>
      </w:pPr>
    </w:p>
    <w:p w14:paraId="34667F23" w14:textId="111627DB" w:rsidR="0043271C" w:rsidRPr="00C91EA2" w:rsidRDefault="0043271C" w:rsidP="0043271C">
      <w:pPr>
        <w:pStyle w:val="ListParagraph"/>
        <w:numPr>
          <w:ilvl w:val="0"/>
          <w:numId w:val="125"/>
        </w:numPr>
        <w:ind w:left="0" w:firstLine="0"/>
        <w:jc w:val="both"/>
        <w:rPr>
          <w:rFonts w:ascii="Times New Roman" w:hAnsi="Times New Roman" w:cs="Times New Roman"/>
          <w:color w:val="000000"/>
          <w:shd w:val="clear" w:color="auto" w:fill="FFFFFF"/>
        </w:rPr>
      </w:pPr>
      <w:r w:rsidRPr="00C91EA2">
        <w:rPr>
          <w:rFonts w:ascii="Times New Roman" w:hAnsi="Times New Roman" w:cs="Times New Roman"/>
          <w:b/>
        </w:rPr>
        <w:t xml:space="preserve">Barriers to trade facilitation are largely due to the lack of concerted attempts by the </w:t>
      </w:r>
      <w:r w:rsidR="003B24ED">
        <w:rPr>
          <w:rFonts w:ascii="Times New Roman" w:hAnsi="Times New Roman" w:cs="Times New Roman"/>
          <w:b/>
        </w:rPr>
        <w:t>Government</w:t>
      </w:r>
      <w:r w:rsidR="0098273F">
        <w:rPr>
          <w:rFonts w:ascii="Times New Roman" w:hAnsi="Times New Roman" w:cs="Times New Roman"/>
          <w:b/>
        </w:rPr>
        <w:t xml:space="preserve"> </w:t>
      </w:r>
      <w:r w:rsidRPr="00C91EA2">
        <w:rPr>
          <w:rFonts w:ascii="Times New Roman" w:hAnsi="Times New Roman" w:cs="Times New Roman"/>
          <w:b/>
        </w:rPr>
        <w:t xml:space="preserve">to harmonize standards, actively encourage the recognition of foreign standards </w:t>
      </w:r>
      <w:r w:rsidR="00AC6274">
        <w:rPr>
          <w:rFonts w:ascii="Times New Roman" w:hAnsi="Times New Roman" w:cs="Times New Roman"/>
          <w:b/>
        </w:rPr>
        <w:t>and</w:t>
      </w:r>
      <w:r w:rsidR="00AC6274" w:rsidRPr="00C91EA2">
        <w:rPr>
          <w:rFonts w:ascii="Times New Roman" w:hAnsi="Times New Roman" w:cs="Times New Roman"/>
          <w:b/>
        </w:rPr>
        <w:t xml:space="preserve"> </w:t>
      </w:r>
      <w:r w:rsidRPr="00C91EA2">
        <w:rPr>
          <w:rFonts w:ascii="Times New Roman" w:hAnsi="Times New Roman" w:cs="Times New Roman"/>
          <w:b/>
        </w:rPr>
        <w:t>the lack of mutual recognition agreements (MRAs)</w:t>
      </w:r>
      <w:r w:rsidR="008C78F0" w:rsidRPr="00C91EA2">
        <w:rPr>
          <w:rFonts w:ascii="Times New Roman" w:hAnsi="Times New Roman" w:cs="Times New Roman"/>
          <w:color w:val="000000"/>
          <w:shd w:val="clear" w:color="auto" w:fill="FFFFFF"/>
        </w:rPr>
        <w:t xml:space="preserve"> (see </w:t>
      </w:r>
      <w:r w:rsidR="008C78F0" w:rsidRPr="00C91EA2">
        <w:rPr>
          <w:rFonts w:ascii="Times New Roman" w:hAnsi="Times New Roman" w:cs="Times New Roman"/>
          <w:color w:val="000000"/>
          <w:shd w:val="clear" w:color="auto" w:fill="FFFFFF"/>
        </w:rPr>
        <w:fldChar w:fldCharType="begin"/>
      </w:r>
      <w:r w:rsidR="008C78F0" w:rsidRPr="00C91EA2">
        <w:rPr>
          <w:rFonts w:ascii="Times New Roman" w:hAnsi="Times New Roman" w:cs="Times New Roman"/>
          <w:color w:val="000000"/>
          <w:shd w:val="clear" w:color="auto" w:fill="FFFFFF"/>
        </w:rPr>
        <w:instrText xml:space="preserve"> REF _Ref497145948 \h  \* MERGEFORMAT </w:instrText>
      </w:r>
      <w:r w:rsidR="008C78F0" w:rsidRPr="00C91EA2">
        <w:rPr>
          <w:rFonts w:ascii="Times New Roman" w:hAnsi="Times New Roman" w:cs="Times New Roman"/>
          <w:color w:val="000000"/>
          <w:shd w:val="clear" w:color="auto" w:fill="FFFFFF"/>
        </w:rPr>
      </w:r>
      <w:r w:rsidR="008C78F0" w:rsidRPr="00C91EA2">
        <w:rPr>
          <w:rFonts w:ascii="Times New Roman" w:hAnsi="Times New Roman" w:cs="Times New Roman"/>
          <w:color w:val="000000"/>
          <w:shd w:val="clear" w:color="auto" w:fill="FFFFFF"/>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39</w:t>
      </w:r>
      <w:r w:rsidR="008C78F0" w:rsidRPr="00C91EA2">
        <w:rPr>
          <w:rFonts w:ascii="Times New Roman" w:hAnsi="Times New Roman" w:cs="Times New Roman"/>
          <w:color w:val="000000"/>
          <w:shd w:val="clear" w:color="auto" w:fill="FFFFFF"/>
        </w:rPr>
        <w:fldChar w:fldCharType="end"/>
      </w:r>
      <w:r w:rsidR="008C78F0" w:rsidRPr="00C91EA2">
        <w:rPr>
          <w:rFonts w:ascii="Times New Roman" w:hAnsi="Times New Roman" w:cs="Times New Roman"/>
          <w:color w:val="000000"/>
          <w:shd w:val="clear" w:color="auto" w:fill="FFFFFF"/>
        </w:rPr>
        <w:t>)</w:t>
      </w:r>
      <w:r w:rsidRPr="00C91EA2">
        <w:rPr>
          <w:rFonts w:ascii="Times New Roman" w:hAnsi="Times New Roman" w:cs="Times New Roman"/>
          <w:b/>
        </w:rPr>
        <w:t>.</w:t>
      </w:r>
      <w:r w:rsidRPr="00C91EA2">
        <w:rPr>
          <w:rFonts w:ascii="Times New Roman" w:hAnsi="Times New Roman" w:cs="Times New Roman"/>
        </w:rPr>
        <w:t xml:space="preserve"> MRAs are bilateral agreements that aim to benefit industry by providing easier access to conformity assessment. When present, they promote trade in goods between the countries and facilitate market access. However, Senegal does not have a single MRA in any of the 16 sectors/markets assessed by the PMR.</w:t>
      </w:r>
      <w:r w:rsidRPr="00C91EA2">
        <w:rPr>
          <w:rStyle w:val="FootnoteReference"/>
          <w:rFonts w:ascii="Times New Roman" w:hAnsi="Times New Roman" w:cs="Times New Roman"/>
        </w:rPr>
        <w:footnoteReference w:id="88"/>
      </w:r>
      <w:r w:rsidRPr="00C91EA2">
        <w:rPr>
          <w:rFonts w:ascii="Times New Roman" w:hAnsi="Times New Roman" w:cs="Times New Roman"/>
        </w:rPr>
        <w:t xml:space="preserve"> </w:t>
      </w:r>
      <w:r w:rsidR="008C78F0">
        <w:rPr>
          <w:rFonts w:ascii="Times New Roman" w:hAnsi="Times New Roman" w:cs="Times New Roman"/>
        </w:rPr>
        <w:t>Moreover</w:t>
      </w:r>
      <w:r w:rsidRPr="00C91EA2">
        <w:rPr>
          <w:rFonts w:ascii="Times New Roman" w:hAnsi="Times New Roman" w:cs="Times New Roman"/>
        </w:rPr>
        <w:t xml:space="preserve">, regulators are not required to use internationally harmonized standards and certification procedures in any of </w:t>
      </w:r>
      <w:r w:rsidR="008C78F0">
        <w:rPr>
          <w:rFonts w:ascii="Times New Roman" w:hAnsi="Times New Roman" w:cs="Times New Roman"/>
        </w:rPr>
        <w:t>these</w:t>
      </w:r>
      <w:r w:rsidRPr="00C91EA2">
        <w:rPr>
          <w:rFonts w:ascii="Times New Roman" w:hAnsi="Times New Roman" w:cs="Times New Roman"/>
        </w:rPr>
        <w:t xml:space="preserve"> 16 sectors/markets. In addition to the barriers to entry for foreign firms, there are regulations in place that prevent the participation of foreign firms in tenders for </w:t>
      </w:r>
      <w:r w:rsidR="003B24ED">
        <w:rPr>
          <w:rFonts w:ascii="Times New Roman" w:hAnsi="Times New Roman" w:cs="Times New Roman"/>
          <w:color w:val="000000"/>
          <w:shd w:val="clear" w:color="auto" w:fill="FFFFFF"/>
        </w:rPr>
        <w:t>Government</w:t>
      </w:r>
      <w:r w:rsidR="0098273F">
        <w:rPr>
          <w:rFonts w:ascii="Times New Roman" w:hAnsi="Times New Roman" w:cs="Times New Roman"/>
          <w:color w:val="000000"/>
          <w:shd w:val="clear" w:color="auto" w:fill="FFFFFF"/>
        </w:rPr>
        <w:t xml:space="preserve"> </w:t>
      </w:r>
      <w:r w:rsidRPr="00C91EA2">
        <w:rPr>
          <w:rFonts w:ascii="Times New Roman" w:hAnsi="Times New Roman" w:cs="Times New Roman"/>
          <w:color w:val="000000"/>
          <w:shd w:val="clear" w:color="auto" w:fill="FFFFFF"/>
        </w:rPr>
        <w:t>transport contracts/public procurement as well as economic needs tests and quotas that restrict the participation of foreign professionals in services</w:t>
      </w:r>
      <w:r w:rsidR="00E8554C">
        <w:rPr>
          <w:rFonts w:ascii="Times New Roman" w:hAnsi="Times New Roman" w:cs="Times New Roman"/>
          <w:color w:val="000000"/>
          <w:shd w:val="clear" w:color="auto" w:fill="FFFFFF"/>
        </w:rPr>
        <w:t>,</w:t>
      </w:r>
      <w:r w:rsidRPr="00C91EA2">
        <w:rPr>
          <w:rFonts w:ascii="Times New Roman" w:hAnsi="Times New Roman" w:cs="Times New Roman"/>
          <w:color w:val="000000"/>
          <w:shd w:val="clear" w:color="auto" w:fill="FFFFFF"/>
        </w:rPr>
        <w:t xml:space="preserve"> such as accounting, engineering, architecture and law.</w:t>
      </w:r>
    </w:p>
    <w:p w14:paraId="5B28302A" w14:textId="77777777" w:rsidR="00CB015F" w:rsidRPr="00C91EA2" w:rsidRDefault="00CB015F" w:rsidP="0043271C">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43271C" w:rsidRPr="00C91EA2" w14:paraId="578645FC" w14:textId="77777777" w:rsidTr="000F1163">
        <w:tc>
          <w:tcPr>
            <w:tcW w:w="8630" w:type="dxa"/>
            <w:tcBorders>
              <w:top w:val="single" w:sz="4" w:space="0" w:color="auto"/>
              <w:left w:val="single" w:sz="4" w:space="0" w:color="auto"/>
              <w:bottom w:val="single" w:sz="4" w:space="0" w:color="auto"/>
              <w:right w:val="single" w:sz="4" w:space="0" w:color="auto"/>
            </w:tcBorders>
            <w:hideMark/>
          </w:tcPr>
          <w:p w14:paraId="2FCC9BEB" w14:textId="07130C09" w:rsidR="0043271C" w:rsidRPr="00C91EA2" w:rsidRDefault="0043271C">
            <w:pPr>
              <w:pStyle w:val="Caption"/>
              <w:keepNext/>
              <w:jc w:val="both"/>
              <w:rPr>
                <w:rFonts w:ascii="Times New Roman" w:hAnsi="Times New Roman"/>
              </w:rPr>
            </w:pPr>
            <w:bookmarkStart w:id="172" w:name="_Ref497145948"/>
            <w:bookmarkStart w:id="173" w:name="_Toc497990887"/>
            <w:bookmarkStart w:id="174" w:name="_Toc520725595"/>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39</w:t>
            </w:r>
            <w:r w:rsidR="00D91B27">
              <w:rPr>
                <w:rFonts w:ascii="Times New Roman" w:hAnsi="Times New Roman"/>
              </w:rPr>
              <w:fldChar w:fldCharType="end"/>
            </w:r>
            <w:bookmarkEnd w:id="172"/>
            <w:r w:rsidRPr="00C91EA2">
              <w:rPr>
                <w:rFonts w:ascii="Times New Roman" w:hAnsi="Times New Roman"/>
              </w:rPr>
              <w:t>: B</w:t>
            </w:r>
            <w:r w:rsidR="007D4FA8">
              <w:rPr>
                <w:rFonts w:ascii="Times New Roman" w:hAnsi="Times New Roman"/>
              </w:rPr>
              <w:t xml:space="preserve">arriers to Trade Facilitation in Senegal and </w:t>
            </w:r>
            <w:r w:rsidRPr="00C91EA2">
              <w:rPr>
                <w:rFonts w:ascii="Times New Roman" w:hAnsi="Times New Roman"/>
              </w:rPr>
              <w:t>C</w:t>
            </w:r>
            <w:bookmarkEnd w:id="173"/>
            <w:r w:rsidR="007D4FA8">
              <w:rPr>
                <w:rFonts w:ascii="Times New Roman" w:hAnsi="Times New Roman"/>
              </w:rPr>
              <w:t>omparator Countries</w:t>
            </w:r>
            <w:bookmarkEnd w:id="174"/>
          </w:p>
        </w:tc>
      </w:tr>
      <w:tr w:rsidR="0043271C" w:rsidRPr="00C91EA2" w14:paraId="55632F8A" w14:textId="77777777" w:rsidTr="000F1163">
        <w:tc>
          <w:tcPr>
            <w:tcW w:w="8630" w:type="dxa"/>
            <w:tcBorders>
              <w:top w:val="single" w:sz="4" w:space="0" w:color="auto"/>
              <w:left w:val="single" w:sz="4" w:space="0" w:color="auto"/>
              <w:bottom w:val="single" w:sz="4" w:space="0" w:color="auto"/>
              <w:right w:val="single" w:sz="4" w:space="0" w:color="auto"/>
            </w:tcBorders>
            <w:hideMark/>
          </w:tcPr>
          <w:p w14:paraId="5537B68D" w14:textId="77777777" w:rsidR="0043271C" w:rsidRPr="00C91EA2" w:rsidRDefault="000F1163">
            <w:pPr>
              <w:jc w:val="both"/>
              <w:rPr>
                <w:rFonts w:ascii="Times New Roman" w:hAnsi="Times New Roman" w:cs="Times New Roman"/>
              </w:rPr>
            </w:pPr>
            <w:r>
              <w:rPr>
                <w:noProof/>
              </w:rPr>
              <w:drawing>
                <wp:inline distT="0" distB="0" distL="0" distR="0" wp14:anchorId="6A46E821" wp14:editId="3D44176D">
                  <wp:extent cx="5486400" cy="3466465"/>
                  <wp:effectExtent l="0" t="0" r="0" b="635"/>
                  <wp:docPr id="139" name="Chart 139">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43271C" w:rsidRPr="00C91EA2" w14:paraId="324F35BE" w14:textId="77777777" w:rsidTr="000F1163">
        <w:tc>
          <w:tcPr>
            <w:tcW w:w="8630" w:type="dxa"/>
            <w:tcBorders>
              <w:top w:val="single" w:sz="4" w:space="0" w:color="auto"/>
              <w:left w:val="single" w:sz="4" w:space="0" w:color="auto"/>
              <w:bottom w:val="single" w:sz="4" w:space="0" w:color="auto"/>
              <w:right w:val="single" w:sz="4" w:space="0" w:color="auto"/>
            </w:tcBorders>
            <w:hideMark/>
          </w:tcPr>
          <w:p w14:paraId="5923A5AF"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 xml:space="preserve">Source: </w:t>
            </w:r>
            <w:r w:rsidR="00A4434F">
              <w:rPr>
                <w:rFonts w:ascii="Times New Roman" w:hAnsi="Times New Roman" w:cs="Times New Roman"/>
                <w:sz w:val="20"/>
              </w:rPr>
              <w:t>OECD-WBG PMR (2017)</w:t>
            </w:r>
          </w:p>
          <w:p w14:paraId="479821A3" w14:textId="77777777" w:rsidR="0043271C" w:rsidRPr="00C91EA2" w:rsidRDefault="0043271C">
            <w:pPr>
              <w:jc w:val="both"/>
              <w:rPr>
                <w:rFonts w:ascii="Times New Roman" w:hAnsi="Times New Roman" w:cs="Times New Roman"/>
                <w:sz w:val="20"/>
              </w:rPr>
            </w:pPr>
            <w:r w:rsidRPr="00C91EA2">
              <w:rPr>
                <w:rFonts w:ascii="Times New Roman" w:hAnsi="Times New Roman" w:cs="Times New Roman"/>
                <w:sz w:val="20"/>
              </w:rPr>
              <w:t>Note: The top 5 performers are Malta, Bulgaria, Hungary, Lithuania and Romania</w:t>
            </w:r>
            <w:r w:rsidR="008D5D61">
              <w:rPr>
                <w:rFonts w:ascii="Times New Roman" w:hAnsi="Times New Roman" w:cs="Times New Roman"/>
                <w:sz w:val="20"/>
              </w:rPr>
              <w:t>, all of whom receive a score of 0.</w:t>
            </w:r>
          </w:p>
        </w:tc>
      </w:tr>
    </w:tbl>
    <w:p w14:paraId="23CD9776" w14:textId="77777777" w:rsidR="0043271C" w:rsidRDefault="0043271C" w:rsidP="0043271C">
      <w:pPr>
        <w:rPr>
          <w:rFonts w:ascii="Times New Roman" w:hAnsi="Times New Roman" w:cs="Times New Roman"/>
        </w:rPr>
      </w:pPr>
    </w:p>
    <w:p w14:paraId="213850C0" w14:textId="77777777" w:rsidR="00086112" w:rsidRPr="00C91EA2" w:rsidRDefault="00086112" w:rsidP="0043271C">
      <w:pPr>
        <w:rPr>
          <w:rFonts w:ascii="Times New Roman" w:hAnsi="Times New Roman" w:cs="Times New Roman"/>
        </w:rPr>
      </w:pPr>
    </w:p>
    <w:p w14:paraId="087EA926" w14:textId="77777777" w:rsidR="00B9591A" w:rsidRPr="00630175" w:rsidRDefault="00525B7C" w:rsidP="00E323D5">
      <w:pPr>
        <w:pStyle w:val="Heading2"/>
        <w:numPr>
          <w:ilvl w:val="1"/>
          <w:numId w:val="137"/>
        </w:numPr>
        <w:rPr>
          <w:rFonts w:ascii="Times New Roman" w:hAnsi="Times New Roman" w:cs="Times New Roman"/>
        </w:rPr>
      </w:pPr>
      <w:bookmarkStart w:id="175" w:name="_Toc520724106"/>
      <w:r>
        <w:rPr>
          <w:rFonts w:ascii="Times New Roman" w:hAnsi="Times New Roman" w:cs="Times New Roman"/>
        </w:rPr>
        <w:t>Simulation of A Reduction in Regulatory Restrictiveness</w:t>
      </w:r>
      <w:r w:rsidR="00B9591A" w:rsidRPr="00630175">
        <w:rPr>
          <w:rFonts w:ascii="Times New Roman" w:hAnsi="Times New Roman" w:cs="Times New Roman"/>
        </w:rPr>
        <w:t xml:space="preserve"> on </w:t>
      </w:r>
      <w:r>
        <w:rPr>
          <w:rFonts w:ascii="Times New Roman" w:hAnsi="Times New Roman" w:cs="Times New Roman"/>
        </w:rPr>
        <w:t>GDP G</w:t>
      </w:r>
      <w:r w:rsidR="00B9591A" w:rsidRPr="00630175">
        <w:rPr>
          <w:rFonts w:ascii="Times New Roman" w:hAnsi="Times New Roman" w:cs="Times New Roman"/>
        </w:rPr>
        <w:t>rowth</w:t>
      </w:r>
      <w:bookmarkEnd w:id="175"/>
    </w:p>
    <w:p w14:paraId="7E2BD0A5" w14:textId="77777777" w:rsidR="00B9591A" w:rsidRDefault="00B9591A" w:rsidP="00B9591A">
      <w:pPr>
        <w:jc w:val="both"/>
        <w:rPr>
          <w:rFonts w:ascii="Times New Roman" w:hAnsi="Times New Roman" w:cs="Times New Roman"/>
          <w:b/>
          <w:bCs/>
        </w:rPr>
      </w:pPr>
    </w:p>
    <w:p w14:paraId="71F052D5" w14:textId="46BD2DC4" w:rsidR="0043271C" w:rsidRPr="00B201B9" w:rsidRDefault="00E323D5" w:rsidP="006714C9">
      <w:pPr>
        <w:pStyle w:val="ListParagraph"/>
        <w:numPr>
          <w:ilvl w:val="0"/>
          <w:numId w:val="71"/>
        </w:numPr>
        <w:autoSpaceDE w:val="0"/>
        <w:autoSpaceDN w:val="0"/>
        <w:adjustRightInd w:val="0"/>
        <w:ind w:left="0" w:firstLine="0"/>
        <w:jc w:val="both"/>
        <w:rPr>
          <w:rFonts w:ascii="Times New Roman" w:hAnsi="Times New Roman" w:cs="Times New Roman"/>
        </w:rPr>
      </w:pPr>
      <w:r>
        <w:rPr>
          <w:rFonts w:ascii="Times New Roman" w:hAnsi="Times New Roman" w:cs="Times New Roman"/>
          <w:b/>
          <w:bCs/>
        </w:rPr>
        <w:t xml:space="preserve">Given the current regulatory restrictions to competition in Senegal, there is room for further opening the markets to facilitate private sector investment and </w:t>
      </w:r>
      <w:r w:rsidR="00B201B9">
        <w:rPr>
          <w:rFonts w:ascii="Times New Roman" w:hAnsi="Times New Roman" w:cs="Times New Roman"/>
          <w:b/>
          <w:bCs/>
        </w:rPr>
        <w:t xml:space="preserve">income </w:t>
      </w:r>
      <w:r>
        <w:rPr>
          <w:rFonts w:ascii="Times New Roman" w:hAnsi="Times New Roman" w:cs="Times New Roman"/>
          <w:b/>
          <w:bCs/>
        </w:rPr>
        <w:t xml:space="preserve">growth. </w:t>
      </w:r>
      <w:r w:rsidR="00B201B9">
        <w:rPr>
          <w:rFonts w:ascii="Times New Roman" w:hAnsi="Times New Roman" w:cs="Times New Roman"/>
          <w:bCs/>
        </w:rPr>
        <w:t>In a simulated scenario</w:t>
      </w:r>
      <w:r w:rsidR="00B9591A" w:rsidRPr="009C03A2">
        <w:rPr>
          <w:rFonts w:ascii="Times New Roman" w:hAnsi="Times New Roman" w:cs="Times New Roman"/>
        </w:rPr>
        <w:t xml:space="preserve">, </w:t>
      </w:r>
      <w:r w:rsidR="00B9591A">
        <w:rPr>
          <w:rFonts w:ascii="Times New Roman" w:hAnsi="Times New Roman" w:cs="Times New Roman"/>
        </w:rPr>
        <w:t>if Senegal undergoes reforms that decrease regulatory restrictiveness</w:t>
      </w:r>
      <w:r w:rsidR="00B9591A">
        <w:rPr>
          <w:rStyle w:val="FootnoteReference"/>
          <w:rFonts w:ascii="Times New Roman" w:hAnsi="Times New Roman" w:cs="Times New Roman"/>
        </w:rPr>
        <w:footnoteReference w:id="89"/>
      </w:r>
      <w:r w:rsidR="00B9591A">
        <w:rPr>
          <w:rFonts w:ascii="Times New Roman" w:hAnsi="Times New Roman" w:cs="Times New Roman"/>
        </w:rPr>
        <w:t xml:space="preserve"> of network inputs (electricity, gas and water), post and telecommunication, transport and other business services, growth in value added in industries intensive </w:t>
      </w:r>
      <w:r w:rsidR="00A9676E">
        <w:rPr>
          <w:rFonts w:ascii="Times New Roman" w:hAnsi="Times New Roman" w:cs="Times New Roman"/>
        </w:rPr>
        <w:t xml:space="preserve">in </w:t>
      </w:r>
      <w:r w:rsidR="00B9591A">
        <w:rPr>
          <w:rFonts w:ascii="Times New Roman" w:hAnsi="Times New Roman" w:cs="Times New Roman"/>
        </w:rPr>
        <w:t xml:space="preserve">these services and network inputs </w:t>
      </w:r>
      <w:r w:rsidR="00872ED6">
        <w:rPr>
          <w:rFonts w:ascii="Times New Roman" w:hAnsi="Times New Roman" w:cs="Times New Roman"/>
        </w:rPr>
        <w:t xml:space="preserve">would </w:t>
      </w:r>
      <w:r w:rsidR="004F5206">
        <w:rPr>
          <w:rFonts w:ascii="Times New Roman" w:hAnsi="Times New Roman" w:cs="Times New Roman"/>
        </w:rPr>
        <w:t>translate into additional 0.2 up to 0.5 percent</w:t>
      </w:r>
      <w:r w:rsidR="004F5206" w:rsidRPr="00A933E4">
        <w:rPr>
          <w:rFonts w:ascii="Times New Roman" w:hAnsi="Times New Roman" w:cs="Times New Roman"/>
        </w:rPr>
        <w:t xml:space="preserve"> growth o</w:t>
      </w:r>
      <w:r w:rsidR="004F5206">
        <w:rPr>
          <w:rFonts w:ascii="Times New Roman" w:hAnsi="Times New Roman" w:cs="Times New Roman"/>
        </w:rPr>
        <w:t xml:space="preserve">f annual GDP, </w:t>
      </w:r>
      <w:r w:rsidR="00B9591A" w:rsidRPr="00E36FD9">
        <w:rPr>
          <w:rFonts w:ascii="Times New Roman" w:hAnsi="Times New Roman" w:cs="Times New Roman"/>
        </w:rPr>
        <w:t xml:space="preserve">all else </w:t>
      </w:r>
      <w:r w:rsidR="00937BB7">
        <w:rPr>
          <w:rFonts w:ascii="Times New Roman" w:hAnsi="Times New Roman" w:cs="Times New Roman"/>
        </w:rPr>
        <w:t xml:space="preserve">being </w:t>
      </w:r>
      <w:r w:rsidR="00B9591A" w:rsidRPr="00E36FD9">
        <w:rPr>
          <w:rFonts w:ascii="Times New Roman" w:hAnsi="Times New Roman" w:cs="Times New Roman"/>
        </w:rPr>
        <w:t xml:space="preserve">equal (see </w:t>
      </w:r>
      <w:r w:rsidR="00B9591A" w:rsidRPr="00354E08">
        <w:rPr>
          <w:rFonts w:ascii="Times New Roman" w:hAnsi="Times New Roman" w:cs="Times New Roman"/>
        </w:rPr>
        <w:t xml:space="preserve">Annex 2 for methodological clarifications and </w:t>
      </w:r>
      <w:r w:rsidR="00B9591A" w:rsidRPr="00421227">
        <w:rPr>
          <w:rFonts w:ascii="Times New Roman" w:hAnsi="Times New Roman" w:cs="Times New Roman"/>
        </w:rPr>
        <w:fldChar w:fldCharType="begin"/>
      </w:r>
      <w:r w:rsidR="00B9591A" w:rsidRPr="00354E08">
        <w:rPr>
          <w:rFonts w:ascii="Times New Roman" w:hAnsi="Times New Roman" w:cs="Times New Roman"/>
        </w:rPr>
        <w:instrText xml:space="preserve"> REF _Ref498111640 \h </w:instrText>
      </w:r>
      <w:r w:rsidR="00E36FD9" w:rsidRPr="00354E08">
        <w:rPr>
          <w:rFonts w:ascii="Times New Roman" w:hAnsi="Times New Roman" w:cs="Times New Roman"/>
        </w:rPr>
        <w:instrText xml:space="preserve"> \* MERGEFORMAT </w:instrText>
      </w:r>
      <w:r w:rsidR="00B9591A" w:rsidRPr="00421227">
        <w:rPr>
          <w:rFonts w:ascii="Times New Roman" w:hAnsi="Times New Roman" w:cs="Times New Roman"/>
        </w:rPr>
      </w:r>
      <w:r w:rsidR="00B9591A" w:rsidRPr="00421227">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18</w:t>
      </w:r>
      <w:r w:rsidR="00B9591A" w:rsidRPr="00421227">
        <w:rPr>
          <w:rFonts w:ascii="Times New Roman" w:hAnsi="Times New Roman" w:cs="Times New Roman"/>
        </w:rPr>
        <w:fldChar w:fldCharType="end"/>
      </w:r>
      <w:r w:rsidR="00B9591A" w:rsidRPr="00354E08">
        <w:rPr>
          <w:rFonts w:ascii="Times New Roman" w:hAnsi="Times New Roman" w:cs="Times New Roman"/>
        </w:rPr>
        <w:t xml:space="preserve"> for estimation results</w:t>
      </w:r>
      <w:r w:rsidR="00B9591A" w:rsidRPr="00E36FD9">
        <w:rPr>
          <w:rFonts w:ascii="Times New Roman" w:hAnsi="Times New Roman" w:cs="Times New Roman"/>
        </w:rPr>
        <w:t>).</w:t>
      </w:r>
    </w:p>
    <w:p w14:paraId="2BA6B030" w14:textId="77777777" w:rsidR="00230BD0" w:rsidRPr="00C91EA2" w:rsidRDefault="00CD6F78" w:rsidP="006714C9">
      <w:pPr>
        <w:pStyle w:val="Heading1"/>
        <w:jc w:val="both"/>
        <w:rPr>
          <w:rFonts w:ascii="Times New Roman" w:hAnsi="Times New Roman" w:cs="Times New Roman"/>
        </w:rPr>
      </w:pPr>
      <w:bookmarkStart w:id="176" w:name="_Toc520724107"/>
      <w:bookmarkEnd w:id="13"/>
      <w:r w:rsidRPr="00C91EA2">
        <w:rPr>
          <w:rFonts w:ascii="Times New Roman" w:hAnsi="Times New Roman" w:cs="Times New Roman"/>
        </w:rPr>
        <w:t xml:space="preserve">4. </w:t>
      </w:r>
      <w:r w:rsidR="008B5EA1">
        <w:rPr>
          <w:rFonts w:ascii="Times New Roman" w:hAnsi="Times New Roman" w:cs="Times New Roman"/>
        </w:rPr>
        <w:t>To W</w:t>
      </w:r>
      <w:r w:rsidR="00F94B80" w:rsidRPr="00C91EA2">
        <w:rPr>
          <w:rFonts w:ascii="Times New Roman" w:hAnsi="Times New Roman" w:cs="Times New Roman"/>
        </w:rPr>
        <w:t xml:space="preserve">hat </w:t>
      </w:r>
      <w:r w:rsidR="008B5EA1">
        <w:rPr>
          <w:rFonts w:ascii="Times New Roman" w:hAnsi="Times New Roman" w:cs="Times New Roman"/>
        </w:rPr>
        <w:t>E</w:t>
      </w:r>
      <w:r w:rsidR="00F94B80" w:rsidRPr="00C91EA2">
        <w:rPr>
          <w:rFonts w:ascii="Times New Roman" w:hAnsi="Times New Roman" w:cs="Times New Roman"/>
        </w:rPr>
        <w:t xml:space="preserve">xtent </w:t>
      </w:r>
      <w:r w:rsidR="008B5EA1">
        <w:rPr>
          <w:rFonts w:ascii="Times New Roman" w:hAnsi="Times New Roman" w:cs="Times New Roman"/>
        </w:rPr>
        <w:t>Do R</w:t>
      </w:r>
      <w:r w:rsidR="00F94B80" w:rsidRPr="00C91EA2">
        <w:rPr>
          <w:rFonts w:ascii="Times New Roman" w:hAnsi="Times New Roman" w:cs="Times New Roman"/>
        </w:rPr>
        <w:t xml:space="preserve">egulatory </w:t>
      </w:r>
      <w:r w:rsidR="008B5EA1">
        <w:rPr>
          <w:rFonts w:ascii="Times New Roman" w:hAnsi="Times New Roman" w:cs="Times New Roman"/>
        </w:rPr>
        <w:t>R</w:t>
      </w:r>
      <w:r w:rsidR="00F94B80" w:rsidRPr="00C91EA2">
        <w:rPr>
          <w:rFonts w:ascii="Times New Roman" w:hAnsi="Times New Roman" w:cs="Times New Roman"/>
        </w:rPr>
        <w:t xml:space="preserve">estrictions to </w:t>
      </w:r>
      <w:r w:rsidR="008B5EA1">
        <w:rPr>
          <w:rFonts w:ascii="Times New Roman" w:hAnsi="Times New Roman" w:cs="Times New Roman"/>
        </w:rPr>
        <w:t>C</w:t>
      </w:r>
      <w:r w:rsidR="00F94B80" w:rsidRPr="00C91EA2">
        <w:rPr>
          <w:rFonts w:ascii="Times New Roman" w:hAnsi="Times New Roman" w:cs="Times New Roman"/>
        </w:rPr>
        <w:t xml:space="preserve">ompetition </w:t>
      </w:r>
      <w:r w:rsidR="008B5EA1">
        <w:rPr>
          <w:rFonts w:ascii="Times New Roman" w:hAnsi="Times New Roman" w:cs="Times New Roman"/>
        </w:rPr>
        <w:t>A</w:t>
      </w:r>
      <w:r w:rsidR="00F94B80" w:rsidRPr="00C91EA2">
        <w:rPr>
          <w:rFonts w:ascii="Times New Roman" w:hAnsi="Times New Roman" w:cs="Times New Roman"/>
        </w:rPr>
        <w:t xml:space="preserve">ffect </w:t>
      </w:r>
      <w:r w:rsidR="00095F26" w:rsidRPr="00C91EA2">
        <w:rPr>
          <w:rFonts w:ascii="Times New Roman" w:hAnsi="Times New Roman" w:cs="Times New Roman"/>
        </w:rPr>
        <w:t xml:space="preserve">Senegalese </w:t>
      </w:r>
      <w:r w:rsidR="008B5EA1">
        <w:rPr>
          <w:rFonts w:ascii="Times New Roman" w:hAnsi="Times New Roman" w:cs="Times New Roman"/>
        </w:rPr>
        <w:t>H</w:t>
      </w:r>
      <w:r w:rsidR="00095F26" w:rsidRPr="00C91EA2">
        <w:rPr>
          <w:rFonts w:ascii="Times New Roman" w:hAnsi="Times New Roman" w:cs="Times New Roman"/>
        </w:rPr>
        <w:t xml:space="preserve">ouseholds </w:t>
      </w:r>
      <w:r w:rsidR="00F741CF" w:rsidRPr="00C91EA2">
        <w:rPr>
          <w:rFonts w:ascii="Times New Roman" w:hAnsi="Times New Roman" w:cs="Times New Roman"/>
        </w:rPr>
        <w:t xml:space="preserve">and </w:t>
      </w:r>
      <w:r w:rsidR="008B5EA1">
        <w:rPr>
          <w:rFonts w:ascii="Times New Roman" w:hAnsi="Times New Roman" w:cs="Times New Roman"/>
        </w:rPr>
        <w:t>P</w:t>
      </w:r>
      <w:r w:rsidR="00F741CF" w:rsidRPr="00C91EA2">
        <w:rPr>
          <w:rFonts w:ascii="Times New Roman" w:hAnsi="Times New Roman" w:cs="Times New Roman"/>
        </w:rPr>
        <w:t>overty</w:t>
      </w:r>
      <w:r w:rsidR="00C21B76" w:rsidRPr="00C91EA2">
        <w:rPr>
          <w:rFonts w:ascii="Times New Roman" w:hAnsi="Times New Roman" w:cs="Times New Roman"/>
        </w:rPr>
        <w:t>?</w:t>
      </w:r>
      <w:bookmarkEnd w:id="176"/>
      <w:r w:rsidR="00C21B76" w:rsidRPr="00C91EA2">
        <w:rPr>
          <w:rFonts w:ascii="Times New Roman" w:hAnsi="Times New Roman" w:cs="Times New Roman"/>
        </w:rPr>
        <w:t xml:space="preserve"> </w:t>
      </w:r>
    </w:p>
    <w:p w14:paraId="34C1F030" w14:textId="77777777" w:rsidR="00B3679B" w:rsidRPr="00C91EA2" w:rsidRDefault="00B3679B" w:rsidP="00230BD0">
      <w:pPr>
        <w:rPr>
          <w:rFonts w:ascii="Times New Roman" w:hAnsi="Times New Roman" w:cs="Times New Roman"/>
        </w:rPr>
      </w:pPr>
    </w:p>
    <w:p w14:paraId="0F28379C" w14:textId="040120CF" w:rsidR="004166ED" w:rsidRPr="007575D7" w:rsidRDefault="00F741CF" w:rsidP="007575D7">
      <w:pPr>
        <w:autoSpaceDE w:val="0"/>
        <w:autoSpaceDN w:val="0"/>
        <w:adjustRightInd w:val="0"/>
        <w:jc w:val="both"/>
        <w:rPr>
          <w:rFonts w:ascii="Times New Roman" w:hAnsi="Times New Roman" w:cs="Times New Roman"/>
        </w:rPr>
      </w:pPr>
      <w:r w:rsidRPr="007575D7">
        <w:rPr>
          <w:rFonts w:ascii="Times New Roman" w:hAnsi="Times New Roman" w:cs="Times New Roman"/>
          <w:b/>
        </w:rPr>
        <w:t xml:space="preserve">The </w:t>
      </w:r>
      <w:r w:rsidR="00D55AC0" w:rsidRPr="007575D7">
        <w:rPr>
          <w:rFonts w:ascii="Times New Roman" w:hAnsi="Times New Roman" w:cs="Times New Roman"/>
          <w:b/>
        </w:rPr>
        <w:t>degre</w:t>
      </w:r>
      <w:r w:rsidRPr="007575D7">
        <w:rPr>
          <w:rFonts w:ascii="Times New Roman" w:hAnsi="Times New Roman" w:cs="Times New Roman"/>
          <w:b/>
        </w:rPr>
        <w:t xml:space="preserve">e of competition in markets has </w:t>
      </w:r>
      <w:r w:rsidR="005F50EE" w:rsidRPr="007575D7">
        <w:rPr>
          <w:rFonts w:ascii="Times New Roman" w:hAnsi="Times New Roman" w:cs="Times New Roman"/>
          <w:b/>
        </w:rPr>
        <w:t>an important</w:t>
      </w:r>
      <w:r w:rsidR="00D55AC0" w:rsidRPr="007575D7">
        <w:rPr>
          <w:rFonts w:ascii="Times New Roman" w:hAnsi="Times New Roman" w:cs="Times New Roman"/>
          <w:b/>
        </w:rPr>
        <w:t xml:space="preserve"> impact on poverty r</w:t>
      </w:r>
      <w:r w:rsidRPr="007575D7">
        <w:rPr>
          <w:rFonts w:ascii="Times New Roman" w:hAnsi="Times New Roman" w:cs="Times New Roman"/>
          <w:b/>
        </w:rPr>
        <w:t>eduction and shared prosperity</w:t>
      </w:r>
      <w:r w:rsidRPr="007575D7">
        <w:rPr>
          <w:rFonts w:ascii="Times New Roman" w:hAnsi="Times New Roman" w:cs="Times New Roman"/>
        </w:rPr>
        <w:t>. When the drivers of poverty reduction are divided into changes in labor income,</w:t>
      </w:r>
      <w:r w:rsidR="002C7A47" w:rsidRPr="007575D7">
        <w:rPr>
          <w:rFonts w:ascii="Times New Roman" w:hAnsi="Times New Roman" w:cs="Times New Roman"/>
        </w:rPr>
        <w:t xml:space="preserve"> </w:t>
      </w:r>
      <w:r w:rsidRPr="007575D7">
        <w:rPr>
          <w:rFonts w:ascii="Times New Roman" w:hAnsi="Times New Roman" w:cs="Times New Roman"/>
        </w:rPr>
        <w:t>non</w:t>
      </w:r>
      <w:r w:rsidR="007B6837" w:rsidRPr="007575D7">
        <w:rPr>
          <w:rFonts w:ascii="Times New Roman" w:hAnsi="Times New Roman" w:cs="Times New Roman"/>
        </w:rPr>
        <w:t>-</w:t>
      </w:r>
      <w:r w:rsidRPr="007575D7">
        <w:rPr>
          <w:rFonts w:ascii="Times New Roman" w:hAnsi="Times New Roman" w:cs="Times New Roman"/>
        </w:rPr>
        <w:t>labor income, and demographics, labor incom</w:t>
      </w:r>
      <w:r w:rsidR="002C7A47" w:rsidRPr="007575D7">
        <w:rPr>
          <w:rFonts w:ascii="Times New Roman" w:hAnsi="Times New Roman" w:cs="Times New Roman"/>
        </w:rPr>
        <w:t xml:space="preserve">e growth clearly emerges as the </w:t>
      </w:r>
      <w:r w:rsidRPr="007575D7">
        <w:rPr>
          <w:rFonts w:ascii="Times New Roman" w:hAnsi="Times New Roman" w:cs="Times New Roman"/>
        </w:rPr>
        <w:t xml:space="preserve">most important contributor to poverty reduction. </w:t>
      </w:r>
      <w:r w:rsidR="005F50EE" w:rsidRPr="007575D7">
        <w:rPr>
          <w:rFonts w:ascii="Times New Roman" w:hAnsi="Times New Roman" w:cs="Times New Roman"/>
        </w:rPr>
        <w:t>C</w:t>
      </w:r>
      <w:r w:rsidR="00D55AC0" w:rsidRPr="007575D7">
        <w:rPr>
          <w:rFonts w:ascii="Times New Roman" w:hAnsi="Times New Roman" w:cs="Times New Roman"/>
        </w:rPr>
        <w:t>ompetition has both a direct and dynamic im</w:t>
      </w:r>
      <w:r w:rsidRPr="007575D7">
        <w:rPr>
          <w:rFonts w:ascii="Times New Roman" w:hAnsi="Times New Roman" w:cs="Times New Roman"/>
        </w:rPr>
        <w:t xml:space="preserve">pact on the variables that form </w:t>
      </w:r>
      <w:r w:rsidR="00D55AC0" w:rsidRPr="007575D7">
        <w:rPr>
          <w:rFonts w:ascii="Times New Roman" w:hAnsi="Times New Roman" w:cs="Times New Roman"/>
        </w:rPr>
        <w:t>labor income through households’</w:t>
      </w:r>
      <w:r w:rsidRPr="007575D7">
        <w:rPr>
          <w:rFonts w:ascii="Times New Roman" w:hAnsi="Times New Roman" w:cs="Times New Roman"/>
        </w:rPr>
        <w:t xml:space="preserve"> market functions</w:t>
      </w:r>
      <w:r w:rsidR="00B7322B" w:rsidRPr="007575D7">
        <w:rPr>
          <w:rFonts w:ascii="Times New Roman" w:hAnsi="Times New Roman" w:cs="Times New Roman"/>
        </w:rPr>
        <w:t>, notably</w:t>
      </w:r>
      <w:r w:rsidR="00F91B64" w:rsidRPr="007575D7">
        <w:rPr>
          <w:rFonts w:ascii="Times New Roman" w:hAnsi="Times New Roman" w:cs="Times New Roman"/>
        </w:rPr>
        <w:t xml:space="preserve"> </w:t>
      </w:r>
      <w:r w:rsidRPr="007575D7">
        <w:rPr>
          <w:rFonts w:ascii="Times New Roman" w:hAnsi="Times New Roman" w:cs="Times New Roman"/>
        </w:rPr>
        <w:t xml:space="preserve">(i) income to producers </w:t>
      </w:r>
      <w:r w:rsidR="00D55AC0" w:rsidRPr="007575D7">
        <w:rPr>
          <w:rFonts w:ascii="Times New Roman" w:hAnsi="Times New Roman" w:cs="Times New Roman"/>
        </w:rPr>
        <w:t>(as the owners of production factors such as ca</w:t>
      </w:r>
      <w:r w:rsidRPr="007575D7">
        <w:rPr>
          <w:rFonts w:ascii="Times New Roman" w:hAnsi="Times New Roman" w:cs="Times New Roman"/>
        </w:rPr>
        <w:t xml:space="preserve">pital and land); (ii) income to </w:t>
      </w:r>
      <w:r w:rsidR="00D55AC0" w:rsidRPr="007575D7">
        <w:rPr>
          <w:rFonts w:ascii="Times New Roman" w:hAnsi="Times New Roman" w:cs="Times New Roman"/>
        </w:rPr>
        <w:t>employees (as the providers of labor); and (iii) pri</w:t>
      </w:r>
      <w:r w:rsidRPr="007575D7">
        <w:rPr>
          <w:rFonts w:ascii="Times New Roman" w:hAnsi="Times New Roman" w:cs="Times New Roman"/>
        </w:rPr>
        <w:t xml:space="preserve">ces faced by consumers. Incomes </w:t>
      </w:r>
      <w:r w:rsidR="00D55AC0" w:rsidRPr="007575D7">
        <w:rPr>
          <w:rFonts w:ascii="Times New Roman" w:hAnsi="Times New Roman" w:cs="Times New Roman"/>
        </w:rPr>
        <w:t>are impacted through both t</w:t>
      </w:r>
      <w:r w:rsidR="005F50EE" w:rsidRPr="007575D7">
        <w:rPr>
          <w:rFonts w:ascii="Times New Roman" w:hAnsi="Times New Roman" w:cs="Times New Roman"/>
        </w:rPr>
        <w:t xml:space="preserve">he number of adults employed in </w:t>
      </w:r>
      <w:r w:rsidR="00D55AC0" w:rsidRPr="007575D7">
        <w:rPr>
          <w:rFonts w:ascii="Times New Roman" w:hAnsi="Times New Roman" w:cs="Times New Roman"/>
        </w:rPr>
        <w:t>salaried jobs or</w:t>
      </w:r>
      <w:r w:rsidR="005F50EE" w:rsidRPr="007575D7">
        <w:rPr>
          <w:rFonts w:ascii="Times New Roman" w:hAnsi="Times New Roman" w:cs="Times New Roman"/>
        </w:rPr>
        <w:t xml:space="preserve"> </w:t>
      </w:r>
      <w:r w:rsidR="00D55AC0" w:rsidRPr="007575D7">
        <w:rPr>
          <w:rFonts w:ascii="Times New Roman" w:hAnsi="Times New Roman" w:cs="Times New Roman"/>
        </w:rPr>
        <w:t>engaged in other productive activities and the retur</w:t>
      </w:r>
      <w:r w:rsidR="005F50EE" w:rsidRPr="007575D7">
        <w:rPr>
          <w:rFonts w:ascii="Times New Roman" w:hAnsi="Times New Roman" w:cs="Times New Roman"/>
        </w:rPr>
        <w:t xml:space="preserve">ns to those activities, whereas </w:t>
      </w:r>
      <w:r w:rsidR="00D55AC0" w:rsidRPr="007575D7">
        <w:rPr>
          <w:rFonts w:ascii="Times New Roman" w:hAnsi="Times New Roman" w:cs="Times New Roman"/>
        </w:rPr>
        <w:t>consumer prices affect the real value of those incomes in term</w:t>
      </w:r>
      <w:r w:rsidRPr="007575D7">
        <w:rPr>
          <w:rFonts w:ascii="Times New Roman" w:hAnsi="Times New Roman" w:cs="Times New Roman"/>
        </w:rPr>
        <w:t xml:space="preserve">s of consumption possibilities. </w:t>
      </w:r>
      <w:r w:rsidR="00F91B64" w:rsidRPr="007575D7">
        <w:rPr>
          <w:rFonts w:ascii="Times New Roman" w:hAnsi="Times New Roman" w:cs="Times New Roman"/>
        </w:rPr>
        <w:t>Next</w:t>
      </w:r>
      <w:r w:rsidR="00D55AC0" w:rsidRPr="007575D7">
        <w:rPr>
          <w:rFonts w:ascii="Times New Roman" w:hAnsi="Times New Roman" w:cs="Times New Roman"/>
        </w:rPr>
        <w:t>, drawing on the growth-distribut</w:t>
      </w:r>
      <w:r w:rsidR="005F50EE" w:rsidRPr="007575D7">
        <w:rPr>
          <w:rFonts w:ascii="Times New Roman" w:hAnsi="Times New Roman" w:cs="Times New Roman"/>
        </w:rPr>
        <w:t xml:space="preserve">ion decomposition linked to </w:t>
      </w:r>
      <w:r w:rsidR="00D55AC0" w:rsidRPr="007575D7">
        <w:rPr>
          <w:rFonts w:ascii="Times New Roman" w:hAnsi="Times New Roman" w:cs="Times New Roman"/>
        </w:rPr>
        <w:t>the dynamic effects of competition, effective market com</w:t>
      </w:r>
      <w:r w:rsidR="005F50EE" w:rsidRPr="007575D7">
        <w:rPr>
          <w:rFonts w:ascii="Times New Roman" w:hAnsi="Times New Roman" w:cs="Times New Roman"/>
        </w:rPr>
        <w:t xml:space="preserve">petition is widely acknowledged </w:t>
      </w:r>
      <w:r w:rsidR="00D55AC0" w:rsidRPr="007575D7">
        <w:rPr>
          <w:rFonts w:ascii="Times New Roman" w:hAnsi="Times New Roman" w:cs="Times New Roman"/>
        </w:rPr>
        <w:t>to spur economic growth by increasing industry- and firm-level productivity,</w:t>
      </w:r>
      <w:r w:rsidR="005F50EE" w:rsidRPr="007575D7">
        <w:rPr>
          <w:rFonts w:ascii="Times New Roman" w:hAnsi="Times New Roman" w:cs="Times New Roman"/>
        </w:rPr>
        <w:t xml:space="preserve"> </w:t>
      </w:r>
      <w:r w:rsidR="00D55AC0" w:rsidRPr="007575D7">
        <w:rPr>
          <w:rFonts w:ascii="Times New Roman" w:hAnsi="Times New Roman" w:cs="Times New Roman"/>
        </w:rPr>
        <w:t xml:space="preserve">leading to rises in </w:t>
      </w:r>
      <w:r w:rsidR="00095F26" w:rsidRPr="007575D7">
        <w:rPr>
          <w:rFonts w:ascii="Times New Roman" w:hAnsi="Times New Roman" w:cs="Times New Roman"/>
        </w:rPr>
        <w:t>GDP</w:t>
      </w:r>
      <w:r w:rsidR="00D55AC0" w:rsidRPr="007575D7">
        <w:rPr>
          <w:rFonts w:ascii="Times New Roman" w:hAnsi="Times New Roman" w:cs="Times New Roman"/>
        </w:rPr>
        <w:t xml:space="preserve"> a</w:t>
      </w:r>
      <w:r w:rsidR="005F50EE" w:rsidRPr="007575D7">
        <w:rPr>
          <w:rFonts w:ascii="Times New Roman" w:hAnsi="Times New Roman" w:cs="Times New Roman"/>
        </w:rPr>
        <w:t xml:space="preserve">nd expansions in jobs and labor </w:t>
      </w:r>
      <w:r w:rsidR="00D55AC0" w:rsidRPr="007575D7">
        <w:rPr>
          <w:rFonts w:ascii="Times New Roman" w:hAnsi="Times New Roman" w:cs="Times New Roman"/>
        </w:rPr>
        <w:t>productivity</w:t>
      </w:r>
      <w:r w:rsidR="00B7322B" w:rsidRPr="002926ED">
        <w:rPr>
          <w:rStyle w:val="FootnoteReference"/>
          <w:rFonts w:ascii="Times New Roman" w:hAnsi="Times New Roman" w:cs="Times New Roman"/>
        </w:rPr>
        <w:footnoteReference w:id="90"/>
      </w:r>
      <w:r w:rsidR="00FF316C" w:rsidRPr="007575D7">
        <w:rPr>
          <w:rFonts w:ascii="Times New Roman" w:hAnsi="Times New Roman" w:cs="Times New Roman"/>
        </w:rPr>
        <w:t xml:space="preserve"> (see also </w:t>
      </w:r>
      <w:r w:rsidR="0057704C" w:rsidRPr="007575D7">
        <w:rPr>
          <w:rFonts w:ascii="Times New Roman" w:hAnsi="Times New Roman" w:cs="Times New Roman"/>
        </w:rPr>
        <w:fldChar w:fldCharType="begin"/>
      </w:r>
      <w:r w:rsidR="0057704C" w:rsidRPr="007575D7">
        <w:rPr>
          <w:rFonts w:ascii="Times New Roman" w:hAnsi="Times New Roman" w:cs="Times New Roman"/>
        </w:rPr>
        <w:instrText xml:space="preserve"> REF _Ref497146062 \h </w:instrText>
      </w:r>
      <w:r w:rsidR="00542C14" w:rsidRPr="007575D7">
        <w:rPr>
          <w:rFonts w:ascii="Times New Roman" w:hAnsi="Times New Roman" w:cs="Times New Roman"/>
        </w:rPr>
        <w:instrText xml:space="preserve"> \* MERGEFORMAT </w:instrText>
      </w:r>
      <w:r w:rsidR="0057704C" w:rsidRPr="007575D7">
        <w:rPr>
          <w:rFonts w:ascii="Times New Roman" w:hAnsi="Times New Roman" w:cs="Times New Roman"/>
        </w:rPr>
      </w:r>
      <w:r w:rsidR="0057704C" w:rsidRPr="007575D7">
        <w:rPr>
          <w:rFonts w:ascii="Times New Roman" w:hAnsi="Times New Roman" w:cs="Times New Roman"/>
        </w:rPr>
        <w:fldChar w:fldCharType="separate"/>
      </w:r>
      <w:r w:rsidR="008261B2">
        <w:rPr>
          <w:rFonts w:ascii="Times New Roman" w:hAnsi="Times New Roman" w:cs="Times New Roman"/>
          <w:b/>
          <w:bCs/>
        </w:rPr>
        <w:t>Error! Reference source not found.</w:t>
      </w:r>
      <w:r w:rsidR="0057704C" w:rsidRPr="007575D7">
        <w:rPr>
          <w:rFonts w:ascii="Times New Roman" w:hAnsi="Times New Roman" w:cs="Times New Roman"/>
        </w:rPr>
        <w:fldChar w:fldCharType="end"/>
      </w:r>
      <w:r w:rsidR="00FF316C" w:rsidRPr="007575D7">
        <w:rPr>
          <w:rFonts w:ascii="Times New Roman" w:hAnsi="Times New Roman" w:cs="Times New Roman"/>
        </w:rPr>
        <w:t>)</w:t>
      </w:r>
      <w:r w:rsidR="00D55AC0" w:rsidRPr="007575D7">
        <w:rPr>
          <w:rFonts w:ascii="Times New Roman" w:hAnsi="Times New Roman" w:cs="Times New Roman"/>
        </w:rPr>
        <w:t>.</w:t>
      </w:r>
    </w:p>
    <w:p w14:paraId="0F94CAA7" w14:textId="50641A27" w:rsidR="009547FF" w:rsidRPr="007575D7" w:rsidRDefault="009547FF" w:rsidP="007575D7"/>
    <w:p w14:paraId="6A5B4289" w14:textId="015EC6A2" w:rsidR="009547FF" w:rsidRPr="007575D7" w:rsidRDefault="009547FF" w:rsidP="00B317CB">
      <w:pPr>
        <w:pStyle w:val="Caption"/>
        <w:keepNext/>
        <w:rPr>
          <w:rFonts w:ascii="Times New Roman" w:hAnsi="Times New Roman"/>
        </w:rPr>
      </w:pPr>
      <w:bookmarkStart w:id="177" w:name="_Toc520725794"/>
      <w:r w:rsidRPr="00B317CB">
        <w:rPr>
          <w:rFonts w:ascii="Times New Roman" w:hAnsi="Times New Roman"/>
        </w:rPr>
        <w:t xml:space="preserve">Box </w:t>
      </w:r>
      <w:r w:rsidRPr="00B317CB">
        <w:rPr>
          <w:rFonts w:ascii="Times New Roman" w:hAnsi="Times New Roman"/>
        </w:rPr>
        <w:fldChar w:fldCharType="begin"/>
      </w:r>
      <w:r w:rsidRPr="00B317CB">
        <w:rPr>
          <w:rFonts w:ascii="Times New Roman" w:hAnsi="Times New Roman"/>
        </w:rPr>
        <w:instrText xml:space="preserve"> SEQ Box \* ARABIC </w:instrText>
      </w:r>
      <w:r w:rsidRPr="00B317CB">
        <w:rPr>
          <w:rFonts w:ascii="Times New Roman" w:hAnsi="Times New Roman"/>
        </w:rPr>
        <w:fldChar w:fldCharType="separate"/>
      </w:r>
      <w:r w:rsidR="008261B2">
        <w:rPr>
          <w:rFonts w:ascii="Times New Roman" w:hAnsi="Times New Roman"/>
          <w:noProof/>
        </w:rPr>
        <w:t>6</w:t>
      </w:r>
      <w:r w:rsidRPr="00B317CB">
        <w:rPr>
          <w:rFonts w:ascii="Times New Roman" w:hAnsi="Times New Roman"/>
        </w:rPr>
        <w:fldChar w:fldCharType="end"/>
      </w:r>
      <w:r w:rsidRPr="002926ED">
        <w:rPr>
          <w:rFonts w:ascii="Times New Roman" w:hAnsi="Times New Roman"/>
        </w:rPr>
        <w:t>:</w:t>
      </w:r>
      <w:r>
        <w:rPr>
          <w:rFonts w:ascii="Times New Roman" w:hAnsi="Times New Roman"/>
        </w:rPr>
        <w:t xml:space="preserve"> </w:t>
      </w:r>
      <w:r w:rsidRPr="00C91EA2">
        <w:rPr>
          <w:rFonts w:ascii="Times New Roman" w:hAnsi="Times New Roman"/>
        </w:rPr>
        <w:t>Competition and Poverty Reduction</w:t>
      </w:r>
      <w:bookmarkEnd w:id="177"/>
    </w:p>
    <w:tbl>
      <w:tblPr>
        <w:tblStyle w:val="TableGrid"/>
        <w:tblW w:w="0" w:type="auto"/>
        <w:shd w:val="clear" w:color="auto" w:fill="F2F2F2" w:themeFill="background1" w:themeFillShade="F2"/>
        <w:tblLook w:val="04A0" w:firstRow="1" w:lastRow="0" w:firstColumn="1" w:lastColumn="0" w:noHBand="0" w:noVBand="1"/>
      </w:tblPr>
      <w:tblGrid>
        <w:gridCol w:w="8630"/>
      </w:tblGrid>
      <w:tr w:rsidR="004166ED" w:rsidRPr="00C91EA2" w14:paraId="52D3F258" w14:textId="77777777" w:rsidTr="00A23773">
        <w:tc>
          <w:tcPr>
            <w:tcW w:w="8630" w:type="dxa"/>
            <w:shd w:val="clear" w:color="auto" w:fill="F2F2F2" w:themeFill="background1" w:themeFillShade="F2"/>
          </w:tcPr>
          <w:p w14:paraId="0DCDB911" w14:textId="77777777" w:rsidR="008261B2" w:rsidRPr="00C91EA2" w:rsidRDefault="004166ED" w:rsidP="008261B2">
            <w:pPr>
              <w:autoSpaceDE w:val="0"/>
              <w:autoSpaceDN w:val="0"/>
              <w:adjustRightInd w:val="0"/>
              <w:jc w:val="both"/>
              <w:rPr>
                <w:rFonts w:ascii="Times New Roman" w:hAnsi="Times New Roman"/>
              </w:rPr>
            </w:pPr>
            <w:r w:rsidRPr="00C91EA2">
              <w:rPr>
                <w:rFonts w:ascii="Times New Roman" w:eastAsia="Minion-Regular" w:hAnsi="Times New Roman" w:cs="Times New Roman"/>
                <w:sz w:val="20"/>
                <w:szCs w:val="20"/>
              </w:rPr>
              <w:t xml:space="preserve">Two main types of transmission mechanisms exist, through which competition affects the variables that drive poverty reduction and shared prosperity and how they relate to each other (see </w:t>
            </w:r>
            <w:r w:rsidRPr="00C91EA2">
              <w:rPr>
                <w:rFonts w:ascii="Times New Roman" w:eastAsia="Minion-Regular" w:hAnsi="Times New Roman" w:cs="Times New Roman"/>
                <w:sz w:val="20"/>
                <w:szCs w:val="20"/>
              </w:rPr>
              <w:fldChar w:fldCharType="begin"/>
            </w:r>
            <w:r w:rsidRPr="00C91EA2">
              <w:rPr>
                <w:rFonts w:ascii="Times New Roman" w:eastAsia="Minion-Regular" w:hAnsi="Times New Roman" w:cs="Times New Roman"/>
                <w:sz w:val="20"/>
                <w:szCs w:val="20"/>
              </w:rPr>
              <w:instrText xml:space="preserve"> REF _Ref496799321 \h  \* MERGEFORMAT </w:instrText>
            </w:r>
            <w:r w:rsidRPr="00C91EA2">
              <w:rPr>
                <w:rFonts w:ascii="Times New Roman" w:eastAsia="Minion-Regular" w:hAnsi="Times New Roman" w:cs="Times New Roman"/>
                <w:sz w:val="20"/>
                <w:szCs w:val="20"/>
              </w:rPr>
            </w:r>
            <w:r w:rsidRPr="00C91EA2">
              <w:rPr>
                <w:rFonts w:ascii="Times New Roman" w:eastAsia="Minion-Regular" w:hAnsi="Times New Roman" w:cs="Times New Roman"/>
                <w:sz w:val="20"/>
                <w:szCs w:val="20"/>
              </w:rPr>
              <w:fldChar w:fldCharType="separate"/>
            </w:r>
          </w:p>
          <w:p w14:paraId="66D50B30" w14:textId="75441862" w:rsidR="004166ED" w:rsidRPr="00C91EA2" w:rsidRDefault="008261B2" w:rsidP="008F28DA">
            <w:pPr>
              <w:autoSpaceDE w:val="0"/>
              <w:autoSpaceDN w:val="0"/>
              <w:adjustRightInd w:val="0"/>
              <w:jc w:val="both"/>
              <w:rPr>
                <w:rFonts w:ascii="Times New Roman" w:eastAsia="Minion-Regular" w:hAnsi="Times New Roman" w:cs="Times New Roman"/>
                <w:sz w:val="20"/>
                <w:szCs w:val="20"/>
              </w:rPr>
            </w:pPr>
            <w:r w:rsidRPr="008261B2">
              <w:rPr>
                <w:rFonts w:ascii="Times New Roman" w:hAnsi="Times New Roman" w:cs="Times New Roman"/>
                <w:sz w:val="20"/>
                <w:szCs w:val="20"/>
              </w:rPr>
              <w:t>Figure</w:t>
            </w:r>
            <w:r w:rsidRPr="008261B2">
              <w:rPr>
                <w:rFonts w:ascii="Times New Roman" w:hAnsi="Times New Roman" w:cs="Times New Roman"/>
                <w:noProof/>
                <w:sz w:val="20"/>
                <w:szCs w:val="20"/>
              </w:rPr>
              <w:t xml:space="preserve"> 40</w:t>
            </w:r>
            <w:r w:rsidR="004166ED" w:rsidRPr="00C91EA2">
              <w:rPr>
                <w:rFonts w:ascii="Times New Roman" w:eastAsia="Minion-Regular" w:hAnsi="Times New Roman" w:cs="Times New Roman"/>
                <w:sz w:val="20"/>
                <w:szCs w:val="20"/>
              </w:rPr>
              <w:fldChar w:fldCharType="end"/>
            </w:r>
            <w:r w:rsidR="004166ED" w:rsidRPr="00C91EA2">
              <w:rPr>
                <w:rFonts w:ascii="Times New Roman" w:eastAsia="Minion-Regular" w:hAnsi="Times New Roman" w:cs="Times New Roman"/>
                <w:sz w:val="20"/>
                <w:szCs w:val="20"/>
              </w:rPr>
              <w:t xml:space="preserve"> below):</w:t>
            </w:r>
          </w:p>
          <w:p w14:paraId="161B2481" w14:textId="77777777" w:rsidR="004166ED" w:rsidRPr="00C91EA2" w:rsidRDefault="004166ED" w:rsidP="009801D8">
            <w:pPr>
              <w:pStyle w:val="ListParagraph"/>
              <w:numPr>
                <w:ilvl w:val="0"/>
                <w:numId w:val="75"/>
              </w:numPr>
              <w:autoSpaceDE w:val="0"/>
              <w:autoSpaceDN w:val="0"/>
              <w:adjustRightInd w:val="0"/>
              <w:jc w:val="both"/>
              <w:rPr>
                <w:rFonts w:ascii="Times New Roman" w:eastAsia="Minion-Regular" w:hAnsi="Times New Roman" w:cs="Times New Roman"/>
                <w:sz w:val="20"/>
                <w:szCs w:val="20"/>
              </w:rPr>
            </w:pPr>
            <w:r w:rsidRPr="00C91EA2">
              <w:rPr>
                <w:rFonts w:ascii="Times New Roman" w:eastAsia="Minion-Regular" w:hAnsi="Times New Roman" w:cs="Times New Roman"/>
                <w:sz w:val="20"/>
                <w:szCs w:val="20"/>
              </w:rPr>
              <w:t xml:space="preserve">Mechanisms that can have a more </w:t>
            </w:r>
            <w:r w:rsidRPr="00C91EA2">
              <w:rPr>
                <w:rFonts w:ascii="Times New Roman" w:eastAsia="Minion-Italic" w:hAnsi="Times New Roman" w:cs="Times New Roman"/>
                <w:i/>
                <w:iCs/>
                <w:sz w:val="20"/>
                <w:szCs w:val="20"/>
              </w:rPr>
              <w:t>direct impact on the level and distribution of household welfare</w:t>
            </w:r>
            <w:r w:rsidRPr="00C91EA2">
              <w:rPr>
                <w:rFonts w:ascii="Times New Roman" w:eastAsia="Minion-Regular" w:hAnsi="Times New Roman" w:cs="Times New Roman"/>
                <w:sz w:val="20"/>
                <w:szCs w:val="20"/>
              </w:rPr>
              <w:t xml:space="preserve"> – namely the incomes of producers and employees and the prices, quality, and variety of goods and services available to consumers – by removing inefficiencies in those markets that are particularly relevant to the poor. These mechanisms are more relevant and more frequently observed in markets where poorer citizens produce, work, and purchase. These </w:t>
            </w:r>
            <w:r w:rsidR="00B7322B">
              <w:rPr>
                <w:rFonts w:ascii="Times New Roman" w:eastAsia="Minion-Regular" w:hAnsi="Times New Roman" w:cs="Times New Roman"/>
                <w:sz w:val="20"/>
                <w:szCs w:val="20"/>
              </w:rPr>
              <w:t>direct mechanisms</w:t>
            </w:r>
            <w:r w:rsidRPr="00C91EA2">
              <w:rPr>
                <w:rFonts w:ascii="Times New Roman" w:eastAsia="Minion-Regular" w:hAnsi="Times New Roman" w:cs="Times New Roman"/>
                <w:sz w:val="20"/>
                <w:szCs w:val="20"/>
              </w:rPr>
              <w:t xml:space="preserve"> are directly affected by the degree of competition in the short term but can also be impacted by dynamic effects in the longer term.</w:t>
            </w:r>
          </w:p>
          <w:p w14:paraId="2A542A34" w14:textId="77777777" w:rsidR="004166ED" w:rsidRPr="00C91EA2" w:rsidRDefault="004166ED" w:rsidP="009801D8">
            <w:pPr>
              <w:pStyle w:val="ListParagraph"/>
              <w:numPr>
                <w:ilvl w:val="0"/>
                <w:numId w:val="75"/>
              </w:numPr>
              <w:autoSpaceDE w:val="0"/>
              <w:autoSpaceDN w:val="0"/>
              <w:adjustRightInd w:val="0"/>
              <w:jc w:val="both"/>
              <w:rPr>
                <w:rFonts w:ascii="Times New Roman" w:eastAsia="Minion-Regular" w:hAnsi="Times New Roman" w:cs="Times New Roman"/>
                <w:sz w:val="20"/>
                <w:szCs w:val="20"/>
              </w:rPr>
            </w:pPr>
            <w:r w:rsidRPr="00C91EA2">
              <w:rPr>
                <w:rFonts w:ascii="Times New Roman" w:eastAsia="Minion-Regular" w:hAnsi="Times New Roman" w:cs="Times New Roman"/>
                <w:sz w:val="20"/>
                <w:szCs w:val="20"/>
              </w:rPr>
              <w:t xml:space="preserve">Mechanisms that primarily </w:t>
            </w:r>
            <w:r w:rsidRPr="00C91EA2">
              <w:rPr>
                <w:rFonts w:ascii="Times New Roman" w:eastAsia="Minion-Italic" w:hAnsi="Times New Roman" w:cs="Times New Roman"/>
                <w:i/>
                <w:iCs/>
                <w:sz w:val="20"/>
                <w:szCs w:val="20"/>
              </w:rPr>
              <w:t xml:space="preserve">boost growth dynamically in the longer term – </w:t>
            </w:r>
            <w:r w:rsidRPr="00C91EA2">
              <w:rPr>
                <w:rFonts w:ascii="Times New Roman" w:eastAsia="Minion-Regular" w:hAnsi="Times New Roman" w:cs="Times New Roman"/>
                <w:sz w:val="20"/>
                <w:szCs w:val="20"/>
              </w:rPr>
              <w:t>notably increases in firm productivity through the entry, growth, and expansion of more productive firms, as well as by incentivizing firms to reduce costs. The link between competition and innovation also has a bearing on long-term productivity through process innovation, for example.</w:t>
            </w:r>
          </w:p>
          <w:p w14:paraId="79E3CF59" w14:textId="77777777" w:rsidR="004166ED" w:rsidRPr="00C91EA2" w:rsidRDefault="004166ED" w:rsidP="004166ED">
            <w:pPr>
              <w:pStyle w:val="Caption"/>
              <w:rPr>
                <w:rFonts w:ascii="Times New Roman" w:hAnsi="Times New Roman"/>
              </w:rPr>
            </w:pPr>
            <w:bookmarkStart w:id="178" w:name="_Ref496799321"/>
          </w:p>
          <w:p w14:paraId="33968DF5" w14:textId="5E42A702" w:rsidR="004166ED" w:rsidRPr="00C91EA2" w:rsidRDefault="004166ED" w:rsidP="004166ED">
            <w:pPr>
              <w:pStyle w:val="Caption"/>
              <w:rPr>
                <w:rFonts w:ascii="Times New Roman" w:hAnsi="Times New Roman"/>
              </w:rPr>
            </w:pPr>
            <w:bookmarkStart w:id="179" w:name="_Toc520725596"/>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40</w:t>
            </w:r>
            <w:r w:rsidR="00D91B27">
              <w:rPr>
                <w:rFonts w:ascii="Times New Roman" w:hAnsi="Times New Roman"/>
              </w:rPr>
              <w:fldChar w:fldCharType="end"/>
            </w:r>
            <w:bookmarkEnd w:id="178"/>
            <w:r w:rsidRPr="00C91EA2">
              <w:rPr>
                <w:rFonts w:ascii="Times New Roman" w:hAnsi="Times New Roman"/>
              </w:rPr>
              <w:t xml:space="preserve">: Mechanisms </w:t>
            </w:r>
            <w:r w:rsidR="00AD53CA" w:rsidRPr="00C91EA2">
              <w:rPr>
                <w:rFonts w:ascii="Times New Roman" w:hAnsi="Times New Roman"/>
              </w:rPr>
              <w:t>T</w:t>
            </w:r>
            <w:r w:rsidRPr="00C91EA2">
              <w:rPr>
                <w:rFonts w:ascii="Times New Roman" w:hAnsi="Times New Roman"/>
              </w:rPr>
              <w:t xml:space="preserve">hrough </w:t>
            </w:r>
            <w:r w:rsidR="00AD53CA" w:rsidRPr="00C91EA2">
              <w:rPr>
                <w:rFonts w:ascii="Times New Roman" w:hAnsi="Times New Roman"/>
              </w:rPr>
              <w:t>W</w:t>
            </w:r>
            <w:r w:rsidRPr="00C91EA2">
              <w:rPr>
                <w:rFonts w:ascii="Times New Roman" w:hAnsi="Times New Roman"/>
              </w:rPr>
              <w:t xml:space="preserve">hich </w:t>
            </w:r>
            <w:r w:rsidR="00AD53CA" w:rsidRPr="00C91EA2">
              <w:rPr>
                <w:rFonts w:ascii="Times New Roman" w:hAnsi="Times New Roman"/>
              </w:rPr>
              <w:t>C</w:t>
            </w:r>
            <w:r w:rsidRPr="00C91EA2">
              <w:rPr>
                <w:rFonts w:ascii="Times New Roman" w:hAnsi="Times New Roman"/>
              </w:rPr>
              <w:t>ompetition</w:t>
            </w:r>
            <w:r w:rsidRPr="00C91EA2">
              <w:rPr>
                <w:rFonts w:ascii="Times New Roman" w:hAnsi="Times New Roman"/>
                <w:noProof/>
              </w:rPr>
              <w:drawing>
                <wp:anchor distT="0" distB="0" distL="114300" distR="114300" simplePos="0" relativeHeight="251648512" behindDoc="0" locked="0" layoutInCell="1" allowOverlap="1" wp14:anchorId="7843777A" wp14:editId="4F4B7D14">
                  <wp:simplePos x="0" y="0"/>
                  <wp:positionH relativeFrom="column">
                    <wp:posOffset>-65130</wp:posOffset>
                  </wp:positionH>
                  <wp:positionV relativeFrom="paragraph">
                    <wp:posOffset>155813</wp:posOffset>
                  </wp:positionV>
                  <wp:extent cx="3333750" cy="3219450"/>
                  <wp:effectExtent l="0" t="0" r="0" b="0"/>
                  <wp:wrapSquare wrapText="bothSides"/>
                  <wp:docPr id="96" name="Picture 96" descr="C:\Users\jkoschorke\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schorke\AppData\Local\Microsoft\Windows\INetCache\Content.Word\Captur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04C" w:rsidRPr="00C91EA2">
              <w:rPr>
                <w:rFonts w:ascii="Times New Roman" w:hAnsi="Times New Roman"/>
              </w:rPr>
              <w:t xml:space="preserve"> </w:t>
            </w:r>
            <w:r w:rsidR="00AD53CA" w:rsidRPr="00C91EA2">
              <w:rPr>
                <w:rFonts w:ascii="Times New Roman" w:hAnsi="Times New Roman"/>
              </w:rPr>
              <w:t>A</w:t>
            </w:r>
            <w:r w:rsidRPr="00C91EA2">
              <w:rPr>
                <w:rFonts w:ascii="Times New Roman" w:hAnsi="Times New Roman"/>
              </w:rPr>
              <w:t xml:space="preserve">ffects </w:t>
            </w:r>
            <w:r w:rsidR="00AD53CA" w:rsidRPr="00C91EA2">
              <w:rPr>
                <w:rFonts w:ascii="Times New Roman" w:hAnsi="Times New Roman"/>
              </w:rPr>
              <w:t>P</w:t>
            </w:r>
            <w:r w:rsidRPr="00C91EA2">
              <w:rPr>
                <w:rFonts w:ascii="Times New Roman" w:hAnsi="Times New Roman"/>
              </w:rPr>
              <w:t xml:space="preserve">overty </w:t>
            </w:r>
            <w:r w:rsidR="00AD53CA" w:rsidRPr="00C91EA2">
              <w:rPr>
                <w:rFonts w:ascii="Times New Roman" w:hAnsi="Times New Roman"/>
              </w:rPr>
              <w:t>R</w:t>
            </w:r>
            <w:r w:rsidRPr="00C91EA2">
              <w:rPr>
                <w:rFonts w:ascii="Times New Roman" w:hAnsi="Times New Roman"/>
              </w:rPr>
              <w:t xml:space="preserve">eduction and </w:t>
            </w:r>
            <w:r w:rsidR="00AD53CA" w:rsidRPr="00C91EA2">
              <w:rPr>
                <w:rFonts w:ascii="Times New Roman" w:hAnsi="Times New Roman"/>
              </w:rPr>
              <w:t>S</w:t>
            </w:r>
            <w:r w:rsidRPr="00C91EA2">
              <w:rPr>
                <w:rFonts w:ascii="Times New Roman" w:hAnsi="Times New Roman"/>
              </w:rPr>
              <w:t xml:space="preserve">hared </w:t>
            </w:r>
            <w:r w:rsidR="00AD53CA" w:rsidRPr="00C91EA2">
              <w:rPr>
                <w:rFonts w:ascii="Times New Roman" w:hAnsi="Times New Roman"/>
              </w:rPr>
              <w:t>P</w:t>
            </w:r>
            <w:r w:rsidRPr="00C91EA2">
              <w:rPr>
                <w:rFonts w:ascii="Times New Roman" w:hAnsi="Times New Roman"/>
              </w:rPr>
              <w:t>rosperity</w:t>
            </w:r>
            <w:bookmarkEnd w:id="179"/>
          </w:p>
          <w:p w14:paraId="31D0B6F6" w14:textId="77777777" w:rsidR="00AD53CA" w:rsidRPr="00C91EA2" w:rsidRDefault="00AD53CA" w:rsidP="00AD53CA">
            <w:pPr>
              <w:rPr>
                <w:rFonts w:ascii="Times New Roman" w:hAnsi="Times New Roman" w:cs="Times New Roman"/>
              </w:rPr>
            </w:pPr>
          </w:p>
          <w:p w14:paraId="2F07D5BB" w14:textId="77777777" w:rsidR="004166ED" w:rsidRPr="00C91EA2" w:rsidRDefault="004166ED" w:rsidP="008F28DA">
            <w:pPr>
              <w:autoSpaceDE w:val="0"/>
              <w:autoSpaceDN w:val="0"/>
              <w:adjustRightInd w:val="0"/>
              <w:jc w:val="both"/>
              <w:rPr>
                <w:rFonts w:ascii="Times New Roman" w:eastAsia="Minion-Regular" w:hAnsi="Times New Roman" w:cs="Times New Roman"/>
                <w:sz w:val="20"/>
                <w:szCs w:val="20"/>
              </w:rPr>
            </w:pPr>
            <w:r w:rsidRPr="00C91EA2">
              <w:rPr>
                <w:rFonts w:ascii="Times New Roman" w:eastAsia="Minion-Regular" w:hAnsi="Times New Roman" w:cs="Times New Roman"/>
                <w:sz w:val="20"/>
                <w:szCs w:val="20"/>
              </w:rPr>
              <w:t>Longer-term shifts in productivity and growth in turn affect market outcomes that have a direct effect on the level and distribution of household welfare:</w:t>
            </w:r>
          </w:p>
          <w:p w14:paraId="5A9F4305" w14:textId="77777777" w:rsidR="004166ED" w:rsidRPr="00C91EA2" w:rsidRDefault="004166ED" w:rsidP="004166ED">
            <w:pPr>
              <w:pStyle w:val="ListParagraph"/>
              <w:numPr>
                <w:ilvl w:val="0"/>
                <w:numId w:val="59"/>
              </w:numPr>
              <w:autoSpaceDE w:val="0"/>
              <w:autoSpaceDN w:val="0"/>
              <w:adjustRightInd w:val="0"/>
              <w:jc w:val="both"/>
              <w:rPr>
                <w:rFonts w:ascii="Times New Roman" w:eastAsia="Minion-Regular" w:hAnsi="Times New Roman" w:cs="Times New Roman"/>
                <w:sz w:val="20"/>
                <w:szCs w:val="20"/>
              </w:rPr>
            </w:pPr>
            <w:r w:rsidRPr="00C91EA2">
              <w:rPr>
                <w:rFonts w:ascii="Times New Roman" w:eastAsia="Minion-Regular" w:hAnsi="Times New Roman" w:cs="Times New Roman"/>
                <w:sz w:val="20"/>
                <w:szCs w:val="20"/>
              </w:rPr>
              <w:t>Productivity changes affect the level and distribution of jobs and wages.</w:t>
            </w:r>
          </w:p>
          <w:p w14:paraId="2ADAF9B9" w14:textId="77777777" w:rsidR="004166ED" w:rsidRPr="00C91EA2" w:rsidRDefault="004166ED" w:rsidP="004166ED">
            <w:pPr>
              <w:pStyle w:val="ListParagraph"/>
              <w:numPr>
                <w:ilvl w:val="0"/>
                <w:numId w:val="59"/>
              </w:numPr>
              <w:autoSpaceDE w:val="0"/>
              <w:autoSpaceDN w:val="0"/>
              <w:adjustRightInd w:val="0"/>
              <w:jc w:val="both"/>
              <w:rPr>
                <w:rFonts w:ascii="Times New Roman" w:eastAsia="Minion-Regular" w:hAnsi="Times New Roman" w:cs="Times New Roman"/>
                <w:sz w:val="20"/>
                <w:szCs w:val="20"/>
              </w:rPr>
            </w:pPr>
            <w:r w:rsidRPr="00C91EA2">
              <w:rPr>
                <w:rFonts w:ascii="Times New Roman" w:eastAsia="Minion-Regular" w:hAnsi="Times New Roman" w:cs="Times New Roman"/>
                <w:sz w:val="20"/>
                <w:szCs w:val="20"/>
              </w:rPr>
              <w:t>Productivity increases lead to more competitive prices if markets are sufficiently competitive for firms to pass on productivity increases to consumers.</w:t>
            </w:r>
          </w:p>
          <w:p w14:paraId="2DAAFF0E" w14:textId="77777777" w:rsidR="004166ED" w:rsidRPr="00C91EA2" w:rsidRDefault="004166ED" w:rsidP="004166ED">
            <w:pPr>
              <w:pStyle w:val="ListParagraph"/>
              <w:numPr>
                <w:ilvl w:val="0"/>
                <w:numId w:val="59"/>
              </w:numPr>
              <w:autoSpaceDE w:val="0"/>
              <w:autoSpaceDN w:val="0"/>
              <w:adjustRightInd w:val="0"/>
              <w:jc w:val="both"/>
              <w:rPr>
                <w:rFonts w:ascii="Times New Roman" w:hAnsi="Times New Roman" w:cs="Times New Roman"/>
                <w:sz w:val="20"/>
                <w:szCs w:val="20"/>
              </w:rPr>
            </w:pPr>
            <w:r w:rsidRPr="00C91EA2">
              <w:rPr>
                <w:rFonts w:ascii="Times New Roman" w:eastAsia="Minion-Regular" w:hAnsi="Times New Roman" w:cs="Times New Roman"/>
                <w:sz w:val="20"/>
                <w:szCs w:val="20"/>
              </w:rPr>
              <w:t>Product innovation has a direct impact on welfare by increasing the variety, quality, and availability of products for consumers.</w:t>
            </w:r>
          </w:p>
          <w:p w14:paraId="1407958E" w14:textId="77777777" w:rsidR="004166ED" w:rsidRPr="00C91EA2" w:rsidRDefault="004166ED" w:rsidP="008F28DA">
            <w:pPr>
              <w:autoSpaceDE w:val="0"/>
              <w:autoSpaceDN w:val="0"/>
              <w:adjustRightInd w:val="0"/>
              <w:rPr>
                <w:rFonts w:ascii="Times New Roman" w:hAnsi="Times New Roman" w:cs="Times New Roman"/>
                <w:sz w:val="20"/>
                <w:szCs w:val="20"/>
              </w:rPr>
            </w:pPr>
          </w:p>
          <w:p w14:paraId="0201176C" w14:textId="6E2F1DEB" w:rsidR="004166ED" w:rsidRPr="00C91EA2" w:rsidRDefault="004166ED" w:rsidP="008F28DA">
            <w:pPr>
              <w:autoSpaceDE w:val="0"/>
              <w:autoSpaceDN w:val="0"/>
              <w:adjustRightInd w:val="0"/>
              <w:jc w:val="both"/>
              <w:rPr>
                <w:rFonts w:ascii="Times New Roman" w:hAnsi="Times New Roman" w:cs="Times New Roman"/>
                <w:sz w:val="20"/>
                <w:szCs w:val="20"/>
              </w:rPr>
            </w:pPr>
            <w:r w:rsidRPr="00C91EA2">
              <w:rPr>
                <w:rFonts w:ascii="Times New Roman" w:hAnsi="Times New Roman" w:cs="Times New Roman"/>
                <w:sz w:val="20"/>
                <w:szCs w:val="20"/>
              </w:rPr>
              <w:t xml:space="preserve">Anti-competitive regulations imposed by the state can have the same effects as cartels or schemes by dominant firms to exclude competitors. They can lead to higher prices, less competition </w:t>
            </w:r>
            <w:proofErr w:type="gramStart"/>
            <w:r w:rsidRPr="00C91EA2">
              <w:rPr>
                <w:rFonts w:ascii="Times New Roman" w:hAnsi="Times New Roman" w:cs="Times New Roman"/>
                <w:sz w:val="20"/>
                <w:szCs w:val="20"/>
              </w:rPr>
              <w:t>with regard to</w:t>
            </w:r>
            <w:proofErr w:type="gramEnd"/>
            <w:r w:rsidRPr="00C91EA2">
              <w:rPr>
                <w:rFonts w:ascii="Times New Roman" w:hAnsi="Times New Roman" w:cs="Times New Roman"/>
                <w:sz w:val="20"/>
                <w:szCs w:val="20"/>
              </w:rPr>
              <w:t xml:space="preserve"> quality and service, and diminished incentives to innovate, which harms consumers. For products that make up a larger share in the consumption of poor households than in the consumption basket of better-off households, these effects disproportionately harm the poor. This can be the case in the food market, where interventions such as the imposition of import tariffs or minimum prices are often justified as mechanisms to increase the incomes of agricultural producers. Empirical evidence suggests that poor households are often net consumers of food products as opposed to net producers (see </w:t>
            </w:r>
            <w:proofErr w:type="spellStart"/>
            <w:r w:rsidRPr="00C91EA2">
              <w:rPr>
                <w:rFonts w:ascii="Times New Roman" w:hAnsi="Times New Roman" w:cs="Times New Roman"/>
                <w:sz w:val="20"/>
                <w:szCs w:val="20"/>
              </w:rPr>
              <w:t>Christiaensen</w:t>
            </w:r>
            <w:proofErr w:type="spellEnd"/>
            <w:r w:rsidRPr="00C91EA2">
              <w:rPr>
                <w:rFonts w:ascii="Times New Roman" w:hAnsi="Times New Roman" w:cs="Times New Roman"/>
                <w:sz w:val="20"/>
                <w:szCs w:val="20"/>
              </w:rPr>
              <w:t xml:space="preserve"> and Demery 2007; </w:t>
            </w:r>
            <w:proofErr w:type="spellStart"/>
            <w:r w:rsidRPr="00C91EA2">
              <w:rPr>
                <w:rFonts w:ascii="Times New Roman" w:hAnsi="Times New Roman" w:cs="Times New Roman"/>
                <w:sz w:val="20"/>
                <w:szCs w:val="20"/>
              </w:rPr>
              <w:t>Wodon</w:t>
            </w:r>
            <w:proofErr w:type="spellEnd"/>
            <w:r w:rsidRPr="00C91EA2">
              <w:rPr>
                <w:rFonts w:ascii="Times New Roman" w:hAnsi="Times New Roman" w:cs="Times New Roman"/>
                <w:sz w:val="20"/>
                <w:szCs w:val="20"/>
              </w:rPr>
              <w:t xml:space="preserve"> et al. 2008; and </w:t>
            </w:r>
            <w:proofErr w:type="spellStart"/>
            <w:r w:rsidRPr="00C91EA2">
              <w:rPr>
                <w:rFonts w:ascii="Times New Roman" w:hAnsi="Times New Roman" w:cs="Times New Roman"/>
                <w:sz w:val="20"/>
                <w:szCs w:val="20"/>
              </w:rPr>
              <w:t>Wodon</w:t>
            </w:r>
            <w:proofErr w:type="spellEnd"/>
            <w:r w:rsidRPr="00C91EA2">
              <w:rPr>
                <w:rFonts w:ascii="Times New Roman" w:hAnsi="Times New Roman" w:cs="Times New Roman"/>
                <w:sz w:val="20"/>
                <w:szCs w:val="20"/>
              </w:rPr>
              <w:t xml:space="preserve"> and Zaman 2010). As a result, the poor are hit hard by the increasing consumer prices resulting from </w:t>
            </w:r>
            <w:r w:rsidR="003B24ED">
              <w:rPr>
                <w:rFonts w:ascii="Times New Roman" w:hAnsi="Times New Roman" w:cs="Times New Roman"/>
                <w:sz w:val="20"/>
                <w:szCs w:val="20"/>
              </w:rPr>
              <w:t>Government</w:t>
            </w:r>
            <w:r w:rsidRPr="00C91EA2">
              <w:rPr>
                <w:rFonts w:ascii="Times New Roman" w:hAnsi="Times New Roman" w:cs="Times New Roman"/>
                <w:sz w:val="20"/>
                <w:szCs w:val="20"/>
              </w:rPr>
              <w:t xml:space="preserve"> intervention. In fact, research shows that the largest farms stand to gain most from food price increases, not smallholder farmers (Barrett and </w:t>
            </w:r>
            <w:proofErr w:type="spellStart"/>
            <w:r w:rsidRPr="00C91EA2">
              <w:rPr>
                <w:rFonts w:ascii="Times New Roman" w:hAnsi="Times New Roman" w:cs="Times New Roman"/>
                <w:sz w:val="20"/>
                <w:szCs w:val="20"/>
              </w:rPr>
              <w:t>Dorosh</w:t>
            </w:r>
            <w:proofErr w:type="spellEnd"/>
            <w:r w:rsidRPr="00C91EA2">
              <w:rPr>
                <w:rFonts w:ascii="Times New Roman" w:hAnsi="Times New Roman" w:cs="Times New Roman"/>
                <w:sz w:val="20"/>
                <w:szCs w:val="20"/>
              </w:rPr>
              <w:t xml:space="preserve"> 1996). In the UK and Italy, regulation restricting the entry of large retail stores has been shown to increase consumer prices </w:t>
            </w:r>
            <w:r w:rsidR="00781CF6">
              <w:rPr>
                <w:rFonts w:ascii="Times New Roman" w:hAnsi="Times New Roman" w:cs="Times New Roman"/>
                <w:sz w:val="20"/>
                <w:szCs w:val="20"/>
              </w:rPr>
              <w:t>to the detriment</w:t>
            </w:r>
            <w:r w:rsidRPr="00C91EA2">
              <w:rPr>
                <w:rFonts w:ascii="Times New Roman" w:hAnsi="Times New Roman" w:cs="Times New Roman"/>
                <w:sz w:val="20"/>
                <w:szCs w:val="20"/>
              </w:rPr>
              <w:t xml:space="preserve"> of consumers (Griffith and </w:t>
            </w:r>
            <w:proofErr w:type="spellStart"/>
            <w:r w:rsidRPr="00C91EA2">
              <w:rPr>
                <w:rFonts w:ascii="Times New Roman" w:hAnsi="Times New Roman" w:cs="Times New Roman"/>
                <w:sz w:val="20"/>
                <w:szCs w:val="20"/>
              </w:rPr>
              <w:t>Harmgart</w:t>
            </w:r>
            <w:proofErr w:type="spellEnd"/>
            <w:r w:rsidRPr="00C91EA2">
              <w:rPr>
                <w:rFonts w:ascii="Times New Roman" w:hAnsi="Times New Roman" w:cs="Times New Roman"/>
                <w:sz w:val="20"/>
                <w:szCs w:val="20"/>
              </w:rPr>
              <w:t xml:space="preserve"> 2012; </w:t>
            </w:r>
            <w:proofErr w:type="spellStart"/>
            <w:r w:rsidRPr="00C91EA2">
              <w:rPr>
                <w:rFonts w:ascii="Times New Roman" w:hAnsi="Times New Roman" w:cs="Times New Roman"/>
                <w:sz w:val="20"/>
                <w:szCs w:val="20"/>
              </w:rPr>
              <w:t>Schivardi</w:t>
            </w:r>
            <w:proofErr w:type="spellEnd"/>
            <w:r w:rsidRPr="00C91EA2">
              <w:rPr>
                <w:rFonts w:ascii="Times New Roman" w:hAnsi="Times New Roman" w:cs="Times New Roman"/>
                <w:sz w:val="20"/>
                <w:szCs w:val="20"/>
              </w:rPr>
              <w:t xml:space="preserve"> and </w:t>
            </w:r>
            <w:proofErr w:type="spellStart"/>
            <w:r w:rsidRPr="00C91EA2">
              <w:rPr>
                <w:rFonts w:ascii="Times New Roman" w:hAnsi="Times New Roman" w:cs="Times New Roman"/>
                <w:sz w:val="20"/>
                <w:szCs w:val="20"/>
              </w:rPr>
              <w:t>Viviano</w:t>
            </w:r>
            <w:proofErr w:type="spellEnd"/>
            <w:r w:rsidRPr="00C91EA2">
              <w:rPr>
                <w:rFonts w:ascii="Times New Roman" w:hAnsi="Times New Roman" w:cs="Times New Roman"/>
                <w:sz w:val="20"/>
                <w:szCs w:val="20"/>
              </w:rPr>
              <w:t xml:space="preserve"> 2011)</w:t>
            </w:r>
            <w:r w:rsidR="00781CF6">
              <w:rPr>
                <w:rFonts w:ascii="Times New Roman" w:hAnsi="Times New Roman" w:cs="Times New Roman"/>
                <w:sz w:val="20"/>
                <w:szCs w:val="20"/>
              </w:rPr>
              <w:t>.</w:t>
            </w:r>
          </w:p>
          <w:p w14:paraId="7EEC2B80" w14:textId="77777777" w:rsidR="004166ED" w:rsidRPr="00C91EA2" w:rsidRDefault="004166ED" w:rsidP="008F28DA">
            <w:pPr>
              <w:autoSpaceDE w:val="0"/>
              <w:autoSpaceDN w:val="0"/>
              <w:adjustRightInd w:val="0"/>
              <w:jc w:val="both"/>
              <w:rPr>
                <w:rFonts w:ascii="Times New Roman" w:hAnsi="Times New Roman" w:cs="Times New Roman"/>
                <w:sz w:val="20"/>
                <w:szCs w:val="20"/>
              </w:rPr>
            </w:pPr>
          </w:p>
          <w:p w14:paraId="454DC038" w14:textId="77777777" w:rsidR="004166ED" w:rsidRPr="00C91EA2" w:rsidRDefault="004166ED" w:rsidP="008F28DA">
            <w:pPr>
              <w:autoSpaceDE w:val="0"/>
              <w:autoSpaceDN w:val="0"/>
              <w:adjustRightInd w:val="0"/>
              <w:rPr>
                <w:rFonts w:ascii="Times New Roman" w:hAnsi="Times New Roman" w:cs="Times New Roman"/>
                <w:sz w:val="20"/>
                <w:szCs w:val="20"/>
              </w:rPr>
            </w:pPr>
            <w:r w:rsidRPr="00C91EA2">
              <w:rPr>
                <w:rFonts w:ascii="Times New Roman" w:hAnsi="Times New Roman" w:cs="Times New Roman"/>
                <w:sz w:val="20"/>
                <w:szCs w:val="20"/>
              </w:rPr>
              <w:t xml:space="preserve">Source: World Bank – OECD (2017) </w:t>
            </w:r>
            <w:r w:rsidRPr="00C91EA2">
              <w:rPr>
                <w:rFonts w:ascii="Times New Roman" w:hAnsi="Times New Roman" w:cs="Times New Roman"/>
                <w:i/>
                <w:sz w:val="20"/>
                <w:szCs w:val="20"/>
              </w:rPr>
              <w:t>A Step Ahead – Competition Policy for Shared Prosperity and Inclusive Growth.</w:t>
            </w:r>
          </w:p>
        </w:tc>
      </w:tr>
    </w:tbl>
    <w:p w14:paraId="6C4A431D" w14:textId="03EE9F64" w:rsidR="00590C70" w:rsidRDefault="00590C70" w:rsidP="00AB6BEA">
      <w:pPr>
        <w:jc w:val="both"/>
        <w:rPr>
          <w:rFonts w:ascii="Times New Roman" w:hAnsi="Times New Roman" w:cs="Times New Roman"/>
        </w:rPr>
      </w:pPr>
    </w:p>
    <w:p w14:paraId="0055B4CD" w14:textId="77777777" w:rsidR="00590C70" w:rsidRPr="00C91EA2" w:rsidRDefault="00590C70" w:rsidP="00AB6BEA">
      <w:pPr>
        <w:jc w:val="both"/>
        <w:rPr>
          <w:rFonts w:ascii="Times New Roman" w:hAnsi="Times New Roman" w:cs="Times New Roman"/>
        </w:rPr>
      </w:pPr>
    </w:p>
    <w:p w14:paraId="618B780D" w14:textId="1234B95B" w:rsidR="00F91B64" w:rsidRPr="00433D6D" w:rsidRDefault="00095F26" w:rsidP="009801D8">
      <w:pPr>
        <w:pStyle w:val="ListParagraph"/>
        <w:numPr>
          <w:ilvl w:val="0"/>
          <w:numId w:val="71"/>
        </w:numPr>
        <w:ind w:left="0" w:firstLine="0"/>
        <w:jc w:val="both"/>
        <w:rPr>
          <w:rFonts w:ascii="Times New Roman" w:hAnsi="Times New Roman" w:cs="Times New Roman"/>
        </w:rPr>
      </w:pPr>
      <w:r w:rsidRPr="00433D6D">
        <w:rPr>
          <w:rFonts w:ascii="Times New Roman" w:hAnsi="Times New Roman" w:cs="Times New Roman"/>
          <w:b/>
        </w:rPr>
        <w:t>Therefore, addressing competition constraints across markets is not only important for private sector development, but also for households in Senegal.</w:t>
      </w:r>
      <w:r w:rsidRPr="00433D6D">
        <w:rPr>
          <w:rFonts w:ascii="Times New Roman" w:hAnsi="Times New Roman" w:cs="Times New Roman"/>
        </w:rPr>
        <w:t xml:space="preserve"> </w:t>
      </w:r>
      <w:r w:rsidR="00544AC0" w:rsidRPr="00433D6D">
        <w:rPr>
          <w:rFonts w:ascii="Times New Roman" w:hAnsi="Times New Roman" w:cs="Times New Roman"/>
        </w:rPr>
        <w:t xml:space="preserve">As the PMR data indicate, explicit trade barriers are in place for various products such as rice, sugar, wheat, and vegetable oils. </w:t>
      </w:r>
      <w:r w:rsidR="00B04859" w:rsidRPr="00433D6D">
        <w:rPr>
          <w:rFonts w:ascii="Times New Roman" w:hAnsi="Times New Roman" w:cs="Times New Roman"/>
        </w:rPr>
        <w:t>T</w:t>
      </w:r>
      <w:r w:rsidR="004B44A3" w:rsidRPr="00433D6D">
        <w:rPr>
          <w:rFonts w:ascii="Times New Roman" w:hAnsi="Times New Roman" w:cs="Times New Roman"/>
        </w:rPr>
        <w:t>ariff barriers</w:t>
      </w:r>
      <w:r w:rsidR="00544AC0" w:rsidRPr="00433D6D">
        <w:rPr>
          <w:rFonts w:ascii="Times New Roman" w:hAnsi="Times New Roman" w:cs="Times New Roman"/>
        </w:rPr>
        <w:t xml:space="preserve"> and other import restrictions </w:t>
      </w:r>
      <w:r w:rsidR="004B44A3" w:rsidRPr="00433D6D">
        <w:rPr>
          <w:rFonts w:ascii="Times New Roman" w:hAnsi="Times New Roman" w:cs="Times New Roman"/>
        </w:rPr>
        <w:t xml:space="preserve">can raise consumer prices significantly. This is particularly problematic for products that are disproportionately consumed by the poor. </w:t>
      </w:r>
      <w:r w:rsidR="00281C33" w:rsidRPr="00433D6D">
        <w:rPr>
          <w:rFonts w:ascii="Times New Roman" w:hAnsi="Times New Roman" w:cs="Times New Roman"/>
        </w:rPr>
        <w:t xml:space="preserve">Many of the food products </w:t>
      </w:r>
      <w:r w:rsidR="007B6837" w:rsidRPr="00433D6D">
        <w:rPr>
          <w:rFonts w:ascii="Times New Roman" w:hAnsi="Times New Roman" w:cs="Times New Roman"/>
        </w:rPr>
        <w:t>in the consumption basket of the Senegalese households</w:t>
      </w:r>
      <w:r w:rsidR="00281C33" w:rsidRPr="00433D6D">
        <w:rPr>
          <w:rFonts w:ascii="Times New Roman" w:hAnsi="Times New Roman" w:cs="Times New Roman"/>
        </w:rPr>
        <w:t xml:space="preserve"> are subject to some form of import restriction that directly impacts the price. Rice and sugar, for example, face import </w:t>
      </w:r>
      <w:r w:rsidR="009F1400">
        <w:rPr>
          <w:rFonts w:ascii="Times New Roman" w:hAnsi="Times New Roman" w:cs="Times New Roman"/>
        </w:rPr>
        <w:t>restrictions</w:t>
      </w:r>
      <w:r w:rsidR="009F1400" w:rsidRPr="00433D6D">
        <w:rPr>
          <w:rFonts w:ascii="Times New Roman" w:hAnsi="Times New Roman" w:cs="Times New Roman"/>
        </w:rPr>
        <w:t xml:space="preserve"> </w:t>
      </w:r>
      <w:r w:rsidR="00281C33" w:rsidRPr="00433D6D">
        <w:rPr>
          <w:rFonts w:ascii="Times New Roman" w:hAnsi="Times New Roman" w:cs="Times New Roman"/>
        </w:rPr>
        <w:t xml:space="preserve">and quotas. Palm oil, vegetable oils, peanut oil, and bread are subject to import </w:t>
      </w:r>
      <w:r w:rsidR="009F1400">
        <w:rPr>
          <w:rFonts w:ascii="Times New Roman" w:hAnsi="Times New Roman" w:cs="Times New Roman"/>
        </w:rPr>
        <w:t>restrictions</w:t>
      </w:r>
      <w:r w:rsidR="00281C33" w:rsidRPr="00433D6D">
        <w:rPr>
          <w:rFonts w:ascii="Times New Roman" w:hAnsi="Times New Roman" w:cs="Times New Roman"/>
        </w:rPr>
        <w:t>.</w:t>
      </w:r>
    </w:p>
    <w:p w14:paraId="3E896A7B" w14:textId="77777777" w:rsidR="003D2F1A" w:rsidRPr="00C91EA2" w:rsidRDefault="003D2F1A" w:rsidP="009801D8">
      <w:pPr>
        <w:jc w:val="both"/>
        <w:rPr>
          <w:rFonts w:ascii="Times New Roman" w:hAnsi="Times New Roman" w:cs="Times New Roman"/>
        </w:rPr>
      </w:pPr>
    </w:p>
    <w:p w14:paraId="38C6CFC5" w14:textId="08F50C24" w:rsidR="007B6837" w:rsidRPr="00C91EA2" w:rsidRDefault="007B6837" w:rsidP="009801D8">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Using a distributive analysis,</w:t>
      </w:r>
      <w:r w:rsidRPr="00C91EA2">
        <w:rPr>
          <w:rStyle w:val="FootnoteReference"/>
          <w:rFonts w:ascii="Times New Roman" w:hAnsi="Times New Roman" w:cs="Times New Roman"/>
          <w:b/>
        </w:rPr>
        <w:footnoteReference w:id="91"/>
      </w:r>
      <w:r w:rsidRPr="00C91EA2">
        <w:rPr>
          <w:rFonts w:ascii="Times New Roman" w:hAnsi="Times New Roman" w:cs="Times New Roman"/>
          <w:b/>
        </w:rPr>
        <w:t xml:space="preserve"> </w:t>
      </w:r>
      <w:r w:rsidR="00AA78D5" w:rsidRPr="00C91EA2">
        <w:rPr>
          <w:rFonts w:ascii="Times New Roman" w:hAnsi="Times New Roman" w:cs="Times New Roman"/>
          <w:b/>
        </w:rPr>
        <w:fldChar w:fldCharType="begin"/>
      </w:r>
      <w:r w:rsidR="00AA78D5" w:rsidRPr="00C91EA2">
        <w:rPr>
          <w:rFonts w:ascii="Times New Roman" w:hAnsi="Times New Roman" w:cs="Times New Roman"/>
          <w:b/>
        </w:rPr>
        <w:instrText xml:space="preserve"> REF _Ref497125046 \h  \* MERGEFORMAT </w:instrText>
      </w:r>
      <w:r w:rsidR="00AA78D5" w:rsidRPr="00C91EA2">
        <w:rPr>
          <w:rFonts w:ascii="Times New Roman" w:hAnsi="Times New Roman" w:cs="Times New Roman"/>
          <w:b/>
        </w:rPr>
      </w:r>
      <w:r w:rsidR="00AA78D5" w:rsidRPr="00C91EA2">
        <w:rPr>
          <w:rFonts w:ascii="Times New Roman" w:hAnsi="Times New Roman" w:cs="Times New Roman"/>
          <w:b/>
        </w:rPr>
        <w:fldChar w:fldCharType="separate"/>
      </w:r>
      <w:r w:rsidR="008261B2" w:rsidRPr="008261B2">
        <w:rPr>
          <w:rFonts w:ascii="Times New Roman" w:hAnsi="Times New Roman" w:cs="Times New Roman"/>
          <w:b/>
        </w:rPr>
        <w:t xml:space="preserve">Table </w:t>
      </w:r>
      <w:r w:rsidR="008261B2" w:rsidRPr="008261B2">
        <w:rPr>
          <w:rFonts w:ascii="Times New Roman" w:hAnsi="Times New Roman" w:cs="Times New Roman"/>
          <w:b/>
          <w:noProof/>
        </w:rPr>
        <w:t>6</w:t>
      </w:r>
      <w:r w:rsidR="00AA78D5" w:rsidRPr="00C91EA2">
        <w:rPr>
          <w:rFonts w:ascii="Times New Roman" w:hAnsi="Times New Roman" w:cs="Times New Roman"/>
          <w:b/>
        </w:rPr>
        <w:fldChar w:fldCharType="end"/>
      </w:r>
      <w:r w:rsidR="00AA78D5" w:rsidRPr="00C91EA2">
        <w:rPr>
          <w:rFonts w:ascii="Times New Roman" w:hAnsi="Times New Roman" w:cs="Times New Roman"/>
          <w:b/>
        </w:rPr>
        <w:t xml:space="preserve"> </w:t>
      </w:r>
      <w:r w:rsidRPr="00C91EA2">
        <w:rPr>
          <w:rFonts w:ascii="Times New Roman" w:hAnsi="Times New Roman" w:cs="Times New Roman"/>
          <w:b/>
        </w:rPr>
        <w:t>shows the first order income effects and poverty headcount impacts of a hypothetical 10 percent linear decreases in the prices for Senegal’s main food products</w:t>
      </w:r>
      <w:r w:rsidR="00AA78D5" w:rsidRPr="00C91EA2">
        <w:rPr>
          <w:rStyle w:val="FootnoteReference"/>
          <w:rFonts w:ascii="Times New Roman" w:hAnsi="Times New Roman" w:cs="Times New Roman"/>
          <w:b/>
        </w:rPr>
        <w:footnoteReference w:id="92"/>
      </w:r>
      <w:r w:rsidRPr="00C91EA2">
        <w:rPr>
          <w:rFonts w:ascii="Times New Roman" w:hAnsi="Times New Roman" w:cs="Times New Roman"/>
          <w:b/>
        </w:rPr>
        <w:t xml:space="preserve"> based on their importance in the consumer basket, all else </w:t>
      </w:r>
      <w:r w:rsidR="00B03B89">
        <w:rPr>
          <w:rFonts w:ascii="Times New Roman" w:hAnsi="Times New Roman" w:cs="Times New Roman"/>
          <w:b/>
        </w:rPr>
        <w:t xml:space="preserve">being </w:t>
      </w:r>
      <w:r w:rsidRPr="00C91EA2">
        <w:rPr>
          <w:rFonts w:ascii="Times New Roman" w:hAnsi="Times New Roman" w:cs="Times New Roman"/>
          <w:b/>
        </w:rPr>
        <w:t>equal.</w:t>
      </w:r>
      <w:r w:rsidRPr="00C91EA2">
        <w:rPr>
          <w:rFonts w:ascii="Times New Roman" w:hAnsi="Times New Roman" w:cs="Times New Roman"/>
        </w:rPr>
        <w:t xml:space="preserve"> Each row represents a food product, whereas the columns show the estimated impact of a decrease in the price of the commodity on the absolute number of the poor, the poverty headcount ratio and the income distribution in the country. Given that adjusted actual tax rates on flour, palm oil and sugar imports have all exceeded 50% at some point in the past,</w:t>
      </w:r>
      <w:r w:rsidRPr="00C91EA2">
        <w:rPr>
          <w:rStyle w:val="FootnoteReference"/>
          <w:rFonts w:ascii="Times New Roman" w:hAnsi="Times New Roman" w:cs="Times New Roman"/>
        </w:rPr>
        <w:footnoteReference w:id="93"/>
      </w:r>
      <w:r w:rsidRPr="00C91EA2">
        <w:rPr>
          <w:rFonts w:ascii="Times New Roman" w:hAnsi="Times New Roman" w:cs="Times New Roman"/>
        </w:rPr>
        <w:t xml:space="preserve"> the 10 percent linear decrease is in fact a conservative estimate of the price effects that could be achieved with pro-competition policy measures. </w:t>
      </w:r>
    </w:p>
    <w:p w14:paraId="3E1D7F4D" w14:textId="77777777" w:rsidR="007B6837" w:rsidRPr="00C91EA2" w:rsidRDefault="007B6837" w:rsidP="009801D8">
      <w:pPr>
        <w:jc w:val="both"/>
        <w:rPr>
          <w:rFonts w:ascii="Times New Roman" w:hAnsi="Times New Roman" w:cs="Times New Roman"/>
          <w:b/>
        </w:rPr>
      </w:pPr>
    </w:p>
    <w:p w14:paraId="0CA9726F" w14:textId="77777777" w:rsidR="00F91B64" w:rsidRPr="00C91EA2" w:rsidRDefault="00F91B64" w:rsidP="009801D8">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Reducing the prices of </w:t>
      </w:r>
      <w:r w:rsidR="007B6837" w:rsidRPr="00C91EA2">
        <w:rPr>
          <w:rFonts w:ascii="Times New Roman" w:hAnsi="Times New Roman" w:cs="Times New Roman"/>
          <w:b/>
        </w:rPr>
        <w:t>food products</w:t>
      </w:r>
      <w:r w:rsidRPr="00C91EA2">
        <w:rPr>
          <w:rFonts w:ascii="Times New Roman" w:hAnsi="Times New Roman" w:cs="Times New Roman"/>
          <w:b/>
        </w:rPr>
        <w:t xml:space="preserve"> </w:t>
      </w:r>
      <w:r w:rsidR="007B6837" w:rsidRPr="00C91EA2">
        <w:rPr>
          <w:rFonts w:ascii="Times New Roman" w:hAnsi="Times New Roman" w:cs="Times New Roman"/>
          <w:b/>
        </w:rPr>
        <w:t xml:space="preserve">that are important for Senegalese households </w:t>
      </w:r>
      <w:r w:rsidRPr="00C91EA2">
        <w:rPr>
          <w:rFonts w:ascii="Times New Roman" w:hAnsi="Times New Roman" w:cs="Times New Roman"/>
          <w:b/>
        </w:rPr>
        <w:t xml:space="preserve">by </w:t>
      </w:r>
      <w:r w:rsidR="00232D54" w:rsidRPr="00C91EA2">
        <w:rPr>
          <w:rFonts w:ascii="Times New Roman" w:hAnsi="Times New Roman" w:cs="Times New Roman"/>
          <w:b/>
        </w:rPr>
        <w:t xml:space="preserve">10 </w:t>
      </w:r>
      <w:r w:rsidRPr="00C91EA2">
        <w:rPr>
          <w:rFonts w:ascii="Times New Roman" w:hAnsi="Times New Roman" w:cs="Times New Roman"/>
          <w:b/>
        </w:rPr>
        <w:t xml:space="preserve">percent would lift over 230,000 people over the national poverty line. </w:t>
      </w:r>
      <w:r w:rsidRPr="00C91EA2">
        <w:rPr>
          <w:rFonts w:ascii="Times New Roman" w:hAnsi="Times New Roman" w:cs="Times New Roman"/>
        </w:rPr>
        <w:t>This corresponds to a combined effect of over approximately 1.71 percentage point reduction in poverty. Given that the poverty headcount ratios using the international poverty lines of $1.90 and $3.10 per day have decreased by only 0.4 and 0.1 percentage points respectively between the years 2005 and 2011,</w:t>
      </w:r>
      <w:r w:rsidRPr="00C91EA2">
        <w:rPr>
          <w:rStyle w:val="FootnoteReference"/>
          <w:rFonts w:ascii="Times New Roman" w:hAnsi="Times New Roman" w:cs="Times New Roman"/>
        </w:rPr>
        <w:footnoteReference w:id="94"/>
      </w:r>
      <w:r w:rsidRPr="00C91EA2">
        <w:rPr>
          <w:rFonts w:ascii="Times New Roman" w:hAnsi="Times New Roman" w:cs="Times New Roman"/>
        </w:rPr>
        <w:t xml:space="preserve"> a 1.71 percentage point reduction would represent a substantial step towards poverty alleviation in Senegal.</w:t>
      </w:r>
    </w:p>
    <w:p w14:paraId="5B97CE69" w14:textId="77777777" w:rsidR="006320B6" w:rsidRPr="00C91EA2" w:rsidRDefault="006320B6" w:rsidP="009801D8">
      <w:pPr>
        <w:jc w:val="both"/>
        <w:rPr>
          <w:rFonts w:ascii="Times New Roman" w:hAnsi="Times New Roman" w:cs="Times New Roman"/>
        </w:rPr>
      </w:pPr>
    </w:p>
    <w:p w14:paraId="69D673EC" w14:textId="77777777" w:rsidR="006320B6" w:rsidRPr="00C91EA2" w:rsidRDefault="006320B6" w:rsidP="009801D8">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The</w:t>
      </w:r>
      <w:r w:rsidR="00CE02BE">
        <w:rPr>
          <w:rFonts w:ascii="Times New Roman" w:hAnsi="Times New Roman" w:cs="Times New Roman"/>
          <w:b/>
        </w:rPr>
        <w:t xml:space="preserve"> largest</w:t>
      </w:r>
      <w:r w:rsidRPr="00C91EA2">
        <w:rPr>
          <w:rFonts w:ascii="Times New Roman" w:hAnsi="Times New Roman" w:cs="Times New Roman"/>
          <w:b/>
        </w:rPr>
        <w:t xml:space="preserve"> effect could be achieved by a decrease in the price of vegetable oil.</w:t>
      </w:r>
      <w:r w:rsidRPr="00C91EA2">
        <w:rPr>
          <w:rFonts w:ascii="Times New Roman" w:hAnsi="Times New Roman" w:cs="Times New Roman"/>
        </w:rPr>
        <w:t xml:space="preserve"> This would propel almost 50,000 poor people above the national poverty line which represents a 0.35 percentage point decrease in the poverty headcount ratio.</w:t>
      </w:r>
      <w:r w:rsidRPr="00C91EA2">
        <w:rPr>
          <w:rStyle w:val="FootnoteReference"/>
          <w:rFonts w:ascii="Times New Roman" w:hAnsi="Times New Roman" w:cs="Times New Roman"/>
        </w:rPr>
        <w:footnoteReference w:id="95"/>
      </w:r>
      <w:r w:rsidRPr="00C91EA2">
        <w:rPr>
          <w:rFonts w:ascii="Times New Roman" w:hAnsi="Times New Roman" w:cs="Times New Roman"/>
        </w:rPr>
        <w:t xml:space="preserve"> Similar conclusions hold for reductions in the price of sugar, where a ten percent price decrease would lift around 40,000 people out of poverty, representing a decrease in poverty by 0.3 percentage points, and in the prices of millet and rice, which would each lead to a reduction in poverty of 0.2 percentage points or more than 25,000 people. Reductions in the prices of peanut oil, maize, and palm oil by ten percent would lead to decreases in absolute numbers of the poor by 14-15</w:t>
      </w:r>
      <w:r w:rsidR="005219B7">
        <w:rPr>
          <w:rFonts w:ascii="Times New Roman" w:hAnsi="Times New Roman" w:cs="Times New Roman"/>
        </w:rPr>
        <w:t>,</w:t>
      </w:r>
      <w:r w:rsidRPr="00C91EA2">
        <w:rPr>
          <w:rFonts w:ascii="Times New Roman" w:hAnsi="Times New Roman" w:cs="Times New Roman"/>
        </w:rPr>
        <w:t>000, roughly 9,000 and almost 4,000 people respectively. Similarly, price decreases for sorghum and groundnuts are associated with decreases in poverty although not at statistically significant levels.</w:t>
      </w:r>
    </w:p>
    <w:p w14:paraId="632A2682" w14:textId="77777777" w:rsidR="00F91B64" w:rsidRPr="00C91EA2" w:rsidRDefault="00F91B64" w:rsidP="009801D8">
      <w:pPr>
        <w:jc w:val="both"/>
        <w:rPr>
          <w:rFonts w:ascii="Times New Roman" w:hAnsi="Times New Roman" w:cs="Times New Roman"/>
        </w:rPr>
      </w:pPr>
    </w:p>
    <w:p w14:paraId="63143A24" w14:textId="77777777" w:rsidR="007B6837" w:rsidRPr="00C91EA2" w:rsidRDefault="007B6837" w:rsidP="009801D8">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Food products in general and certain foods specifically weigh more heavily in the consumption baskets of the poor than in those of the rich, suggesting that price decreases of certain products can disproportionately benefit the poor. </w:t>
      </w:r>
      <w:r w:rsidRPr="00C91EA2">
        <w:rPr>
          <w:rFonts w:ascii="Times New Roman" w:hAnsi="Times New Roman" w:cs="Times New Roman"/>
        </w:rPr>
        <w:t>Across all food products except for peanut oil and wheat bread price decreases disproportionality benefit the poor.</w:t>
      </w:r>
      <w:r w:rsidRPr="00C91EA2">
        <w:rPr>
          <w:rFonts w:ascii="Times New Roman" w:hAnsi="Times New Roman" w:cs="Times New Roman"/>
          <w:b/>
        </w:rPr>
        <w:t xml:space="preserve"> </w:t>
      </w:r>
      <w:r w:rsidRPr="00C91EA2">
        <w:rPr>
          <w:rFonts w:ascii="Times New Roman" w:hAnsi="Times New Roman" w:cs="Times New Roman"/>
        </w:rPr>
        <w:t>A decrease in the price of sorghum, for example, would benefit incomes of people in the bottom 40 percent of the income distribution four and a half times more than people in the top 40 percent. The effect increases to a ratio of more than 40 when comparing people in the bottom 10 percent with people in the top 10 percent. Similarly, a decrease in the price of maize would benefit the poorest 10 percent over 13 times more than the richest 10 percent, whereas price decreases in millet would create benefits for the bottom 10 percent outweighing those for the top 10 percent by a factor of almost 12. The respective ratios comparing the poorest and richest 10 percent for groundnuts, rice, bread, palm oil, and sugar are almost 9, 7.2, 6.6 and 5.2. The benefits of a price reduction for vegetable oil would also disproportionately benefit the poor, however only by a ratio of 1.5, suggesting that vegetable oil represents a comparable proportion of the consumption basket for those in the top and bottom 10 percent of the income distribution. Peanut oil, on the other hand, appears to be primarily consumed by richer Senegalese, meaning that a price decrease of 10 percent would primarily benefit those at the top of the income distribution. The same is true for the consumption of wheat bread.</w:t>
      </w:r>
    </w:p>
    <w:p w14:paraId="1A076D05" w14:textId="77777777" w:rsidR="004B44A3" w:rsidRPr="00C91EA2" w:rsidRDefault="004B44A3" w:rsidP="00230BD0">
      <w:pPr>
        <w:rPr>
          <w:rFonts w:ascii="Times New Roman" w:hAnsi="Times New Roman" w:cs="Times New Roman"/>
        </w:rPr>
        <w:sectPr w:rsidR="004B44A3" w:rsidRPr="00C91EA2" w:rsidSect="00B41724">
          <w:pgSz w:w="12240" w:h="15840" w:code="1"/>
          <w:pgMar w:top="1440" w:right="1800" w:bottom="1440" w:left="1800" w:header="720" w:footer="720" w:gutter="0"/>
          <w:pgNumType w:start="1"/>
          <w:cols w:space="720"/>
          <w:noEndnote/>
          <w:docGrid w:linePitch="326"/>
        </w:sectPr>
      </w:pPr>
    </w:p>
    <w:p w14:paraId="29EE088C" w14:textId="7174A97D" w:rsidR="00AA78D5" w:rsidRPr="00C91EA2" w:rsidRDefault="00AA78D5" w:rsidP="00AA78D5">
      <w:pPr>
        <w:pStyle w:val="Caption"/>
        <w:keepNext/>
        <w:rPr>
          <w:rFonts w:ascii="Times New Roman" w:hAnsi="Times New Roman"/>
        </w:rPr>
      </w:pPr>
      <w:bookmarkStart w:id="180" w:name="_Ref497125046"/>
      <w:bookmarkStart w:id="181" w:name="_Toc520725693"/>
      <w:r w:rsidRPr="00C91EA2">
        <w:rPr>
          <w:rFonts w:ascii="Times New Roman" w:hAnsi="Times New Roman"/>
        </w:rPr>
        <w:t xml:space="preserve">Table </w:t>
      </w:r>
      <w:r w:rsidR="00DD174A" w:rsidRPr="00C91EA2">
        <w:rPr>
          <w:rFonts w:ascii="Times New Roman" w:hAnsi="Times New Roman"/>
        </w:rPr>
        <w:fldChar w:fldCharType="begin"/>
      </w:r>
      <w:r w:rsidR="00DD174A" w:rsidRPr="00C91EA2">
        <w:rPr>
          <w:rFonts w:ascii="Times New Roman" w:hAnsi="Times New Roman"/>
        </w:rPr>
        <w:instrText xml:space="preserve"> SEQ Table \* ARABIC </w:instrText>
      </w:r>
      <w:r w:rsidR="00DD174A" w:rsidRPr="00C91EA2">
        <w:rPr>
          <w:rFonts w:ascii="Times New Roman" w:hAnsi="Times New Roman"/>
        </w:rPr>
        <w:fldChar w:fldCharType="separate"/>
      </w:r>
      <w:r w:rsidR="008261B2">
        <w:rPr>
          <w:rFonts w:ascii="Times New Roman" w:hAnsi="Times New Roman"/>
          <w:noProof/>
        </w:rPr>
        <w:t>6</w:t>
      </w:r>
      <w:r w:rsidR="00DD174A" w:rsidRPr="00C91EA2">
        <w:rPr>
          <w:rFonts w:ascii="Times New Roman" w:hAnsi="Times New Roman"/>
          <w:noProof/>
        </w:rPr>
        <w:fldChar w:fldCharType="end"/>
      </w:r>
      <w:bookmarkEnd w:id="180"/>
      <w:r w:rsidRPr="00C91EA2">
        <w:rPr>
          <w:rFonts w:ascii="Times New Roman" w:hAnsi="Times New Roman"/>
        </w:rPr>
        <w:t>: Summary of changes in poverty and direction of gains given a 10 percent price decrease</w:t>
      </w:r>
      <w:bookmarkEnd w:id="181"/>
    </w:p>
    <w:tbl>
      <w:tblPr>
        <w:tblW w:w="13240" w:type="dxa"/>
        <w:tblCellMar>
          <w:left w:w="0" w:type="dxa"/>
          <w:right w:w="0" w:type="dxa"/>
        </w:tblCellMar>
        <w:tblLook w:val="04A0" w:firstRow="1" w:lastRow="0" w:firstColumn="1" w:lastColumn="0" w:noHBand="0" w:noVBand="1"/>
      </w:tblPr>
      <w:tblGrid>
        <w:gridCol w:w="1678"/>
        <w:gridCol w:w="1639"/>
        <w:gridCol w:w="2515"/>
        <w:gridCol w:w="1898"/>
        <w:gridCol w:w="2515"/>
        <w:gridCol w:w="1438"/>
        <w:gridCol w:w="1557"/>
      </w:tblGrid>
      <w:tr w:rsidR="0086265A" w:rsidRPr="00C91EA2" w14:paraId="4AF8A3D9" w14:textId="77777777" w:rsidTr="00AA78D5">
        <w:trPr>
          <w:trHeight w:val="272"/>
        </w:trPr>
        <w:tc>
          <w:tcPr>
            <w:tcW w:w="1678" w:type="dxa"/>
            <w:vMerge w:val="restart"/>
            <w:tcBorders>
              <w:top w:val="single" w:sz="6" w:space="0" w:color="002245"/>
              <w:left w:val="single" w:sz="6" w:space="0" w:color="002245"/>
              <w:bottom w:val="nil"/>
              <w:right w:val="nil"/>
            </w:tcBorders>
            <w:shd w:val="clear" w:color="auto" w:fill="002345"/>
            <w:tcMar>
              <w:top w:w="15" w:type="dxa"/>
              <w:left w:w="27" w:type="dxa"/>
              <w:bottom w:w="0" w:type="dxa"/>
              <w:right w:w="27" w:type="dxa"/>
            </w:tcMar>
            <w:vAlign w:val="bottom"/>
            <w:hideMark/>
          </w:tcPr>
          <w:p w14:paraId="2BCAB163"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 xml:space="preserve">Name of food </w:t>
            </w:r>
          </w:p>
        </w:tc>
        <w:tc>
          <w:tcPr>
            <w:tcW w:w="4154" w:type="dxa"/>
            <w:gridSpan w:val="2"/>
            <w:tcBorders>
              <w:top w:val="single" w:sz="6" w:space="0" w:color="002245"/>
              <w:left w:val="nil"/>
              <w:bottom w:val="single" w:sz="6" w:space="0" w:color="002245"/>
              <w:right w:val="nil"/>
            </w:tcBorders>
            <w:shd w:val="clear" w:color="auto" w:fill="002345"/>
            <w:tcMar>
              <w:top w:w="15" w:type="dxa"/>
              <w:left w:w="27" w:type="dxa"/>
              <w:bottom w:w="0" w:type="dxa"/>
              <w:right w:w="27" w:type="dxa"/>
            </w:tcMar>
            <w:hideMark/>
          </w:tcPr>
          <w:p w14:paraId="1A03E43B"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Using Senegalese Poverty Line</w:t>
            </w:r>
          </w:p>
        </w:tc>
        <w:tc>
          <w:tcPr>
            <w:tcW w:w="4413" w:type="dxa"/>
            <w:gridSpan w:val="2"/>
            <w:tcBorders>
              <w:top w:val="single" w:sz="6" w:space="0" w:color="002245"/>
              <w:left w:val="nil"/>
              <w:bottom w:val="single" w:sz="6" w:space="0" w:color="002245"/>
              <w:right w:val="nil"/>
            </w:tcBorders>
            <w:shd w:val="clear" w:color="auto" w:fill="002345"/>
            <w:tcMar>
              <w:top w:w="15" w:type="dxa"/>
              <w:left w:w="27" w:type="dxa"/>
              <w:bottom w:w="0" w:type="dxa"/>
              <w:right w:w="27" w:type="dxa"/>
            </w:tcMar>
            <w:hideMark/>
          </w:tcPr>
          <w:p w14:paraId="225766EE"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Using Corrected WBG Poverty Line</w:t>
            </w:r>
          </w:p>
        </w:tc>
        <w:tc>
          <w:tcPr>
            <w:tcW w:w="1438" w:type="dxa"/>
            <w:vMerge w:val="restart"/>
            <w:tcBorders>
              <w:top w:val="single" w:sz="6" w:space="0" w:color="002245"/>
              <w:left w:val="nil"/>
              <w:bottom w:val="nil"/>
              <w:right w:val="nil"/>
            </w:tcBorders>
            <w:shd w:val="clear" w:color="auto" w:fill="002345"/>
            <w:tcMar>
              <w:top w:w="15" w:type="dxa"/>
              <w:left w:w="27" w:type="dxa"/>
              <w:bottom w:w="0" w:type="dxa"/>
              <w:right w:w="27" w:type="dxa"/>
            </w:tcMar>
            <w:vAlign w:val="bottom"/>
            <w:hideMark/>
          </w:tcPr>
          <w:p w14:paraId="0E14747B"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Ratio of bottom 40 to top 40</w:t>
            </w:r>
          </w:p>
        </w:tc>
        <w:tc>
          <w:tcPr>
            <w:tcW w:w="1557" w:type="dxa"/>
            <w:vMerge w:val="restart"/>
            <w:tcBorders>
              <w:top w:val="single" w:sz="6" w:space="0" w:color="002245"/>
              <w:left w:val="nil"/>
              <w:bottom w:val="nil"/>
              <w:right w:val="single" w:sz="6" w:space="0" w:color="002245"/>
            </w:tcBorders>
            <w:shd w:val="clear" w:color="auto" w:fill="002345"/>
            <w:tcMar>
              <w:top w:w="15" w:type="dxa"/>
              <w:left w:w="27" w:type="dxa"/>
              <w:bottom w:w="0" w:type="dxa"/>
              <w:right w:w="27" w:type="dxa"/>
            </w:tcMar>
            <w:vAlign w:val="bottom"/>
            <w:hideMark/>
          </w:tcPr>
          <w:p w14:paraId="41C5591E"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Ratio of bottom 10 to top 10</w:t>
            </w:r>
          </w:p>
        </w:tc>
      </w:tr>
      <w:tr w:rsidR="0086265A" w:rsidRPr="00C91EA2" w14:paraId="24225341" w14:textId="77777777" w:rsidTr="00AA78D5">
        <w:trPr>
          <w:trHeight w:val="577"/>
        </w:trPr>
        <w:tc>
          <w:tcPr>
            <w:tcW w:w="0" w:type="auto"/>
            <w:vMerge/>
            <w:tcBorders>
              <w:top w:val="single" w:sz="6" w:space="0" w:color="002245"/>
              <w:left w:val="single" w:sz="6" w:space="0" w:color="002245"/>
              <w:bottom w:val="nil"/>
              <w:right w:val="nil"/>
            </w:tcBorders>
            <w:vAlign w:val="center"/>
            <w:hideMark/>
          </w:tcPr>
          <w:p w14:paraId="3FB28E67" w14:textId="77777777" w:rsidR="0086265A" w:rsidRPr="00C91EA2" w:rsidRDefault="0086265A" w:rsidP="0086265A">
            <w:pPr>
              <w:rPr>
                <w:rFonts w:ascii="Times New Roman" w:hAnsi="Times New Roman" w:cs="Times New Roman"/>
                <w:sz w:val="20"/>
                <w:szCs w:val="20"/>
              </w:rPr>
            </w:pPr>
          </w:p>
        </w:tc>
        <w:tc>
          <w:tcPr>
            <w:tcW w:w="1639" w:type="dxa"/>
            <w:tcBorders>
              <w:top w:val="single" w:sz="6" w:space="0" w:color="002245"/>
              <w:left w:val="nil"/>
              <w:bottom w:val="single" w:sz="6" w:space="0" w:color="002245"/>
              <w:right w:val="nil"/>
            </w:tcBorders>
            <w:shd w:val="clear" w:color="auto" w:fill="D3E9FF"/>
            <w:tcMar>
              <w:top w:w="15" w:type="dxa"/>
              <w:left w:w="27" w:type="dxa"/>
              <w:bottom w:w="0" w:type="dxa"/>
              <w:right w:w="27" w:type="dxa"/>
            </w:tcMar>
            <w:vAlign w:val="bottom"/>
            <w:hideMark/>
          </w:tcPr>
          <w:p w14:paraId="400DE5B3"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Moving out of poverty</w:t>
            </w:r>
          </w:p>
        </w:tc>
        <w:tc>
          <w:tcPr>
            <w:tcW w:w="2515" w:type="dxa"/>
            <w:tcBorders>
              <w:top w:val="single" w:sz="6" w:space="0" w:color="002245"/>
              <w:left w:val="nil"/>
              <w:bottom w:val="single" w:sz="6" w:space="0" w:color="002245"/>
              <w:right w:val="nil"/>
            </w:tcBorders>
            <w:shd w:val="clear" w:color="auto" w:fill="D3E9FF"/>
            <w:tcMar>
              <w:top w:w="15" w:type="dxa"/>
              <w:left w:w="27" w:type="dxa"/>
              <w:bottom w:w="0" w:type="dxa"/>
              <w:right w:w="27" w:type="dxa"/>
            </w:tcMar>
            <w:vAlign w:val="bottom"/>
            <w:hideMark/>
          </w:tcPr>
          <w:p w14:paraId="7031ED86"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 xml:space="preserve">Percentage point decrease in poverty </w:t>
            </w:r>
          </w:p>
        </w:tc>
        <w:tc>
          <w:tcPr>
            <w:tcW w:w="1898" w:type="dxa"/>
            <w:tcBorders>
              <w:top w:val="single" w:sz="6" w:space="0" w:color="002245"/>
              <w:left w:val="nil"/>
              <w:bottom w:val="single" w:sz="6" w:space="0" w:color="002245"/>
              <w:right w:val="nil"/>
            </w:tcBorders>
            <w:shd w:val="clear" w:color="auto" w:fill="D3E9FF"/>
            <w:tcMar>
              <w:top w:w="15" w:type="dxa"/>
              <w:left w:w="27" w:type="dxa"/>
              <w:bottom w:w="0" w:type="dxa"/>
              <w:right w:w="27" w:type="dxa"/>
            </w:tcMar>
            <w:vAlign w:val="bottom"/>
            <w:hideMark/>
          </w:tcPr>
          <w:p w14:paraId="4672244B"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Moving out of poverty</w:t>
            </w:r>
          </w:p>
        </w:tc>
        <w:tc>
          <w:tcPr>
            <w:tcW w:w="2515" w:type="dxa"/>
            <w:tcBorders>
              <w:top w:val="single" w:sz="6" w:space="0" w:color="002245"/>
              <w:left w:val="nil"/>
              <w:bottom w:val="single" w:sz="6" w:space="0" w:color="002245"/>
              <w:right w:val="nil"/>
            </w:tcBorders>
            <w:shd w:val="clear" w:color="auto" w:fill="D3E9FF"/>
            <w:tcMar>
              <w:top w:w="15" w:type="dxa"/>
              <w:left w:w="27" w:type="dxa"/>
              <w:bottom w:w="0" w:type="dxa"/>
              <w:right w:w="27" w:type="dxa"/>
            </w:tcMar>
            <w:vAlign w:val="bottom"/>
            <w:hideMark/>
          </w:tcPr>
          <w:p w14:paraId="23E7196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Percentage point decrease in poverty</w:t>
            </w:r>
          </w:p>
        </w:tc>
        <w:tc>
          <w:tcPr>
            <w:tcW w:w="0" w:type="auto"/>
            <w:vMerge/>
            <w:tcBorders>
              <w:top w:val="single" w:sz="6" w:space="0" w:color="002245"/>
              <w:left w:val="nil"/>
              <w:bottom w:val="nil"/>
              <w:right w:val="nil"/>
            </w:tcBorders>
            <w:vAlign w:val="center"/>
            <w:hideMark/>
          </w:tcPr>
          <w:p w14:paraId="73C65B2F" w14:textId="77777777" w:rsidR="0086265A" w:rsidRPr="00C91EA2" w:rsidRDefault="0086265A" w:rsidP="0086265A">
            <w:pPr>
              <w:rPr>
                <w:rFonts w:ascii="Times New Roman" w:hAnsi="Times New Roman" w:cs="Times New Roman"/>
                <w:sz w:val="20"/>
                <w:szCs w:val="20"/>
              </w:rPr>
            </w:pPr>
          </w:p>
        </w:tc>
        <w:tc>
          <w:tcPr>
            <w:tcW w:w="0" w:type="auto"/>
            <w:vMerge/>
            <w:tcBorders>
              <w:top w:val="single" w:sz="6" w:space="0" w:color="002245"/>
              <w:left w:val="nil"/>
              <w:bottom w:val="nil"/>
              <w:right w:val="single" w:sz="6" w:space="0" w:color="002245"/>
            </w:tcBorders>
            <w:vAlign w:val="center"/>
            <w:hideMark/>
          </w:tcPr>
          <w:p w14:paraId="1BA500F4" w14:textId="77777777" w:rsidR="0086265A" w:rsidRPr="00C91EA2" w:rsidRDefault="0086265A" w:rsidP="0086265A">
            <w:pPr>
              <w:rPr>
                <w:rFonts w:ascii="Times New Roman" w:hAnsi="Times New Roman" w:cs="Times New Roman"/>
                <w:sz w:val="20"/>
                <w:szCs w:val="20"/>
              </w:rPr>
            </w:pPr>
          </w:p>
        </w:tc>
      </w:tr>
      <w:tr w:rsidR="0086265A" w:rsidRPr="00C91EA2" w14:paraId="2B5A3D65" w14:textId="77777777" w:rsidTr="00AA78D5">
        <w:trPr>
          <w:trHeight w:val="437"/>
        </w:trPr>
        <w:tc>
          <w:tcPr>
            <w:tcW w:w="1678" w:type="dxa"/>
            <w:tcBorders>
              <w:top w:val="nil"/>
              <w:left w:val="single" w:sz="6" w:space="0" w:color="002245"/>
              <w:bottom w:val="single" w:sz="6" w:space="0" w:color="002245"/>
              <w:right w:val="nil"/>
            </w:tcBorders>
            <w:shd w:val="clear" w:color="auto" w:fill="auto"/>
            <w:tcMar>
              <w:top w:w="15" w:type="dxa"/>
              <w:left w:w="108" w:type="dxa"/>
              <w:bottom w:w="0" w:type="dxa"/>
              <w:right w:w="108" w:type="dxa"/>
            </w:tcMar>
            <w:hideMark/>
          </w:tcPr>
          <w:p w14:paraId="53E0AA72"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Millet</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6CF7BC5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25,902***</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77014924"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0.19</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075FEDE1"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27,266***</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063597B3"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0.20</w:t>
            </w:r>
          </w:p>
        </w:tc>
        <w:tc>
          <w:tcPr>
            <w:tcW w:w="1438" w:type="dxa"/>
            <w:tcBorders>
              <w:top w:val="nil"/>
              <w:left w:val="nil"/>
              <w:bottom w:val="single" w:sz="6" w:space="0" w:color="002245"/>
              <w:right w:val="nil"/>
            </w:tcBorders>
            <w:shd w:val="clear" w:color="auto" w:fill="auto"/>
            <w:tcMar>
              <w:top w:w="15" w:type="dxa"/>
              <w:left w:w="108" w:type="dxa"/>
              <w:bottom w:w="0" w:type="dxa"/>
              <w:right w:w="108" w:type="dxa"/>
            </w:tcMar>
            <w:hideMark/>
          </w:tcPr>
          <w:p w14:paraId="5109620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3.71</w:t>
            </w:r>
          </w:p>
        </w:tc>
        <w:tc>
          <w:tcPr>
            <w:tcW w:w="1557" w:type="dxa"/>
            <w:tcBorders>
              <w:top w:val="nil"/>
              <w:left w:val="nil"/>
              <w:bottom w:val="single" w:sz="6" w:space="0" w:color="002245"/>
              <w:right w:val="single" w:sz="6" w:space="0" w:color="002245"/>
            </w:tcBorders>
            <w:shd w:val="clear" w:color="auto" w:fill="auto"/>
            <w:tcMar>
              <w:top w:w="15" w:type="dxa"/>
              <w:left w:w="108" w:type="dxa"/>
              <w:bottom w:w="0" w:type="dxa"/>
              <w:right w:w="108" w:type="dxa"/>
            </w:tcMar>
            <w:hideMark/>
          </w:tcPr>
          <w:p w14:paraId="700282A1"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11.74</w:t>
            </w:r>
          </w:p>
        </w:tc>
      </w:tr>
      <w:tr w:rsidR="0086265A" w:rsidRPr="00C91EA2" w14:paraId="2F092ADE" w14:textId="77777777" w:rsidTr="00AA78D5">
        <w:trPr>
          <w:trHeight w:val="437"/>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3FF21C8A"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Sorghum</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463DB399"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5,453</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481FC9C6"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0.04</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068C9EEE"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5,453</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BB9B673"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0.04</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7E993722"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4.54</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56E51FFE"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43.15</w:t>
            </w:r>
          </w:p>
        </w:tc>
      </w:tr>
      <w:tr w:rsidR="0086265A" w:rsidRPr="00C91EA2" w14:paraId="1812ADBB" w14:textId="77777777" w:rsidTr="00AA78D5">
        <w:trPr>
          <w:trHeight w:val="437"/>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0DBE471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Maize</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7B9F8EC"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9,134*</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148F5F16"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0.07</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B3F914D"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8,589*</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30B62DA9"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0.06</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8027B71"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3.23</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7246901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13.44</w:t>
            </w:r>
          </w:p>
        </w:tc>
      </w:tr>
      <w:tr w:rsidR="0086265A" w:rsidRPr="00C91EA2" w14:paraId="30E4E990" w14:textId="77777777" w:rsidTr="00AA78D5">
        <w:trPr>
          <w:trHeight w:val="374"/>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1F9F9DA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Rice</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496FC46B"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25,902***</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FCF11EA"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0.19</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25EF1E11"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25,902***</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616146C5"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0.19</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6BE4D02D"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3.93</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44133BAB"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8.42</w:t>
            </w:r>
          </w:p>
        </w:tc>
      </w:tr>
      <w:tr w:rsidR="0086265A" w:rsidRPr="00C91EA2" w14:paraId="5CFE0584" w14:textId="77777777" w:rsidTr="00AA78D5">
        <w:trPr>
          <w:trHeight w:val="374"/>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58E0F601"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Palm oil</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494A6326"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3,953*</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45CA7A0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0.03</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03B8347D"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3,953*</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4CC25FFF"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0.03</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7E9A981"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2.69</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3A189AF9"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6.62</w:t>
            </w:r>
          </w:p>
        </w:tc>
      </w:tr>
      <w:tr w:rsidR="0086265A" w:rsidRPr="00C91EA2" w14:paraId="6DD5CDAE" w14:textId="77777777" w:rsidTr="00AA78D5">
        <w:trPr>
          <w:trHeight w:val="543"/>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18268899"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Vegetable oil</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195321C9"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47,715***</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2543EB72"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0.35</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39AC3C92"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47,715***</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1F9C83CF"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0.35</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2795CB6"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1.63</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14E69B05"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1.55</w:t>
            </w:r>
          </w:p>
        </w:tc>
      </w:tr>
      <w:tr w:rsidR="0086265A" w:rsidRPr="00C91EA2" w14:paraId="6BCE2F2B" w14:textId="77777777" w:rsidTr="00AA78D5">
        <w:trPr>
          <w:trHeight w:val="374"/>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3E407543"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Peanut oil</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49DF584A"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13,633**</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184AFDA1"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0.10</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0FF0CECD"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14,996**</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243A42A0"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0.11</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6A1AB7C8"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0.97</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1E0974AF"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0.86</w:t>
            </w:r>
          </w:p>
        </w:tc>
      </w:tr>
      <w:tr w:rsidR="0086265A" w:rsidRPr="00C91EA2" w14:paraId="5B6C5053" w14:textId="77777777" w:rsidTr="00AA78D5">
        <w:trPr>
          <w:trHeight w:val="543"/>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5FF47D6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Groundnuts</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417BD121"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2,318</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4612AA5E"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0.02</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51EA7A5"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4,090</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14125A6F"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0.03</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1F24009C"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2.93</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4338218F"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8.96</w:t>
            </w:r>
          </w:p>
        </w:tc>
      </w:tr>
      <w:tr w:rsidR="0086265A" w:rsidRPr="00C91EA2" w14:paraId="4F48B454" w14:textId="77777777" w:rsidTr="00AA78D5">
        <w:trPr>
          <w:trHeight w:val="543"/>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65527723"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Granulated sugar</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27B164A4"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39,535***</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B6EA2C5"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0.29</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3E674C70"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40,898***</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1BEC3B9B"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0.30</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0B777C2"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2.35</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297A2E23"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5.20</w:t>
            </w:r>
          </w:p>
        </w:tc>
      </w:tr>
      <w:tr w:rsidR="0086265A" w:rsidRPr="00C91EA2" w14:paraId="5546D102" w14:textId="77777777" w:rsidTr="00AA78D5">
        <w:trPr>
          <w:trHeight w:val="543"/>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333ADC86"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Wheat bread</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742ACAA2"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55,894***</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28AC8D68"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0.41</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7EB99FA0"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57,258***</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322DBCF4"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0.42</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1FB6B1FC"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0.91</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3ED6E61E"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0.63</w:t>
            </w:r>
          </w:p>
        </w:tc>
      </w:tr>
      <w:tr w:rsidR="0086265A" w:rsidRPr="00C91EA2" w14:paraId="63CA07EA" w14:textId="77777777" w:rsidTr="00AA78D5">
        <w:trPr>
          <w:trHeight w:val="543"/>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18CD17D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Other bread</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0F184BFB"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3,272</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32278A7E"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0.03</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31F8C0FE"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3,272</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2F10931C"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0.03</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29E873E9"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3.48</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55B38A35"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7.17</w:t>
            </w:r>
          </w:p>
        </w:tc>
      </w:tr>
      <w:tr w:rsidR="0086265A" w:rsidRPr="00C91EA2" w14:paraId="77567C23" w14:textId="77777777" w:rsidTr="00AA78D5">
        <w:trPr>
          <w:trHeight w:val="50"/>
        </w:trPr>
        <w:tc>
          <w:tcPr>
            <w:tcW w:w="1678" w:type="dxa"/>
            <w:tcBorders>
              <w:top w:val="single" w:sz="6" w:space="0" w:color="002245"/>
              <w:left w:val="single" w:sz="6" w:space="0" w:color="002245"/>
              <w:bottom w:val="single" w:sz="6" w:space="0" w:color="002245"/>
              <w:right w:val="nil"/>
            </w:tcBorders>
            <w:shd w:val="clear" w:color="auto" w:fill="auto"/>
            <w:tcMar>
              <w:top w:w="15" w:type="dxa"/>
              <w:left w:w="108" w:type="dxa"/>
              <w:bottom w:w="0" w:type="dxa"/>
              <w:right w:w="108" w:type="dxa"/>
            </w:tcMar>
            <w:hideMark/>
          </w:tcPr>
          <w:p w14:paraId="589E9517"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b/>
                <w:bCs/>
                <w:sz w:val="20"/>
                <w:szCs w:val="20"/>
              </w:rPr>
              <w:t>All the above foods</w:t>
            </w:r>
          </w:p>
        </w:tc>
        <w:tc>
          <w:tcPr>
            <w:tcW w:w="1639"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56CA8193" w14:textId="77777777" w:rsidR="0086265A" w:rsidRPr="00C91EA2" w:rsidRDefault="00EC3999" w:rsidP="0086265A">
            <w:pPr>
              <w:rPr>
                <w:rFonts w:ascii="Times New Roman" w:hAnsi="Times New Roman" w:cs="Times New Roman"/>
                <w:sz w:val="20"/>
                <w:szCs w:val="20"/>
              </w:rPr>
            </w:pPr>
            <w:r w:rsidRPr="00C91EA2">
              <w:rPr>
                <w:rFonts w:ascii="Times New Roman" w:hAnsi="Times New Roman" w:cs="Times New Roman"/>
                <w:sz w:val="20"/>
                <w:szCs w:val="20"/>
              </w:rPr>
              <w:t>233,120</w:t>
            </w:r>
            <w:r w:rsidR="0086265A" w:rsidRPr="00C91EA2">
              <w:rPr>
                <w:rFonts w:ascii="Times New Roman" w:hAnsi="Times New Roman" w:cs="Times New Roman"/>
                <w:sz w:val="20"/>
                <w:szCs w:val="20"/>
              </w:rPr>
              <w:t>***</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31D9C5A9"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1.71</w:t>
            </w:r>
          </w:p>
        </w:tc>
        <w:tc>
          <w:tcPr>
            <w:tcW w:w="189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0A80B565"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235,016***</w:t>
            </w:r>
          </w:p>
        </w:tc>
        <w:tc>
          <w:tcPr>
            <w:tcW w:w="2515"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06BBA4BC"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1.72</w:t>
            </w:r>
          </w:p>
        </w:tc>
        <w:tc>
          <w:tcPr>
            <w:tcW w:w="1438" w:type="dxa"/>
            <w:tcBorders>
              <w:top w:val="single" w:sz="6" w:space="0" w:color="002245"/>
              <w:left w:val="nil"/>
              <w:bottom w:val="single" w:sz="6" w:space="0" w:color="002245"/>
              <w:right w:val="nil"/>
            </w:tcBorders>
            <w:shd w:val="clear" w:color="auto" w:fill="auto"/>
            <w:tcMar>
              <w:top w:w="15" w:type="dxa"/>
              <w:left w:w="108" w:type="dxa"/>
              <w:bottom w:w="0" w:type="dxa"/>
              <w:right w:w="108" w:type="dxa"/>
            </w:tcMar>
            <w:hideMark/>
          </w:tcPr>
          <w:p w14:paraId="67AB66E2"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1.93</w:t>
            </w:r>
          </w:p>
        </w:tc>
        <w:tc>
          <w:tcPr>
            <w:tcW w:w="1557" w:type="dxa"/>
            <w:tcBorders>
              <w:top w:val="single" w:sz="6" w:space="0" w:color="002245"/>
              <w:left w:val="nil"/>
              <w:bottom w:val="single" w:sz="6" w:space="0" w:color="002245"/>
              <w:right w:val="single" w:sz="6" w:space="0" w:color="002245"/>
            </w:tcBorders>
            <w:shd w:val="clear" w:color="auto" w:fill="auto"/>
            <w:tcMar>
              <w:top w:w="15" w:type="dxa"/>
              <w:left w:w="108" w:type="dxa"/>
              <w:bottom w:w="0" w:type="dxa"/>
              <w:right w:w="108" w:type="dxa"/>
            </w:tcMar>
            <w:hideMark/>
          </w:tcPr>
          <w:p w14:paraId="3596DAD9" w14:textId="77777777" w:rsidR="0086265A" w:rsidRPr="00C91EA2" w:rsidRDefault="0086265A" w:rsidP="0086265A">
            <w:pPr>
              <w:rPr>
                <w:rFonts w:ascii="Times New Roman" w:hAnsi="Times New Roman" w:cs="Times New Roman"/>
                <w:sz w:val="20"/>
                <w:szCs w:val="20"/>
              </w:rPr>
            </w:pPr>
            <w:r w:rsidRPr="00C91EA2">
              <w:rPr>
                <w:rFonts w:ascii="Times New Roman" w:hAnsi="Times New Roman" w:cs="Times New Roman"/>
                <w:sz w:val="20"/>
                <w:szCs w:val="20"/>
              </w:rPr>
              <w:t>3.11</w:t>
            </w:r>
          </w:p>
        </w:tc>
      </w:tr>
    </w:tbl>
    <w:p w14:paraId="4BE54B97" w14:textId="0DCF74C0" w:rsidR="00B3679B" w:rsidRPr="00C91EA2" w:rsidRDefault="00B3679B" w:rsidP="00B3679B">
      <w:pPr>
        <w:rPr>
          <w:rFonts w:ascii="Times New Roman" w:hAnsi="Times New Roman" w:cs="Times New Roman"/>
          <w:sz w:val="20"/>
        </w:rPr>
      </w:pPr>
      <w:r w:rsidRPr="00C91EA2">
        <w:rPr>
          <w:rFonts w:ascii="Times New Roman" w:hAnsi="Times New Roman" w:cs="Times New Roman"/>
          <w:sz w:val="20"/>
        </w:rPr>
        <w:t xml:space="preserve">Source: Authors’ computation from the 2011 Senegalese </w:t>
      </w:r>
      <w:r w:rsidR="00BC53B3">
        <w:rPr>
          <w:rFonts w:ascii="Times New Roman" w:hAnsi="Times New Roman" w:cs="Times New Roman"/>
          <w:sz w:val="20"/>
        </w:rPr>
        <w:t>H</w:t>
      </w:r>
      <w:r w:rsidRPr="00C91EA2">
        <w:rPr>
          <w:rFonts w:ascii="Times New Roman" w:hAnsi="Times New Roman" w:cs="Times New Roman"/>
          <w:sz w:val="20"/>
        </w:rPr>
        <w:t>ousehold Survey</w:t>
      </w:r>
    </w:p>
    <w:p w14:paraId="3691C9E1" w14:textId="77777777" w:rsidR="00B3679B" w:rsidRPr="00C91EA2" w:rsidRDefault="00B3679B" w:rsidP="00230BD0">
      <w:pPr>
        <w:rPr>
          <w:rFonts w:ascii="Times New Roman" w:hAnsi="Times New Roman" w:cs="Times New Roman"/>
        </w:rPr>
      </w:pPr>
      <w:r w:rsidRPr="00C91EA2">
        <w:rPr>
          <w:rFonts w:ascii="Times New Roman" w:hAnsi="Times New Roman" w:cs="Times New Roman"/>
          <w:sz w:val="20"/>
        </w:rPr>
        <w:t>Note: ***1% level of significance; **5% level of significance; *10% level of significance</w:t>
      </w:r>
    </w:p>
    <w:p w14:paraId="11FA9768" w14:textId="77777777" w:rsidR="00232D54" w:rsidRPr="00C91EA2" w:rsidRDefault="00232D54" w:rsidP="00230BD0">
      <w:pPr>
        <w:rPr>
          <w:rFonts w:ascii="Times New Roman" w:hAnsi="Times New Roman" w:cs="Times New Roman"/>
          <w:sz w:val="20"/>
        </w:rPr>
        <w:sectPr w:rsidR="00232D54" w:rsidRPr="00C91EA2" w:rsidSect="00B41724">
          <w:pgSz w:w="15840" w:h="12240" w:orient="landscape" w:code="1"/>
          <w:pgMar w:top="1800" w:right="1440" w:bottom="1800" w:left="1440" w:header="720" w:footer="720" w:gutter="0"/>
          <w:cols w:space="720"/>
          <w:noEndnote/>
          <w:docGrid w:linePitch="326"/>
        </w:sectPr>
      </w:pPr>
      <w:r w:rsidRPr="00C91EA2">
        <w:rPr>
          <w:rFonts w:ascii="Times New Roman" w:hAnsi="Times New Roman" w:cs="Times New Roman"/>
          <w:sz w:val="20"/>
        </w:rPr>
        <w:t xml:space="preserve">The last two columns of </w:t>
      </w:r>
      <w:r w:rsidR="00BF7198">
        <w:rPr>
          <w:rFonts w:ascii="Times New Roman" w:hAnsi="Times New Roman" w:cs="Times New Roman"/>
          <w:sz w:val="20"/>
        </w:rPr>
        <w:t>this t</w:t>
      </w:r>
      <w:r w:rsidR="00BF7198" w:rsidRPr="00C91EA2">
        <w:rPr>
          <w:rFonts w:ascii="Times New Roman" w:hAnsi="Times New Roman" w:cs="Times New Roman"/>
          <w:sz w:val="20"/>
        </w:rPr>
        <w:t xml:space="preserve">able </w:t>
      </w:r>
      <w:r w:rsidRPr="00C91EA2">
        <w:rPr>
          <w:rFonts w:ascii="Times New Roman" w:hAnsi="Times New Roman" w:cs="Times New Roman"/>
          <w:sz w:val="20"/>
        </w:rPr>
        <w:t>analyze these effects of price decreases on income inequality. A ratio of more than unity suggest that people towards the bottom end of the distribution benefit disproportionately from the income effe</w:t>
      </w:r>
      <w:r w:rsidR="008B1565" w:rsidRPr="00C91EA2">
        <w:rPr>
          <w:rFonts w:ascii="Times New Roman" w:hAnsi="Times New Roman" w:cs="Times New Roman"/>
          <w:sz w:val="20"/>
        </w:rPr>
        <w:t>cts created by price reductions</w:t>
      </w:r>
      <w:r w:rsidR="00B03B89">
        <w:rPr>
          <w:rFonts w:ascii="Times New Roman" w:hAnsi="Times New Roman" w:cs="Times New Roman"/>
          <w:sz w:val="20"/>
        </w:rPr>
        <w:t>.</w:t>
      </w:r>
    </w:p>
    <w:p w14:paraId="558F1C04" w14:textId="77777777" w:rsidR="001D1AC0" w:rsidRPr="00C91EA2" w:rsidRDefault="00CD6F78" w:rsidP="002B2E22">
      <w:pPr>
        <w:pStyle w:val="Heading1"/>
        <w:jc w:val="both"/>
        <w:rPr>
          <w:rFonts w:ascii="Times New Roman" w:hAnsi="Times New Roman" w:cs="Times New Roman"/>
        </w:rPr>
      </w:pPr>
      <w:bookmarkStart w:id="182" w:name="_Toc520724108"/>
      <w:r w:rsidRPr="00C91EA2">
        <w:rPr>
          <w:rFonts w:ascii="Times New Roman" w:hAnsi="Times New Roman" w:cs="Times New Roman"/>
        </w:rPr>
        <w:t xml:space="preserve">5. </w:t>
      </w:r>
      <w:r w:rsidR="008B5EA1">
        <w:rPr>
          <w:rFonts w:ascii="Times New Roman" w:hAnsi="Times New Roman" w:cs="Times New Roman"/>
        </w:rPr>
        <w:t>The G</w:t>
      </w:r>
      <w:r w:rsidR="00DB2237" w:rsidRPr="00C91EA2">
        <w:rPr>
          <w:rFonts w:ascii="Times New Roman" w:hAnsi="Times New Roman" w:cs="Times New Roman"/>
        </w:rPr>
        <w:t xml:space="preserve">roundnut and </w:t>
      </w:r>
      <w:r w:rsidR="008B5EA1">
        <w:rPr>
          <w:rFonts w:ascii="Times New Roman" w:hAnsi="Times New Roman" w:cs="Times New Roman"/>
        </w:rPr>
        <w:t>T</w:t>
      </w:r>
      <w:r w:rsidR="00DB2237" w:rsidRPr="00C91EA2">
        <w:rPr>
          <w:rFonts w:ascii="Times New Roman" w:hAnsi="Times New Roman" w:cs="Times New Roman"/>
        </w:rPr>
        <w:t xml:space="preserve">elecommunication </w:t>
      </w:r>
      <w:r w:rsidR="002B2E22">
        <w:rPr>
          <w:rFonts w:ascii="Times New Roman" w:hAnsi="Times New Roman" w:cs="Times New Roman"/>
        </w:rPr>
        <w:t>Sectors</w:t>
      </w:r>
      <w:bookmarkEnd w:id="182"/>
      <w:r w:rsidR="00DB2237" w:rsidRPr="00C91EA2">
        <w:rPr>
          <w:rFonts w:ascii="Times New Roman" w:hAnsi="Times New Roman" w:cs="Times New Roman"/>
        </w:rPr>
        <w:t xml:space="preserve"> </w:t>
      </w:r>
    </w:p>
    <w:p w14:paraId="6E3297DF" w14:textId="77777777" w:rsidR="00DB2237" w:rsidRPr="00C91EA2" w:rsidRDefault="00DB2237" w:rsidP="00B3679B">
      <w:pPr>
        <w:jc w:val="both"/>
        <w:rPr>
          <w:rFonts w:ascii="Times New Roman" w:hAnsi="Times New Roman" w:cs="Times New Roman"/>
          <w:b/>
        </w:rPr>
      </w:pPr>
    </w:p>
    <w:p w14:paraId="25F93EB9" w14:textId="77777777" w:rsidR="008B1565" w:rsidRPr="00C91EA2" w:rsidRDefault="008B1565" w:rsidP="009849CC">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Policy-makers can be tempted to counter market distortions, for example caused by import restrictions, with interventions that introduce further distortions in other part of the value chain. </w:t>
      </w:r>
      <w:r w:rsidRPr="00C91EA2">
        <w:rPr>
          <w:rFonts w:ascii="Times New Roman" w:hAnsi="Times New Roman" w:cs="Times New Roman"/>
        </w:rPr>
        <w:t>Vegetable oil, sugar, and bread prices, for example, are subject to price ceilings. These, in turn, can facilitate collusion</w:t>
      </w:r>
      <w:r w:rsidR="00D20A9A">
        <w:rPr>
          <w:rFonts w:ascii="Times New Roman" w:hAnsi="Times New Roman" w:cs="Times New Roman"/>
        </w:rPr>
        <w:t xml:space="preserve"> by providing a focal point for agreements</w:t>
      </w:r>
      <w:r w:rsidRPr="00C91EA2">
        <w:rPr>
          <w:rFonts w:ascii="Times New Roman" w:hAnsi="Times New Roman" w:cs="Times New Roman"/>
        </w:rPr>
        <w:t>, distort price signals to producers, and stifle quality and innovation. It is therefore important to conduct holistic market assessments that consider the underlying sources of undesirable market outcomes and assess all market actors and/or adjacent markets.</w:t>
      </w:r>
    </w:p>
    <w:p w14:paraId="65E80AA8" w14:textId="77777777" w:rsidR="0057704C" w:rsidRPr="00C91EA2" w:rsidRDefault="0057704C" w:rsidP="009849CC">
      <w:pPr>
        <w:jc w:val="both"/>
        <w:rPr>
          <w:rFonts w:ascii="Times New Roman" w:hAnsi="Times New Roman" w:cs="Times New Roman"/>
        </w:rPr>
      </w:pPr>
    </w:p>
    <w:p w14:paraId="11EDCBDD" w14:textId="77777777" w:rsidR="0057704C" w:rsidRPr="00C91EA2" w:rsidRDefault="00A01C87" w:rsidP="009849CC">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groundnut value chain and the telecommunications sector were selected for further assessment. </w:t>
      </w:r>
      <w:r w:rsidRPr="00C91EA2">
        <w:rPr>
          <w:rFonts w:ascii="Times New Roman" w:hAnsi="Times New Roman" w:cs="Times New Roman"/>
        </w:rPr>
        <w:t>In addition to prior knowledge of restrictions on competition such as import restrictions driving up consumer prices for vegetable oils, the selection was informed by an assessment of sectors’ contributions to GDP and exports, their weight in consumption baskets and their spillover effects, all of which are part of the MCPAT’s sector selection criteria.</w:t>
      </w:r>
    </w:p>
    <w:p w14:paraId="6AB2A849" w14:textId="77777777" w:rsidR="008B1565" w:rsidRPr="00C91EA2" w:rsidRDefault="008B1565" w:rsidP="009849CC">
      <w:pPr>
        <w:jc w:val="both"/>
        <w:rPr>
          <w:rFonts w:ascii="Times New Roman" w:hAnsi="Times New Roman" w:cs="Times New Roman"/>
        </w:rPr>
      </w:pPr>
    </w:p>
    <w:p w14:paraId="62EEF1E7" w14:textId="16BE29DA" w:rsidR="000A0790" w:rsidRPr="00C91EA2" w:rsidRDefault="0057704C" w:rsidP="009849CC">
      <w:pPr>
        <w:pStyle w:val="ListParagraph"/>
        <w:numPr>
          <w:ilvl w:val="0"/>
          <w:numId w:val="71"/>
        </w:numPr>
        <w:ind w:left="0" w:firstLine="0"/>
        <w:jc w:val="both"/>
        <w:rPr>
          <w:rFonts w:ascii="Times New Roman" w:eastAsia="Times New Roman" w:hAnsi="Times New Roman" w:cs="Times New Roman"/>
        </w:rPr>
      </w:pPr>
      <w:r w:rsidRPr="00C91EA2">
        <w:rPr>
          <w:rFonts w:ascii="Times New Roman" w:hAnsi="Times New Roman" w:cs="Times New Roman"/>
          <w:b/>
        </w:rPr>
        <w:t>I</w:t>
      </w:r>
      <w:r w:rsidR="00DB2237" w:rsidRPr="00C91EA2">
        <w:rPr>
          <w:rFonts w:ascii="Times New Roman" w:hAnsi="Times New Roman" w:cs="Times New Roman"/>
          <w:b/>
        </w:rPr>
        <w:t>n the groundnut sector, a series of restrictions in consecutive segments of the value chain are intended to improve market function</w:t>
      </w:r>
      <w:r w:rsidR="00D20A9A">
        <w:rPr>
          <w:rFonts w:ascii="Times New Roman" w:hAnsi="Times New Roman" w:cs="Times New Roman"/>
          <w:b/>
        </w:rPr>
        <w:t>ing</w:t>
      </w:r>
      <w:r w:rsidR="00DB2237" w:rsidRPr="00C91EA2">
        <w:rPr>
          <w:rFonts w:ascii="Times New Roman" w:hAnsi="Times New Roman" w:cs="Times New Roman"/>
          <w:b/>
        </w:rPr>
        <w:t>, but in fact lead to an accumulation of market distortions which hinder the development of this crucial sector</w:t>
      </w:r>
      <w:r w:rsidR="001D1AC0" w:rsidRPr="00C91EA2">
        <w:rPr>
          <w:rFonts w:ascii="Times New Roman" w:hAnsi="Times New Roman" w:cs="Times New Roman"/>
        </w:rPr>
        <w:t xml:space="preserve">. </w:t>
      </w:r>
      <w:r w:rsidR="00E65178">
        <w:rPr>
          <w:rFonts w:ascii="Times New Roman" w:hAnsi="Times New Roman" w:cs="Times New Roman"/>
        </w:rPr>
        <w:t>C</w:t>
      </w:r>
      <w:r w:rsidR="006B3562" w:rsidRPr="00C91EA2">
        <w:rPr>
          <w:rFonts w:ascii="Times New Roman" w:hAnsi="Times New Roman" w:cs="Times New Roman"/>
        </w:rPr>
        <w:t>overing roughly half of arable land in Senegal and employing 482,000 farmers,</w:t>
      </w:r>
      <w:r w:rsidR="006B3562" w:rsidRPr="00C91EA2">
        <w:rPr>
          <w:rStyle w:val="FootnoteReference"/>
          <w:rFonts w:ascii="Times New Roman" w:hAnsi="Times New Roman" w:cs="Times New Roman"/>
        </w:rPr>
        <w:footnoteReference w:id="96"/>
      </w:r>
      <w:r w:rsidR="006B3562" w:rsidRPr="00C91EA2">
        <w:rPr>
          <w:rFonts w:ascii="Times New Roman" w:hAnsi="Times New Roman" w:cs="Times New Roman"/>
        </w:rPr>
        <w:t xml:space="preserve"> the groundnut sector has been a political priority. The “restructuring of the groundnut industry” is one of the flagship projects of the </w:t>
      </w:r>
      <w:r w:rsidR="006B3562" w:rsidRPr="00C91EA2">
        <w:rPr>
          <w:rFonts w:ascii="Times New Roman" w:eastAsia="Times New Roman" w:hAnsi="Times New Roman" w:cs="Times New Roman"/>
        </w:rPr>
        <w:t xml:space="preserve">Plan </w:t>
      </w:r>
      <w:proofErr w:type="spellStart"/>
      <w:r w:rsidR="006B3562" w:rsidRPr="00C91EA2">
        <w:rPr>
          <w:rFonts w:ascii="Times New Roman" w:eastAsia="Times New Roman" w:hAnsi="Times New Roman" w:cs="Times New Roman"/>
        </w:rPr>
        <w:t>Sénégal</w:t>
      </w:r>
      <w:proofErr w:type="spellEnd"/>
      <w:r w:rsidR="006B3562" w:rsidRPr="00C91EA2">
        <w:rPr>
          <w:rFonts w:ascii="Times New Roman" w:eastAsia="Times New Roman" w:hAnsi="Times New Roman" w:cs="Times New Roman"/>
        </w:rPr>
        <w:t xml:space="preserve"> Emergent, for example.</w:t>
      </w:r>
      <w:r w:rsidR="006B3562" w:rsidRPr="00C91EA2">
        <w:rPr>
          <w:rStyle w:val="FootnoteReference"/>
          <w:rFonts w:ascii="Times New Roman" w:eastAsia="Times New Roman" w:hAnsi="Times New Roman" w:cs="Times New Roman"/>
        </w:rPr>
        <w:footnoteReference w:id="97"/>
      </w:r>
      <w:r w:rsidR="006A10E3" w:rsidRPr="00C91EA2">
        <w:rPr>
          <w:rFonts w:ascii="Times New Roman" w:eastAsia="Times New Roman" w:hAnsi="Times New Roman" w:cs="Times New Roman"/>
        </w:rPr>
        <w:t xml:space="preserve"> As a result, the </w:t>
      </w:r>
      <w:r w:rsidR="003B24ED">
        <w:rPr>
          <w:rFonts w:ascii="Times New Roman" w:eastAsia="Times New Roman" w:hAnsi="Times New Roman" w:cs="Times New Roman"/>
        </w:rPr>
        <w:t>Government</w:t>
      </w:r>
      <w:r w:rsidR="0098273F">
        <w:rPr>
          <w:rFonts w:ascii="Times New Roman" w:eastAsia="Times New Roman" w:hAnsi="Times New Roman" w:cs="Times New Roman"/>
        </w:rPr>
        <w:t xml:space="preserve"> </w:t>
      </w:r>
      <w:r w:rsidR="006A10E3" w:rsidRPr="00C91EA2">
        <w:rPr>
          <w:rFonts w:ascii="Times New Roman" w:eastAsia="Times New Roman" w:hAnsi="Times New Roman" w:cs="Times New Roman"/>
        </w:rPr>
        <w:t>has traditionally played an important role in the sector and continues to do so despite formal liberalization.</w:t>
      </w:r>
    </w:p>
    <w:p w14:paraId="03C30EA7" w14:textId="77777777" w:rsidR="006A10E3" w:rsidRPr="00C91EA2" w:rsidRDefault="006A10E3" w:rsidP="009849CC">
      <w:pPr>
        <w:jc w:val="both"/>
        <w:rPr>
          <w:rFonts w:ascii="Times New Roman" w:eastAsia="Times New Roman" w:hAnsi="Times New Roman" w:cs="Times New Roman"/>
        </w:rPr>
      </w:pPr>
    </w:p>
    <w:p w14:paraId="6D15C713" w14:textId="47B2719A" w:rsidR="001D1AC0" w:rsidRPr="00C91EA2" w:rsidRDefault="006A10E3" w:rsidP="009849CC">
      <w:pPr>
        <w:pStyle w:val="ListParagraph"/>
        <w:numPr>
          <w:ilvl w:val="0"/>
          <w:numId w:val="71"/>
        </w:numPr>
        <w:ind w:left="0" w:firstLine="0"/>
        <w:jc w:val="both"/>
        <w:rPr>
          <w:rFonts w:ascii="Times New Roman" w:hAnsi="Times New Roman" w:cs="Times New Roman"/>
          <w:szCs w:val="22"/>
        </w:rPr>
      </w:pPr>
      <w:r w:rsidRPr="00C91EA2">
        <w:rPr>
          <w:rFonts w:ascii="Times New Roman" w:hAnsi="Times New Roman" w:cs="Times New Roman"/>
          <w:b/>
        </w:rPr>
        <w:t xml:space="preserve">Telecommunications </w:t>
      </w:r>
      <w:r w:rsidR="003D1085" w:rsidRPr="00C91EA2">
        <w:rPr>
          <w:rFonts w:ascii="Times New Roman" w:hAnsi="Times New Roman" w:cs="Times New Roman"/>
          <w:b/>
        </w:rPr>
        <w:t xml:space="preserve">has been identified as a crucial pillar of future growth by </w:t>
      </w:r>
      <w:r w:rsidR="003D1085" w:rsidRPr="00396BBE">
        <w:rPr>
          <w:rFonts w:ascii="Times New Roman" w:hAnsi="Times New Roman" w:cs="Times New Roman"/>
          <w:b/>
        </w:rPr>
        <w:t xml:space="preserve">the </w:t>
      </w:r>
      <w:proofErr w:type="spellStart"/>
      <w:r w:rsidR="009F2A46">
        <w:rPr>
          <w:rFonts w:ascii="Times New Roman" w:hAnsi="Times New Roman" w:cs="Times New Roman"/>
          <w:b/>
        </w:rPr>
        <w:t>GoS</w:t>
      </w:r>
      <w:proofErr w:type="spellEnd"/>
      <w:r w:rsidR="003D1085" w:rsidRPr="00396BBE">
        <w:rPr>
          <w:rFonts w:ascii="Times New Roman" w:hAnsi="Times New Roman" w:cs="Times New Roman"/>
          <w:b/>
        </w:rPr>
        <w:t xml:space="preserve"> and contributes significantly to the overall economy</w:t>
      </w:r>
      <w:r w:rsidR="008250D5">
        <w:rPr>
          <w:rFonts w:ascii="Times New Roman" w:hAnsi="Times New Roman" w:cs="Times New Roman"/>
          <w:b/>
        </w:rPr>
        <w:t xml:space="preserve"> – in this respect, </w:t>
      </w:r>
      <w:r w:rsidR="00BC6AB7" w:rsidRPr="00135C8F">
        <w:rPr>
          <w:rFonts w:ascii="Times New Roman" w:hAnsi="Times New Roman" w:cs="Times New Roman"/>
          <w:b/>
        </w:rPr>
        <w:t>the lack of a functioning regulatory framework to ensure access is the key constraint</w:t>
      </w:r>
      <w:r w:rsidR="007A41F8" w:rsidRPr="00135C8F">
        <w:rPr>
          <w:rFonts w:ascii="Times New Roman" w:hAnsi="Times New Roman" w:cs="Times New Roman"/>
        </w:rPr>
        <w:t xml:space="preserve">. ICT contributed </w:t>
      </w:r>
      <w:r w:rsidR="00135C8F" w:rsidRPr="00135C8F">
        <w:rPr>
          <w:rFonts w:ascii="Times New Roman" w:hAnsi="Times New Roman" w:cs="Times New Roman"/>
        </w:rPr>
        <w:t>6.3</w:t>
      </w:r>
      <w:r w:rsidR="007A41F8" w:rsidRPr="00135C8F">
        <w:rPr>
          <w:rFonts w:ascii="Times New Roman" w:hAnsi="Times New Roman" w:cs="Times New Roman"/>
        </w:rPr>
        <w:t xml:space="preserve"> percent</w:t>
      </w:r>
      <w:r w:rsidR="003D1085" w:rsidRPr="00135C8F">
        <w:rPr>
          <w:rFonts w:ascii="Times New Roman" w:hAnsi="Times New Roman" w:cs="Times New Roman"/>
        </w:rPr>
        <w:t xml:space="preserve"> to GDP in 2014.</w:t>
      </w:r>
      <w:r w:rsidR="003D1085" w:rsidRPr="00135C8F">
        <w:rPr>
          <w:rStyle w:val="FootnoteReference"/>
          <w:rFonts w:ascii="Times New Roman" w:hAnsi="Times New Roman" w:cs="Times New Roman"/>
        </w:rPr>
        <w:footnoteReference w:id="98"/>
      </w:r>
      <w:r w:rsidR="003D1085" w:rsidRPr="00135C8F">
        <w:rPr>
          <w:rFonts w:ascii="Times New Roman" w:hAnsi="Times New Roman" w:cs="Times New Roman"/>
          <w:sz w:val="22"/>
          <w:szCs w:val="22"/>
        </w:rPr>
        <w:t xml:space="preserve"> </w:t>
      </w:r>
      <w:r w:rsidR="003D1085" w:rsidRPr="00135C8F">
        <w:rPr>
          <w:rFonts w:ascii="Times New Roman" w:hAnsi="Times New Roman" w:cs="Times New Roman"/>
          <w:szCs w:val="22"/>
        </w:rPr>
        <w:t>Furthermore</w:t>
      </w:r>
      <w:r w:rsidR="003D1085" w:rsidRPr="00C91EA2">
        <w:rPr>
          <w:rFonts w:ascii="Times New Roman" w:hAnsi="Times New Roman" w:cs="Times New Roman"/>
          <w:szCs w:val="22"/>
        </w:rPr>
        <w:t>, the sector’s spillove</w:t>
      </w:r>
      <w:r w:rsidR="00B7659D">
        <w:rPr>
          <w:rFonts w:ascii="Times New Roman" w:hAnsi="Times New Roman" w:cs="Times New Roman"/>
          <w:szCs w:val="22"/>
        </w:rPr>
        <w:t xml:space="preserve">rs are considerable. </w:t>
      </w:r>
      <w:r w:rsidR="001F5AC9">
        <w:rPr>
          <w:rFonts w:ascii="Times New Roman" w:hAnsi="Times New Roman" w:cs="Times New Roman"/>
          <w:szCs w:val="22"/>
        </w:rPr>
        <w:t xml:space="preserve">As a percentage of total GDP, </w:t>
      </w:r>
      <w:r w:rsidR="00B7659D">
        <w:rPr>
          <w:rFonts w:ascii="Times New Roman" w:hAnsi="Times New Roman" w:cs="Times New Roman"/>
          <w:szCs w:val="22"/>
        </w:rPr>
        <w:t xml:space="preserve">Senegal’s </w:t>
      </w:r>
      <w:proofErr w:type="spellStart"/>
      <w:r w:rsidR="002C61B8">
        <w:rPr>
          <w:rFonts w:ascii="Times New Roman" w:hAnsi="Times New Roman" w:cs="Times New Roman"/>
          <w:szCs w:val="22"/>
        </w:rPr>
        <w:t>i</w:t>
      </w:r>
      <w:r w:rsidR="003D1085" w:rsidRPr="00C91EA2">
        <w:rPr>
          <w:rFonts w:ascii="Times New Roman" w:hAnsi="Times New Roman" w:cs="Times New Roman"/>
          <w:szCs w:val="22"/>
        </w:rPr>
        <w:t>GDP</w:t>
      </w:r>
      <w:proofErr w:type="spellEnd"/>
      <w:r w:rsidR="003D1085" w:rsidRPr="00C91EA2">
        <w:rPr>
          <w:rFonts w:ascii="Times New Roman" w:hAnsi="Times New Roman" w:cs="Times New Roman"/>
          <w:szCs w:val="22"/>
        </w:rPr>
        <w:t>, which measures the internet’s contribution to overall GDP, exceeds that of all other African economies</w:t>
      </w:r>
      <w:r w:rsidR="00AD0E83">
        <w:rPr>
          <w:rFonts w:ascii="Times New Roman" w:hAnsi="Times New Roman" w:cs="Times New Roman"/>
          <w:szCs w:val="22"/>
        </w:rPr>
        <w:t xml:space="preserve"> </w:t>
      </w:r>
      <w:r w:rsidR="003D1085" w:rsidRPr="00C91EA2">
        <w:rPr>
          <w:rFonts w:ascii="Times New Roman" w:hAnsi="Times New Roman" w:cs="Times New Roman"/>
          <w:szCs w:val="22"/>
        </w:rPr>
        <w:t>and is higher than that of Germany.</w:t>
      </w:r>
      <w:r w:rsidR="003D1085" w:rsidRPr="00C91EA2">
        <w:rPr>
          <w:rStyle w:val="FootnoteReference"/>
          <w:rFonts w:ascii="Times New Roman" w:hAnsi="Times New Roman" w:cs="Times New Roman"/>
          <w:szCs w:val="22"/>
        </w:rPr>
        <w:footnoteReference w:id="99"/>
      </w:r>
      <w:r w:rsidR="00E725D4" w:rsidRPr="00C91EA2">
        <w:rPr>
          <w:rFonts w:ascii="Times New Roman" w:hAnsi="Times New Roman" w:cs="Times New Roman"/>
          <w:szCs w:val="22"/>
        </w:rPr>
        <w:t xml:space="preserve"> More detailed analyses of the selected sectors and de-selected other sectors can be found in</w:t>
      </w:r>
      <w:r w:rsidR="00422CEA" w:rsidRPr="00C91EA2">
        <w:rPr>
          <w:rFonts w:ascii="Times New Roman" w:hAnsi="Times New Roman" w:cs="Times New Roman"/>
          <w:szCs w:val="22"/>
        </w:rPr>
        <w:t xml:space="preserve"> </w:t>
      </w:r>
      <w:r w:rsidR="00316984">
        <w:rPr>
          <w:rFonts w:ascii="Times New Roman" w:hAnsi="Times New Roman" w:cs="Times New Roman"/>
          <w:szCs w:val="22"/>
        </w:rPr>
        <w:t>Annex</w:t>
      </w:r>
      <w:r w:rsidR="00422CEA" w:rsidRPr="00C91EA2">
        <w:rPr>
          <w:rFonts w:ascii="Times New Roman" w:hAnsi="Times New Roman" w:cs="Times New Roman"/>
          <w:szCs w:val="22"/>
        </w:rPr>
        <w:t xml:space="preserve"> 4</w:t>
      </w:r>
      <w:r w:rsidR="00E725D4" w:rsidRPr="00C91EA2">
        <w:rPr>
          <w:rFonts w:ascii="Times New Roman" w:hAnsi="Times New Roman" w:cs="Times New Roman"/>
          <w:szCs w:val="22"/>
        </w:rPr>
        <w:t>.</w:t>
      </w:r>
    </w:p>
    <w:p w14:paraId="77831CC2" w14:textId="77777777" w:rsidR="009849CC" w:rsidRDefault="009849CC" w:rsidP="006A10E3">
      <w:pPr>
        <w:jc w:val="both"/>
        <w:rPr>
          <w:rFonts w:ascii="Times New Roman" w:hAnsi="Times New Roman" w:cs="Times New Roman"/>
        </w:rPr>
      </w:pPr>
    </w:p>
    <w:p w14:paraId="7BF33E3A" w14:textId="77777777" w:rsidR="007A41F8" w:rsidRPr="00C91EA2" w:rsidRDefault="007A41F8" w:rsidP="006A10E3">
      <w:pPr>
        <w:jc w:val="both"/>
        <w:rPr>
          <w:rFonts w:ascii="Times New Roman" w:hAnsi="Times New Roman" w:cs="Times New Roman"/>
        </w:rPr>
      </w:pPr>
    </w:p>
    <w:p w14:paraId="3DA72BBC" w14:textId="77777777" w:rsidR="00377635" w:rsidRPr="00C91EA2" w:rsidRDefault="00034A8A" w:rsidP="00034A8A">
      <w:pPr>
        <w:pStyle w:val="Heading2"/>
        <w:rPr>
          <w:rFonts w:ascii="Times New Roman" w:hAnsi="Times New Roman" w:cs="Times New Roman"/>
        </w:rPr>
      </w:pPr>
      <w:bookmarkStart w:id="183" w:name="_Toc494097773"/>
      <w:bookmarkStart w:id="184" w:name="_Toc520724109"/>
      <w:r w:rsidRPr="00C91EA2">
        <w:rPr>
          <w:rFonts w:ascii="Times New Roman" w:hAnsi="Times New Roman" w:cs="Times New Roman"/>
        </w:rPr>
        <w:t xml:space="preserve">5.1 </w:t>
      </w:r>
      <w:r w:rsidR="00377635" w:rsidRPr="00C91EA2">
        <w:rPr>
          <w:rFonts w:ascii="Times New Roman" w:hAnsi="Times New Roman" w:cs="Times New Roman"/>
        </w:rPr>
        <w:t>The Groundnut Sector</w:t>
      </w:r>
      <w:bookmarkEnd w:id="183"/>
      <w:bookmarkEnd w:id="184"/>
    </w:p>
    <w:p w14:paraId="51459E18" w14:textId="77777777" w:rsidR="00377635" w:rsidRPr="00C91EA2" w:rsidRDefault="00377635" w:rsidP="00377635">
      <w:pPr>
        <w:jc w:val="both"/>
        <w:rPr>
          <w:rFonts w:ascii="Times New Roman" w:hAnsi="Times New Roman" w:cs="Times New Roman"/>
        </w:rPr>
      </w:pPr>
    </w:p>
    <w:p w14:paraId="76CECD8A" w14:textId="77777777" w:rsidR="00377635" w:rsidRPr="00C91EA2" w:rsidRDefault="00034A8A" w:rsidP="00034A8A">
      <w:pPr>
        <w:pStyle w:val="Heading3"/>
        <w:rPr>
          <w:rFonts w:ascii="Times New Roman" w:hAnsi="Times New Roman" w:cs="Times New Roman"/>
        </w:rPr>
      </w:pPr>
      <w:bookmarkStart w:id="185" w:name="_Toc520724110"/>
      <w:bookmarkStart w:id="186" w:name="_Toc494097774"/>
      <w:r w:rsidRPr="00C91EA2">
        <w:rPr>
          <w:rFonts w:ascii="Times New Roman" w:hAnsi="Times New Roman" w:cs="Times New Roman"/>
        </w:rPr>
        <w:t xml:space="preserve">5.1.1 </w:t>
      </w:r>
      <w:r w:rsidR="007F6025">
        <w:rPr>
          <w:rFonts w:ascii="Times New Roman" w:hAnsi="Times New Roman" w:cs="Times New Roman"/>
        </w:rPr>
        <w:t>Background</w:t>
      </w:r>
      <w:bookmarkEnd w:id="185"/>
    </w:p>
    <w:p w14:paraId="76B02AA1" w14:textId="77777777" w:rsidR="00377635" w:rsidRPr="00C91EA2" w:rsidRDefault="00377635" w:rsidP="00377635">
      <w:pPr>
        <w:jc w:val="both"/>
        <w:rPr>
          <w:rFonts w:ascii="Times New Roman" w:hAnsi="Times New Roman" w:cs="Times New Roman"/>
          <w:highlight w:val="yellow"/>
        </w:rPr>
      </w:pPr>
    </w:p>
    <w:bookmarkEnd w:id="186"/>
    <w:p w14:paraId="5F605A4C" w14:textId="06054470"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Groundnuts play a crucial role in Senegal’s agricultural sector. However, the standing of Senegal as a global supplier of groundnut</w:t>
      </w:r>
      <w:r w:rsidR="00056E6B">
        <w:rPr>
          <w:rFonts w:ascii="Times New Roman" w:hAnsi="Times New Roman" w:cs="Times New Roman"/>
          <w:b/>
        </w:rPr>
        <w:t>s</w:t>
      </w:r>
      <w:r w:rsidRPr="00C91EA2">
        <w:rPr>
          <w:rFonts w:ascii="Times New Roman" w:hAnsi="Times New Roman" w:cs="Times New Roman"/>
          <w:b/>
        </w:rPr>
        <w:t xml:space="preserve"> and groundnut oil has declined steadily in recent decades</w:t>
      </w:r>
      <w:r w:rsidR="00422CEA" w:rsidRPr="00C91EA2">
        <w:rPr>
          <w:rFonts w:ascii="Times New Roman" w:hAnsi="Times New Roman" w:cs="Times New Roman"/>
          <w:b/>
        </w:rPr>
        <w:t xml:space="preserve">. </w:t>
      </w:r>
      <w:r w:rsidRPr="00C91EA2">
        <w:rPr>
          <w:rFonts w:ascii="Times New Roman" w:hAnsi="Times New Roman" w:cs="Times New Roman"/>
        </w:rPr>
        <w:t>Around</w:t>
      </w:r>
      <w:r w:rsidRPr="00C91EA2">
        <w:rPr>
          <w:rFonts w:ascii="Times New Roman" w:hAnsi="Times New Roman" w:cs="Times New Roman"/>
          <w:b/>
        </w:rPr>
        <w:t xml:space="preserve"> </w:t>
      </w:r>
      <w:r w:rsidRPr="00C91EA2">
        <w:rPr>
          <w:rFonts w:ascii="Times New Roman" w:hAnsi="Times New Roman" w:cs="Times New Roman"/>
        </w:rPr>
        <w:t>482,000 farmers or 63 percent of the farming population grow groundnuts</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100"/>
      </w:r>
      <w:r w:rsidRPr="00C91EA2">
        <w:rPr>
          <w:rFonts w:ascii="Times New Roman" w:hAnsi="Times New Roman" w:cs="Times New Roman"/>
        </w:rPr>
        <w:t xml:space="preserve"> and around one third of arable land is dedicated to the cultivation of the crop.</w:t>
      </w:r>
      <w:r w:rsidRPr="00C91EA2">
        <w:rPr>
          <w:rStyle w:val="FootnoteReference"/>
          <w:rFonts w:ascii="Times New Roman" w:hAnsi="Times New Roman" w:cs="Times New Roman"/>
        </w:rPr>
        <w:footnoteReference w:id="101"/>
      </w:r>
      <w:r w:rsidRPr="00C91EA2">
        <w:rPr>
          <w:rFonts w:ascii="Times New Roman" w:hAnsi="Times New Roman" w:cs="Times New Roman"/>
        </w:rPr>
        <w:t xml:space="preserve"> Senegal is currently the ninth largest groundnut producer globally and holds the fifteenth place in global groundnut oil production.</w:t>
      </w:r>
      <w:r w:rsidRPr="00C91EA2">
        <w:rPr>
          <w:rStyle w:val="FootnoteReference"/>
          <w:rFonts w:ascii="Times New Roman" w:hAnsi="Times New Roman" w:cs="Times New Roman"/>
        </w:rPr>
        <w:footnoteReference w:id="102"/>
      </w:r>
      <w:r w:rsidRPr="00C91EA2">
        <w:rPr>
          <w:rFonts w:ascii="Times New Roman" w:hAnsi="Times New Roman" w:cs="Times New Roman"/>
        </w:rPr>
        <w:t xml:space="preserve"> While Senegal was the world’s largest exporter of groundnut oil </w:t>
      </w:r>
      <w:r w:rsidR="00941DA0" w:rsidRPr="00C91EA2">
        <w:rPr>
          <w:rFonts w:ascii="Times New Roman" w:hAnsi="Times New Roman" w:cs="Times New Roman"/>
        </w:rPr>
        <w:t>on and off up until the early 2000s</w:t>
      </w:r>
      <w:r w:rsidRPr="00C91EA2">
        <w:rPr>
          <w:rFonts w:ascii="Times New Roman" w:hAnsi="Times New Roman" w:cs="Times New Roman"/>
        </w:rPr>
        <w:t xml:space="preserve">, it has now been </w:t>
      </w:r>
      <w:r w:rsidR="00941DA0" w:rsidRPr="00C91EA2">
        <w:rPr>
          <w:rFonts w:ascii="Times New Roman" w:hAnsi="Times New Roman" w:cs="Times New Roman"/>
        </w:rPr>
        <w:t xml:space="preserve">firmly </w:t>
      </w:r>
      <w:r w:rsidRPr="00C91EA2">
        <w:rPr>
          <w:rFonts w:ascii="Times New Roman" w:hAnsi="Times New Roman" w:cs="Times New Roman"/>
        </w:rPr>
        <w:t>overtaken by Argentina and Brazil</w:t>
      </w:r>
      <w:r w:rsidR="00941DA0" w:rsidRPr="00C91EA2">
        <w:rPr>
          <w:rStyle w:val="FootnoteReference"/>
          <w:rFonts w:ascii="Times New Roman" w:hAnsi="Times New Roman" w:cs="Times New Roman"/>
        </w:rPr>
        <w:footnoteReference w:id="103"/>
      </w:r>
      <w:r w:rsidRPr="00C91EA2">
        <w:rPr>
          <w:rFonts w:ascii="Times New Roman" w:hAnsi="Times New Roman" w:cs="Times New Roman"/>
        </w:rPr>
        <w:t xml:space="preserve"> – following a continuous decline of market share in global groundnut oil exports</w:t>
      </w:r>
      <w:r w:rsidR="00D20A9A">
        <w:rPr>
          <w:rFonts w:ascii="Times New Roman" w:hAnsi="Times New Roman" w:cs="Times New Roman"/>
        </w:rPr>
        <w:t xml:space="preserve"> down to 11 percent in 2015/16</w:t>
      </w:r>
      <w:r w:rsidRPr="00C91EA2">
        <w:rPr>
          <w:rFonts w:ascii="Times New Roman" w:hAnsi="Times New Roman" w:cs="Times New Roman"/>
        </w:rPr>
        <w:t xml:space="preserve"> (see </w:t>
      </w:r>
      <w:r w:rsidRPr="00C91EA2">
        <w:rPr>
          <w:rFonts w:ascii="Times New Roman" w:hAnsi="Times New Roman" w:cs="Times New Roman"/>
        </w:rPr>
        <w:fldChar w:fldCharType="begin"/>
      </w:r>
      <w:r w:rsidRPr="00C91EA2">
        <w:rPr>
          <w:rFonts w:ascii="Times New Roman" w:hAnsi="Times New Roman" w:cs="Times New Roman"/>
        </w:rPr>
        <w:instrText xml:space="preserve"> REF _Ref497843746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41</w:t>
      </w:r>
      <w:r w:rsidRPr="00C91EA2">
        <w:rPr>
          <w:rFonts w:ascii="Times New Roman" w:hAnsi="Times New Roman" w:cs="Times New Roman"/>
        </w:rPr>
        <w:fldChar w:fldCharType="end"/>
      </w:r>
      <w:r w:rsidRPr="00C91EA2">
        <w:rPr>
          <w:rFonts w:ascii="Times New Roman" w:hAnsi="Times New Roman" w:cs="Times New Roman"/>
        </w:rPr>
        <w:t>).</w:t>
      </w:r>
    </w:p>
    <w:p w14:paraId="0E750089" w14:textId="77777777" w:rsidR="00377635" w:rsidRPr="00C91EA2" w:rsidRDefault="00377635" w:rsidP="00377635">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377635" w:rsidRPr="00C91EA2" w14:paraId="20EFC43D"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39A242F7" w14:textId="5FD04B39" w:rsidR="00377635" w:rsidRPr="00C91EA2" w:rsidRDefault="00377635">
            <w:pPr>
              <w:pStyle w:val="Caption"/>
              <w:keepNext/>
              <w:jc w:val="both"/>
              <w:rPr>
                <w:rFonts w:ascii="Times New Roman" w:hAnsi="Times New Roman"/>
              </w:rPr>
            </w:pPr>
            <w:bookmarkStart w:id="187" w:name="_Ref497843746"/>
            <w:bookmarkStart w:id="188" w:name="_Toc520725597"/>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41</w:t>
            </w:r>
            <w:r w:rsidR="00D91B27">
              <w:rPr>
                <w:rFonts w:ascii="Times New Roman" w:hAnsi="Times New Roman"/>
              </w:rPr>
              <w:fldChar w:fldCharType="end"/>
            </w:r>
            <w:bookmarkEnd w:id="187"/>
            <w:r w:rsidRPr="00C91EA2">
              <w:rPr>
                <w:rFonts w:ascii="Times New Roman" w:hAnsi="Times New Roman"/>
              </w:rPr>
              <w:t>: Senegal's share in global exports of groundnuts and groundnut oil</w:t>
            </w:r>
            <w:bookmarkEnd w:id="188"/>
          </w:p>
        </w:tc>
      </w:tr>
      <w:tr w:rsidR="00377635" w:rsidRPr="00C91EA2" w14:paraId="5142E0B7"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29482F14" w14:textId="77777777" w:rsidR="00377635" w:rsidRPr="00C91EA2" w:rsidRDefault="00377635">
            <w:pPr>
              <w:jc w:val="both"/>
              <w:rPr>
                <w:rFonts w:ascii="Times New Roman" w:hAnsi="Times New Roman" w:cs="Times New Roman"/>
              </w:rPr>
            </w:pPr>
            <w:r w:rsidRPr="00C91EA2">
              <w:rPr>
                <w:rFonts w:ascii="Times New Roman" w:hAnsi="Times New Roman" w:cs="Times New Roman"/>
                <w:noProof/>
              </w:rPr>
              <w:drawing>
                <wp:inline distT="0" distB="0" distL="0" distR="0" wp14:anchorId="1E0A488D" wp14:editId="0B8E0C5D">
                  <wp:extent cx="5486400" cy="2552700"/>
                  <wp:effectExtent l="0" t="0" r="0" b="0"/>
                  <wp:docPr id="747" name="Chart 74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377635" w:rsidRPr="00C91EA2" w14:paraId="4105FDB1"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0DB3AD24"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Source: USDA (2017)</w:t>
            </w:r>
          </w:p>
        </w:tc>
      </w:tr>
    </w:tbl>
    <w:p w14:paraId="1DE2514F" w14:textId="77777777" w:rsidR="00377635" w:rsidRPr="00C91EA2" w:rsidRDefault="00377635" w:rsidP="00377635">
      <w:pPr>
        <w:jc w:val="both"/>
        <w:rPr>
          <w:rFonts w:ascii="Times New Roman" w:hAnsi="Times New Roman" w:cs="Times New Roman"/>
        </w:rPr>
      </w:pPr>
    </w:p>
    <w:p w14:paraId="0E560DA8" w14:textId="77777777" w:rsidR="00377635" w:rsidRPr="00C91EA2" w:rsidRDefault="00377635" w:rsidP="00377635">
      <w:pPr>
        <w:jc w:val="both"/>
        <w:rPr>
          <w:rFonts w:ascii="Times New Roman" w:hAnsi="Times New Roman" w:cs="Times New Roman"/>
        </w:rPr>
      </w:pPr>
    </w:p>
    <w:p w14:paraId="1656A439" w14:textId="31F038A1"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Senegal’s declining share of global production coincides with a shift away from groundnut oil and towards whole groundnuts in the global trade of groundnut</w:t>
      </w:r>
      <w:r w:rsidR="00056E6B">
        <w:rPr>
          <w:rFonts w:ascii="Times New Roman" w:hAnsi="Times New Roman" w:cs="Times New Roman"/>
          <w:b/>
        </w:rPr>
        <w:t>s</w:t>
      </w:r>
      <w:r w:rsidRPr="00C91EA2">
        <w:rPr>
          <w:rFonts w:ascii="Times New Roman" w:hAnsi="Times New Roman" w:cs="Times New Roman"/>
          <w:b/>
        </w:rPr>
        <w:t xml:space="preserve"> and </w:t>
      </w:r>
      <w:r w:rsidR="00056E6B">
        <w:rPr>
          <w:rFonts w:ascii="Times New Roman" w:hAnsi="Times New Roman" w:cs="Times New Roman"/>
          <w:b/>
        </w:rPr>
        <w:t>derived</w:t>
      </w:r>
      <w:r w:rsidR="00056E6B" w:rsidRPr="00C91EA2">
        <w:rPr>
          <w:rFonts w:ascii="Times New Roman" w:hAnsi="Times New Roman" w:cs="Times New Roman"/>
          <w:b/>
        </w:rPr>
        <w:t xml:space="preserve"> </w:t>
      </w:r>
      <w:r w:rsidRPr="00C91EA2">
        <w:rPr>
          <w:rFonts w:ascii="Times New Roman" w:hAnsi="Times New Roman" w:cs="Times New Roman"/>
          <w:b/>
        </w:rPr>
        <w:t xml:space="preserve">products. </w:t>
      </w:r>
      <w:r w:rsidRPr="00C91EA2">
        <w:rPr>
          <w:rFonts w:ascii="Times New Roman" w:hAnsi="Times New Roman" w:cs="Times New Roman"/>
        </w:rPr>
        <w:t>Whereas global groundnut oil exports have declined continuously in absolute terms since the mid-1970s, whole nut exports have been increasing steadily over the past 20 years (</w:t>
      </w:r>
      <w:r w:rsidRPr="00C91EA2">
        <w:rPr>
          <w:rFonts w:ascii="Times New Roman" w:hAnsi="Times New Roman" w:cs="Times New Roman"/>
        </w:rPr>
        <w:fldChar w:fldCharType="begin"/>
      </w:r>
      <w:r w:rsidRPr="00C91EA2">
        <w:rPr>
          <w:rFonts w:ascii="Times New Roman" w:hAnsi="Times New Roman" w:cs="Times New Roman"/>
        </w:rPr>
        <w:instrText xml:space="preserve"> REF _Ref497844143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42</w:t>
      </w:r>
      <w:r w:rsidRPr="00C91EA2">
        <w:rPr>
          <w:rFonts w:ascii="Times New Roman" w:hAnsi="Times New Roman" w:cs="Times New Roman"/>
        </w:rPr>
        <w:fldChar w:fldCharType="end"/>
      </w:r>
      <w:r w:rsidRPr="00C91EA2">
        <w:rPr>
          <w:rFonts w:ascii="Times New Roman" w:hAnsi="Times New Roman" w:cs="Times New Roman"/>
        </w:rPr>
        <w:t>).</w:t>
      </w:r>
      <w:r w:rsidRPr="00C91EA2">
        <w:rPr>
          <w:rStyle w:val="FootnoteReference"/>
          <w:rFonts w:ascii="Times New Roman" w:hAnsi="Times New Roman" w:cs="Times New Roman"/>
        </w:rPr>
        <w:footnoteReference w:id="104"/>
      </w:r>
      <w:r w:rsidRPr="00C91EA2">
        <w:rPr>
          <w:rFonts w:ascii="Times New Roman" w:hAnsi="Times New Roman" w:cs="Times New Roman"/>
        </w:rPr>
        <w:t xml:space="preserve"> Senegal has only recently been able to follow this trend after the removal of an export ban on whole nuts in 2013 (which will be discussed in more detail later in this section)</w:t>
      </w:r>
      <w:r w:rsidR="002E0F8B">
        <w:rPr>
          <w:rFonts w:ascii="Times New Roman" w:hAnsi="Times New Roman" w:cs="Times New Roman"/>
        </w:rPr>
        <w:t>, even though</w:t>
      </w:r>
      <w:r w:rsidR="00F26A31">
        <w:rPr>
          <w:rFonts w:ascii="Times New Roman" w:hAnsi="Times New Roman" w:cs="Times New Roman"/>
        </w:rPr>
        <w:t xml:space="preserve"> it has been proven conclusively that</w:t>
      </w:r>
      <w:r w:rsidR="002E0F8B">
        <w:rPr>
          <w:rFonts w:ascii="Times New Roman" w:hAnsi="Times New Roman" w:cs="Times New Roman"/>
        </w:rPr>
        <w:t xml:space="preserve"> Senegalese </w:t>
      </w:r>
      <w:r w:rsidR="00F26A31">
        <w:rPr>
          <w:rFonts w:ascii="Times New Roman" w:hAnsi="Times New Roman" w:cs="Times New Roman"/>
        </w:rPr>
        <w:t>comparative advantage</w:t>
      </w:r>
      <w:r w:rsidR="002E0F8B">
        <w:rPr>
          <w:rFonts w:ascii="Times New Roman" w:hAnsi="Times New Roman" w:cs="Times New Roman"/>
        </w:rPr>
        <w:t xml:space="preserve"> lies </w:t>
      </w:r>
      <w:r w:rsidR="00F26A31">
        <w:rPr>
          <w:rFonts w:ascii="Times New Roman" w:hAnsi="Times New Roman" w:cs="Times New Roman"/>
        </w:rPr>
        <w:t>with whole groundnuts as opposed to oil processing.</w:t>
      </w:r>
      <w:r w:rsidR="00F26A31">
        <w:rPr>
          <w:rStyle w:val="FootnoteReference"/>
          <w:rFonts w:ascii="Times New Roman" w:hAnsi="Times New Roman" w:cs="Times New Roman"/>
        </w:rPr>
        <w:footnoteReference w:id="105"/>
      </w:r>
      <w:r w:rsidRPr="00C91EA2">
        <w:rPr>
          <w:rFonts w:ascii="Times New Roman" w:hAnsi="Times New Roman" w:cs="Times New Roman"/>
        </w:rPr>
        <w:t xml:space="preserve"> Today, relative to other vegetable oils, groundnut oil makes up a relatively low proportion of the global market.</w:t>
      </w:r>
      <w:r w:rsidRPr="00C91EA2">
        <w:rPr>
          <w:rFonts w:ascii="Times New Roman" w:hAnsi="Times New Roman" w:cs="Times New Roman"/>
          <w:b/>
        </w:rPr>
        <w:t xml:space="preserve"> </w:t>
      </w:r>
      <w:r w:rsidRPr="00C91EA2">
        <w:rPr>
          <w:rFonts w:ascii="Times New Roman" w:hAnsi="Times New Roman" w:cs="Times New Roman"/>
        </w:rPr>
        <w:t>The continued rise of cheaper vegetable oils such as palm and soy bean oils, which today dominate over three quarters of the global market for vegetable oils, means that groundnut oil has become a niche product, occupying only 0.3 percent of the global market.</w:t>
      </w:r>
      <w:r w:rsidRPr="00C91EA2">
        <w:rPr>
          <w:rStyle w:val="FootnoteReference"/>
          <w:rFonts w:ascii="Times New Roman" w:hAnsi="Times New Roman" w:cs="Times New Roman"/>
        </w:rPr>
        <w:footnoteReference w:id="106"/>
      </w:r>
      <w:r w:rsidRPr="00C91EA2">
        <w:rPr>
          <w:rFonts w:ascii="Times New Roman" w:hAnsi="Times New Roman" w:cs="Times New Roman"/>
        </w:rPr>
        <w:t xml:space="preserve"> </w:t>
      </w:r>
    </w:p>
    <w:p w14:paraId="14E6EF68" w14:textId="77777777" w:rsidR="00377635" w:rsidRPr="00C91EA2" w:rsidRDefault="00377635" w:rsidP="00377635">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377635" w:rsidRPr="00C91EA2" w14:paraId="63929822"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7A7B344E" w14:textId="7C3CF106" w:rsidR="00377635" w:rsidRPr="00C91EA2" w:rsidRDefault="00377635">
            <w:pPr>
              <w:pStyle w:val="Caption"/>
              <w:keepNext/>
              <w:jc w:val="both"/>
              <w:rPr>
                <w:rFonts w:ascii="Times New Roman" w:hAnsi="Times New Roman"/>
              </w:rPr>
            </w:pPr>
            <w:bookmarkStart w:id="189" w:name="_Ref497844143"/>
            <w:bookmarkStart w:id="190" w:name="_Toc520725598"/>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42</w:t>
            </w:r>
            <w:r w:rsidR="00D91B27">
              <w:rPr>
                <w:rFonts w:ascii="Times New Roman" w:hAnsi="Times New Roman"/>
              </w:rPr>
              <w:fldChar w:fldCharType="end"/>
            </w:r>
            <w:bookmarkEnd w:id="189"/>
            <w:r w:rsidRPr="00C91EA2">
              <w:rPr>
                <w:rFonts w:ascii="Times New Roman" w:hAnsi="Times New Roman"/>
              </w:rPr>
              <w:t>: Global exports of groundnuts (oil equivalent) and oil (1990-2016)</w:t>
            </w:r>
            <w:bookmarkEnd w:id="190"/>
          </w:p>
        </w:tc>
      </w:tr>
      <w:tr w:rsidR="00377635" w:rsidRPr="00C91EA2" w14:paraId="6DC1C9D8"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09E33DAD" w14:textId="77777777" w:rsidR="00377635" w:rsidRPr="00C91EA2" w:rsidRDefault="00377635">
            <w:pPr>
              <w:jc w:val="both"/>
              <w:rPr>
                <w:rFonts w:ascii="Times New Roman" w:hAnsi="Times New Roman" w:cs="Times New Roman"/>
              </w:rPr>
            </w:pPr>
            <w:r w:rsidRPr="00C91EA2">
              <w:rPr>
                <w:rFonts w:ascii="Times New Roman" w:hAnsi="Times New Roman" w:cs="Times New Roman"/>
                <w:noProof/>
              </w:rPr>
              <w:drawing>
                <wp:inline distT="0" distB="0" distL="0" distR="0" wp14:anchorId="637CF5AB" wp14:editId="4BE98F91">
                  <wp:extent cx="5372100" cy="2590800"/>
                  <wp:effectExtent l="0" t="0" r="0" b="0"/>
                  <wp:docPr id="746" name="Chart 74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377635" w:rsidRPr="00C91EA2" w14:paraId="4AC11383"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3E6965EB"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Source: USDA (2017)</w:t>
            </w:r>
          </w:p>
          <w:p w14:paraId="6C77CB59" w14:textId="77777777" w:rsidR="00377635" w:rsidRPr="00C91EA2" w:rsidRDefault="00377635">
            <w:pPr>
              <w:jc w:val="both"/>
              <w:rPr>
                <w:rFonts w:ascii="Times New Roman" w:hAnsi="Times New Roman" w:cs="Times New Roman"/>
              </w:rPr>
            </w:pPr>
            <w:r w:rsidRPr="00C91EA2">
              <w:rPr>
                <w:rFonts w:ascii="Times New Roman" w:hAnsi="Times New Roman" w:cs="Times New Roman"/>
                <w:sz w:val="20"/>
              </w:rPr>
              <w:t>Note: The global average oil extraction rate (OER) as reported by the USDA was used to convert groundnut seeds to oil equivalent.</w:t>
            </w:r>
          </w:p>
        </w:tc>
      </w:tr>
    </w:tbl>
    <w:p w14:paraId="6C165DEE" w14:textId="77777777" w:rsidR="00377635" w:rsidRPr="00C91EA2" w:rsidRDefault="00377635" w:rsidP="00377635">
      <w:pPr>
        <w:jc w:val="both"/>
        <w:rPr>
          <w:rFonts w:ascii="Times New Roman" w:hAnsi="Times New Roman" w:cs="Times New Roman"/>
        </w:rPr>
      </w:pPr>
    </w:p>
    <w:p w14:paraId="311E6F65" w14:textId="77777777" w:rsidR="00377635" w:rsidRPr="00C91EA2" w:rsidRDefault="00377635" w:rsidP="00377635">
      <w:pPr>
        <w:jc w:val="both"/>
        <w:rPr>
          <w:rFonts w:ascii="Times New Roman" w:hAnsi="Times New Roman" w:cs="Times New Roman"/>
        </w:rPr>
      </w:pPr>
    </w:p>
    <w:p w14:paraId="77A439F3" w14:textId="20A64343"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With the rise of palm and soy bean oil on the one hand and larger and more efficient groundnut producers such as China on the other hand, Senegal’s groundnut oil sector is struggling to compete on the global market. </w:t>
      </w:r>
      <w:r w:rsidRPr="00C91EA2">
        <w:rPr>
          <w:rFonts w:ascii="Times New Roman" w:hAnsi="Times New Roman" w:cs="Times New Roman"/>
        </w:rPr>
        <w:t>Using budget data from Senegalese groundnut enterprises, a recent World Bank analysis showed that processing groundnuts into groundnut oil appears to currently be an unprofitable and risky activity in Senegal</w:t>
      </w:r>
      <w:r w:rsidR="004E3E96">
        <w:rPr>
          <w:rFonts w:ascii="Times New Roman" w:hAnsi="Times New Roman" w:cs="Times New Roman"/>
        </w:rPr>
        <w:t>.</w:t>
      </w:r>
      <w:r w:rsidRPr="00C91EA2">
        <w:rPr>
          <w:rStyle w:val="FootnoteReference"/>
          <w:rFonts w:ascii="Times New Roman" w:hAnsi="Times New Roman" w:cs="Times New Roman"/>
        </w:rPr>
        <w:footnoteReference w:id="107"/>
      </w:r>
      <w:r w:rsidRPr="00C91EA2">
        <w:rPr>
          <w:rFonts w:ascii="Times New Roman" w:hAnsi="Times New Roman" w:cs="Times New Roman"/>
        </w:rPr>
        <w:t xml:space="preserve"> This is due to </w:t>
      </w:r>
      <w:r w:rsidR="0097116B">
        <w:rPr>
          <w:rFonts w:ascii="Times New Roman" w:hAnsi="Times New Roman" w:cs="Times New Roman"/>
        </w:rPr>
        <w:t>limited</w:t>
      </w:r>
      <w:r w:rsidR="00B81611">
        <w:rPr>
          <w:rFonts w:ascii="Times New Roman" w:hAnsi="Times New Roman" w:cs="Times New Roman"/>
        </w:rPr>
        <w:t xml:space="preserve"> </w:t>
      </w:r>
      <w:r w:rsidRPr="00C91EA2">
        <w:rPr>
          <w:rFonts w:ascii="Times New Roman" w:hAnsi="Times New Roman" w:cs="Times New Roman"/>
        </w:rPr>
        <w:t xml:space="preserve">global </w:t>
      </w:r>
      <w:r w:rsidR="00B81611">
        <w:rPr>
          <w:rFonts w:ascii="Times New Roman" w:hAnsi="Times New Roman" w:cs="Times New Roman"/>
        </w:rPr>
        <w:t xml:space="preserve">demand for imported groundnut </w:t>
      </w:r>
      <w:proofErr w:type="gramStart"/>
      <w:r w:rsidR="00B81611">
        <w:rPr>
          <w:rFonts w:ascii="Times New Roman" w:hAnsi="Times New Roman" w:cs="Times New Roman"/>
        </w:rPr>
        <w:t>oil</w:t>
      </w:r>
      <w:r w:rsidRPr="00C91EA2">
        <w:rPr>
          <w:rFonts w:ascii="Times New Roman" w:hAnsi="Times New Roman" w:cs="Times New Roman"/>
        </w:rPr>
        <w:t>, but</w:t>
      </w:r>
      <w:proofErr w:type="gramEnd"/>
      <w:r w:rsidRPr="00C91EA2">
        <w:rPr>
          <w:rFonts w:ascii="Times New Roman" w:hAnsi="Times New Roman" w:cs="Times New Roman"/>
        </w:rPr>
        <w:t xml:space="preserve"> is exacerbated by distortions along the value chain</w:t>
      </w:r>
      <w:r w:rsidR="0097116B">
        <w:rPr>
          <w:rFonts w:ascii="Times New Roman" w:hAnsi="Times New Roman" w:cs="Times New Roman"/>
        </w:rPr>
        <w:t xml:space="preserve">. </w:t>
      </w:r>
      <w:r w:rsidR="004E3E96">
        <w:rPr>
          <w:rFonts w:ascii="Times New Roman" w:hAnsi="Times New Roman" w:cs="Times New Roman"/>
        </w:rPr>
        <w:t>Also, i</w:t>
      </w:r>
      <w:r w:rsidR="00925CA9">
        <w:rPr>
          <w:rFonts w:ascii="Times New Roman" w:hAnsi="Times New Roman" w:cs="Times New Roman"/>
        </w:rPr>
        <w:t>ncreasingly</w:t>
      </w:r>
      <w:r w:rsidR="004E3E96">
        <w:rPr>
          <w:rFonts w:ascii="Times New Roman" w:hAnsi="Times New Roman" w:cs="Times New Roman"/>
        </w:rPr>
        <w:t xml:space="preserve"> </w:t>
      </w:r>
      <w:r w:rsidR="00083277">
        <w:rPr>
          <w:rFonts w:ascii="Times New Roman" w:hAnsi="Times New Roman" w:cs="Times New Roman"/>
        </w:rPr>
        <w:t xml:space="preserve">at global level </w:t>
      </w:r>
      <w:r w:rsidR="004E3E96">
        <w:rPr>
          <w:rFonts w:ascii="Times New Roman" w:hAnsi="Times New Roman" w:cs="Times New Roman"/>
        </w:rPr>
        <w:t xml:space="preserve">groundnut oil processing is carried out in the destination point due to, among other factors, the high cost of transport. This and other </w:t>
      </w:r>
      <w:r w:rsidR="0097116B">
        <w:rPr>
          <w:rFonts w:ascii="Times New Roman" w:hAnsi="Times New Roman" w:cs="Times New Roman"/>
        </w:rPr>
        <w:t>distortions</w:t>
      </w:r>
      <w:r w:rsidRPr="00C91EA2">
        <w:rPr>
          <w:rFonts w:ascii="Times New Roman" w:hAnsi="Times New Roman" w:cs="Times New Roman"/>
        </w:rPr>
        <w:t xml:space="preserve"> may have contributed to a lack of high-quality inputs and low yields</w:t>
      </w:r>
      <w:r w:rsidR="0097116B">
        <w:rPr>
          <w:rFonts w:ascii="Times New Roman" w:hAnsi="Times New Roman" w:cs="Times New Roman"/>
        </w:rPr>
        <w:t xml:space="preserve">, which raise costs for </w:t>
      </w:r>
      <w:r w:rsidR="0097116B" w:rsidRPr="00C91EA2">
        <w:rPr>
          <w:rFonts w:ascii="Times New Roman" w:hAnsi="Times New Roman" w:cs="Times New Roman"/>
        </w:rPr>
        <w:t>p</w:t>
      </w:r>
      <w:r w:rsidR="0097116B">
        <w:rPr>
          <w:rFonts w:ascii="Times New Roman" w:hAnsi="Times New Roman" w:cs="Times New Roman"/>
        </w:rPr>
        <w:t>rocessors by making it more difficult for them to reach an efficient scale of o</w:t>
      </w:r>
      <w:r w:rsidR="0097116B" w:rsidRPr="00C91EA2">
        <w:rPr>
          <w:rFonts w:ascii="Times New Roman" w:hAnsi="Times New Roman" w:cs="Times New Roman"/>
        </w:rPr>
        <w:t>p</w:t>
      </w:r>
      <w:r w:rsidR="0097116B">
        <w:rPr>
          <w:rFonts w:ascii="Times New Roman" w:hAnsi="Times New Roman" w:cs="Times New Roman"/>
        </w:rPr>
        <w:t>eration</w:t>
      </w:r>
      <w:r w:rsidR="00433D6D">
        <w:rPr>
          <w:rFonts w:ascii="Times New Roman" w:hAnsi="Times New Roman" w:cs="Times New Roman"/>
        </w:rPr>
        <w:t>.</w:t>
      </w:r>
      <w:r w:rsidR="00B81611">
        <w:rPr>
          <w:rFonts w:ascii="Times New Roman" w:hAnsi="Times New Roman" w:cs="Times New Roman"/>
        </w:rPr>
        <w:t xml:space="preserve"> </w:t>
      </w:r>
      <w:r w:rsidRPr="00C91EA2">
        <w:rPr>
          <w:rFonts w:ascii="Times New Roman" w:hAnsi="Times New Roman" w:cs="Times New Roman"/>
        </w:rPr>
        <w:t xml:space="preserve">For example, while the United States </w:t>
      </w:r>
      <w:r w:rsidR="00D42A2B">
        <w:rPr>
          <w:rFonts w:ascii="Times New Roman" w:hAnsi="Times New Roman" w:cs="Times New Roman"/>
        </w:rPr>
        <w:t>is</w:t>
      </w:r>
      <w:r w:rsidR="00D42A2B" w:rsidRPr="00C91EA2">
        <w:rPr>
          <w:rFonts w:ascii="Times New Roman" w:hAnsi="Times New Roman" w:cs="Times New Roman"/>
        </w:rPr>
        <w:t xml:space="preserve"> </w:t>
      </w:r>
      <w:r w:rsidRPr="00C91EA2">
        <w:rPr>
          <w:rFonts w:ascii="Times New Roman" w:hAnsi="Times New Roman" w:cs="Times New Roman"/>
        </w:rPr>
        <w:t xml:space="preserve">currently able to harvest 4.08 tons of groundnuts per hectare, China’s and Argentina’s yields are 3.59 and 3.36 tons per hectare respectively, and India and Nigeria harvest 1.1 and 1.2 </w:t>
      </w:r>
      <w:proofErr w:type="spellStart"/>
      <w:r w:rsidRPr="00C91EA2">
        <w:rPr>
          <w:rFonts w:ascii="Times New Roman" w:hAnsi="Times New Roman" w:cs="Times New Roman"/>
        </w:rPr>
        <w:t>mt</w:t>
      </w:r>
      <w:proofErr w:type="spellEnd"/>
      <w:r w:rsidRPr="00C91EA2">
        <w:rPr>
          <w:rFonts w:ascii="Times New Roman" w:hAnsi="Times New Roman" w:cs="Times New Roman"/>
        </w:rPr>
        <w:t xml:space="preserve">/ha each, Senegal struggles to generate yields of 0.91 </w:t>
      </w:r>
      <w:proofErr w:type="spellStart"/>
      <w:r w:rsidRPr="00C91EA2">
        <w:rPr>
          <w:rFonts w:ascii="Times New Roman" w:hAnsi="Times New Roman" w:cs="Times New Roman"/>
        </w:rPr>
        <w:t>mt</w:t>
      </w:r>
      <w:proofErr w:type="spellEnd"/>
      <w:r w:rsidRPr="00C91EA2">
        <w:rPr>
          <w:rFonts w:ascii="Times New Roman" w:hAnsi="Times New Roman" w:cs="Times New Roman"/>
        </w:rPr>
        <w:t xml:space="preserve">/ha falling behind Tanzania, which harvests 0.95 </w:t>
      </w:r>
      <w:proofErr w:type="spellStart"/>
      <w:r w:rsidRPr="00C91EA2">
        <w:rPr>
          <w:rFonts w:ascii="Times New Roman" w:hAnsi="Times New Roman" w:cs="Times New Roman"/>
        </w:rPr>
        <w:t>mt</w:t>
      </w:r>
      <w:proofErr w:type="spellEnd"/>
      <w:r w:rsidRPr="00C91EA2">
        <w:rPr>
          <w:rFonts w:ascii="Times New Roman" w:hAnsi="Times New Roman" w:cs="Times New Roman"/>
        </w:rPr>
        <w:t>/ha.</w:t>
      </w:r>
      <w:r w:rsidRPr="00C91EA2">
        <w:rPr>
          <w:rStyle w:val="FootnoteReference"/>
          <w:rFonts w:ascii="Times New Roman" w:hAnsi="Times New Roman" w:cs="Times New Roman"/>
        </w:rPr>
        <w:footnoteReference w:id="108"/>
      </w:r>
      <w:r w:rsidRPr="00C91EA2">
        <w:rPr>
          <w:rFonts w:ascii="Times New Roman" w:hAnsi="Times New Roman" w:cs="Times New Roman"/>
        </w:rPr>
        <w:t xml:space="preserve"> </w:t>
      </w:r>
    </w:p>
    <w:p w14:paraId="72500B52" w14:textId="77777777" w:rsidR="00377635" w:rsidRPr="00C91EA2" w:rsidRDefault="00377635" w:rsidP="00AA15ED">
      <w:pPr>
        <w:jc w:val="both"/>
        <w:rPr>
          <w:rFonts w:ascii="Times New Roman" w:hAnsi="Times New Roman" w:cs="Times New Roman"/>
        </w:rPr>
      </w:pPr>
    </w:p>
    <w:p w14:paraId="03CF464C" w14:textId="3FBAED74" w:rsidR="00941DA0" w:rsidRPr="00C91EA2" w:rsidRDefault="00377635" w:rsidP="004226F6">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The export of whole groundnuts from Senegal</w:t>
      </w:r>
      <w:r w:rsidR="00BA176B">
        <w:rPr>
          <w:rFonts w:ascii="Times New Roman" w:hAnsi="Times New Roman" w:cs="Times New Roman"/>
          <w:b/>
        </w:rPr>
        <w:t>,</w:t>
      </w:r>
      <w:r w:rsidRPr="00C91EA2">
        <w:rPr>
          <w:rFonts w:ascii="Times New Roman" w:hAnsi="Times New Roman" w:cs="Times New Roman"/>
          <w:b/>
        </w:rPr>
        <w:t xml:space="preserve"> on the other hand</w:t>
      </w:r>
      <w:r w:rsidR="00BA176B">
        <w:rPr>
          <w:rFonts w:ascii="Times New Roman" w:hAnsi="Times New Roman" w:cs="Times New Roman"/>
          <w:b/>
        </w:rPr>
        <w:t>,</w:t>
      </w:r>
      <w:r w:rsidRPr="00C91EA2">
        <w:rPr>
          <w:rFonts w:ascii="Times New Roman" w:hAnsi="Times New Roman" w:cs="Times New Roman"/>
          <w:b/>
        </w:rPr>
        <w:t xml:space="preserve"> is a highly profitable activity.</w:t>
      </w:r>
      <w:r w:rsidRPr="00C91EA2">
        <w:rPr>
          <w:rStyle w:val="FootnoteReference"/>
          <w:rFonts w:ascii="Times New Roman" w:hAnsi="Times New Roman" w:cs="Times New Roman"/>
          <w:b/>
        </w:rPr>
        <w:footnoteReference w:id="109"/>
      </w:r>
      <w:r w:rsidRPr="00C91EA2">
        <w:rPr>
          <w:rFonts w:ascii="Times New Roman" w:hAnsi="Times New Roman" w:cs="Times New Roman"/>
        </w:rPr>
        <w:t xml:space="preserve"> When the Senegalese </w:t>
      </w:r>
      <w:r w:rsidR="003B24ED">
        <w:rPr>
          <w:rFonts w:ascii="Times New Roman" w:hAnsi="Times New Roman" w:cs="Times New Roman"/>
        </w:rPr>
        <w:t>Government</w:t>
      </w:r>
      <w:r w:rsidRPr="00C91EA2">
        <w:rPr>
          <w:rFonts w:ascii="Times New Roman" w:hAnsi="Times New Roman" w:cs="Times New Roman"/>
        </w:rPr>
        <w:t xml:space="preserve"> liberalized the export of whole groundnuts in 2013, the entry of exporters - primarily exporting to China - created significant upward pressure on groundnut farmgate prices in Senegal.</w:t>
      </w:r>
      <w:r w:rsidRPr="00C91EA2">
        <w:rPr>
          <w:rStyle w:val="FootnoteReference"/>
          <w:rFonts w:ascii="Times New Roman" w:hAnsi="Times New Roman" w:cs="Times New Roman"/>
        </w:rPr>
        <w:footnoteReference w:id="110"/>
      </w:r>
      <w:r w:rsidRPr="00C91EA2">
        <w:rPr>
          <w:rFonts w:ascii="Times New Roman" w:hAnsi="Times New Roman" w:cs="Times New Roman"/>
        </w:rPr>
        <w:t xml:space="preserve"> While oil processors paid farmers a fixed price of 200 F CFA per kg in the 2015/16 season (agreed among processors), the new exporters were willing to pay anywhere between 250 and 300 F CFA per kg.</w:t>
      </w:r>
      <w:r w:rsidRPr="00C91EA2">
        <w:rPr>
          <w:rStyle w:val="FootnoteReference"/>
          <w:rFonts w:ascii="Times New Roman" w:hAnsi="Times New Roman" w:cs="Times New Roman"/>
        </w:rPr>
        <w:footnoteReference w:id="111"/>
      </w:r>
      <w:r w:rsidRPr="00C91EA2">
        <w:rPr>
          <w:rFonts w:ascii="Times New Roman" w:hAnsi="Times New Roman" w:cs="Times New Roman"/>
        </w:rPr>
        <w:t xml:space="preserve"> </w:t>
      </w:r>
      <w:r w:rsidRPr="00C91EA2">
        <w:rPr>
          <w:rFonts w:ascii="Times New Roman" w:hAnsi="Times New Roman" w:cs="Times New Roman"/>
        </w:rPr>
        <w:fldChar w:fldCharType="begin"/>
      </w:r>
      <w:r w:rsidRPr="00C91EA2">
        <w:rPr>
          <w:rFonts w:ascii="Times New Roman" w:hAnsi="Times New Roman" w:cs="Times New Roman"/>
        </w:rPr>
        <w:instrText xml:space="preserve"> REF _Ref497844628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43</w:t>
      </w:r>
      <w:r w:rsidRPr="00C91EA2">
        <w:rPr>
          <w:rFonts w:ascii="Times New Roman" w:hAnsi="Times New Roman" w:cs="Times New Roman"/>
        </w:rPr>
        <w:fldChar w:fldCharType="end"/>
      </w:r>
      <w:r w:rsidRPr="00C91EA2">
        <w:rPr>
          <w:rFonts w:ascii="Times New Roman" w:hAnsi="Times New Roman" w:cs="Times New Roman"/>
        </w:rPr>
        <w:t xml:space="preserve"> shows the increase in Senegalese groundnut exports following the liberalization.</w:t>
      </w:r>
    </w:p>
    <w:p w14:paraId="41C88EAD" w14:textId="77777777" w:rsidR="00377635" w:rsidRPr="00C91EA2" w:rsidRDefault="00377635" w:rsidP="00377635">
      <w:pPr>
        <w:pStyle w:val="ListParagraph"/>
        <w:ind w:left="0"/>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377635" w:rsidRPr="00C91EA2" w14:paraId="63253B26"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46165E1C" w14:textId="5029C5C9" w:rsidR="00377635" w:rsidRPr="00C91EA2" w:rsidRDefault="00377635">
            <w:pPr>
              <w:pStyle w:val="Caption"/>
              <w:keepNext/>
              <w:jc w:val="both"/>
              <w:rPr>
                <w:rFonts w:ascii="Times New Roman" w:hAnsi="Times New Roman"/>
              </w:rPr>
            </w:pPr>
            <w:bookmarkStart w:id="191" w:name="_Ref497844628"/>
            <w:bookmarkStart w:id="192" w:name="_Toc520725599"/>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43</w:t>
            </w:r>
            <w:r w:rsidR="00D91B27">
              <w:rPr>
                <w:rFonts w:ascii="Times New Roman" w:hAnsi="Times New Roman"/>
              </w:rPr>
              <w:fldChar w:fldCharType="end"/>
            </w:r>
            <w:bookmarkEnd w:id="191"/>
            <w:r w:rsidRPr="00C91EA2">
              <w:rPr>
                <w:rFonts w:ascii="Times New Roman" w:hAnsi="Times New Roman"/>
              </w:rPr>
              <w:t>: Global groundnut exports</w:t>
            </w:r>
            <w:r w:rsidR="00034A8A" w:rsidRPr="00C91EA2">
              <w:rPr>
                <w:rFonts w:ascii="Times New Roman" w:hAnsi="Times New Roman"/>
              </w:rPr>
              <w:t xml:space="preserve"> by current top 5 exporters</w:t>
            </w:r>
            <w:r w:rsidRPr="00C91EA2">
              <w:rPr>
                <w:rFonts w:ascii="Times New Roman" w:hAnsi="Times New Roman"/>
              </w:rPr>
              <w:t xml:space="preserve"> (1974-2017)</w:t>
            </w:r>
            <w:bookmarkEnd w:id="192"/>
          </w:p>
        </w:tc>
      </w:tr>
      <w:tr w:rsidR="00377635" w:rsidRPr="00C91EA2" w14:paraId="10C07EE5" w14:textId="77777777" w:rsidTr="00941DA0">
        <w:tc>
          <w:tcPr>
            <w:tcW w:w="8630" w:type="dxa"/>
            <w:tcBorders>
              <w:top w:val="single" w:sz="4" w:space="0" w:color="auto"/>
              <w:left w:val="single" w:sz="4" w:space="0" w:color="auto"/>
              <w:bottom w:val="single" w:sz="4" w:space="0" w:color="auto"/>
              <w:right w:val="single" w:sz="4" w:space="0" w:color="auto"/>
            </w:tcBorders>
            <w:hideMark/>
          </w:tcPr>
          <w:p w14:paraId="265B1EFC" w14:textId="77777777" w:rsidR="00377635" w:rsidRPr="00C91EA2" w:rsidRDefault="00034A8A">
            <w:pPr>
              <w:pStyle w:val="ListParagraph"/>
              <w:ind w:left="0"/>
              <w:jc w:val="both"/>
              <w:rPr>
                <w:rFonts w:ascii="Times New Roman" w:hAnsi="Times New Roman" w:cs="Times New Roman"/>
              </w:rPr>
            </w:pPr>
            <w:r w:rsidRPr="00C91EA2">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5A357D79" wp14:editId="511B75F4">
                      <wp:simplePos x="0" y="0"/>
                      <wp:positionH relativeFrom="column">
                        <wp:posOffset>2804795</wp:posOffset>
                      </wp:positionH>
                      <wp:positionV relativeFrom="paragraph">
                        <wp:posOffset>210185</wp:posOffset>
                      </wp:positionV>
                      <wp:extent cx="1524000" cy="247650"/>
                      <wp:effectExtent l="0" t="0" r="552450" b="19050"/>
                      <wp:wrapNone/>
                      <wp:docPr id="757" name="Speech Bubble: Rectangle 757"/>
                      <wp:cNvGraphicFramePr/>
                      <a:graphic xmlns:a="http://schemas.openxmlformats.org/drawingml/2006/main">
                        <a:graphicData uri="http://schemas.microsoft.com/office/word/2010/wordprocessingShape">
                          <wps:wsp>
                            <wps:cNvSpPr/>
                            <wps:spPr>
                              <a:xfrm>
                                <a:off x="0" y="0"/>
                                <a:ext cx="1524000" cy="247650"/>
                              </a:xfrm>
                              <a:prstGeom prst="wedgeRectCallout">
                                <a:avLst>
                                  <a:gd name="adj1" fmla="val 84792"/>
                                  <a:gd name="adj2" fmla="val 35577"/>
                                </a:avLst>
                              </a:prstGeom>
                              <a:ln w="12700"/>
                            </wps:spPr>
                            <wps:style>
                              <a:lnRef idx="2">
                                <a:schemeClr val="dk1"/>
                              </a:lnRef>
                              <a:fillRef idx="1">
                                <a:schemeClr val="lt1"/>
                              </a:fillRef>
                              <a:effectRef idx="0">
                                <a:schemeClr val="dk1"/>
                              </a:effectRef>
                              <a:fontRef idx="minor">
                                <a:schemeClr val="dk1"/>
                              </a:fontRef>
                            </wps:style>
                            <wps:txbx>
                              <w:txbxContent>
                                <w:p w14:paraId="1C0C86B4" w14:textId="77777777" w:rsidR="00B42297" w:rsidRPr="00034A8A" w:rsidRDefault="00B42297" w:rsidP="00034A8A">
                                  <w:pPr>
                                    <w:jc w:val="center"/>
                                    <w:rPr>
                                      <w:rFonts w:ascii="Times New Roman" w:hAnsi="Times New Roman" w:cs="Times New Roman"/>
                                      <w:sz w:val="20"/>
                                      <w:szCs w:val="20"/>
                                    </w:rPr>
                                  </w:pPr>
                                  <w:r w:rsidRPr="00034A8A">
                                    <w:rPr>
                                      <w:rFonts w:ascii="Times New Roman" w:hAnsi="Times New Roman" w:cs="Times New Roman"/>
                                      <w:sz w:val="20"/>
                                      <w:szCs w:val="20"/>
                                    </w:rPr>
                                    <w:t>Removal of export 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57D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57" o:spid="_x0000_s1056" type="#_x0000_t61" style="position:absolute;left:0;text-align:left;margin-left:220.85pt;margin-top:16.55pt;width:120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" adj="29115,18485" fillcolor="white [3201]" strokecolor="black [3200]" strokeweight="1pt">
                      <v:textbox>
                        <w:txbxContent>
                          <w:p w14:paraId="1C0C86B4" w14:textId="77777777" w:rsidR="00B42297" w:rsidRPr="00034A8A" w:rsidRDefault="00B42297" w:rsidP="00034A8A">
                            <w:pPr>
                              <w:jc w:val="center"/>
                              <w:rPr>
                                <w:rFonts w:ascii="Times New Roman" w:hAnsi="Times New Roman" w:cs="Times New Roman"/>
                                <w:sz w:val="20"/>
                                <w:szCs w:val="20"/>
                              </w:rPr>
                            </w:pPr>
                            <w:r w:rsidRPr="00034A8A">
                              <w:rPr>
                                <w:rFonts w:ascii="Times New Roman" w:hAnsi="Times New Roman" w:cs="Times New Roman"/>
                                <w:sz w:val="20"/>
                                <w:szCs w:val="20"/>
                              </w:rPr>
                              <w:t>Removal of export ban</w:t>
                            </w:r>
                          </w:p>
                        </w:txbxContent>
                      </v:textbox>
                    </v:shape>
                  </w:pict>
                </mc:Fallback>
              </mc:AlternateContent>
            </w:r>
            <w:r w:rsidRPr="00C91EA2">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2588FA2B" wp14:editId="12F20603">
                      <wp:simplePos x="0" y="0"/>
                      <wp:positionH relativeFrom="column">
                        <wp:posOffset>4919345</wp:posOffset>
                      </wp:positionH>
                      <wp:positionV relativeFrom="paragraph">
                        <wp:posOffset>114935</wp:posOffset>
                      </wp:positionV>
                      <wp:extent cx="0" cy="2228850"/>
                      <wp:effectExtent l="0" t="0" r="19050" b="19050"/>
                      <wp:wrapNone/>
                      <wp:docPr id="756" name="Straight Connector 756"/>
                      <wp:cNvGraphicFramePr/>
                      <a:graphic xmlns:a="http://schemas.openxmlformats.org/drawingml/2006/main">
                        <a:graphicData uri="http://schemas.microsoft.com/office/word/2010/wordprocessingShape">
                          <wps:wsp>
                            <wps:cNvCnPr/>
                            <wps:spPr>
                              <a:xfrm flipV="1">
                                <a:off x="0" y="0"/>
                                <a:ext cx="0" cy="2228850"/>
                              </a:xfrm>
                              <a:prstGeom prst="line">
                                <a:avLst/>
                              </a:prstGeom>
                              <a:ln>
                                <a:prstDash val="dash"/>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5AFEAC" id="Straight Connector 756"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387.35pt,9.05pt" to="387.3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" strokecolor="black [3200]" strokeweight="2pt">
                      <v:stroke dashstyle="dash"/>
                    </v:line>
                  </w:pict>
                </mc:Fallback>
              </mc:AlternateContent>
            </w:r>
            <w:r w:rsidR="00941DA0" w:rsidRPr="00C91EA2">
              <w:rPr>
                <w:rFonts w:ascii="Times New Roman" w:hAnsi="Times New Roman" w:cs="Times New Roman"/>
                <w:noProof/>
              </w:rPr>
              <w:drawing>
                <wp:inline distT="0" distB="0" distL="0" distR="0" wp14:anchorId="69DD5204" wp14:editId="6AA054BE">
                  <wp:extent cx="5486400" cy="3171825"/>
                  <wp:effectExtent l="0" t="0" r="0" b="3175"/>
                  <wp:docPr id="754" name="Chart 754">
                    <a:extLst xmlns:a="http://schemas.openxmlformats.org/drawingml/2006/main">
                      <a:ext uri="{FF2B5EF4-FFF2-40B4-BE49-F238E27FC236}">
                        <a16:creationId xmlns:a16="http://schemas.microsoft.com/office/drawing/2014/main" id="{C35A357E-35D7-4C98-9C2F-78112B431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377635" w:rsidRPr="00C91EA2" w14:paraId="3B57FB2A"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43D0C665" w14:textId="77777777" w:rsidR="00377635" w:rsidRPr="00C91EA2" w:rsidRDefault="00377635">
            <w:pPr>
              <w:pStyle w:val="ListParagraph"/>
              <w:ind w:left="0"/>
              <w:jc w:val="both"/>
              <w:rPr>
                <w:rFonts w:ascii="Times New Roman" w:hAnsi="Times New Roman" w:cs="Times New Roman"/>
              </w:rPr>
            </w:pPr>
            <w:r w:rsidRPr="00C91EA2">
              <w:rPr>
                <w:rFonts w:ascii="Times New Roman" w:hAnsi="Times New Roman" w:cs="Times New Roman"/>
                <w:sz w:val="20"/>
              </w:rPr>
              <w:t>Source: USDA (2017)</w:t>
            </w:r>
          </w:p>
        </w:tc>
      </w:tr>
    </w:tbl>
    <w:p w14:paraId="394B585E" w14:textId="77777777" w:rsidR="00377635" w:rsidRPr="00C91EA2" w:rsidRDefault="00377635" w:rsidP="00377635">
      <w:pPr>
        <w:pStyle w:val="ListParagraph"/>
        <w:ind w:left="0"/>
        <w:jc w:val="both"/>
        <w:rPr>
          <w:rFonts w:ascii="Times New Roman" w:hAnsi="Times New Roman" w:cs="Times New Roman"/>
        </w:rPr>
      </w:pPr>
    </w:p>
    <w:p w14:paraId="1A89ED63" w14:textId="77777777" w:rsidR="00377635" w:rsidRPr="00C91EA2" w:rsidRDefault="00377635" w:rsidP="00377635">
      <w:pPr>
        <w:jc w:val="both"/>
        <w:rPr>
          <w:rFonts w:ascii="Times New Roman" w:hAnsi="Times New Roman" w:cs="Times New Roman"/>
        </w:rPr>
      </w:pPr>
    </w:p>
    <w:p w14:paraId="38649D45" w14:textId="2364933B"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Due to the sector’s lack of competitiveness</w:t>
      </w:r>
      <w:r w:rsidR="007E31B7">
        <w:rPr>
          <w:rFonts w:ascii="Times New Roman" w:hAnsi="Times New Roman" w:cs="Times New Roman"/>
          <w:b/>
        </w:rPr>
        <w:t>,</w:t>
      </w:r>
      <w:r w:rsidRPr="00C91EA2">
        <w:rPr>
          <w:rFonts w:ascii="Times New Roman" w:hAnsi="Times New Roman" w:cs="Times New Roman"/>
          <w:b/>
        </w:rPr>
        <w:t xml:space="preserve"> Senegalese groundnut oil millers have continuously operated below capacity over recent years.</w:t>
      </w:r>
      <w:r w:rsidRPr="00C91EA2">
        <w:rPr>
          <w:rFonts w:ascii="Times New Roman" w:hAnsi="Times New Roman" w:cs="Times New Roman"/>
        </w:rPr>
        <w:t xml:space="preserve"> As </w:t>
      </w:r>
      <w:r w:rsidRPr="00C91EA2">
        <w:rPr>
          <w:rFonts w:ascii="Times New Roman" w:hAnsi="Times New Roman" w:cs="Times New Roman"/>
        </w:rPr>
        <w:fldChar w:fldCharType="begin"/>
      </w:r>
      <w:r w:rsidRPr="00C91EA2">
        <w:rPr>
          <w:rFonts w:ascii="Times New Roman" w:hAnsi="Times New Roman" w:cs="Times New Roman"/>
        </w:rPr>
        <w:instrText xml:space="preserve"> REF _Ref497844769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7</w:t>
      </w:r>
      <w:r w:rsidRPr="00C91EA2">
        <w:rPr>
          <w:rFonts w:ascii="Times New Roman" w:hAnsi="Times New Roman" w:cs="Times New Roman"/>
        </w:rPr>
        <w:fldChar w:fldCharType="end"/>
      </w:r>
      <w:r w:rsidRPr="00C91EA2">
        <w:rPr>
          <w:rFonts w:ascii="Times New Roman" w:hAnsi="Times New Roman" w:cs="Times New Roman"/>
        </w:rPr>
        <w:t xml:space="preserve"> shows, the largest oil millers have struggled to reach even 50 percent of capacity. This is </w:t>
      </w:r>
      <w:proofErr w:type="gramStart"/>
      <w:r w:rsidRPr="00C91EA2">
        <w:rPr>
          <w:rFonts w:ascii="Times New Roman" w:hAnsi="Times New Roman" w:cs="Times New Roman"/>
        </w:rPr>
        <w:t>despite the fact that</w:t>
      </w:r>
      <w:proofErr w:type="gramEnd"/>
      <w:r w:rsidRPr="00C91EA2">
        <w:rPr>
          <w:rFonts w:ascii="Times New Roman" w:hAnsi="Times New Roman" w:cs="Times New Roman"/>
        </w:rPr>
        <w:t xml:space="preserve"> in the 2016/17 season an export tax was put in place that allowed millers to better compete with exporters that have been able to pay higher prices</w:t>
      </w:r>
      <w:r w:rsidR="006C11DC">
        <w:rPr>
          <w:rFonts w:ascii="Times New Roman" w:hAnsi="Times New Roman" w:cs="Times New Roman"/>
        </w:rPr>
        <w:t xml:space="preserve"> for whole groundnuts</w:t>
      </w:r>
      <w:r w:rsidR="007C08CB">
        <w:rPr>
          <w:rFonts w:ascii="Times New Roman" w:hAnsi="Times New Roman" w:cs="Times New Roman"/>
        </w:rPr>
        <w:t xml:space="preserve"> (See also </w:t>
      </w:r>
      <w:r w:rsidR="007C08CB" w:rsidRPr="002926ED">
        <w:rPr>
          <w:rFonts w:ascii="Times New Roman" w:hAnsi="Times New Roman" w:cs="Times New Roman"/>
        </w:rPr>
        <w:t xml:space="preserve">Box </w:t>
      </w:r>
      <w:r w:rsidR="009547FF" w:rsidRPr="002926ED">
        <w:rPr>
          <w:rFonts w:ascii="Times New Roman" w:hAnsi="Times New Roman" w:cs="Times New Roman"/>
        </w:rPr>
        <w:t>7</w:t>
      </w:r>
      <w:r w:rsidR="007C08CB">
        <w:rPr>
          <w:rFonts w:ascii="Times New Roman" w:hAnsi="Times New Roman" w:cs="Times New Roman"/>
        </w:rPr>
        <w:t>).</w:t>
      </w:r>
      <w:r w:rsidR="004E3E96">
        <w:rPr>
          <w:rFonts w:ascii="Times New Roman" w:hAnsi="Times New Roman" w:cs="Times New Roman"/>
        </w:rPr>
        <w:t xml:space="preserve"> </w:t>
      </w:r>
      <w:r w:rsidR="00EC448C">
        <w:rPr>
          <w:rFonts w:ascii="Times New Roman" w:hAnsi="Times New Roman" w:cs="Times New Roman"/>
        </w:rPr>
        <w:t xml:space="preserve">While these policies pursue legitimate objectives, they may cause </w:t>
      </w:r>
      <w:proofErr w:type="gramStart"/>
      <w:r w:rsidR="00F37D1B">
        <w:rPr>
          <w:rFonts w:ascii="Times New Roman" w:hAnsi="Times New Roman" w:cs="Times New Roman"/>
        </w:rPr>
        <w:t xml:space="preserve">adverse </w:t>
      </w:r>
      <w:r w:rsidR="00EC448C">
        <w:rPr>
          <w:rFonts w:ascii="Times New Roman" w:hAnsi="Times New Roman" w:cs="Times New Roman"/>
        </w:rPr>
        <w:t xml:space="preserve"> effects</w:t>
      </w:r>
      <w:proofErr w:type="gramEnd"/>
      <w:r w:rsidR="00EC448C">
        <w:rPr>
          <w:rFonts w:ascii="Times New Roman" w:hAnsi="Times New Roman" w:cs="Times New Roman"/>
        </w:rPr>
        <w:t xml:space="preserve">. </w:t>
      </w:r>
      <w:r w:rsidR="00083277">
        <w:rPr>
          <w:rFonts w:ascii="Times New Roman" w:hAnsi="Times New Roman" w:cs="Times New Roman"/>
        </w:rPr>
        <w:t xml:space="preserve">Since the Government subsidizes </w:t>
      </w:r>
      <w:r w:rsidR="00E366DA">
        <w:rPr>
          <w:rFonts w:ascii="Times New Roman" w:hAnsi="Times New Roman" w:cs="Times New Roman"/>
        </w:rPr>
        <w:t>an</w:t>
      </w:r>
      <w:r w:rsidR="00083277">
        <w:rPr>
          <w:rFonts w:ascii="Times New Roman" w:hAnsi="Times New Roman" w:cs="Times New Roman"/>
        </w:rPr>
        <w:t xml:space="preserve">d protects the groundnut oil industry, </w:t>
      </w:r>
      <w:r w:rsidR="00E366DA">
        <w:rPr>
          <w:rFonts w:ascii="Times New Roman" w:hAnsi="Times New Roman" w:cs="Times New Roman"/>
        </w:rPr>
        <w:t xml:space="preserve">oilseed producers </w:t>
      </w:r>
      <w:r w:rsidR="00083277">
        <w:rPr>
          <w:rFonts w:ascii="Times New Roman" w:hAnsi="Times New Roman" w:cs="Times New Roman"/>
        </w:rPr>
        <w:t xml:space="preserve">face </w:t>
      </w:r>
      <w:r w:rsidR="00E366DA">
        <w:rPr>
          <w:rFonts w:ascii="Times New Roman" w:hAnsi="Times New Roman" w:cs="Times New Roman"/>
        </w:rPr>
        <w:t>lower price risk</w:t>
      </w:r>
      <w:r w:rsidR="00083277">
        <w:rPr>
          <w:rFonts w:ascii="Times New Roman" w:hAnsi="Times New Roman" w:cs="Times New Roman"/>
        </w:rPr>
        <w:t xml:space="preserve">. </w:t>
      </w:r>
      <w:r w:rsidR="00EC448C">
        <w:rPr>
          <w:rFonts w:ascii="Times New Roman" w:hAnsi="Times New Roman" w:cs="Times New Roman"/>
        </w:rPr>
        <w:t xml:space="preserve">On the other hand, export taxes reduce local prices, </w:t>
      </w:r>
      <w:r w:rsidR="00D92F7C">
        <w:rPr>
          <w:rFonts w:ascii="Times New Roman" w:hAnsi="Times New Roman" w:cs="Times New Roman"/>
        </w:rPr>
        <w:t>which</w:t>
      </w:r>
      <w:r w:rsidR="00EC448C">
        <w:rPr>
          <w:rFonts w:ascii="Times New Roman" w:hAnsi="Times New Roman" w:cs="Times New Roman"/>
        </w:rPr>
        <w:t xml:space="preserve"> despite facilitating consumption and processing of groundnut oil </w:t>
      </w:r>
      <w:r w:rsidR="00646825">
        <w:rPr>
          <w:rFonts w:ascii="Times New Roman" w:hAnsi="Times New Roman" w:cs="Times New Roman"/>
        </w:rPr>
        <w:t xml:space="preserve">locally </w:t>
      </w:r>
      <w:r w:rsidR="00E366DA">
        <w:rPr>
          <w:rFonts w:ascii="Times New Roman" w:hAnsi="Times New Roman" w:cs="Times New Roman"/>
        </w:rPr>
        <w:t>affects productivity as well</w:t>
      </w:r>
      <w:r w:rsidR="00EC448C">
        <w:rPr>
          <w:rFonts w:ascii="Times New Roman" w:hAnsi="Times New Roman" w:cs="Times New Roman"/>
        </w:rPr>
        <w:t xml:space="preserve">. </w:t>
      </w:r>
      <w:r w:rsidR="00E366DA">
        <w:rPr>
          <w:rFonts w:ascii="Times New Roman" w:hAnsi="Times New Roman" w:cs="Times New Roman"/>
        </w:rPr>
        <w:t>Lower productivity</w:t>
      </w:r>
      <w:r w:rsidR="00EC448C">
        <w:rPr>
          <w:rFonts w:ascii="Times New Roman" w:hAnsi="Times New Roman" w:cs="Times New Roman"/>
        </w:rPr>
        <w:t xml:space="preserve"> leads to lower exports at world l price</w:t>
      </w:r>
      <w:r w:rsidR="00D92F7C">
        <w:rPr>
          <w:rFonts w:ascii="Times New Roman" w:hAnsi="Times New Roman" w:cs="Times New Roman"/>
        </w:rPr>
        <w:t xml:space="preserve"> levels</w:t>
      </w:r>
      <w:r w:rsidR="00EC448C">
        <w:rPr>
          <w:rFonts w:ascii="Times New Roman" w:hAnsi="Times New Roman" w:cs="Times New Roman"/>
        </w:rPr>
        <w:t xml:space="preserve">, </w:t>
      </w:r>
      <w:r w:rsidR="00CE2970">
        <w:rPr>
          <w:rFonts w:ascii="Times New Roman" w:hAnsi="Times New Roman" w:cs="Times New Roman"/>
        </w:rPr>
        <w:t>which</w:t>
      </w:r>
      <w:r w:rsidR="00EC448C">
        <w:rPr>
          <w:rFonts w:ascii="Times New Roman" w:hAnsi="Times New Roman" w:cs="Times New Roman"/>
        </w:rPr>
        <w:t xml:space="preserve"> has a high opportunity cost not only for exporters but also for the domestic industry</w:t>
      </w:r>
      <w:r w:rsidR="00E366DA">
        <w:rPr>
          <w:rFonts w:ascii="Times New Roman" w:hAnsi="Times New Roman" w:cs="Times New Roman"/>
        </w:rPr>
        <w:t>,</w:t>
      </w:r>
      <w:r w:rsidR="00083277">
        <w:rPr>
          <w:rFonts w:ascii="Times New Roman" w:hAnsi="Times New Roman" w:cs="Times New Roman"/>
        </w:rPr>
        <w:t xml:space="preserve"> </w:t>
      </w:r>
      <w:r w:rsidR="00E366DA">
        <w:rPr>
          <w:rFonts w:ascii="Times New Roman" w:hAnsi="Times New Roman" w:cs="Times New Roman"/>
        </w:rPr>
        <w:t>ultimately hurting</w:t>
      </w:r>
      <w:r w:rsidR="00083277">
        <w:rPr>
          <w:rFonts w:ascii="Times New Roman" w:hAnsi="Times New Roman" w:cs="Times New Roman"/>
        </w:rPr>
        <w:t xml:space="preserve"> consumers</w:t>
      </w:r>
      <w:r w:rsidR="00F37D1B">
        <w:rPr>
          <w:rFonts w:ascii="Times New Roman" w:hAnsi="Times New Roman" w:cs="Times New Roman"/>
        </w:rPr>
        <w:t xml:space="preserve"> </w:t>
      </w:r>
    </w:p>
    <w:p w14:paraId="06F243A6" w14:textId="77777777" w:rsidR="00377635" w:rsidRPr="00C91EA2" w:rsidRDefault="00377635" w:rsidP="00377635">
      <w:pPr>
        <w:jc w:val="both"/>
        <w:rPr>
          <w:rFonts w:ascii="Times New Roman" w:hAnsi="Times New Roman" w:cs="Times New Roman"/>
        </w:rPr>
      </w:pPr>
    </w:p>
    <w:p w14:paraId="1719FA25" w14:textId="3E7BBBC4" w:rsidR="00377635" w:rsidRPr="00C91EA2" w:rsidRDefault="00377635" w:rsidP="00377635">
      <w:pPr>
        <w:pStyle w:val="Caption"/>
        <w:keepNext/>
        <w:rPr>
          <w:rFonts w:ascii="Times New Roman" w:hAnsi="Times New Roman"/>
        </w:rPr>
      </w:pPr>
      <w:bookmarkStart w:id="193" w:name="_Ref497844769"/>
      <w:bookmarkStart w:id="194" w:name="_Ref497906460"/>
      <w:bookmarkStart w:id="195" w:name="_Toc520725694"/>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7</w:t>
      </w:r>
      <w:r w:rsidRPr="00C91EA2">
        <w:rPr>
          <w:rFonts w:ascii="Times New Roman" w:hAnsi="Times New Roman"/>
        </w:rPr>
        <w:fldChar w:fldCharType="end"/>
      </w:r>
      <w:bookmarkEnd w:id="193"/>
      <w:r w:rsidRPr="00C91EA2">
        <w:rPr>
          <w:rFonts w:ascii="Times New Roman" w:hAnsi="Times New Roman"/>
        </w:rPr>
        <w:t>: Capacity utilization rates of largest Senegalese millers (2015-2017)</w:t>
      </w:r>
      <w:bookmarkEnd w:id="194"/>
      <w:bookmarkEnd w:id="195"/>
    </w:p>
    <w:tbl>
      <w:tblPr>
        <w:tblW w:w="5000" w:type="pct"/>
        <w:tblCellMar>
          <w:left w:w="0" w:type="dxa"/>
          <w:right w:w="0" w:type="dxa"/>
        </w:tblCellMar>
        <w:tblLook w:val="0420" w:firstRow="1" w:lastRow="0" w:firstColumn="0" w:lastColumn="0" w:noHBand="0" w:noVBand="1"/>
      </w:tblPr>
      <w:tblGrid>
        <w:gridCol w:w="1622"/>
        <w:gridCol w:w="2028"/>
        <w:gridCol w:w="2487"/>
        <w:gridCol w:w="2487"/>
      </w:tblGrid>
      <w:tr w:rsidR="00377635" w:rsidRPr="00C91EA2" w14:paraId="1E9BA3DB" w14:textId="77777777" w:rsidTr="00377635">
        <w:trPr>
          <w:trHeight w:val="312"/>
        </w:trPr>
        <w:tc>
          <w:tcPr>
            <w:tcW w:w="940" w:type="pct"/>
            <w:tcBorders>
              <w:top w:val="single" w:sz="6" w:space="0" w:color="002245"/>
              <w:left w:val="single" w:sz="6" w:space="0" w:color="002245"/>
              <w:bottom w:val="single" w:sz="6" w:space="0" w:color="002245"/>
              <w:right w:val="nil"/>
            </w:tcBorders>
            <w:shd w:val="clear" w:color="auto" w:fill="002345"/>
            <w:tcMar>
              <w:top w:w="72" w:type="dxa"/>
              <w:left w:w="144" w:type="dxa"/>
              <w:bottom w:w="72" w:type="dxa"/>
              <w:right w:w="144" w:type="dxa"/>
            </w:tcMar>
            <w:hideMark/>
          </w:tcPr>
          <w:p w14:paraId="5A9E11D1"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Oil miller</w:t>
            </w:r>
          </w:p>
        </w:tc>
        <w:tc>
          <w:tcPr>
            <w:tcW w:w="1176" w:type="pct"/>
            <w:tcBorders>
              <w:top w:val="single" w:sz="6" w:space="0" w:color="002245"/>
              <w:left w:val="nil"/>
              <w:bottom w:val="single" w:sz="6" w:space="0" w:color="002245"/>
              <w:right w:val="nil"/>
            </w:tcBorders>
            <w:shd w:val="clear" w:color="auto" w:fill="002345"/>
            <w:tcMar>
              <w:top w:w="72" w:type="dxa"/>
              <w:left w:w="144" w:type="dxa"/>
              <w:bottom w:w="72" w:type="dxa"/>
              <w:right w:w="144" w:type="dxa"/>
            </w:tcMar>
            <w:hideMark/>
          </w:tcPr>
          <w:p w14:paraId="7D1E577D"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Capacity (tons)</w:t>
            </w:r>
          </w:p>
        </w:tc>
        <w:tc>
          <w:tcPr>
            <w:tcW w:w="1442" w:type="pct"/>
            <w:tcBorders>
              <w:top w:val="single" w:sz="6" w:space="0" w:color="002245"/>
              <w:left w:val="nil"/>
              <w:bottom w:val="single" w:sz="6" w:space="0" w:color="002245"/>
              <w:right w:val="nil"/>
            </w:tcBorders>
            <w:shd w:val="clear" w:color="auto" w:fill="002345"/>
            <w:tcMar>
              <w:top w:w="72" w:type="dxa"/>
              <w:left w:w="144" w:type="dxa"/>
              <w:bottom w:w="72" w:type="dxa"/>
              <w:right w:w="144" w:type="dxa"/>
            </w:tcMar>
            <w:hideMark/>
          </w:tcPr>
          <w:p w14:paraId="100F4B14"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Utilization 2015/16</w:t>
            </w:r>
          </w:p>
        </w:tc>
        <w:tc>
          <w:tcPr>
            <w:tcW w:w="1442" w:type="pct"/>
            <w:tcBorders>
              <w:top w:val="single" w:sz="6" w:space="0" w:color="002245"/>
              <w:left w:val="nil"/>
              <w:bottom w:val="single" w:sz="6" w:space="0" w:color="002245"/>
              <w:right w:val="single" w:sz="6" w:space="0" w:color="002245"/>
            </w:tcBorders>
            <w:shd w:val="clear" w:color="auto" w:fill="002345"/>
            <w:tcMar>
              <w:top w:w="72" w:type="dxa"/>
              <w:left w:w="144" w:type="dxa"/>
              <w:bottom w:w="72" w:type="dxa"/>
              <w:right w:w="144" w:type="dxa"/>
            </w:tcMar>
            <w:hideMark/>
          </w:tcPr>
          <w:p w14:paraId="35BFEAB3"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Utilization 2016/17</w:t>
            </w:r>
          </w:p>
        </w:tc>
      </w:tr>
      <w:tr w:rsidR="00377635" w:rsidRPr="00C91EA2" w14:paraId="2E137548" w14:textId="77777777" w:rsidTr="00377635">
        <w:trPr>
          <w:trHeight w:val="187"/>
        </w:trPr>
        <w:tc>
          <w:tcPr>
            <w:tcW w:w="940"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53E9BF55"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SONACOS</w:t>
            </w:r>
          </w:p>
        </w:tc>
        <w:tc>
          <w:tcPr>
            <w:tcW w:w="1176" w:type="pct"/>
            <w:tcBorders>
              <w:top w:val="single" w:sz="6" w:space="0" w:color="002245"/>
              <w:left w:val="nil"/>
              <w:bottom w:val="single" w:sz="6" w:space="0" w:color="002245"/>
              <w:right w:val="nil"/>
            </w:tcBorders>
            <w:tcMar>
              <w:top w:w="72" w:type="dxa"/>
              <w:left w:w="144" w:type="dxa"/>
              <w:bottom w:w="72" w:type="dxa"/>
              <w:right w:w="144" w:type="dxa"/>
            </w:tcMar>
            <w:hideMark/>
          </w:tcPr>
          <w:p w14:paraId="495DF140"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300,000</w:t>
            </w:r>
          </w:p>
        </w:tc>
        <w:tc>
          <w:tcPr>
            <w:tcW w:w="1442" w:type="pct"/>
            <w:tcBorders>
              <w:top w:val="single" w:sz="6" w:space="0" w:color="002245"/>
              <w:left w:val="nil"/>
              <w:bottom w:val="single" w:sz="6" w:space="0" w:color="002245"/>
              <w:right w:val="nil"/>
            </w:tcBorders>
            <w:tcMar>
              <w:top w:w="72" w:type="dxa"/>
              <w:left w:w="144" w:type="dxa"/>
              <w:bottom w:w="72" w:type="dxa"/>
              <w:right w:w="144" w:type="dxa"/>
            </w:tcMar>
            <w:hideMark/>
          </w:tcPr>
          <w:p w14:paraId="33FD0821"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2.4%</w:t>
            </w:r>
          </w:p>
        </w:tc>
        <w:tc>
          <w:tcPr>
            <w:tcW w:w="144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0D2DB8B3"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31.1%</w:t>
            </w:r>
          </w:p>
        </w:tc>
      </w:tr>
      <w:tr w:rsidR="00377635" w:rsidRPr="00C91EA2" w14:paraId="34CEA1FD" w14:textId="77777777" w:rsidTr="00377635">
        <w:trPr>
          <w:trHeight w:val="187"/>
        </w:trPr>
        <w:tc>
          <w:tcPr>
            <w:tcW w:w="940"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3B872538"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COPEOL</w:t>
            </w:r>
          </w:p>
        </w:tc>
        <w:tc>
          <w:tcPr>
            <w:tcW w:w="1176" w:type="pct"/>
            <w:tcBorders>
              <w:top w:val="single" w:sz="6" w:space="0" w:color="002245"/>
              <w:left w:val="nil"/>
              <w:bottom w:val="single" w:sz="6" w:space="0" w:color="002245"/>
              <w:right w:val="nil"/>
            </w:tcBorders>
            <w:tcMar>
              <w:top w:w="72" w:type="dxa"/>
              <w:left w:w="144" w:type="dxa"/>
              <w:bottom w:w="72" w:type="dxa"/>
              <w:right w:w="144" w:type="dxa"/>
            </w:tcMar>
            <w:hideMark/>
          </w:tcPr>
          <w:p w14:paraId="4AABBBEC"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100,000</w:t>
            </w:r>
          </w:p>
        </w:tc>
        <w:tc>
          <w:tcPr>
            <w:tcW w:w="1442" w:type="pct"/>
            <w:tcBorders>
              <w:top w:val="single" w:sz="6" w:space="0" w:color="002245"/>
              <w:left w:val="nil"/>
              <w:bottom w:val="single" w:sz="6" w:space="0" w:color="002245"/>
              <w:right w:val="nil"/>
            </w:tcBorders>
            <w:tcMar>
              <w:top w:w="72" w:type="dxa"/>
              <w:left w:w="144" w:type="dxa"/>
              <w:bottom w:w="72" w:type="dxa"/>
              <w:right w:w="144" w:type="dxa"/>
            </w:tcMar>
            <w:hideMark/>
          </w:tcPr>
          <w:p w14:paraId="395519C3"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25.3%</w:t>
            </w:r>
          </w:p>
        </w:tc>
        <w:tc>
          <w:tcPr>
            <w:tcW w:w="144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0CA1D31"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49.6%</w:t>
            </w:r>
          </w:p>
        </w:tc>
      </w:tr>
      <w:tr w:rsidR="00377635" w:rsidRPr="00C91EA2" w14:paraId="05DB329E" w14:textId="77777777" w:rsidTr="00377635">
        <w:trPr>
          <w:trHeight w:val="187"/>
        </w:trPr>
        <w:tc>
          <w:tcPr>
            <w:tcW w:w="940"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762941CC"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WAO</w:t>
            </w:r>
          </w:p>
        </w:tc>
        <w:tc>
          <w:tcPr>
            <w:tcW w:w="1176" w:type="pct"/>
            <w:tcBorders>
              <w:top w:val="single" w:sz="6" w:space="0" w:color="002245"/>
              <w:left w:val="nil"/>
              <w:bottom w:val="single" w:sz="6" w:space="0" w:color="002245"/>
              <w:right w:val="nil"/>
            </w:tcBorders>
            <w:tcMar>
              <w:top w:w="72" w:type="dxa"/>
              <w:left w:w="144" w:type="dxa"/>
              <w:bottom w:w="72" w:type="dxa"/>
              <w:right w:w="144" w:type="dxa"/>
            </w:tcMar>
            <w:hideMark/>
          </w:tcPr>
          <w:p w14:paraId="27CE159D"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80,000</w:t>
            </w:r>
          </w:p>
        </w:tc>
        <w:tc>
          <w:tcPr>
            <w:tcW w:w="1442" w:type="pct"/>
            <w:tcBorders>
              <w:top w:val="single" w:sz="6" w:space="0" w:color="002245"/>
              <w:left w:val="nil"/>
              <w:bottom w:val="single" w:sz="6" w:space="0" w:color="002245"/>
              <w:right w:val="nil"/>
            </w:tcBorders>
            <w:tcMar>
              <w:top w:w="72" w:type="dxa"/>
              <w:left w:w="144" w:type="dxa"/>
              <w:bottom w:w="72" w:type="dxa"/>
              <w:right w:w="144" w:type="dxa"/>
            </w:tcMar>
            <w:hideMark/>
          </w:tcPr>
          <w:p w14:paraId="281FEE18"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17%</w:t>
            </w:r>
          </w:p>
        </w:tc>
        <w:tc>
          <w:tcPr>
            <w:tcW w:w="144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6BFDE230"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16.5%</w:t>
            </w:r>
          </w:p>
        </w:tc>
      </w:tr>
      <w:tr w:rsidR="00377635" w:rsidRPr="00C91EA2" w14:paraId="739AF899" w14:textId="77777777" w:rsidTr="00377635">
        <w:trPr>
          <w:trHeight w:val="187"/>
        </w:trPr>
        <w:tc>
          <w:tcPr>
            <w:tcW w:w="940"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45318F85"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CAIT</w:t>
            </w:r>
          </w:p>
        </w:tc>
        <w:tc>
          <w:tcPr>
            <w:tcW w:w="1176" w:type="pct"/>
            <w:tcBorders>
              <w:top w:val="single" w:sz="6" w:space="0" w:color="002245"/>
              <w:left w:val="nil"/>
              <w:bottom w:val="single" w:sz="6" w:space="0" w:color="002245"/>
              <w:right w:val="nil"/>
            </w:tcBorders>
            <w:tcMar>
              <w:top w:w="72" w:type="dxa"/>
              <w:left w:w="144" w:type="dxa"/>
              <w:bottom w:w="72" w:type="dxa"/>
              <w:right w:w="144" w:type="dxa"/>
            </w:tcMar>
            <w:hideMark/>
          </w:tcPr>
          <w:p w14:paraId="195BBD08"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30-35,000</w:t>
            </w:r>
          </w:p>
        </w:tc>
        <w:tc>
          <w:tcPr>
            <w:tcW w:w="1442" w:type="pct"/>
            <w:tcBorders>
              <w:top w:val="single" w:sz="6" w:space="0" w:color="002245"/>
              <w:left w:val="nil"/>
              <w:bottom w:val="single" w:sz="6" w:space="0" w:color="002245"/>
              <w:right w:val="nil"/>
            </w:tcBorders>
            <w:tcMar>
              <w:top w:w="72" w:type="dxa"/>
              <w:left w:w="144" w:type="dxa"/>
              <w:bottom w:w="72" w:type="dxa"/>
              <w:right w:w="144" w:type="dxa"/>
            </w:tcMar>
            <w:hideMark/>
          </w:tcPr>
          <w:p w14:paraId="6F6F9BF8"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&lt;1%</w:t>
            </w:r>
          </w:p>
        </w:tc>
        <w:tc>
          <w:tcPr>
            <w:tcW w:w="144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27BF5E8C"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sz w:val="20"/>
              </w:rPr>
              <w:t>&lt;1%</w:t>
            </w:r>
          </w:p>
        </w:tc>
      </w:tr>
    </w:tbl>
    <w:p w14:paraId="1B3FFA53" w14:textId="77777777" w:rsidR="00377635" w:rsidRDefault="00377635" w:rsidP="00377635">
      <w:pPr>
        <w:jc w:val="both"/>
        <w:rPr>
          <w:rFonts w:ascii="Times New Roman" w:hAnsi="Times New Roman" w:cs="Times New Roman"/>
          <w:sz w:val="20"/>
        </w:rPr>
      </w:pPr>
      <w:r w:rsidRPr="00C91EA2">
        <w:rPr>
          <w:rFonts w:ascii="Times New Roman" w:hAnsi="Times New Roman" w:cs="Times New Roman"/>
          <w:sz w:val="20"/>
        </w:rPr>
        <w:t>Source: Authors’ calculations based on CNIA (2017) and World Bank (2015)</w:t>
      </w:r>
    </w:p>
    <w:p w14:paraId="67BBD636" w14:textId="51548AE1" w:rsidR="009547FF" w:rsidRPr="007575D7" w:rsidRDefault="009547FF" w:rsidP="007575D7"/>
    <w:p w14:paraId="6DC8BA42" w14:textId="527294A7" w:rsidR="009547FF" w:rsidRDefault="009547FF" w:rsidP="007575D7">
      <w:pPr>
        <w:pStyle w:val="Caption"/>
        <w:keepNext/>
      </w:pPr>
      <w:bookmarkStart w:id="196" w:name="_Toc520725795"/>
      <w:r w:rsidRPr="00D7012C">
        <w:rPr>
          <w:rFonts w:ascii="Times New Roman" w:hAnsi="Times New Roman"/>
        </w:rPr>
        <w:t xml:space="preserve">Box </w:t>
      </w:r>
      <w:r w:rsidRPr="00D7012C">
        <w:rPr>
          <w:rFonts w:ascii="Times New Roman" w:hAnsi="Times New Roman"/>
        </w:rPr>
        <w:fldChar w:fldCharType="begin"/>
      </w:r>
      <w:r w:rsidRPr="00D7012C">
        <w:rPr>
          <w:rFonts w:ascii="Times New Roman" w:hAnsi="Times New Roman"/>
        </w:rPr>
        <w:instrText xml:space="preserve"> SEQ Box \* ARABIC </w:instrText>
      </w:r>
      <w:r w:rsidRPr="00D7012C">
        <w:rPr>
          <w:rFonts w:ascii="Times New Roman" w:hAnsi="Times New Roman"/>
        </w:rPr>
        <w:fldChar w:fldCharType="separate"/>
      </w:r>
      <w:r w:rsidR="008261B2">
        <w:rPr>
          <w:rFonts w:ascii="Times New Roman" w:hAnsi="Times New Roman"/>
          <w:noProof/>
        </w:rPr>
        <w:t>7</w:t>
      </w:r>
      <w:r w:rsidRPr="00D7012C">
        <w:rPr>
          <w:rFonts w:ascii="Times New Roman" w:hAnsi="Times New Roman"/>
        </w:rPr>
        <w:fldChar w:fldCharType="end"/>
      </w:r>
      <w:r w:rsidRPr="007575D7">
        <w:rPr>
          <w:rFonts w:ascii="Times New Roman" w:hAnsi="Times New Roman"/>
        </w:rPr>
        <w:t>:</w:t>
      </w:r>
      <w:r w:rsidRPr="002926ED">
        <w:t xml:space="preserve"> </w:t>
      </w:r>
      <w:r w:rsidRPr="002926ED">
        <w:rPr>
          <w:rFonts w:ascii="Times New Roman" w:hAnsi="Times New Roman"/>
        </w:rPr>
        <w:t>Overview of</w:t>
      </w:r>
      <w:r>
        <w:rPr>
          <w:rFonts w:ascii="Times New Roman" w:hAnsi="Times New Roman"/>
        </w:rPr>
        <w:t xml:space="preserve"> the groundnuts sector trends and</w:t>
      </w:r>
      <w:r w:rsidR="00ED313F">
        <w:rPr>
          <w:rFonts w:ascii="Times New Roman" w:hAnsi="Times New Roman"/>
        </w:rPr>
        <w:t xml:space="preserve"> profitability</w:t>
      </w:r>
      <w:bookmarkEnd w:id="196"/>
    </w:p>
    <w:tbl>
      <w:tblPr>
        <w:tblStyle w:val="TableGrid"/>
        <w:tblW w:w="0" w:type="auto"/>
        <w:shd w:val="clear" w:color="auto" w:fill="F2F2F2" w:themeFill="background1" w:themeFillShade="F2"/>
        <w:tblLook w:val="04A0" w:firstRow="1" w:lastRow="0" w:firstColumn="1" w:lastColumn="0" w:noHBand="0" w:noVBand="1"/>
      </w:tblPr>
      <w:tblGrid>
        <w:gridCol w:w="8630"/>
      </w:tblGrid>
      <w:tr w:rsidR="00E21A62" w:rsidRPr="00A23773" w14:paraId="00BB8202" w14:textId="77777777" w:rsidTr="00960DD3">
        <w:trPr>
          <w:trHeight w:val="170"/>
        </w:trPr>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8E4548" w14:textId="77777777" w:rsidR="00E21A62" w:rsidRPr="00E21A62" w:rsidRDefault="00E21A62" w:rsidP="003C4574">
            <w:pPr>
              <w:jc w:val="both"/>
              <w:rPr>
                <w:rFonts w:ascii="Times New Roman" w:hAnsi="Times New Roman" w:cs="Times New Roman"/>
                <w:sz w:val="24"/>
                <w:szCs w:val="24"/>
              </w:rPr>
            </w:pPr>
          </w:p>
          <w:p w14:paraId="2804DB36" w14:textId="77777777" w:rsidR="00E21A62" w:rsidRDefault="00113734" w:rsidP="003C4574">
            <w:pPr>
              <w:jc w:val="both"/>
              <w:rPr>
                <w:rFonts w:ascii="Times New Roman" w:hAnsi="Times New Roman" w:cs="Times New Roman"/>
                <w:sz w:val="20"/>
                <w:szCs w:val="20"/>
              </w:rPr>
            </w:pPr>
            <w:r w:rsidRPr="00113734">
              <w:rPr>
                <w:rFonts w:ascii="Times New Roman" w:hAnsi="Times New Roman" w:cs="Times New Roman"/>
                <w:sz w:val="20"/>
                <w:szCs w:val="20"/>
              </w:rPr>
              <w:t>T</w:t>
            </w:r>
            <w:r w:rsidR="00E21A62" w:rsidRPr="007575D7">
              <w:rPr>
                <w:rFonts w:ascii="Times New Roman" w:hAnsi="Times New Roman" w:cs="Times New Roman"/>
                <w:sz w:val="20"/>
                <w:szCs w:val="20"/>
              </w:rPr>
              <w:t>he potential of Senegal’s whole groundnut exports (and especial</w:t>
            </w:r>
            <w:r w:rsidRPr="00113734">
              <w:rPr>
                <w:rFonts w:ascii="Times New Roman" w:hAnsi="Times New Roman" w:cs="Times New Roman"/>
                <w:sz w:val="20"/>
                <w:szCs w:val="20"/>
              </w:rPr>
              <w:t xml:space="preserve">ly high-quality whole groundnut, such as those </w:t>
            </w:r>
            <w:r w:rsidR="00E21A62" w:rsidRPr="007575D7">
              <w:rPr>
                <w:rFonts w:ascii="Times New Roman" w:hAnsi="Times New Roman" w:cs="Times New Roman"/>
                <w:sz w:val="20"/>
                <w:szCs w:val="20"/>
              </w:rPr>
              <w:t>for confectionery and snacks) is still to be fully unleashed</w:t>
            </w:r>
            <w:r w:rsidR="00F37D1B">
              <w:rPr>
                <w:rFonts w:ascii="Times New Roman" w:hAnsi="Times New Roman" w:cs="Times New Roman"/>
                <w:sz w:val="20"/>
                <w:szCs w:val="20"/>
              </w:rPr>
              <w:t>.</w:t>
            </w:r>
            <w:r w:rsidR="00E21A62" w:rsidRPr="00E21A62">
              <w:rPr>
                <w:rFonts w:ascii="Times New Roman" w:hAnsi="Times New Roman" w:cs="Times New Roman"/>
                <w:sz w:val="20"/>
                <w:szCs w:val="20"/>
              </w:rPr>
              <w:t xml:space="preserve"> Currently, the season’s minimum price for groundnuts is set by</w:t>
            </w:r>
            <w:r w:rsidR="0047231D" w:rsidRPr="00D72C42">
              <w:rPr>
                <w:rFonts w:ascii="Times New Roman" w:hAnsi="Times New Roman" w:cs="Times New Roman"/>
                <w:sz w:val="20"/>
                <w:szCs w:val="24"/>
              </w:rPr>
              <w:t xml:space="preserve"> The </w:t>
            </w:r>
            <w:proofErr w:type="spellStart"/>
            <w:r w:rsidR="0047231D" w:rsidRPr="00D72C42">
              <w:rPr>
                <w:rFonts w:ascii="Times New Roman" w:hAnsi="Times New Roman" w:cs="Times New Roman"/>
                <w:sz w:val="20"/>
                <w:szCs w:val="24"/>
              </w:rPr>
              <w:t>Comité</w:t>
            </w:r>
            <w:proofErr w:type="spellEnd"/>
            <w:r w:rsidR="0047231D" w:rsidRPr="00D72C42">
              <w:rPr>
                <w:rFonts w:ascii="Times New Roman" w:hAnsi="Times New Roman" w:cs="Times New Roman"/>
                <w:sz w:val="20"/>
                <w:szCs w:val="24"/>
              </w:rPr>
              <w:t xml:space="preserve"> National </w:t>
            </w:r>
            <w:proofErr w:type="spellStart"/>
            <w:r w:rsidR="0047231D" w:rsidRPr="00D72C42">
              <w:rPr>
                <w:rFonts w:ascii="Times New Roman" w:hAnsi="Times New Roman" w:cs="Times New Roman"/>
                <w:sz w:val="20"/>
                <w:szCs w:val="24"/>
              </w:rPr>
              <w:t>Interprofessionnel</w:t>
            </w:r>
            <w:proofErr w:type="spellEnd"/>
            <w:r w:rsidR="0047231D" w:rsidRPr="00D72C42">
              <w:rPr>
                <w:rFonts w:ascii="Times New Roman" w:hAnsi="Times New Roman" w:cs="Times New Roman"/>
                <w:sz w:val="20"/>
                <w:szCs w:val="24"/>
              </w:rPr>
              <w:t xml:space="preserve"> de </w:t>
            </w:r>
            <w:proofErr w:type="spellStart"/>
            <w:r w:rsidR="0047231D" w:rsidRPr="00D72C42">
              <w:rPr>
                <w:rFonts w:ascii="Times New Roman" w:hAnsi="Times New Roman" w:cs="Times New Roman"/>
                <w:sz w:val="20"/>
                <w:szCs w:val="24"/>
              </w:rPr>
              <w:t>l'Arachide</w:t>
            </w:r>
            <w:proofErr w:type="spellEnd"/>
            <w:r w:rsidR="00E21A62" w:rsidRPr="00E21A62">
              <w:rPr>
                <w:rFonts w:ascii="Times New Roman" w:hAnsi="Times New Roman" w:cs="Times New Roman"/>
                <w:sz w:val="20"/>
                <w:szCs w:val="20"/>
              </w:rPr>
              <w:t xml:space="preserve"> </w:t>
            </w:r>
            <w:r w:rsidR="0047231D">
              <w:rPr>
                <w:rFonts w:ascii="Times New Roman" w:hAnsi="Times New Roman" w:cs="Times New Roman"/>
                <w:sz w:val="20"/>
                <w:szCs w:val="20"/>
              </w:rPr>
              <w:t>(</w:t>
            </w:r>
            <w:r w:rsidR="00E21A62" w:rsidRPr="00E21A62">
              <w:rPr>
                <w:rFonts w:ascii="Times New Roman" w:hAnsi="Times New Roman" w:cs="Times New Roman"/>
                <w:sz w:val="20"/>
                <w:szCs w:val="20"/>
              </w:rPr>
              <w:t>CNIA</w:t>
            </w:r>
            <w:r w:rsidR="0047231D">
              <w:rPr>
                <w:rFonts w:ascii="Times New Roman" w:hAnsi="Times New Roman" w:cs="Times New Roman"/>
                <w:sz w:val="20"/>
                <w:szCs w:val="20"/>
              </w:rPr>
              <w:t>)</w:t>
            </w:r>
            <w:r w:rsidR="00E21A62" w:rsidRPr="00E21A62">
              <w:rPr>
                <w:rFonts w:ascii="Times New Roman" w:hAnsi="Times New Roman" w:cs="Times New Roman"/>
                <w:sz w:val="20"/>
                <w:szCs w:val="20"/>
              </w:rPr>
              <w:t>. Phasing</w:t>
            </w:r>
            <w:r w:rsidR="00E21A62" w:rsidRPr="00987116">
              <w:rPr>
                <w:rFonts w:ascii="Times New Roman" w:hAnsi="Times New Roman" w:cs="Times New Roman"/>
                <w:sz w:val="20"/>
                <w:szCs w:val="20"/>
              </w:rPr>
              <w:t xml:space="preserve"> out </w:t>
            </w:r>
            <w:r w:rsidR="00E21A62">
              <w:rPr>
                <w:rFonts w:ascii="Times New Roman" w:hAnsi="Times New Roman" w:cs="Times New Roman"/>
                <w:sz w:val="20"/>
                <w:szCs w:val="20"/>
              </w:rPr>
              <w:t>the minimum price</w:t>
            </w:r>
            <w:r w:rsidR="00E21A62" w:rsidRPr="00987116">
              <w:rPr>
                <w:rFonts w:ascii="Times New Roman" w:hAnsi="Times New Roman" w:cs="Times New Roman"/>
                <w:sz w:val="20"/>
                <w:szCs w:val="20"/>
              </w:rPr>
              <w:t xml:space="preserve"> </w:t>
            </w:r>
            <w:r w:rsidR="00E21A62">
              <w:rPr>
                <w:rFonts w:ascii="Times New Roman" w:hAnsi="Times New Roman" w:cs="Times New Roman"/>
                <w:sz w:val="20"/>
                <w:szCs w:val="20"/>
              </w:rPr>
              <w:t>would lower the price and impact farmers’ income. However, removing the minimum price would also encourage competition among producers and exports, what would increase production to meet global demand. To address issues stemming from the exposure of farmers to world price volatility, this policy should be accompanied by mechanisms to address potential vulnerabilities.</w:t>
            </w:r>
          </w:p>
          <w:p w14:paraId="5D5A6A6D" w14:textId="77777777" w:rsidR="00E21A62" w:rsidRPr="00987116" w:rsidRDefault="00E21A62" w:rsidP="003C4574">
            <w:pPr>
              <w:jc w:val="both"/>
              <w:rPr>
                <w:rFonts w:ascii="Times New Roman" w:hAnsi="Times New Roman" w:cs="Times New Roman"/>
                <w:b/>
                <w:sz w:val="20"/>
                <w:szCs w:val="20"/>
              </w:rPr>
            </w:pPr>
          </w:p>
          <w:p w14:paraId="70B1C032" w14:textId="77777777" w:rsidR="00E21A62" w:rsidRDefault="0047231D" w:rsidP="003C4574">
            <w:pPr>
              <w:jc w:val="both"/>
              <w:rPr>
                <w:rFonts w:ascii="Times New Roman" w:hAnsi="Times New Roman" w:cs="Times New Roman"/>
                <w:sz w:val="20"/>
                <w:szCs w:val="20"/>
              </w:rPr>
            </w:pPr>
            <w:r>
              <w:rPr>
                <w:rFonts w:ascii="Times New Roman" w:hAnsi="Times New Roman" w:cs="Times New Roman"/>
                <w:sz w:val="20"/>
                <w:szCs w:val="20"/>
              </w:rPr>
              <w:t>Further</w:t>
            </w:r>
            <w:r w:rsidR="00E21A62">
              <w:rPr>
                <w:rFonts w:ascii="Times New Roman" w:hAnsi="Times New Roman" w:cs="Times New Roman"/>
                <w:sz w:val="20"/>
                <w:szCs w:val="20"/>
              </w:rPr>
              <w:t xml:space="preserve">, </w:t>
            </w:r>
            <w:r w:rsidR="00E21A62" w:rsidRPr="006611D0">
              <w:rPr>
                <w:rFonts w:ascii="Times New Roman" w:hAnsi="Times New Roman" w:cs="Times New Roman"/>
                <w:sz w:val="20"/>
                <w:szCs w:val="20"/>
              </w:rPr>
              <w:t xml:space="preserve">high export taxes can have a negative impact in the domestic whole groundnut market: an export tax puts pressure on the local price, what </w:t>
            </w:r>
            <w:r w:rsidR="00E21A62">
              <w:rPr>
                <w:rFonts w:ascii="Times New Roman" w:hAnsi="Times New Roman" w:cs="Times New Roman"/>
                <w:sz w:val="20"/>
                <w:szCs w:val="20"/>
              </w:rPr>
              <w:t>increases</w:t>
            </w:r>
            <w:r w:rsidR="00E21A62" w:rsidRPr="006611D0">
              <w:rPr>
                <w:rFonts w:ascii="Times New Roman" w:hAnsi="Times New Roman" w:cs="Times New Roman"/>
                <w:sz w:val="20"/>
                <w:szCs w:val="20"/>
              </w:rPr>
              <w:t xml:space="preserve"> local consumption but reduces </w:t>
            </w:r>
            <w:r w:rsidR="00E21A62">
              <w:rPr>
                <w:rFonts w:ascii="Times New Roman" w:hAnsi="Times New Roman" w:cs="Times New Roman"/>
                <w:sz w:val="20"/>
                <w:szCs w:val="20"/>
              </w:rPr>
              <w:t>productivity. Since production decrease</w:t>
            </w:r>
            <w:r w:rsidR="00E21A62" w:rsidRPr="006611D0">
              <w:rPr>
                <w:rFonts w:ascii="Times New Roman" w:hAnsi="Times New Roman" w:cs="Times New Roman"/>
                <w:sz w:val="20"/>
                <w:szCs w:val="20"/>
              </w:rPr>
              <w:t>s, exports decrease. This constitutes an opportunity cost for farmers. However, if</w:t>
            </w:r>
            <w:r w:rsidR="00E21A62">
              <w:rPr>
                <w:rFonts w:ascii="Times New Roman" w:hAnsi="Times New Roman" w:cs="Times New Roman"/>
                <w:sz w:val="20"/>
                <w:szCs w:val="20"/>
              </w:rPr>
              <w:t xml:space="preserve"> the</w:t>
            </w:r>
            <w:r w:rsidR="00E21A62" w:rsidRPr="006611D0">
              <w:rPr>
                <w:rFonts w:ascii="Times New Roman" w:hAnsi="Times New Roman" w:cs="Times New Roman"/>
                <w:sz w:val="20"/>
                <w:szCs w:val="20"/>
              </w:rPr>
              <w:t xml:space="preserve"> </w:t>
            </w:r>
            <w:r w:rsidR="00E21A62">
              <w:rPr>
                <w:rFonts w:ascii="Times New Roman" w:hAnsi="Times New Roman" w:cs="Times New Roman"/>
                <w:sz w:val="20"/>
                <w:szCs w:val="20"/>
              </w:rPr>
              <w:t>G</w:t>
            </w:r>
            <w:r w:rsidR="00E21A62" w:rsidRPr="006611D0">
              <w:rPr>
                <w:rFonts w:ascii="Times New Roman" w:hAnsi="Times New Roman" w:cs="Times New Roman"/>
                <w:sz w:val="20"/>
                <w:szCs w:val="20"/>
              </w:rPr>
              <w:t xml:space="preserve">overnment invests the collected revenues in public services to increase productivity (i.e. genetics or biotechnology, agronomic conditions and infrastructure) the export tax policy can help accelerate inclusive growth and social protection. Ad valorem export taxes kept at low levels (i.e. 5 percent) allow adapt to different levels of production and according to the variability of world prices, what renders more stability to local prices. In any case, the domestic price increase stemming from market liberalization (and a moderate export tax), leads to revenue gains higher than the cost increase for consumers, even for poorest households. </w:t>
            </w:r>
          </w:p>
          <w:p w14:paraId="6E272DE1" w14:textId="77777777" w:rsidR="00E21A62" w:rsidRPr="006611D0" w:rsidRDefault="00E21A62" w:rsidP="003C4574">
            <w:pPr>
              <w:jc w:val="both"/>
              <w:rPr>
                <w:rFonts w:ascii="Times New Roman" w:hAnsi="Times New Roman" w:cs="Times New Roman"/>
                <w:sz w:val="20"/>
                <w:szCs w:val="20"/>
              </w:rPr>
            </w:pPr>
          </w:p>
          <w:p w14:paraId="70180A58" w14:textId="77777777" w:rsidR="00E21A62" w:rsidRPr="006611D0" w:rsidRDefault="00E21A62" w:rsidP="003C4574">
            <w:pPr>
              <w:jc w:val="both"/>
              <w:rPr>
                <w:rFonts w:ascii="Times New Roman" w:hAnsi="Times New Roman" w:cs="Times New Roman"/>
                <w:sz w:val="20"/>
                <w:szCs w:val="20"/>
              </w:rPr>
            </w:pPr>
            <w:r>
              <w:rPr>
                <w:rFonts w:ascii="Times New Roman" w:hAnsi="Times New Roman" w:cs="Times New Roman"/>
                <w:sz w:val="20"/>
                <w:szCs w:val="20"/>
              </w:rPr>
              <w:t xml:space="preserve">Finally, </w:t>
            </w:r>
            <w:r w:rsidRPr="006611D0">
              <w:rPr>
                <w:rFonts w:ascii="Times New Roman" w:hAnsi="Times New Roman" w:cs="Times New Roman"/>
                <w:sz w:val="20"/>
                <w:szCs w:val="20"/>
              </w:rPr>
              <w:t>exports of processed groundnuts (snacks) present an estimated 39.3 percent profit margin for Senegal. This market albeit requires investment in the sourcing cost, groundnuts, what may increase cost fixes as well, due to investments in aflatoxin detection and control mechanisms. Following a recent study (</w:t>
            </w:r>
            <w:proofErr w:type="spellStart"/>
            <w:r w:rsidRPr="006611D0">
              <w:rPr>
                <w:rFonts w:ascii="Times New Roman" w:hAnsi="Times New Roman" w:cs="Times New Roman"/>
                <w:sz w:val="20"/>
                <w:szCs w:val="20"/>
              </w:rPr>
              <w:t>Arnoldus</w:t>
            </w:r>
            <w:proofErr w:type="spellEnd"/>
            <w:r w:rsidRPr="006611D0">
              <w:rPr>
                <w:rFonts w:ascii="Times New Roman" w:hAnsi="Times New Roman" w:cs="Times New Roman"/>
                <w:sz w:val="20"/>
                <w:szCs w:val="20"/>
              </w:rPr>
              <w:t xml:space="preserve">, M et al. </w:t>
            </w:r>
            <w:r w:rsidRPr="006611D0">
              <w:rPr>
                <w:rFonts w:ascii="Times New Roman" w:hAnsi="Times New Roman" w:cs="Times New Roman"/>
                <w:i/>
                <w:sz w:val="20"/>
                <w:szCs w:val="20"/>
              </w:rPr>
              <w:t>Economic Analyses of Peanut Processing in Africa</w:t>
            </w:r>
            <w:r w:rsidRPr="006611D0">
              <w:rPr>
                <w:rFonts w:ascii="Times New Roman" w:hAnsi="Times New Roman" w:cs="Times New Roman"/>
                <w:sz w:val="20"/>
                <w:szCs w:val="20"/>
              </w:rPr>
              <w:t xml:space="preserve">, SENSE, 2016), for an amount of 10,000 tons of kernels, even if the factory is only at 50 percent of production capacity, it will still be profitable at 36.7 percent. </w:t>
            </w:r>
          </w:p>
          <w:p w14:paraId="6551CAAD" w14:textId="77777777" w:rsidR="00E21A62" w:rsidRPr="00ED31A3" w:rsidRDefault="00E21A62" w:rsidP="003C4574">
            <w:pPr>
              <w:pStyle w:val="ListParagraph"/>
              <w:ind w:left="360"/>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E21A62" w:rsidRPr="00A23773" w14:paraId="62929039" w14:textId="77777777" w:rsidTr="003C4574">
              <w:tc>
                <w:tcPr>
                  <w:tcW w:w="8414" w:type="dxa"/>
                  <w:hideMark/>
                </w:tcPr>
                <w:p w14:paraId="0DD940AB" w14:textId="77777777" w:rsidR="00E21A62" w:rsidRPr="00ED31A3" w:rsidRDefault="00E21A62" w:rsidP="003C4574">
                  <w:pPr>
                    <w:autoSpaceDE w:val="0"/>
                    <w:autoSpaceDN w:val="0"/>
                    <w:adjustRightInd w:val="0"/>
                    <w:rPr>
                      <w:rFonts w:ascii="Times New Roman" w:hAnsi="Times New Roman" w:cs="Times New Roman"/>
                      <w:sz w:val="18"/>
                      <w:szCs w:val="18"/>
                      <w:highlight w:val="yellow"/>
                    </w:rPr>
                  </w:pPr>
                  <w:r w:rsidRPr="007575D7">
                    <w:rPr>
                      <w:rFonts w:ascii="Times New Roman" w:hAnsi="Times New Roman" w:cs="Times New Roman"/>
                      <w:i/>
                      <w:sz w:val="18"/>
                      <w:szCs w:val="18"/>
                    </w:rPr>
                    <w:t>Source:</w:t>
                  </w:r>
                  <w:r w:rsidRPr="00ED31A3">
                    <w:rPr>
                      <w:rFonts w:ascii="Times New Roman" w:hAnsi="Times New Roman" w:cs="Times New Roman"/>
                      <w:sz w:val="18"/>
                      <w:szCs w:val="18"/>
                    </w:rPr>
                    <w:t xml:space="preserve">  </w:t>
                  </w:r>
                  <w:r w:rsidRPr="00ED31A3">
                    <w:rPr>
                      <w:rFonts w:ascii="Times New Roman" w:eastAsia="Times New Roman" w:hAnsi="Times New Roman" w:cs="Times New Roman"/>
                      <w:sz w:val="18"/>
                      <w:szCs w:val="18"/>
                    </w:rPr>
                    <w:t xml:space="preserve">World Bank. 2016. </w:t>
                  </w:r>
                  <w:r w:rsidRPr="00ED31A3">
                    <w:rPr>
                      <w:rFonts w:ascii="Times New Roman" w:eastAsia="Times New Roman" w:hAnsi="Times New Roman" w:cs="Times New Roman"/>
                      <w:i/>
                      <w:iCs/>
                      <w:sz w:val="18"/>
                      <w:szCs w:val="18"/>
                    </w:rPr>
                    <w:t>Competitiveness and comparative advantage of the groundnut value chain in Senegal</w:t>
                  </w:r>
                  <w:r>
                    <w:rPr>
                      <w:rFonts w:ascii="Times New Roman" w:hAnsi="Times New Roman" w:cs="Times New Roman"/>
                      <w:sz w:val="18"/>
                      <w:szCs w:val="18"/>
                    </w:rPr>
                    <w:t xml:space="preserve">; </w:t>
                  </w:r>
                  <w:proofErr w:type="spellStart"/>
                  <w:r w:rsidRPr="00ED31A3">
                    <w:rPr>
                      <w:rFonts w:ascii="Times New Roman" w:hAnsi="Times New Roman" w:cs="Times New Roman"/>
                      <w:sz w:val="18"/>
                      <w:szCs w:val="18"/>
                    </w:rPr>
                    <w:t>Arnoldus</w:t>
                  </w:r>
                  <w:proofErr w:type="spellEnd"/>
                  <w:r w:rsidRPr="00ED31A3">
                    <w:rPr>
                      <w:rFonts w:ascii="Times New Roman" w:hAnsi="Times New Roman" w:cs="Times New Roman"/>
                      <w:sz w:val="18"/>
                      <w:szCs w:val="18"/>
                    </w:rPr>
                    <w:t xml:space="preserve">, M et al. </w:t>
                  </w:r>
                  <w:r w:rsidRPr="00ED31A3">
                    <w:rPr>
                      <w:rFonts w:ascii="Times New Roman" w:hAnsi="Times New Roman" w:cs="Times New Roman"/>
                      <w:i/>
                      <w:sz w:val="18"/>
                      <w:szCs w:val="18"/>
                    </w:rPr>
                    <w:t>Economic Analyses of Peanut Processing in Africa</w:t>
                  </w:r>
                  <w:r w:rsidRPr="00ED31A3">
                    <w:rPr>
                      <w:rFonts w:ascii="Times New Roman" w:hAnsi="Times New Roman" w:cs="Times New Roman"/>
                      <w:sz w:val="18"/>
                      <w:szCs w:val="18"/>
                    </w:rPr>
                    <w:t>, SENSE, 2016</w:t>
                  </w:r>
                </w:p>
              </w:tc>
            </w:tr>
            <w:tr w:rsidR="00E21A62" w:rsidRPr="00A23773" w14:paraId="2BA8C7ED" w14:textId="77777777" w:rsidTr="003C4574">
              <w:tc>
                <w:tcPr>
                  <w:tcW w:w="8414" w:type="dxa"/>
                </w:tcPr>
                <w:p w14:paraId="2BB3CC13" w14:textId="77777777" w:rsidR="00E21A62" w:rsidRPr="00A23773" w:rsidRDefault="00E21A62" w:rsidP="003C4574">
                  <w:pPr>
                    <w:autoSpaceDE w:val="0"/>
                    <w:autoSpaceDN w:val="0"/>
                    <w:adjustRightInd w:val="0"/>
                    <w:rPr>
                      <w:rFonts w:ascii="Times New Roman" w:hAnsi="Times New Roman" w:cs="Times New Roman"/>
                      <w:sz w:val="20"/>
                      <w:szCs w:val="20"/>
                    </w:rPr>
                  </w:pPr>
                </w:p>
              </w:tc>
            </w:tr>
          </w:tbl>
          <w:p w14:paraId="050A8C78" w14:textId="77777777" w:rsidR="00E21A62" w:rsidRPr="00A23773" w:rsidRDefault="00E21A62" w:rsidP="003C4574">
            <w:pPr>
              <w:jc w:val="both"/>
              <w:rPr>
                <w:rFonts w:ascii="Times New Roman" w:hAnsi="Times New Roman" w:cs="Times New Roman"/>
                <w:sz w:val="20"/>
                <w:szCs w:val="20"/>
              </w:rPr>
            </w:pPr>
          </w:p>
        </w:tc>
      </w:tr>
    </w:tbl>
    <w:p w14:paraId="347732DC" w14:textId="77777777" w:rsidR="00E21A62" w:rsidRPr="00C91EA2" w:rsidRDefault="00E21A62" w:rsidP="00377635">
      <w:pPr>
        <w:jc w:val="both"/>
        <w:rPr>
          <w:rFonts w:ascii="Times New Roman" w:hAnsi="Times New Roman" w:cs="Times New Roman"/>
          <w:sz w:val="20"/>
        </w:rPr>
      </w:pPr>
    </w:p>
    <w:p w14:paraId="5BE6FB3C" w14:textId="77777777" w:rsidR="00377635" w:rsidRPr="00C91EA2" w:rsidRDefault="00377635" w:rsidP="00E95720"/>
    <w:p w14:paraId="474125EB" w14:textId="306D29B4" w:rsidR="00CE2970" w:rsidRDefault="00377635" w:rsidP="007575D7">
      <w:pPr>
        <w:pStyle w:val="ListParagraph"/>
        <w:numPr>
          <w:ilvl w:val="0"/>
          <w:numId w:val="71"/>
        </w:numPr>
        <w:ind w:left="0" w:firstLine="0"/>
        <w:jc w:val="both"/>
        <w:rPr>
          <w:rFonts w:ascii="Times New Roman" w:hAnsi="Times New Roman" w:cs="Times New Roman"/>
        </w:rPr>
      </w:pPr>
      <w:r w:rsidRPr="00AF6B9E">
        <w:rPr>
          <w:rFonts w:ascii="Times New Roman" w:hAnsi="Times New Roman" w:cs="Times New Roman"/>
          <w:b/>
        </w:rPr>
        <w:t xml:space="preserve">The groundnut sector constitutes a key priority for the Senegalese </w:t>
      </w:r>
      <w:r w:rsidR="003B24ED" w:rsidRPr="00925CA9">
        <w:rPr>
          <w:rFonts w:ascii="Times New Roman" w:hAnsi="Times New Roman" w:cs="Times New Roman"/>
          <w:b/>
        </w:rPr>
        <w:t>Government</w:t>
      </w:r>
      <w:r w:rsidRPr="00E73215">
        <w:rPr>
          <w:rFonts w:ascii="Times New Roman" w:hAnsi="Times New Roman" w:cs="Times New Roman"/>
          <w:b/>
        </w:rPr>
        <w:t xml:space="preserve"> due to its economic importance. </w:t>
      </w:r>
      <w:r w:rsidRPr="00E73215">
        <w:rPr>
          <w:rFonts w:ascii="Times New Roman" w:hAnsi="Times New Roman" w:cs="Times New Roman"/>
        </w:rPr>
        <w:t xml:space="preserve">In the Plan </w:t>
      </w:r>
      <w:proofErr w:type="spellStart"/>
      <w:r w:rsidRPr="00E73215">
        <w:rPr>
          <w:rFonts w:ascii="Times New Roman" w:hAnsi="Times New Roman" w:cs="Times New Roman"/>
        </w:rPr>
        <w:t>Sénégal</w:t>
      </w:r>
      <w:proofErr w:type="spellEnd"/>
      <w:r w:rsidRPr="00E73215">
        <w:rPr>
          <w:rFonts w:ascii="Times New Roman" w:hAnsi="Times New Roman" w:cs="Times New Roman"/>
        </w:rPr>
        <w:t xml:space="preserve"> Emergent (PSE), Senegal’s strategic vision, the restructuring of the groundnut industry constitutes a “flagship project</w:t>
      </w:r>
      <w:r w:rsidR="0003383A" w:rsidRPr="00E73215">
        <w:rPr>
          <w:rFonts w:ascii="Times New Roman" w:hAnsi="Times New Roman" w:cs="Times New Roman"/>
        </w:rPr>
        <w:t>,</w:t>
      </w:r>
      <w:r w:rsidRPr="00AF6B9E">
        <w:rPr>
          <w:rFonts w:ascii="Times New Roman" w:hAnsi="Times New Roman" w:cs="Times New Roman"/>
        </w:rPr>
        <w:t>” with the objective to (i) increase yields by 50 percent between 2016 and 2020; (ii) replace 10-20 percent of groundnut oil production with edible nuts by 2023; and (iii) replace 20-30 percent of imported oil consumption with locally produced groundnut oils.</w:t>
      </w:r>
      <w:r w:rsidRPr="00C91EA2">
        <w:rPr>
          <w:rStyle w:val="FootnoteReference"/>
          <w:rFonts w:ascii="Times New Roman" w:hAnsi="Times New Roman" w:cs="Times New Roman"/>
        </w:rPr>
        <w:footnoteReference w:id="112"/>
      </w:r>
      <w:r w:rsidRPr="00AF6B9E">
        <w:rPr>
          <w:rFonts w:ascii="Times New Roman" w:hAnsi="Times New Roman" w:cs="Times New Roman"/>
        </w:rPr>
        <w:t xml:space="preserve"> The third objective highlights the </w:t>
      </w:r>
      <w:r w:rsidR="003B24ED" w:rsidRPr="00AF6B9E">
        <w:rPr>
          <w:rFonts w:ascii="Times New Roman" w:hAnsi="Times New Roman" w:cs="Times New Roman"/>
        </w:rPr>
        <w:t>Government</w:t>
      </w:r>
      <w:r w:rsidRPr="00AF6B9E">
        <w:rPr>
          <w:rFonts w:ascii="Times New Roman" w:hAnsi="Times New Roman" w:cs="Times New Roman"/>
        </w:rPr>
        <w:t>’s desire to develop a viable groundnut oil processing sector</w:t>
      </w:r>
      <w:r w:rsidRPr="00E73215">
        <w:rPr>
          <w:rFonts w:ascii="Times New Roman" w:hAnsi="Times New Roman" w:cs="Times New Roman"/>
        </w:rPr>
        <w:t>, while the second points to a desire to encourage some diversification in groundnut processing away from oils which appears to be more aligned with inter</w:t>
      </w:r>
      <w:r w:rsidRPr="00AF6B9E">
        <w:rPr>
          <w:rFonts w:ascii="Times New Roman" w:hAnsi="Times New Roman" w:cs="Times New Roman"/>
        </w:rPr>
        <w:t>national demand.</w:t>
      </w:r>
      <w:r w:rsidR="001A1C98" w:rsidRPr="00AF6B9E">
        <w:rPr>
          <w:rFonts w:ascii="Times New Roman" w:hAnsi="Times New Roman" w:cs="Times New Roman"/>
        </w:rPr>
        <w:t xml:space="preserve"> To improve the competitiveness of </w:t>
      </w:r>
      <w:r w:rsidR="00B57DE1" w:rsidRPr="00AF6B9E">
        <w:rPr>
          <w:rFonts w:ascii="Times New Roman" w:hAnsi="Times New Roman" w:cs="Times New Roman"/>
        </w:rPr>
        <w:t xml:space="preserve">the groundnut </w:t>
      </w:r>
      <w:r w:rsidR="001A1C98" w:rsidRPr="00AF6B9E">
        <w:rPr>
          <w:rFonts w:ascii="Times New Roman" w:hAnsi="Times New Roman" w:cs="Times New Roman"/>
        </w:rPr>
        <w:t xml:space="preserve">value chain, the </w:t>
      </w:r>
      <w:r w:rsidR="003B24ED" w:rsidRPr="00AF6B9E">
        <w:rPr>
          <w:rFonts w:ascii="Times New Roman" w:hAnsi="Times New Roman" w:cs="Times New Roman"/>
        </w:rPr>
        <w:t>Government</w:t>
      </w:r>
      <w:r w:rsidR="00565A9F">
        <w:rPr>
          <w:rFonts w:ascii="Times New Roman" w:hAnsi="Times New Roman" w:cs="Times New Roman"/>
        </w:rPr>
        <w:t xml:space="preserve"> </w:t>
      </w:r>
      <w:r w:rsidR="001A1C98" w:rsidRPr="00AF6B9E">
        <w:rPr>
          <w:rFonts w:ascii="Times New Roman" w:hAnsi="Times New Roman" w:cs="Times New Roman"/>
        </w:rPr>
        <w:t>is currently in the process of developing a new strategy for the sector, to which this assessment aims to contribute.</w:t>
      </w:r>
      <w:r w:rsidR="000E491D" w:rsidRPr="00AF6B9E">
        <w:rPr>
          <w:rFonts w:ascii="Times New Roman" w:hAnsi="Times New Roman" w:cs="Times New Roman"/>
        </w:rPr>
        <w:t xml:space="preserve"> </w:t>
      </w:r>
    </w:p>
    <w:p w14:paraId="443D3B24" w14:textId="77777777" w:rsidR="00CA73BB" w:rsidRDefault="00CA73BB" w:rsidP="00CA73BB"/>
    <w:p w14:paraId="7C12B661" w14:textId="77777777" w:rsidR="00CA73BB" w:rsidRPr="00ED1840" w:rsidRDefault="00CA73BB" w:rsidP="00CA73BB">
      <w:bookmarkStart w:id="197" w:name="_Hlk516702682"/>
    </w:p>
    <w:p w14:paraId="74EBB36D" w14:textId="77777777" w:rsidR="00377635" w:rsidRPr="00C91EA2" w:rsidRDefault="00034A8A" w:rsidP="00034A8A">
      <w:pPr>
        <w:pStyle w:val="Heading3"/>
        <w:rPr>
          <w:rFonts w:ascii="Times New Roman" w:hAnsi="Times New Roman" w:cs="Times New Roman"/>
        </w:rPr>
      </w:pPr>
      <w:bookmarkStart w:id="198" w:name="_Toc494097776"/>
      <w:bookmarkStart w:id="199" w:name="_Toc520724111"/>
      <w:bookmarkEnd w:id="197"/>
      <w:r w:rsidRPr="00C91EA2">
        <w:rPr>
          <w:rFonts w:ascii="Times New Roman" w:hAnsi="Times New Roman" w:cs="Times New Roman"/>
        </w:rPr>
        <w:t>5.1.</w:t>
      </w:r>
      <w:r w:rsidR="00E95720">
        <w:rPr>
          <w:rFonts w:ascii="Times New Roman" w:hAnsi="Times New Roman" w:cs="Times New Roman"/>
        </w:rPr>
        <w:t>2</w:t>
      </w:r>
      <w:r w:rsidRPr="00C91EA2">
        <w:rPr>
          <w:rFonts w:ascii="Times New Roman" w:hAnsi="Times New Roman" w:cs="Times New Roman"/>
        </w:rPr>
        <w:t xml:space="preserve"> </w:t>
      </w:r>
      <w:bookmarkStart w:id="200" w:name="_Hlk516708511"/>
      <w:r w:rsidR="00B37FE4">
        <w:rPr>
          <w:rFonts w:ascii="Times New Roman" w:hAnsi="Times New Roman" w:cs="Times New Roman"/>
        </w:rPr>
        <w:t>The G</w:t>
      </w:r>
      <w:r w:rsidR="00377635" w:rsidRPr="00C91EA2">
        <w:rPr>
          <w:rFonts w:ascii="Times New Roman" w:hAnsi="Times New Roman" w:cs="Times New Roman"/>
        </w:rPr>
        <w:t xml:space="preserve">roundnut </w:t>
      </w:r>
      <w:r w:rsidR="00B37FE4">
        <w:rPr>
          <w:rFonts w:ascii="Times New Roman" w:hAnsi="Times New Roman" w:cs="Times New Roman"/>
        </w:rPr>
        <w:t>V</w:t>
      </w:r>
      <w:r w:rsidR="00377635" w:rsidRPr="00C91EA2">
        <w:rPr>
          <w:rFonts w:ascii="Times New Roman" w:hAnsi="Times New Roman" w:cs="Times New Roman"/>
        </w:rPr>
        <w:t xml:space="preserve">alue </w:t>
      </w:r>
      <w:r w:rsidR="00B37FE4">
        <w:rPr>
          <w:rFonts w:ascii="Times New Roman" w:hAnsi="Times New Roman" w:cs="Times New Roman"/>
        </w:rPr>
        <w:t>C</w:t>
      </w:r>
      <w:r w:rsidR="00377635" w:rsidRPr="00C91EA2">
        <w:rPr>
          <w:rFonts w:ascii="Times New Roman" w:hAnsi="Times New Roman" w:cs="Times New Roman"/>
        </w:rPr>
        <w:t>hain</w:t>
      </w:r>
      <w:bookmarkEnd w:id="198"/>
      <w:r w:rsidR="00377635" w:rsidRPr="00C91EA2">
        <w:rPr>
          <w:rFonts w:ascii="Times New Roman" w:hAnsi="Times New Roman" w:cs="Times New Roman"/>
        </w:rPr>
        <w:t xml:space="preserve"> in Senegal</w:t>
      </w:r>
      <w:bookmarkEnd w:id="199"/>
      <w:bookmarkEnd w:id="200"/>
    </w:p>
    <w:p w14:paraId="114F571C" w14:textId="67CD1B94" w:rsidR="00377635" w:rsidRPr="00C91EA2" w:rsidRDefault="00377635" w:rsidP="00AA15ED">
      <w:pPr>
        <w:pStyle w:val="ListParagraph"/>
        <w:numPr>
          <w:ilvl w:val="0"/>
          <w:numId w:val="71"/>
        </w:numPr>
        <w:spacing w:before="240"/>
        <w:ind w:left="0" w:firstLine="0"/>
        <w:jc w:val="both"/>
        <w:rPr>
          <w:rFonts w:ascii="Times New Roman" w:hAnsi="Times New Roman" w:cs="Times New Roman"/>
        </w:rPr>
      </w:pPr>
      <w:r w:rsidRPr="00C91EA2">
        <w:rPr>
          <w:rFonts w:ascii="Times New Roman" w:hAnsi="Times New Roman" w:cs="Times New Roman"/>
          <w:b/>
        </w:rPr>
        <w:t xml:space="preserve">The exact nature and structure of groundnut value chains depends on the product being produced, but all start with the use of key inputs (notably seed and fertilizer) </w:t>
      </w:r>
      <w:proofErr w:type="gramStart"/>
      <w:r w:rsidRPr="00C91EA2">
        <w:rPr>
          <w:rFonts w:ascii="Times New Roman" w:hAnsi="Times New Roman" w:cs="Times New Roman"/>
          <w:b/>
        </w:rPr>
        <w:t>for the production of</w:t>
      </w:r>
      <w:proofErr w:type="gramEnd"/>
      <w:r w:rsidRPr="00C91EA2">
        <w:rPr>
          <w:rFonts w:ascii="Times New Roman" w:hAnsi="Times New Roman" w:cs="Times New Roman"/>
          <w:b/>
        </w:rPr>
        <w:t xml:space="preserve"> raw nuts. </w:t>
      </w:r>
      <w:r w:rsidRPr="00C91EA2">
        <w:rPr>
          <w:rFonts w:ascii="Times New Roman" w:hAnsi="Times New Roman" w:cs="Times New Roman"/>
        </w:rPr>
        <w:t>Production is dominated by around 482,000 smallholder farmers, although some larger farms are also engaged in groundnut production.</w:t>
      </w:r>
      <w:r w:rsidRPr="00C91EA2">
        <w:rPr>
          <w:rStyle w:val="FootnoteReference"/>
          <w:rFonts w:ascii="Times New Roman" w:hAnsi="Times New Roman" w:cs="Times New Roman"/>
        </w:rPr>
        <w:footnoteReference w:id="113"/>
      </w:r>
      <w:r w:rsidRPr="00C91EA2">
        <w:rPr>
          <w:rFonts w:ascii="Times New Roman" w:hAnsi="Times New Roman" w:cs="Times New Roman"/>
        </w:rPr>
        <w:t xml:space="preserve"> Senegal typically produces around 1 million tons of groundnut</w:t>
      </w:r>
      <w:r w:rsidR="004F02CA">
        <w:rPr>
          <w:rFonts w:ascii="Times New Roman" w:hAnsi="Times New Roman" w:cs="Times New Roman"/>
        </w:rPr>
        <w:t>s</w:t>
      </w:r>
      <w:r w:rsidRPr="00C91EA2">
        <w:rPr>
          <w:rFonts w:ascii="Times New Roman" w:hAnsi="Times New Roman" w:cs="Times New Roman"/>
        </w:rPr>
        <w:t xml:space="preserve"> a year.</w:t>
      </w:r>
      <w:r w:rsidRPr="00C91EA2">
        <w:rPr>
          <w:rStyle w:val="FootnoteReference"/>
          <w:rFonts w:ascii="Times New Roman" w:hAnsi="Times New Roman" w:cs="Times New Roman"/>
        </w:rPr>
        <w:footnoteReference w:id="114"/>
      </w:r>
      <w:r w:rsidRPr="00C91EA2">
        <w:rPr>
          <w:rFonts w:ascii="Times New Roman" w:hAnsi="Times New Roman" w:cs="Times New Roman"/>
          <w:b/>
        </w:rPr>
        <w:t xml:space="preserve"> </w:t>
      </w:r>
      <w:r w:rsidRPr="00C91EA2">
        <w:rPr>
          <w:rFonts w:ascii="Times New Roman" w:hAnsi="Times New Roman" w:cs="Times New Roman"/>
        </w:rPr>
        <w:t xml:space="preserve">An estimated quarter of that production is used immediately on the farm for </w:t>
      </w:r>
      <w:r w:rsidR="00D70A94" w:rsidRPr="00C91EA2">
        <w:rPr>
          <w:rFonts w:ascii="Times New Roman" w:hAnsi="Times New Roman" w:cs="Times New Roman"/>
        </w:rPr>
        <w:t>auto consumption</w:t>
      </w:r>
      <w:r w:rsidRPr="00C91EA2">
        <w:rPr>
          <w:rFonts w:ascii="Times New Roman" w:hAnsi="Times New Roman" w:cs="Times New Roman"/>
        </w:rPr>
        <w:t>, is recycled as seed or is lost in post-harvest handling. The rest is purchased either by official collectors buying for the industrial millers</w:t>
      </w:r>
      <w:r w:rsidR="004F02CA">
        <w:rPr>
          <w:rFonts w:ascii="Times New Roman" w:hAnsi="Times New Roman" w:cs="Times New Roman"/>
        </w:rPr>
        <w:t xml:space="preserve"> or</w:t>
      </w:r>
      <w:r w:rsidRPr="00C91EA2">
        <w:rPr>
          <w:rFonts w:ascii="Times New Roman" w:hAnsi="Times New Roman" w:cs="Times New Roman"/>
        </w:rPr>
        <w:t xml:space="preserve"> by exporters</w:t>
      </w:r>
      <w:r w:rsidR="004F02CA">
        <w:rPr>
          <w:rFonts w:ascii="Times New Roman" w:hAnsi="Times New Roman" w:cs="Times New Roman"/>
        </w:rPr>
        <w:t>,</w:t>
      </w:r>
      <w:r w:rsidRPr="00C91EA2">
        <w:rPr>
          <w:rFonts w:ascii="Times New Roman" w:hAnsi="Times New Roman" w:cs="Times New Roman"/>
        </w:rPr>
        <w:t xml:space="preserve"> or </w:t>
      </w:r>
      <w:r w:rsidR="004F02CA">
        <w:rPr>
          <w:rFonts w:ascii="Times New Roman" w:hAnsi="Times New Roman" w:cs="Times New Roman"/>
        </w:rPr>
        <w:t xml:space="preserve">is </w:t>
      </w:r>
      <w:r w:rsidRPr="00C91EA2">
        <w:rPr>
          <w:rFonts w:ascii="Times New Roman" w:hAnsi="Times New Roman" w:cs="Times New Roman"/>
        </w:rPr>
        <w:t>used for artisanal processing</w:t>
      </w:r>
      <w:r w:rsidR="004F02CA">
        <w:rPr>
          <w:rFonts w:ascii="Times New Roman" w:hAnsi="Times New Roman" w:cs="Times New Roman"/>
        </w:rPr>
        <w:t>,</w:t>
      </w:r>
      <w:r w:rsidRPr="00C91EA2">
        <w:rPr>
          <w:rFonts w:ascii="Times New Roman" w:hAnsi="Times New Roman" w:cs="Times New Roman"/>
        </w:rPr>
        <w:t xml:space="preserve"> often by grower’s cooperatives or other forms of farmers’ associations. During the 2016/17 season, official collectors, generally called </w:t>
      </w:r>
      <w:proofErr w:type="spellStart"/>
      <w:r w:rsidRPr="00C91EA2">
        <w:rPr>
          <w:rFonts w:ascii="Times New Roman" w:hAnsi="Times New Roman" w:cs="Times New Roman"/>
        </w:rPr>
        <w:t>Opérateurs</w:t>
      </w:r>
      <w:proofErr w:type="spellEnd"/>
      <w:r w:rsidRPr="00C91EA2">
        <w:rPr>
          <w:rFonts w:ascii="Times New Roman" w:hAnsi="Times New Roman" w:cs="Times New Roman"/>
        </w:rPr>
        <w:t xml:space="preserve"> </w:t>
      </w:r>
      <w:proofErr w:type="spellStart"/>
      <w:r w:rsidRPr="00C91EA2">
        <w:rPr>
          <w:rFonts w:ascii="Times New Roman" w:hAnsi="Times New Roman" w:cs="Times New Roman"/>
        </w:rPr>
        <w:t>Privés</w:t>
      </w:r>
      <w:proofErr w:type="spellEnd"/>
      <w:r w:rsidRPr="00C91EA2">
        <w:rPr>
          <w:rFonts w:ascii="Times New Roman" w:hAnsi="Times New Roman" w:cs="Times New Roman"/>
        </w:rPr>
        <w:t xml:space="preserve"> </w:t>
      </w:r>
      <w:proofErr w:type="spellStart"/>
      <w:r w:rsidRPr="00C91EA2">
        <w:rPr>
          <w:rFonts w:ascii="Times New Roman" w:hAnsi="Times New Roman" w:cs="Times New Roman"/>
        </w:rPr>
        <w:t>Stockeurs</w:t>
      </w:r>
      <w:proofErr w:type="spellEnd"/>
      <w:r w:rsidRPr="00C91EA2">
        <w:rPr>
          <w:rFonts w:ascii="Times New Roman" w:hAnsi="Times New Roman" w:cs="Times New Roman"/>
        </w:rPr>
        <w:t xml:space="preserve"> (OPS), purchased around 16 percent of the overall production of groundnuts.</w:t>
      </w:r>
      <w:r w:rsidRPr="00C91EA2">
        <w:rPr>
          <w:rStyle w:val="FootnoteReference"/>
          <w:rFonts w:ascii="Times New Roman" w:hAnsi="Times New Roman" w:cs="Times New Roman"/>
        </w:rPr>
        <w:footnoteReference w:id="115"/>
      </w:r>
      <w:r w:rsidRPr="00C91EA2">
        <w:rPr>
          <w:rFonts w:ascii="Times New Roman" w:hAnsi="Times New Roman" w:cs="Times New Roman"/>
        </w:rPr>
        <w:t xml:space="preserve"> Those groundnuts purchased by OPS are on-sold to millers (sometime under contract between the OPS and the miller), shelled, then processed into crude oil and either exported or refined for local consumption. The remainder of the groundnut</w:t>
      </w:r>
      <w:r w:rsidR="004F02CA">
        <w:rPr>
          <w:rFonts w:ascii="Times New Roman" w:hAnsi="Times New Roman" w:cs="Times New Roman"/>
        </w:rPr>
        <w:t>s</w:t>
      </w:r>
      <w:r w:rsidRPr="00C91EA2">
        <w:rPr>
          <w:rFonts w:ascii="Times New Roman" w:hAnsi="Times New Roman" w:cs="Times New Roman"/>
        </w:rPr>
        <w:t xml:space="preserve"> </w:t>
      </w:r>
      <w:r w:rsidR="004F02CA">
        <w:rPr>
          <w:rFonts w:ascii="Times New Roman" w:hAnsi="Times New Roman" w:cs="Times New Roman"/>
        </w:rPr>
        <w:t>are</w:t>
      </w:r>
      <w:r w:rsidRPr="00C91EA2">
        <w:rPr>
          <w:rFonts w:ascii="Times New Roman" w:hAnsi="Times New Roman" w:cs="Times New Roman"/>
        </w:rPr>
        <w:t xml:space="preserve"> either exported (roughly 35% in 2015/16)</w:t>
      </w:r>
      <w:r w:rsidRPr="00C91EA2">
        <w:rPr>
          <w:rStyle w:val="FootnoteReference"/>
          <w:rFonts w:ascii="Times New Roman" w:hAnsi="Times New Roman" w:cs="Times New Roman"/>
        </w:rPr>
        <w:footnoteReference w:id="116"/>
      </w:r>
      <w:r w:rsidRPr="00C91EA2">
        <w:rPr>
          <w:rFonts w:ascii="Times New Roman" w:hAnsi="Times New Roman" w:cs="Times New Roman"/>
        </w:rPr>
        <w:t xml:space="preserve"> or go towards local artisanal products which are sold domestically, primarily </w:t>
      </w:r>
      <w:r w:rsidR="004F02CA">
        <w:rPr>
          <w:rFonts w:ascii="Times New Roman" w:hAnsi="Times New Roman" w:cs="Times New Roman"/>
        </w:rPr>
        <w:t xml:space="preserve">as </w:t>
      </w:r>
      <w:proofErr w:type="spellStart"/>
      <w:r w:rsidRPr="00C91EA2">
        <w:rPr>
          <w:rFonts w:ascii="Times New Roman" w:hAnsi="Times New Roman" w:cs="Times New Roman"/>
        </w:rPr>
        <w:t>Seggal</w:t>
      </w:r>
      <w:proofErr w:type="spellEnd"/>
      <w:r w:rsidRPr="00C91EA2">
        <w:rPr>
          <w:rFonts w:ascii="Times New Roman" w:hAnsi="Times New Roman" w:cs="Times New Roman"/>
        </w:rPr>
        <w:t xml:space="preserve">, a locally produced artisanal oil (25%). </w:t>
      </w:r>
      <w:r w:rsidRPr="00C91EA2">
        <w:rPr>
          <w:rFonts w:ascii="Times New Roman" w:hAnsi="Times New Roman" w:cs="Times New Roman"/>
        </w:rPr>
        <w:fldChar w:fldCharType="begin"/>
      </w:r>
      <w:r w:rsidRPr="00C91EA2">
        <w:rPr>
          <w:rFonts w:ascii="Times New Roman" w:hAnsi="Times New Roman" w:cs="Times New Roman"/>
        </w:rPr>
        <w:instrText xml:space="preserve"> REF _Ref497633422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Figure 44</w:t>
      </w:r>
      <w:r w:rsidRPr="00C91EA2">
        <w:rPr>
          <w:rFonts w:ascii="Times New Roman" w:hAnsi="Times New Roman" w:cs="Times New Roman"/>
        </w:rPr>
        <w:fldChar w:fldCharType="end"/>
      </w:r>
      <w:r w:rsidRPr="00C91EA2">
        <w:rPr>
          <w:rFonts w:ascii="Times New Roman" w:hAnsi="Times New Roman" w:cs="Times New Roman"/>
        </w:rPr>
        <w:t xml:space="preserve"> provides a summary of the value chain for these products, shows the key stakeholders involved at each segment of the chain and highlights the </w:t>
      </w:r>
      <w:r w:rsidR="0045583C">
        <w:rPr>
          <w:rFonts w:ascii="Times New Roman" w:hAnsi="Times New Roman" w:cs="Times New Roman"/>
        </w:rPr>
        <w:t>Government</w:t>
      </w:r>
      <w:r w:rsidRPr="00C91EA2">
        <w:rPr>
          <w:rFonts w:ascii="Times New Roman" w:hAnsi="Times New Roman" w:cs="Times New Roman"/>
        </w:rPr>
        <w:t xml:space="preserve">’s strategic objectives </w:t>
      </w:r>
      <w:proofErr w:type="gramStart"/>
      <w:r w:rsidRPr="00C91EA2">
        <w:rPr>
          <w:rFonts w:ascii="Times New Roman" w:hAnsi="Times New Roman" w:cs="Times New Roman"/>
        </w:rPr>
        <w:t>with regard to</w:t>
      </w:r>
      <w:proofErr w:type="gramEnd"/>
      <w:r w:rsidRPr="00C91EA2">
        <w:rPr>
          <w:rFonts w:ascii="Times New Roman" w:hAnsi="Times New Roman" w:cs="Times New Roman"/>
        </w:rPr>
        <w:t xml:space="preserve"> the value chain. </w:t>
      </w:r>
      <w:r w:rsidRPr="00C91EA2">
        <w:rPr>
          <w:rFonts w:ascii="Times New Roman" w:hAnsi="Times New Roman" w:cs="Times New Roman"/>
        </w:rPr>
        <w:fldChar w:fldCharType="begin"/>
      </w:r>
      <w:r w:rsidRPr="00C91EA2">
        <w:rPr>
          <w:rFonts w:ascii="Times New Roman" w:hAnsi="Times New Roman" w:cs="Times New Roman"/>
        </w:rPr>
        <w:instrText xml:space="preserve"> REF _Ref497845270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45</w:t>
      </w:r>
      <w:r w:rsidRPr="00C91EA2">
        <w:rPr>
          <w:rFonts w:ascii="Times New Roman" w:hAnsi="Times New Roman" w:cs="Times New Roman"/>
        </w:rPr>
        <w:fldChar w:fldCharType="end"/>
      </w:r>
      <w:r w:rsidRPr="00C91EA2">
        <w:rPr>
          <w:rFonts w:ascii="Times New Roman" w:hAnsi="Times New Roman" w:cs="Times New Roman"/>
        </w:rPr>
        <w:t xml:space="preserve"> shows the primary uses of Senegalese groundnut production.</w:t>
      </w:r>
    </w:p>
    <w:p w14:paraId="2BCD800D" w14:textId="77777777" w:rsidR="00377635" w:rsidRPr="00C91EA2" w:rsidRDefault="00377635" w:rsidP="00377635">
      <w:pPr>
        <w:jc w:val="both"/>
        <w:rPr>
          <w:rFonts w:ascii="Times New Roman" w:hAnsi="Times New Roman" w:cs="Times New Roman"/>
        </w:rPr>
      </w:pPr>
    </w:p>
    <w:tbl>
      <w:tblPr>
        <w:tblStyle w:val="TableGrid"/>
        <w:tblW w:w="8856" w:type="dxa"/>
        <w:tblLook w:val="04A0" w:firstRow="1" w:lastRow="0" w:firstColumn="1" w:lastColumn="0" w:noHBand="0" w:noVBand="1"/>
      </w:tblPr>
      <w:tblGrid>
        <w:gridCol w:w="8856"/>
      </w:tblGrid>
      <w:tr w:rsidR="00377635" w:rsidRPr="00C91EA2" w14:paraId="39CFCE16" w14:textId="77777777" w:rsidTr="00D72C42">
        <w:tc>
          <w:tcPr>
            <w:tcW w:w="8856" w:type="dxa"/>
            <w:tcBorders>
              <w:top w:val="single" w:sz="4" w:space="0" w:color="auto"/>
              <w:left w:val="single" w:sz="4" w:space="0" w:color="auto"/>
              <w:bottom w:val="single" w:sz="4" w:space="0" w:color="auto"/>
              <w:right w:val="single" w:sz="4" w:space="0" w:color="auto"/>
            </w:tcBorders>
            <w:hideMark/>
          </w:tcPr>
          <w:p w14:paraId="05B63304" w14:textId="109EEAAD" w:rsidR="00377635" w:rsidRPr="00C91EA2" w:rsidRDefault="00377635">
            <w:pPr>
              <w:keepNext/>
              <w:rPr>
                <w:rFonts w:ascii="Times New Roman" w:hAnsi="Times New Roman" w:cs="Times New Roman"/>
                <w:b/>
                <w:sz w:val="20"/>
                <w:szCs w:val="20"/>
              </w:rPr>
            </w:pPr>
            <w:bookmarkStart w:id="201" w:name="_Ref497633422"/>
            <w:bookmarkStart w:id="202" w:name="_Ref520390723"/>
            <w:bookmarkStart w:id="203" w:name="_Toc520725600"/>
            <w:r w:rsidRPr="00C91EA2">
              <w:rPr>
                <w:rFonts w:ascii="Times New Roman" w:hAnsi="Times New Roman" w:cs="Times New Roman"/>
                <w:b/>
                <w:sz w:val="20"/>
                <w:szCs w:val="20"/>
              </w:rPr>
              <w:t xml:space="preserve">Figure </w:t>
            </w:r>
            <w:r w:rsidR="00D91B27">
              <w:rPr>
                <w:rFonts w:ascii="Times New Roman" w:hAnsi="Times New Roman" w:cs="Times New Roman"/>
                <w:b/>
                <w:sz w:val="20"/>
                <w:szCs w:val="20"/>
              </w:rPr>
              <w:fldChar w:fldCharType="begin"/>
            </w:r>
            <w:r w:rsidR="00D91B27">
              <w:rPr>
                <w:rFonts w:ascii="Times New Roman" w:hAnsi="Times New Roman" w:cs="Times New Roman"/>
                <w:b/>
                <w:sz w:val="20"/>
                <w:szCs w:val="20"/>
              </w:rPr>
              <w:instrText xml:space="preserve"> SEQ Figure \* ARABIC </w:instrText>
            </w:r>
            <w:r w:rsidR="00D91B27">
              <w:rPr>
                <w:rFonts w:ascii="Times New Roman" w:hAnsi="Times New Roman" w:cs="Times New Roman"/>
                <w:b/>
                <w:sz w:val="20"/>
                <w:szCs w:val="20"/>
              </w:rPr>
              <w:fldChar w:fldCharType="separate"/>
            </w:r>
            <w:r w:rsidR="008261B2">
              <w:rPr>
                <w:rFonts w:ascii="Times New Roman" w:hAnsi="Times New Roman" w:cs="Times New Roman"/>
                <w:b/>
                <w:noProof/>
                <w:sz w:val="20"/>
                <w:szCs w:val="20"/>
              </w:rPr>
              <w:t>44</w:t>
            </w:r>
            <w:r w:rsidR="00D91B27">
              <w:rPr>
                <w:rFonts w:ascii="Times New Roman" w:hAnsi="Times New Roman" w:cs="Times New Roman"/>
                <w:b/>
                <w:sz w:val="20"/>
                <w:szCs w:val="20"/>
              </w:rPr>
              <w:fldChar w:fldCharType="end"/>
            </w:r>
            <w:bookmarkEnd w:id="201"/>
            <w:bookmarkEnd w:id="202"/>
            <w:r w:rsidRPr="00C91EA2">
              <w:rPr>
                <w:rFonts w:ascii="Times New Roman" w:hAnsi="Times New Roman" w:cs="Times New Roman"/>
                <w:b/>
                <w:sz w:val="20"/>
                <w:szCs w:val="20"/>
              </w:rPr>
              <w:t>: Overview of Senegalese groundnut value chain</w:t>
            </w:r>
            <w:bookmarkEnd w:id="203"/>
          </w:p>
        </w:tc>
      </w:tr>
      <w:tr w:rsidR="00377635" w:rsidRPr="00C91EA2" w14:paraId="54966545" w14:textId="77777777" w:rsidTr="00D72C42">
        <w:tc>
          <w:tcPr>
            <w:tcW w:w="8856" w:type="dxa"/>
            <w:tcBorders>
              <w:top w:val="single" w:sz="4" w:space="0" w:color="auto"/>
              <w:left w:val="single" w:sz="4" w:space="0" w:color="auto"/>
              <w:bottom w:val="single" w:sz="4" w:space="0" w:color="auto"/>
              <w:right w:val="single" w:sz="4" w:space="0" w:color="auto"/>
            </w:tcBorders>
            <w:hideMark/>
          </w:tcPr>
          <w:p w14:paraId="7421ED38" w14:textId="77777777" w:rsidR="00377635" w:rsidRPr="00C91EA2" w:rsidRDefault="00377635">
            <w:pPr>
              <w:rPr>
                <w:rFonts w:ascii="Times New Roman" w:hAnsi="Times New Roman" w:cs="Times New Roman"/>
                <w:b/>
                <w:sz w:val="24"/>
                <w:szCs w:val="24"/>
              </w:rPr>
            </w:pPr>
            <w:r w:rsidRPr="00C91EA2">
              <w:rPr>
                <w:rFonts w:ascii="Times New Roman" w:hAnsi="Times New Roman" w:cs="Times New Roman"/>
                <w:noProof/>
              </w:rPr>
              <w:drawing>
                <wp:inline distT="0" distB="0" distL="0" distR="0" wp14:anchorId="23DFEF71" wp14:editId="60F18389">
                  <wp:extent cx="5486400" cy="381952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3819525"/>
                          </a:xfrm>
                          <a:prstGeom prst="rect">
                            <a:avLst/>
                          </a:prstGeom>
                          <a:noFill/>
                          <a:ln>
                            <a:noFill/>
                          </a:ln>
                        </pic:spPr>
                      </pic:pic>
                    </a:graphicData>
                  </a:graphic>
                </wp:inline>
              </w:drawing>
            </w:r>
            <w:r w:rsidRPr="00C91EA2">
              <w:rPr>
                <w:rFonts w:ascii="Times New Roman" w:eastAsiaTheme="minorEastAsia" w:hAnsi="Times New Roman" w:cs="Times New Roman"/>
                <w:noProof/>
                <w:sz w:val="24"/>
                <w:szCs w:val="24"/>
              </w:rPr>
              <w:t xml:space="preserve"> </w:t>
            </w:r>
          </w:p>
        </w:tc>
      </w:tr>
      <w:tr w:rsidR="00377635" w:rsidRPr="00C91EA2" w14:paraId="31065718" w14:textId="77777777" w:rsidTr="00D72C42">
        <w:tc>
          <w:tcPr>
            <w:tcW w:w="8856" w:type="dxa"/>
            <w:tcBorders>
              <w:top w:val="single" w:sz="4" w:space="0" w:color="auto"/>
              <w:left w:val="single" w:sz="4" w:space="0" w:color="auto"/>
              <w:bottom w:val="single" w:sz="4" w:space="0" w:color="auto"/>
              <w:right w:val="single" w:sz="4" w:space="0" w:color="auto"/>
            </w:tcBorders>
            <w:hideMark/>
          </w:tcPr>
          <w:p w14:paraId="28B7DF82" w14:textId="77777777" w:rsidR="00377635" w:rsidRPr="00C91EA2" w:rsidRDefault="00377635">
            <w:pPr>
              <w:rPr>
                <w:rFonts w:ascii="Times New Roman" w:hAnsi="Times New Roman" w:cs="Times New Roman"/>
                <w:sz w:val="24"/>
                <w:szCs w:val="24"/>
              </w:rPr>
            </w:pPr>
            <w:r w:rsidRPr="00C91EA2">
              <w:rPr>
                <w:rFonts w:ascii="Times New Roman" w:hAnsi="Times New Roman" w:cs="Times New Roman"/>
                <w:sz w:val="20"/>
                <w:szCs w:val="24"/>
              </w:rPr>
              <w:t>Source: Authors’ visualization</w:t>
            </w:r>
          </w:p>
        </w:tc>
      </w:tr>
    </w:tbl>
    <w:p w14:paraId="5B47F787" w14:textId="77777777" w:rsidR="00377635" w:rsidRDefault="00377635" w:rsidP="00377635">
      <w:pPr>
        <w:jc w:val="both"/>
        <w:rPr>
          <w:rFonts w:ascii="Times New Roman" w:hAnsi="Times New Roman" w:cs="Times New Roman"/>
        </w:rPr>
      </w:pPr>
    </w:p>
    <w:p w14:paraId="72EFDEA4" w14:textId="77777777" w:rsidR="00D72C42" w:rsidRDefault="00D72C42" w:rsidP="00377635">
      <w:pPr>
        <w:jc w:val="both"/>
        <w:rPr>
          <w:rFonts w:ascii="Times New Roman" w:hAnsi="Times New Roman" w:cs="Times New Roman"/>
        </w:rPr>
      </w:pPr>
    </w:p>
    <w:tbl>
      <w:tblPr>
        <w:tblStyle w:val="TableGrid"/>
        <w:tblW w:w="8725" w:type="dxa"/>
        <w:tblLook w:val="04A0" w:firstRow="1" w:lastRow="0" w:firstColumn="1" w:lastColumn="0" w:noHBand="0" w:noVBand="1"/>
      </w:tblPr>
      <w:tblGrid>
        <w:gridCol w:w="8826"/>
      </w:tblGrid>
      <w:tr w:rsidR="00D72C42" w:rsidRPr="00C91EA2" w14:paraId="00661BDC" w14:textId="77777777" w:rsidTr="00D72C42">
        <w:tc>
          <w:tcPr>
            <w:tcW w:w="8725" w:type="dxa"/>
            <w:tcBorders>
              <w:top w:val="single" w:sz="4" w:space="0" w:color="auto"/>
              <w:left w:val="single" w:sz="4" w:space="0" w:color="auto"/>
              <w:bottom w:val="single" w:sz="4" w:space="0" w:color="auto"/>
              <w:right w:val="single" w:sz="4" w:space="0" w:color="auto"/>
            </w:tcBorders>
            <w:hideMark/>
          </w:tcPr>
          <w:p w14:paraId="773D294B" w14:textId="468B0B4B" w:rsidR="00D72C42" w:rsidRPr="00C91EA2" w:rsidRDefault="00D72C42" w:rsidP="00D72C42">
            <w:pPr>
              <w:keepNext/>
              <w:rPr>
                <w:rFonts w:ascii="Times New Roman" w:hAnsi="Times New Roman" w:cs="Times New Roman"/>
                <w:b/>
                <w:sz w:val="20"/>
                <w:szCs w:val="20"/>
              </w:rPr>
            </w:pPr>
            <w:bookmarkStart w:id="204" w:name="_Ref497845270"/>
            <w:bookmarkStart w:id="205" w:name="_Toc520725601"/>
            <w:r w:rsidRPr="00C91EA2">
              <w:rPr>
                <w:rFonts w:ascii="Times New Roman" w:hAnsi="Times New Roman" w:cs="Times New Roman"/>
                <w:b/>
                <w:sz w:val="20"/>
                <w:szCs w:val="20"/>
              </w:rPr>
              <w:t xml:space="preserve">Figure </w:t>
            </w:r>
            <w:r w:rsidR="00D91B27">
              <w:rPr>
                <w:rFonts w:ascii="Times New Roman" w:hAnsi="Times New Roman" w:cs="Times New Roman"/>
                <w:b/>
                <w:sz w:val="20"/>
                <w:szCs w:val="20"/>
              </w:rPr>
              <w:fldChar w:fldCharType="begin"/>
            </w:r>
            <w:r w:rsidR="00D91B27">
              <w:rPr>
                <w:rFonts w:ascii="Times New Roman" w:hAnsi="Times New Roman" w:cs="Times New Roman"/>
                <w:b/>
                <w:sz w:val="20"/>
                <w:szCs w:val="20"/>
              </w:rPr>
              <w:instrText xml:space="preserve"> SEQ Figure \* ARABIC </w:instrText>
            </w:r>
            <w:r w:rsidR="00D91B27">
              <w:rPr>
                <w:rFonts w:ascii="Times New Roman" w:hAnsi="Times New Roman" w:cs="Times New Roman"/>
                <w:b/>
                <w:sz w:val="20"/>
                <w:szCs w:val="20"/>
              </w:rPr>
              <w:fldChar w:fldCharType="separate"/>
            </w:r>
            <w:r w:rsidR="008261B2">
              <w:rPr>
                <w:rFonts w:ascii="Times New Roman" w:hAnsi="Times New Roman" w:cs="Times New Roman"/>
                <w:b/>
                <w:noProof/>
                <w:sz w:val="20"/>
                <w:szCs w:val="20"/>
              </w:rPr>
              <w:t>45</w:t>
            </w:r>
            <w:r w:rsidR="00D91B27">
              <w:rPr>
                <w:rFonts w:ascii="Times New Roman" w:hAnsi="Times New Roman" w:cs="Times New Roman"/>
                <w:b/>
                <w:sz w:val="20"/>
                <w:szCs w:val="20"/>
              </w:rPr>
              <w:fldChar w:fldCharType="end"/>
            </w:r>
            <w:bookmarkEnd w:id="204"/>
            <w:r w:rsidRPr="00C91EA2">
              <w:rPr>
                <w:rFonts w:ascii="Times New Roman" w:hAnsi="Times New Roman" w:cs="Times New Roman"/>
                <w:b/>
                <w:sz w:val="20"/>
                <w:szCs w:val="20"/>
              </w:rPr>
              <w:t>: Primary uses of Senegalese raw groundnut production (2015/16 and 2016/17 data)</w:t>
            </w:r>
            <w:bookmarkEnd w:id="205"/>
          </w:p>
        </w:tc>
      </w:tr>
      <w:tr w:rsidR="00D72C42" w:rsidRPr="00C91EA2" w14:paraId="180FF9AA" w14:textId="77777777" w:rsidTr="00D72C42">
        <w:tc>
          <w:tcPr>
            <w:tcW w:w="8725" w:type="dxa"/>
            <w:tcBorders>
              <w:top w:val="single" w:sz="4" w:space="0" w:color="auto"/>
              <w:left w:val="single" w:sz="4" w:space="0" w:color="auto"/>
              <w:bottom w:val="single" w:sz="4" w:space="0" w:color="auto"/>
              <w:right w:val="single" w:sz="4" w:space="0" w:color="auto"/>
            </w:tcBorders>
            <w:hideMark/>
          </w:tcPr>
          <w:p w14:paraId="684772E7" w14:textId="77777777" w:rsidR="00D72C42" w:rsidRPr="00C91EA2" w:rsidRDefault="00D72C42" w:rsidP="00D72C42">
            <w:pPr>
              <w:rPr>
                <w:rFonts w:ascii="Times New Roman" w:hAnsi="Times New Roman" w:cs="Times New Roman"/>
              </w:rPr>
            </w:pPr>
            <w:r w:rsidRPr="00C91EA2">
              <w:rPr>
                <w:rFonts w:ascii="Times New Roman" w:hAnsi="Times New Roman" w:cs="Times New Roman"/>
                <w:noProof/>
              </w:rPr>
              <w:drawing>
                <wp:inline distT="0" distB="0" distL="0" distR="0" wp14:anchorId="2C501588" wp14:editId="1756D86D">
                  <wp:extent cx="5467350" cy="127635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7350" cy="1276350"/>
                          </a:xfrm>
                          <a:prstGeom prst="rect">
                            <a:avLst/>
                          </a:prstGeom>
                          <a:noFill/>
                          <a:ln>
                            <a:noFill/>
                          </a:ln>
                        </pic:spPr>
                      </pic:pic>
                    </a:graphicData>
                  </a:graphic>
                </wp:inline>
              </w:drawing>
            </w:r>
          </w:p>
        </w:tc>
      </w:tr>
      <w:tr w:rsidR="00D72C42" w:rsidRPr="00C91EA2" w14:paraId="199CE27D" w14:textId="77777777" w:rsidTr="00D72C42">
        <w:tc>
          <w:tcPr>
            <w:tcW w:w="8725" w:type="dxa"/>
            <w:tcBorders>
              <w:top w:val="single" w:sz="4" w:space="0" w:color="auto"/>
              <w:left w:val="single" w:sz="4" w:space="0" w:color="auto"/>
              <w:bottom w:val="single" w:sz="4" w:space="0" w:color="auto"/>
              <w:right w:val="single" w:sz="4" w:space="0" w:color="auto"/>
            </w:tcBorders>
            <w:hideMark/>
          </w:tcPr>
          <w:p w14:paraId="37E9A648" w14:textId="77777777" w:rsidR="00D72C42" w:rsidRPr="00C91EA2" w:rsidRDefault="00D72C42" w:rsidP="00D72C42">
            <w:pPr>
              <w:rPr>
                <w:rFonts w:ascii="Times New Roman" w:hAnsi="Times New Roman" w:cs="Times New Roman"/>
              </w:rPr>
            </w:pPr>
            <w:r w:rsidRPr="00C91EA2">
              <w:rPr>
                <w:rFonts w:ascii="Times New Roman" w:hAnsi="Times New Roman" w:cs="Times New Roman"/>
                <w:sz w:val="20"/>
                <w:szCs w:val="24"/>
              </w:rPr>
              <w:t>Source: Authors’ visualization; various sources</w:t>
            </w:r>
          </w:p>
        </w:tc>
      </w:tr>
    </w:tbl>
    <w:p w14:paraId="2E0931B9" w14:textId="77777777" w:rsidR="00E21A62" w:rsidRDefault="00E21A62" w:rsidP="00E21A62">
      <w:pPr>
        <w:jc w:val="both"/>
        <w:rPr>
          <w:rFonts w:ascii="Times New Roman" w:hAnsi="Times New Roman" w:cs="Times New Roman"/>
          <w:sz w:val="20"/>
          <w:szCs w:val="20"/>
        </w:rPr>
      </w:pPr>
      <w:r>
        <w:rPr>
          <w:rFonts w:ascii="Times New Roman" w:hAnsi="Times New Roman" w:cs="Times New Roman"/>
          <w:sz w:val="20"/>
          <w:szCs w:val="20"/>
        </w:rPr>
        <w:t xml:space="preserve">. </w:t>
      </w:r>
    </w:p>
    <w:p w14:paraId="31C5539C" w14:textId="77777777" w:rsidR="00377635" w:rsidRPr="00C91EA2" w:rsidRDefault="00377635" w:rsidP="00377635">
      <w:pPr>
        <w:jc w:val="both"/>
        <w:rPr>
          <w:rFonts w:ascii="Times New Roman" w:hAnsi="Times New Roman" w:cs="Times New Roman"/>
          <w:b/>
        </w:rPr>
      </w:pPr>
    </w:p>
    <w:p w14:paraId="05012873" w14:textId="3EEAAA00" w:rsidR="00E21A62" w:rsidRPr="007575D7" w:rsidRDefault="00377635" w:rsidP="007575D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bCs/>
        </w:rPr>
        <w:t>Given t</w:t>
      </w:r>
      <w:r w:rsidRPr="00C91EA2">
        <w:rPr>
          <w:rFonts w:ascii="Times New Roman" w:hAnsi="Times New Roman" w:cs="Times New Roman"/>
          <w:b/>
        </w:rPr>
        <w:t xml:space="preserve">he overall value chain structure, three groups of markets emerge as central to the understanding of the dynamics of the value chain and will form the focus of this assessment. </w:t>
      </w:r>
      <w:r w:rsidRPr="00C91EA2">
        <w:rPr>
          <w:rFonts w:ascii="Times New Roman" w:hAnsi="Times New Roman" w:cs="Times New Roman"/>
        </w:rPr>
        <w:t xml:space="preserve">These are: i) input (seed and fertilizer) markets; ii) the market for buying from farmers; and iii) the vegetable oil production market (crude and refined). These markets are indicated along the value chain in </w:t>
      </w:r>
      <w:r w:rsidR="00D7012C" w:rsidRPr="00D7012C">
        <w:rPr>
          <w:rFonts w:ascii="Times New Roman" w:hAnsi="Times New Roman" w:cs="Times New Roman"/>
        </w:rPr>
        <w:fldChar w:fldCharType="begin"/>
      </w:r>
      <w:r w:rsidR="00D7012C" w:rsidRPr="00D7012C">
        <w:rPr>
          <w:rFonts w:ascii="Times New Roman" w:hAnsi="Times New Roman" w:cs="Times New Roman"/>
        </w:rPr>
        <w:instrText xml:space="preserve"> REF _Ref520390723 \h </w:instrText>
      </w:r>
      <w:r w:rsidR="00D7012C" w:rsidRPr="007575D7">
        <w:rPr>
          <w:rFonts w:ascii="Times New Roman" w:hAnsi="Times New Roman" w:cs="Times New Roman"/>
        </w:rPr>
        <w:instrText xml:space="preserve"> \* MERGEFORMAT </w:instrText>
      </w:r>
      <w:r w:rsidR="00D7012C" w:rsidRPr="00D7012C">
        <w:rPr>
          <w:rFonts w:ascii="Times New Roman" w:hAnsi="Times New Roman" w:cs="Times New Roman"/>
        </w:rPr>
      </w:r>
      <w:r w:rsidR="00D7012C" w:rsidRPr="00D7012C">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44</w:t>
      </w:r>
      <w:r w:rsidR="00D7012C" w:rsidRPr="00D7012C">
        <w:rPr>
          <w:rFonts w:ascii="Times New Roman" w:hAnsi="Times New Roman" w:cs="Times New Roman"/>
        </w:rPr>
        <w:fldChar w:fldCharType="end"/>
      </w:r>
      <w:r w:rsidR="00D7012C">
        <w:rPr>
          <w:rFonts w:ascii="Times New Roman" w:hAnsi="Times New Roman" w:cs="Times New Roman"/>
        </w:rPr>
        <w:t xml:space="preserve"> </w:t>
      </w:r>
      <w:r w:rsidR="0022227B">
        <w:rPr>
          <w:rFonts w:ascii="Times New Roman" w:hAnsi="Times New Roman" w:cs="Times New Roman"/>
        </w:rPr>
        <w:t>above</w:t>
      </w:r>
      <w:r w:rsidRPr="00C91EA2">
        <w:rPr>
          <w:rFonts w:ascii="Times New Roman" w:hAnsi="Times New Roman" w:cs="Times New Roman"/>
        </w:rPr>
        <w:t xml:space="preserve">. The input market is crucial for the overall development of the value chain and is central to the achievement of the </w:t>
      </w:r>
      <w:r w:rsidR="0045583C">
        <w:rPr>
          <w:rFonts w:ascii="Times New Roman" w:hAnsi="Times New Roman" w:cs="Times New Roman"/>
        </w:rPr>
        <w:t>Government</w:t>
      </w:r>
      <w:r w:rsidRPr="00C91EA2">
        <w:rPr>
          <w:rFonts w:ascii="Times New Roman" w:hAnsi="Times New Roman" w:cs="Times New Roman"/>
        </w:rPr>
        <w:t xml:space="preserve">’s objective to increase yields and ensure sufficient throughput for processors. The market for buying from farmers determines farmgate prices, and thus the incentives for farmers to produce and the ability of processors and exporters to enter, procure inputs, and compete. Finally, the market </w:t>
      </w:r>
      <w:proofErr w:type="gramStart"/>
      <w:r w:rsidRPr="00C91EA2">
        <w:rPr>
          <w:rFonts w:ascii="Times New Roman" w:hAnsi="Times New Roman" w:cs="Times New Roman"/>
        </w:rPr>
        <w:t>for the production of</w:t>
      </w:r>
      <w:proofErr w:type="gramEnd"/>
      <w:r w:rsidRPr="00C91EA2">
        <w:rPr>
          <w:rFonts w:ascii="Times New Roman" w:hAnsi="Times New Roman" w:cs="Times New Roman"/>
        </w:rPr>
        <w:t xml:space="preserve"> vegetable oils determines the ability of local processors to be internationally competitive and to provide affordable products to domestic consumers. Since some millers import crude vegetable oils (primarily soy bean oil) and refine those for the local market as a substitute for groundnut oil, crude vegetable oils are shown to compete in the same relevant market as crude groundnut oil. Likewise, the import of refined vegetable oils (soy bean and palm oil) are shown to lie in the same relevant market as refined groundnut oil</w:t>
      </w:r>
      <w:r w:rsidR="00462335">
        <w:rPr>
          <w:rFonts w:ascii="Times New Roman" w:hAnsi="Times New Roman" w:cs="Times New Roman"/>
        </w:rPr>
        <w:t>.</w:t>
      </w:r>
    </w:p>
    <w:p w14:paraId="18797A41" w14:textId="77777777" w:rsidR="00E21A62" w:rsidRPr="00C91EA2" w:rsidRDefault="00E21A62" w:rsidP="00AA15ED">
      <w:pPr>
        <w:jc w:val="both"/>
        <w:rPr>
          <w:rFonts w:ascii="Times New Roman" w:hAnsi="Times New Roman" w:cs="Times New Roman"/>
        </w:rPr>
      </w:pPr>
    </w:p>
    <w:p w14:paraId="0753C51E" w14:textId="677C9D60"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w:t>
      </w:r>
      <w:r w:rsidR="0045583C">
        <w:rPr>
          <w:rFonts w:ascii="Times New Roman" w:hAnsi="Times New Roman" w:cs="Times New Roman"/>
          <w:b/>
        </w:rPr>
        <w:t>Government</w:t>
      </w:r>
      <w:r w:rsidRPr="00C91EA2">
        <w:rPr>
          <w:rFonts w:ascii="Times New Roman" w:hAnsi="Times New Roman" w:cs="Times New Roman"/>
          <w:b/>
        </w:rPr>
        <w:t xml:space="preserve">’s three PSE objectives for the groundnut sector </w:t>
      </w:r>
      <w:r w:rsidRPr="00C91EA2">
        <w:rPr>
          <w:rFonts w:ascii="Times New Roman" w:hAnsi="Times New Roman" w:cs="Times New Roman"/>
          <w:b/>
          <w:bCs/>
        </w:rPr>
        <w:t>are interlinked through market dynamics and competition along the value chain, particularly between the three focus markets of this assessment.</w:t>
      </w:r>
      <w:r w:rsidRPr="00C91EA2">
        <w:rPr>
          <w:rFonts w:ascii="Times New Roman" w:hAnsi="Times New Roman" w:cs="Times New Roman"/>
        </w:rPr>
        <w:t xml:space="preserve"> </w:t>
      </w:r>
      <w:r w:rsidRPr="00C91EA2">
        <w:rPr>
          <w:rFonts w:ascii="Times New Roman" w:hAnsi="Times New Roman" w:cs="Times New Roman"/>
        </w:rPr>
        <w:fldChar w:fldCharType="begin"/>
      </w:r>
      <w:r w:rsidRPr="00C91EA2">
        <w:rPr>
          <w:rFonts w:ascii="Times New Roman" w:hAnsi="Times New Roman" w:cs="Times New Roman"/>
        </w:rPr>
        <w:instrText xml:space="preserve"> REF _Ref497663084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46</w:t>
      </w:r>
      <w:r w:rsidRPr="00C91EA2">
        <w:rPr>
          <w:rFonts w:ascii="Times New Roman" w:hAnsi="Times New Roman" w:cs="Times New Roman"/>
        </w:rPr>
        <w:fldChar w:fldCharType="end"/>
      </w:r>
      <w:r w:rsidRPr="00C91EA2">
        <w:rPr>
          <w:rFonts w:ascii="Times New Roman" w:hAnsi="Times New Roman" w:cs="Times New Roman"/>
        </w:rPr>
        <w:t xml:space="preserve"> outlines how, if markets function well and allow for competition between players, a virtuous circle between key markets in the value chain</w:t>
      </w:r>
      <w:r w:rsidR="006C11DC">
        <w:rPr>
          <w:rFonts w:ascii="Times New Roman" w:hAnsi="Times New Roman" w:cs="Times New Roman"/>
        </w:rPr>
        <w:t xml:space="preserve"> can</w:t>
      </w:r>
      <w:r w:rsidRPr="00C91EA2">
        <w:rPr>
          <w:rFonts w:ascii="Times New Roman" w:hAnsi="Times New Roman" w:cs="Times New Roman"/>
        </w:rPr>
        <w:t xml:space="preserve"> lead to welfare gains for consumers (through lower consumer prices), for farmers (through increased incomes), and can help boost international competitiveness and create better jobs. In particular:</w:t>
      </w:r>
    </w:p>
    <w:p w14:paraId="33BDB789" w14:textId="77777777" w:rsidR="00377635" w:rsidRPr="00C91EA2" w:rsidRDefault="00377635" w:rsidP="00377635">
      <w:pPr>
        <w:jc w:val="both"/>
        <w:rPr>
          <w:rFonts w:ascii="Times New Roman" w:hAnsi="Times New Roman" w:cs="Times New Roman"/>
          <w:b/>
        </w:rPr>
      </w:pPr>
    </w:p>
    <w:p w14:paraId="1036DFFC" w14:textId="77777777" w:rsidR="00377635" w:rsidRPr="00C91EA2" w:rsidRDefault="00377635" w:rsidP="00377635">
      <w:pPr>
        <w:pStyle w:val="ListParagraph"/>
        <w:numPr>
          <w:ilvl w:val="0"/>
          <w:numId w:val="105"/>
        </w:numPr>
        <w:jc w:val="both"/>
        <w:rPr>
          <w:rFonts w:ascii="Times New Roman" w:hAnsi="Times New Roman" w:cs="Times New Roman"/>
        </w:rPr>
      </w:pPr>
      <w:r w:rsidRPr="00C91EA2">
        <w:rPr>
          <w:rFonts w:ascii="Times New Roman" w:hAnsi="Times New Roman" w:cs="Times New Roman"/>
          <w:b/>
        </w:rPr>
        <w:t xml:space="preserve">Market dynamics in input markets affect the price and availability of quality seeds and fertilizer, </w:t>
      </w:r>
      <w:r w:rsidRPr="00C91EA2">
        <w:rPr>
          <w:rFonts w:ascii="Times New Roman" w:hAnsi="Times New Roman" w:cs="Times New Roman"/>
        </w:rPr>
        <w:t xml:space="preserve">which drives usage of these inputs and therefore productivity and yields in the production of groundnuts, thus indirectly affecting incomes of farmers. </w:t>
      </w:r>
    </w:p>
    <w:p w14:paraId="243B7887" w14:textId="24E396FC" w:rsidR="00377635" w:rsidRPr="00C91EA2" w:rsidRDefault="00377635" w:rsidP="00377635">
      <w:pPr>
        <w:pStyle w:val="ListParagraph"/>
        <w:numPr>
          <w:ilvl w:val="0"/>
          <w:numId w:val="105"/>
        </w:numPr>
        <w:jc w:val="both"/>
        <w:rPr>
          <w:rFonts w:ascii="Times New Roman" w:hAnsi="Times New Roman" w:cs="Times New Roman"/>
        </w:rPr>
      </w:pPr>
      <w:r w:rsidRPr="00C91EA2">
        <w:rPr>
          <w:rFonts w:ascii="Times New Roman" w:hAnsi="Times New Roman" w:cs="Times New Roman"/>
          <w:b/>
          <w:bCs/>
        </w:rPr>
        <w:t>Market dynamics in the market for buying raw groundnut</w:t>
      </w:r>
      <w:r w:rsidR="00862F75">
        <w:rPr>
          <w:rFonts w:ascii="Times New Roman" w:hAnsi="Times New Roman" w:cs="Times New Roman"/>
          <w:b/>
          <w:bCs/>
        </w:rPr>
        <w:t>s</w:t>
      </w:r>
      <w:r w:rsidRPr="00C91EA2">
        <w:rPr>
          <w:rFonts w:ascii="Times New Roman" w:hAnsi="Times New Roman" w:cs="Times New Roman"/>
          <w:b/>
          <w:bCs/>
        </w:rPr>
        <w:t xml:space="preserve"> </w:t>
      </w:r>
      <w:r w:rsidRPr="00C91EA2">
        <w:rPr>
          <w:rFonts w:ascii="Times New Roman" w:hAnsi="Times New Roman" w:cs="Times New Roman"/>
          <w:b/>
        </w:rPr>
        <w:t xml:space="preserve">determine farmer incentives to produce and invest in inputs as well as the ability of the processing industry to access groundnut inputs. </w:t>
      </w:r>
      <w:r w:rsidRPr="00C91EA2">
        <w:rPr>
          <w:rFonts w:ascii="Times New Roman" w:hAnsi="Times New Roman" w:cs="Times New Roman"/>
        </w:rPr>
        <w:t xml:space="preserve">The functioning of this market therefore supports the </w:t>
      </w:r>
      <w:r w:rsidR="003B24ED">
        <w:rPr>
          <w:rFonts w:ascii="Times New Roman" w:hAnsi="Times New Roman" w:cs="Times New Roman"/>
        </w:rPr>
        <w:t>Government</w:t>
      </w:r>
      <w:r w:rsidRPr="00C91EA2">
        <w:rPr>
          <w:rFonts w:ascii="Times New Roman" w:hAnsi="Times New Roman" w:cs="Times New Roman"/>
        </w:rPr>
        <w:t xml:space="preserve">’s objectives regarding yields and productivity in agricultural production. Prices and qualities determined on this market directly affect competition in the processing industry by affecting the ability of potential entrant processors to access inputs and enter, </w:t>
      </w:r>
      <w:proofErr w:type="gramStart"/>
      <w:r w:rsidR="00862F75">
        <w:rPr>
          <w:rFonts w:ascii="Times New Roman" w:hAnsi="Times New Roman" w:cs="Times New Roman"/>
        </w:rPr>
        <w:t>and also</w:t>
      </w:r>
      <w:proofErr w:type="gramEnd"/>
      <w:r w:rsidR="00862F75">
        <w:rPr>
          <w:rFonts w:ascii="Times New Roman" w:hAnsi="Times New Roman" w:cs="Times New Roman"/>
        </w:rPr>
        <w:t xml:space="preserve"> drive </w:t>
      </w:r>
      <w:r w:rsidRPr="00C91EA2">
        <w:rPr>
          <w:rFonts w:ascii="Times New Roman" w:hAnsi="Times New Roman" w:cs="Times New Roman"/>
        </w:rPr>
        <w:t>processors’ input costs and their ability to operate at efficient capacity.</w:t>
      </w:r>
    </w:p>
    <w:p w14:paraId="188B8C71" w14:textId="59A5F178" w:rsidR="00377635" w:rsidRPr="00C91EA2" w:rsidRDefault="00377635" w:rsidP="00377635">
      <w:pPr>
        <w:pStyle w:val="ListParagraph"/>
        <w:numPr>
          <w:ilvl w:val="0"/>
          <w:numId w:val="105"/>
        </w:numPr>
        <w:jc w:val="both"/>
        <w:rPr>
          <w:rFonts w:ascii="Times New Roman" w:hAnsi="Times New Roman" w:cs="Times New Roman"/>
        </w:rPr>
      </w:pPr>
      <w:r w:rsidRPr="00C91EA2">
        <w:rPr>
          <w:rFonts w:ascii="Times New Roman" w:hAnsi="Times New Roman" w:cs="Times New Roman"/>
          <w:b/>
          <w:bCs/>
        </w:rPr>
        <w:t xml:space="preserve">Market dynamics in the processing industry </w:t>
      </w:r>
      <w:r w:rsidRPr="00C91EA2">
        <w:rPr>
          <w:rFonts w:ascii="Times New Roman" w:hAnsi="Times New Roman" w:cs="Times New Roman"/>
          <w:bCs/>
        </w:rPr>
        <w:t xml:space="preserve">drive industry player’s incentives to </w:t>
      </w:r>
      <w:r w:rsidRPr="00C91EA2">
        <w:rPr>
          <w:rFonts w:ascii="Times New Roman" w:hAnsi="Times New Roman" w:cs="Times New Roman"/>
        </w:rPr>
        <w:t xml:space="preserve">i) improve production processes and reduce costs; ii) innovate </w:t>
      </w:r>
      <w:r w:rsidR="00B57DE1">
        <w:rPr>
          <w:rFonts w:ascii="Times New Roman" w:hAnsi="Times New Roman" w:cs="Times New Roman"/>
        </w:rPr>
        <w:t>in response</w:t>
      </w:r>
      <w:r w:rsidRPr="00C91EA2">
        <w:rPr>
          <w:rFonts w:ascii="Times New Roman" w:hAnsi="Times New Roman" w:cs="Times New Roman"/>
        </w:rPr>
        <w:t xml:space="preserve"> to international demand and improve the range of value added products produced; and iii) reduce prices of groundnut products and vegetable oils</w:t>
      </w:r>
      <w:r w:rsidR="00967935">
        <w:rPr>
          <w:rFonts w:ascii="Times New Roman" w:hAnsi="Times New Roman" w:cs="Times New Roman"/>
        </w:rPr>
        <w:t xml:space="preserve"> (both locally produced and imported)</w:t>
      </w:r>
      <w:r w:rsidRPr="00C91EA2">
        <w:rPr>
          <w:rFonts w:ascii="Times New Roman" w:hAnsi="Times New Roman" w:cs="Times New Roman"/>
        </w:rPr>
        <w:t xml:space="preserve"> in domestic markets. </w:t>
      </w:r>
      <w:r w:rsidRPr="00C91EA2">
        <w:rPr>
          <w:rFonts w:ascii="Times New Roman" w:hAnsi="Times New Roman" w:cs="Times New Roman"/>
          <w:bCs/>
        </w:rPr>
        <w:t xml:space="preserve">This would increase welfare of </w:t>
      </w:r>
      <w:r w:rsidRPr="00C91EA2">
        <w:rPr>
          <w:rFonts w:ascii="Times New Roman" w:hAnsi="Times New Roman" w:cs="Times New Roman"/>
        </w:rPr>
        <w:t xml:space="preserve">the more than 1.6m households consuming </w:t>
      </w:r>
      <w:r w:rsidRPr="00C91EA2">
        <w:rPr>
          <w:rFonts w:ascii="Times New Roman" w:hAnsi="Times New Roman" w:cs="Times New Roman"/>
          <w:bCs/>
        </w:rPr>
        <w:t>vegetable oils</w:t>
      </w:r>
      <w:r w:rsidRPr="00C91EA2">
        <w:rPr>
          <w:rStyle w:val="FootnoteReference"/>
          <w:rFonts w:ascii="Times New Roman" w:hAnsi="Times New Roman" w:cs="Times New Roman"/>
        </w:rPr>
        <w:footnoteReference w:id="117"/>
      </w:r>
      <w:r w:rsidRPr="00C91EA2">
        <w:rPr>
          <w:rFonts w:ascii="Times New Roman" w:hAnsi="Times New Roman" w:cs="Times New Roman"/>
          <w:bCs/>
        </w:rPr>
        <w:t xml:space="preserve"> while also increasing opportunities for Senegal to </w:t>
      </w:r>
      <w:r w:rsidRPr="002926ED">
        <w:rPr>
          <w:rFonts w:ascii="Times New Roman" w:hAnsi="Times New Roman" w:cs="Times New Roman"/>
          <w:bCs/>
        </w:rPr>
        <w:t>export (see).</w:t>
      </w:r>
    </w:p>
    <w:p w14:paraId="3C9783C6" w14:textId="77777777" w:rsidR="00377635" w:rsidRPr="00C91EA2" w:rsidRDefault="00377635" w:rsidP="00377635">
      <w:pPr>
        <w:pStyle w:val="ListParagraph"/>
        <w:numPr>
          <w:ilvl w:val="0"/>
          <w:numId w:val="105"/>
        </w:numPr>
        <w:jc w:val="both"/>
        <w:rPr>
          <w:rFonts w:ascii="Times New Roman" w:hAnsi="Times New Roman" w:cs="Times New Roman"/>
        </w:rPr>
      </w:pPr>
      <w:r w:rsidRPr="00C91EA2">
        <w:rPr>
          <w:rFonts w:ascii="Times New Roman" w:hAnsi="Times New Roman" w:cs="Times New Roman"/>
          <w:b/>
          <w:bCs/>
        </w:rPr>
        <w:t>Greater entry in the processing market, greater diversity of products, and increased processing productivity should boost competition in the market for buying from farmers</w:t>
      </w:r>
      <w:r w:rsidRPr="00C91EA2">
        <w:rPr>
          <w:rFonts w:ascii="Times New Roman" w:hAnsi="Times New Roman" w:cs="Times New Roman"/>
          <w:bCs/>
        </w:rPr>
        <w:t>, thus complet</w:t>
      </w:r>
      <w:r w:rsidR="001334B5">
        <w:rPr>
          <w:rFonts w:ascii="Times New Roman" w:hAnsi="Times New Roman" w:cs="Times New Roman"/>
          <w:bCs/>
        </w:rPr>
        <w:t>ing</w:t>
      </w:r>
      <w:r w:rsidRPr="00C91EA2">
        <w:rPr>
          <w:rFonts w:ascii="Times New Roman" w:hAnsi="Times New Roman" w:cs="Times New Roman"/>
          <w:bCs/>
        </w:rPr>
        <w:t xml:space="preserve"> the virtuous circle</w:t>
      </w:r>
      <w:r w:rsidR="001334B5">
        <w:rPr>
          <w:rFonts w:ascii="Times New Roman" w:hAnsi="Times New Roman" w:cs="Times New Roman"/>
          <w:bCs/>
        </w:rPr>
        <w:t>.</w:t>
      </w:r>
      <w:r w:rsidRPr="00C91EA2">
        <w:rPr>
          <w:rFonts w:ascii="Times New Roman" w:hAnsi="Times New Roman" w:cs="Times New Roman"/>
          <w:bCs/>
        </w:rPr>
        <w:t xml:space="preserve"> </w:t>
      </w:r>
    </w:p>
    <w:p w14:paraId="1BA709AA" w14:textId="77777777" w:rsidR="00377635" w:rsidRPr="00C91EA2" w:rsidRDefault="00377635" w:rsidP="00377635">
      <w:pPr>
        <w:jc w:val="both"/>
        <w:rPr>
          <w:rFonts w:ascii="Times New Roman" w:hAnsi="Times New Roman" w:cs="Times New Roman"/>
        </w:rPr>
      </w:pPr>
    </w:p>
    <w:tbl>
      <w:tblPr>
        <w:tblStyle w:val="TableGrid"/>
        <w:tblW w:w="8725" w:type="dxa"/>
        <w:tblLook w:val="04A0" w:firstRow="1" w:lastRow="0" w:firstColumn="1" w:lastColumn="0" w:noHBand="0" w:noVBand="1"/>
      </w:tblPr>
      <w:tblGrid>
        <w:gridCol w:w="8856"/>
      </w:tblGrid>
      <w:tr w:rsidR="00377635" w:rsidRPr="00C91EA2" w14:paraId="641F1A6E" w14:textId="77777777" w:rsidTr="00377635">
        <w:tc>
          <w:tcPr>
            <w:tcW w:w="8725" w:type="dxa"/>
            <w:tcBorders>
              <w:top w:val="single" w:sz="4" w:space="0" w:color="auto"/>
              <w:left w:val="single" w:sz="4" w:space="0" w:color="auto"/>
              <w:bottom w:val="single" w:sz="4" w:space="0" w:color="auto"/>
              <w:right w:val="single" w:sz="4" w:space="0" w:color="auto"/>
            </w:tcBorders>
            <w:hideMark/>
          </w:tcPr>
          <w:p w14:paraId="722A8437" w14:textId="3B4D8958" w:rsidR="00377635" w:rsidRPr="00C91EA2" w:rsidRDefault="00377635">
            <w:pPr>
              <w:keepNext/>
              <w:rPr>
                <w:rFonts w:ascii="Times New Roman" w:hAnsi="Times New Roman" w:cs="Times New Roman"/>
                <w:b/>
                <w:sz w:val="20"/>
                <w:szCs w:val="20"/>
              </w:rPr>
            </w:pPr>
            <w:bookmarkStart w:id="206" w:name="_Ref497663084"/>
            <w:bookmarkStart w:id="207" w:name="_Toc520725602"/>
            <w:r w:rsidRPr="00C91EA2">
              <w:rPr>
                <w:rFonts w:ascii="Times New Roman" w:hAnsi="Times New Roman" w:cs="Times New Roman"/>
                <w:b/>
                <w:sz w:val="20"/>
                <w:szCs w:val="20"/>
              </w:rPr>
              <w:t xml:space="preserve">Figure </w:t>
            </w:r>
            <w:r w:rsidR="00D91B27">
              <w:rPr>
                <w:rFonts w:ascii="Times New Roman" w:hAnsi="Times New Roman" w:cs="Times New Roman"/>
                <w:b/>
                <w:sz w:val="20"/>
                <w:szCs w:val="20"/>
              </w:rPr>
              <w:fldChar w:fldCharType="begin"/>
            </w:r>
            <w:r w:rsidR="00D91B27">
              <w:rPr>
                <w:rFonts w:ascii="Times New Roman" w:hAnsi="Times New Roman" w:cs="Times New Roman"/>
                <w:b/>
                <w:sz w:val="20"/>
                <w:szCs w:val="20"/>
              </w:rPr>
              <w:instrText xml:space="preserve"> SEQ Figure \* ARABIC </w:instrText>
            </w:r>
            <w:r w:rsidR="00D91B27">
              <w:rPr>
                <w:rFonts w:ascii="Times New Roman" w:hAnsi="Times New Roman" w:cs="Times New Roman"/>
                <w:b/>
                <w:sz w:val="20"/>
                <w:szCs w:val="20"/>
              </w:rPr>
              <w:fldChar w:fldCharType="separate"/>
            </w:r>
            <w:r w:rsidR="008261B2">
              <w:rPr>
                <w:rFonts w:ascii="Times New Roman" w:hAnsi="Times New Roman" w:cs="Times New Roman"/>
                <w:b/>
                <w:noProof/>
                <w:sz w:val="20"/>
                <w:szCs w:val="20"/>
              </w:rPr>
              <w:t>46</w:t>
            </w:r>
            <w:r w:rsidR="00D91B27">
              <w:rPr>
                <w:rFonts w:ascii="Times New Roman" w:hAnsi="Times New Roman" w:cs="Times New Roman"/>
                <w:b/>
                <w:sz w:val="20"/>
                <w:szCs w:val="20"/>
              </w:rPr>
              <w:fldChar w:fldCharType="end"/>
            </w:r>
            <w:bookmarkEnd w:id="206"/>
            <w:r w:rsidRPr="00C91EA2">
              <w:rPr>
                <w:rFonts w:ascii="Times New Roman" w:hAnsi="Times New Roman" w:cs="Times New Roman"/>
                <w:b/>
                <w:sz w:val="20"/>
                <w:szCs w:val="20"/>
              </w:rPr>
              <w:t>: A virtuous circle between three key markets in the value chain and their link to the PSE objectives</w:t>
            </w:r>
            <w:bookmarkEnd w:id="207"/>
          </w:p>
        </w:tc>
      </w:tr>
      <w:tr w:rsidR="00377635" w:rsidRPr="00C91EA2" w14:paraId="4945472D" w14:textId="77777777" w:rsidTr="00377635">
        <w:tc>
          <w:tcPr>
            <w:tcW w:w="8725" w:type="dxa"/>
            <w:tcBorders>
              <w:top w:val="single" w:sz="4" w:space="0" w:color="auto"/>
              <w:left w:val="single" w:sz="4" w:space="0" w:color="auto"/>
              <w:bottom w:val="single" w:sz="4" w:space="0" w:color="auto"/>
              <w:right w:val="single" w:sz="4" w:space="0" w:color="auto"/>
            </w:tcBorders>
            <w:hideMark/>
          </w:tcPr>
          <w:p w14:paraId="1845CFE5" w14:textId="77777777" w:rsidR="00377635" w:rsidRPr="00C91EA2" w:rsidRDefault="00377635">
            <w:pPr>
              <w:rPr>
                <w:rFonts w:ascii="Times New Roman" w:hAnsi="Times New Roman" w:cs="Times New Roman"/>
              </w:rPr>
            </w:pPr>
            <w:r w:rsidRPr="00C91EA2">
              <w:rPr>
                <w:rFonts w:ascii="Times New Roman" w:hAnsi="Times New Roman" w:cs="Times New Roman"/>
                <w:noProof/>
              </w:rPr>
              <w:drawing>
                <wp:anchor distT="0" distB="0" distL="114300" distR="114300" simplePos="0" relativeHeight="251651584" behindDoc="0" locked="0" layoutInCell="1" allowOverlap="1" wp14:anchorId="79B99527" wp14:editId="5F9BE4EA">
                  <wp:simplePos x="0" y="0"/>
                  <wp:positionH relativeFrom="column">
                    <wp:posOffset>-18415</wp:posOffset>
                  </wp:positionH>
                  <wp:positionV relativeFrom="paragraph">
                    <wp:posOffset>48260</wp:posOffset>
                  </wp:positionV>
                  <wp:extent cx="5486400" cy="1426210"/>
                  <wp:effectExtent l="0" t="0" r="0" b="2540"/>
                  <wp:wrapSquare wrapText="bothSides"/>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1426210"/>
                          </a:xfrm>
                          <a:prstGeom prst="rect">
                            <a:avLst/>
                          </a:prstGeom>
                          <a:noFill/>
                        </pic:spPr>
                      </pic:pic>
                    </a:graphicData>
                  </a:graphic>
                  <wp14:sizeRelH relativeFrom="page">
                    <wp14:pctWidth>0</wp14:pctWidth>
                  </wp14:sizeRelH>
                  <wp14:sizeRelV relativeFrom="page">
                    <wp14:pctHeight>0</wp14:pctHeight>
                  </wp14:sizeRelV>
                </wp:anchor>
              </w:drawing>
            </w:r>
          </w:p>
        </w:tc>
      </w:tr>
      <w:tr w:rsidR="00377635" w:rsidRPr="00C91EA2" w14:paraId="01CB2082" w14:textId="77777777" w:rsidTr="00377635">
        <w:tc>
          <w:tcPr>
            <w:tcW w:w="8725" w:type="dxa"/>
            <w:tcBorders>
              <w:top w:val="single" w:sz="4" w:space="0" w:color="auto"/>
              <w:left w:val="single" w:sz="4" w:space="0" w:color="auto"/>
              <w:bottom w:val="single" w:sz="4" w:space="0" w:color="auto"/>
              <w:right w:val="single" w:sz="4" w:space="0" w:color="auto"/>
            </w:tcBorders>
            <w:hideMark/>
          </w:tcPr>
          <w:p w14:paraId="01C87207" w14:textId="77777777" w:rsidR="00377635" w:rsidRPr="00C91EA2" w:rsidRDefault="00377635">
            <w:pPr>
              <w:rPr>
                <w:rFonts w:ascii="Times New Roman" w:hAnsi="Times New Roman" w:cs="Times New Roman"/>
              </w:rPr>
            </w:pPr>
            <w:r w:rsidRPr="00C91EA2">
              <w:rPr>
                <w:rFonts w:ascii="Times New Roman" w:hAnsi="Times New Roman" w:cs="Times New Roman"/>
                <w:sz w:val="20"/>
                <w:szCs w:val="24"/>
              </w:rPr>
              <w:t xml:space="preserve">Source: Authors’ visualization </w:t>
            </w:r>
          </w:p>
        </w:tc>
      </w:tr>
    </w:tbl>
    <w:p w14:paraId="68AAC3EA" w14:textId="77777777" w:rsidR="00377635" w:rsidRPr="00C91EA2" w:rsidRDefault="00377635" w:rsidP="00377635">
      <w:pPr>
        <w:jc w:val="both"/>
        <w:rPr>
          <w:rFonts w:ascii="Times New Roman" w:hAnsi="Times New Roman" w:cs="Times New Roman"/>
        </w:rPr>
      </w:pPr>
    </w:p>
    <w:p w14:paraId="7A2ACAAE" w14:textId="77777777" w:rsidR="00377635" w:rsidRPr="00C91EA2" w:rsidRDefault="00377635" w:rsidP="00377635">
      <w:pPr>
        <w:jc w:val="both"/>
        <w:rPr>
          <w:rFonts w:ascii="Times New Roman" w:hAnsi="Times New Roman" w:cs="Times New Roman"/>
        </w:rPr>
      </w:pPr>
    </w:p>
    <w:p w14:paraId="56AE763D" w14:textId="55E44580"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However, distortions to market functioning along this value chain can hinder the benefits of competition and obstruct the signals and incentives that would otherwise characterize these linkages. </w:t>
      </w:r>
      <w:r w:rsidRPr="00C91EA2">
        <w:rPr>
          <w:rFonts w:ascii="Times New Roman" w:hAnsi="Times New Roman" w:cs="Times New Roman"/>
        </w:rPr>
        <w:t xml:space="preserve">The remainder of this assessment examines how </w:t>
      </w:r>
      <w:r w:rsidR="003B24ED">
        <w:rPr>
          <w:rFonts w:ascii="Times New Roman" w:hAnsi="Times New Roman" w:cs="Times New Roman"/>
        </w:rPr>
        <w:t>Government</w:t>
      </w:r>
      <w:r w:rsidR="00E21A62">
        <w:rPr>
          <w:rFonts w:ascii="Times New Roman" w:hAnsi="Times New Roman" w:cs="Times New Roman"/>
        </w:rPr>
        <w:t xml:space="preserve"> </w:t>
      </w:r>
      <w:r w:rsidRPr="00C91EA2">
        <w:rPr>
          <w:rFonts w:ascii="Times New Roman" w:hAnsi="Times New Roman" w:cs="Times New Roman"/>
        </w:rPr>
        <w:t xml:space="preserve">interventions in each of the key markets identified may cause such distortions - taking into account market characteristics - interrupting the “virtuous circle” represented in </w:t>
      </w:r>
      <w:r w:rsidRPr="00C91EA2">
        <w:rPr>
          <w:rFonts w:ascii="Times New Roman" w:hAnsi="Times New Roman" w:cs="Times New Roman"/>
        </w:rPr>
        <w:fldChar w:fldCharType="begin"/>
      </w:r>
      <w:r w:rsidRPr="00C91EA2">
        <w:rPr>
          <w:rFonts w:ascii="Times New Roman" w:hAnsi="Times New Roman" w:cs="Times New Roman"/>
        </w:rPr>
        <w:instrText xml:space="preserve"> REF _Ref497663084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46</w:t>
      </w:r>
      <w:r w:rsidRPr="00C91EA2">
        <w:rPr>
          <w:rFonts w:ascii="Times New Roman" w:hAnsi="Times New Roman" w:cs="Times New Roman"/>
        </w:rPr>
        <w:fldChar w:fldCharType="end"/>
      </w:r>
      <w:r w:rsidRPr="00C91EA2">
        <w:rPr>
          <w:rFonts w:ascii="Times New Roman" w:hAnsi="Times New Roman" w:cs="Times New Roman"/>
        </w:rPr>
        <w:t xml:space="preserve">. </w:t>
      </w:r>
    </w:p>
    <w:p w14:paraId="69435270" w14:textId="569AD4D5" w:rsidR="009547FF" w:rsidRPr="00C91EA2" w:rsidRDefault="009547FF" w:rsidP="00377635">
      <w:pPr>
        <w:jc w:val="both"/>
        <w:rPr>
          <w:rFonts w:ascii="Times New Roman" w:hAnsi="Times New Roman" w:cs="Times New Roman"/>
          <w:b/>
          <w:sz w:val="20"/>
        </w:rPr>
      </w:pPr>
    </w:p>
    <w:p w14:paraId="5A4A8FC1" w14:textId="5BFC08FD" w:rsidR="002926ED" w:rsidRPr="007575D7" w:rsidRDefault="002926ED" w:rsidP="00D7012C">
      <w:pPr>
        <w:pStyle w:val="Caption"/>
        <w:keepNext/>
        <w:rPr>
          <w:rFonts w:ascii="Times New Roman" w:hAnsi="Times New Roman"/>
        </w:rPr>
      </w:pPr>
      <w:bookmarkStart w:id="208" w:name="_Toc520725796"/>
      <w:r w:rsidRPr="00D7012C">
        <w:rPr>
          <w:rFonts w:ascii="Times New Roman" w:hAnsi="Times New Roman"/>
          <w:bCs w:val="0"/>
          <w:szCs w:val="24"/>
        </w:rPr>
        <w:t xml:space="preserve">Box </w:t>
      </w:r>
      <w:r w:rsidRPr="00D7012C">
        <w:rPr>
          <w:rFonts w:ascii="Times New Roman" w:hAnsi="Times New Roman"/>
          <w:bCs w:val="0"/>
          <w:szCs w:val="24"/>
        </w:rPr>
        <w:fldChar w:fldCharType="begin"/>
      </w:r>
      <w:r w:rsidRPr="00D7012C">
        <w:rPr>
          <w:rFonts w:ascii="Times New Roman" w:hAnsi="Times New Roman"/>
          <w:bCs w:val="0"/>
          <w:szCs w:val="24"/>
        </w:rPr>
        <w:instrText xml:space="preserve"> SEQ Box \* ARABIC </w:instrText>
      </w:r>
      <w:r w:rsidRPr="00D7012C">
        <w:rPr>
          <w:rFonts w:ascii="Times New Roman" w:hAnsi="Times New Roman"/>
          <w:bCs w:val="0"/>
          <w:szCs w:val="24"/>
        </w:rPr>
        <w:fldChar w:fldCharType="separate"/>
      </w:r>
      <w:r w:rsidR="008261B2">
        <w:rPr>
          <w:rFonts w:ascii="Times New Roman" w:hAnsi="Times New Roman"/>
          <w:bCs w:val="0"/>
          <w:noProof/>
          <w:szCs w:val="24"/>
        </w:rPr>
        <w:t>8</w:t>
      </w:r>
      <w:r w:rsidRPr="00D7012C">
        <w:rPr>
          <w:rFonts w:ascii="Times New Roman" w:hAnsi="Times New Roman"/>
          <w:bCs w:val="0"/>
          <w:szCs w:val="24"/>
        </w:rPr>
        <w:fldChar w:fldCharType="end"/>
      </w:r>
      <w:r w:rsidRPr="00D7012C">
        <w:rPr>
          <w:rFonts w:ascii="Times New Roman" w:hAnsi="Times New Roman"/>
          <w:bCs w:val="0"/>
          <w:szCs w:val="24"/>
        </w:rPr>
        <w:t>:</w:t>
      </w:r>
      <w:r w:rsidRPr="007575D7">
        <w:rPr>
          <w:rFonts w:ascii="Times New Roman" w:hAnsi="Times New Roman"/>
          <w:bCs w:val="0"/>
          <w:szCs w:val="24"/>
        </w:rPr>
        <w:t xml:space="preserve"> </w:t>
      </w:r>
      <w:r w:rsidRPr="002926ED">
        <w:rPr>
          <w:rFonts w:ascii="Times New Roman" w:hAnsi="Times New Roman"/>
          <w:bCs w:val="0"/>
          <w:szCs w:val="24"/>
        </w:rPr>
        <w:t>Why domestic market competition matters for export competitiveness</w:t>
      </w:r>
      <w:bookmarkEnd w:id="2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630"/>
      </w:tblGrid>
      <w:tr w:rsidR="00377635" w:rsidRPr="00C91EA2" w14:paraId="3B9E0784" w14:textId="77777777" w:rsidTr="00D7012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829CD6" w14:textId="77777777" w:rsidR="00377635" w:rsidRPr="0022227B" w:rsidRDefault="00377635">
            <w:pPr>
              <w:jc w:val="both"/>
              <w:rPr>
                <w:rFonts w:ascii="Times New Roman" w:hAnsi="Times New Roman" w:cs="Times New Roman"/>
                <w:sz w:val="20"/>
                <w:szCs w:val="20"/>
              </w:rPr>
            </w:pPr>
            <w:r w:rsidRPr="0022227B">
              <w:rPr>
                <w:rFonts w:ascii="Times New Roman" w:hAnsi="Times New Roman" w:cs="Times New Roman"/>
                <w:sz w:val="20"/>
                <w:szCs w:val="20"/>
              </w:rPr>
              <w:t>Industries with more intense local competition are more likely to be competitive on export markets according to a 2015 review of the empirical literature on the relationship between domestic market competition and export competitiveness</w:t>
            </w:r>
            <w:r w:rsidR="00A160D2">
              <w:rPr>
                <w:rFonts w:ascii="Times New Roman" w:hAnsi="Times New Roman" w:cs="Times New Roman"/>
                <w:sz w:val="20"/>
                <w:szCs w:val="20"/>
              </w:rPr>
              <w:t>.</w:t>
            </w:r>
            <w:r w:rsidRPr="0022227B">
              <w:rPr>
                <w:rStyle w:val="FootnoteReference"/>
                <w:rFonts w:ascii="Times New Roman" w:hAnsi="Times New Roman" w:cs="Times New Roman"/>
                <w:sz w:val="20"/>
                <w:szCs w:val="20"/>
              </w:rPr>
              <w:footnoteReference w:id="118"/>
            </w:r>
            <w:r w:rsidR="00422CEA" w:rsidRPr="0022227B">
              <w:rPr>
                <w:rFonts w:ascii="Times New Roman" w:hAnsi="Times New Roman" w:cs="Times New Roman"/>
                <w:sz w:val="20"/>
                <w:szCs w:val="20"/>
              </w:rPr>
              <w:t xml:space="preserve"> </w:t>
            </w:r>
            <w:r w:rsidRPr="0022227B">
              <w:rPr>
                <w:rFonts w:ascii="Times New Roman" w:hAnsi="Times New Roman" w:cs="Times New Roman"/>
                <w:sz w:val="20"/>
                <w:szCs w:val="20"/>
              </w:rPr>
              <w:t xml:space="preserve">Empirical studies suggest that companies tend to increase their productivity and competitiveness first due to domestic pressures before successfully participating in export markets. While, domestic competition promotes firm-specific productivity, it also generates efficiency-enhancing reallocation that increases industry-wide productivity thus further boosting a country’s export competitiveness in that industry. The literature furthermore shows that more intense competition in upstream markets (e.g. inputs goods and services) positively impacts the productivity of downstream activities (e.g. processing), and therefore their competitiveness on domestic and international markets. </w:t>
            </w:r>
          </w:p>
          <w:p w14:paraId="37C77172" w14:textId="77777777" w:rsidR="00377635" w:rsidRPr="0022227B" w:rsidRDefault="00377635">
            <w:pPr>
              <w:jc w:val="both"/>
              <w:rPr>
                <w:rFonts w:ascii="Times New Roman" w:hAnsi="Times New Roman" w:cs="Times New Roman"/>
                <w:sz w:val="20"/>
                <w:szCs w:val="20"/>
              </w:rPr>
            </w:pPr>
          </w:p>
          <w:p w14:paraId="7957E2A0" w14:textId="7074080C" w:rsidR="00377635" w:rsidRPr="00C91EA2" w:rsidRDefault="00F6019D">
            <w:pPr>
              <w:keepNext/>
              <w:jc w:val="both"/>
              <w:rPr>
                <w:rFonts w:ascii="Times New Roman" w:hAnsi="Times New Roman" w:cs="Times New Roman"/>
                <w:sz w:val="24"/>
                <w:szCs w:val="24"/>
              </w:rPr>
            </w:pPr>
            <w:r>
              <w:rPr>
                <w:rFonts w:ascii="Times New Roman" w:hAnsi="Times New Roman" w:cs="Times New Roman"/>
                <w:sz w:val="20"/>
                <w:szCs w:val="20"/>
              </w:rPr>
              <w:t>In</w:t>
            </w:r>
            <w:r w:rsidRPr="0022227B">
              <w:rPr>
                <w:rFonts w:ascii="Times New Roman" w:hAnsi="Times New Roman" w:cs="Times New Roman"/>
                <w:sz w:val="20"/>
                <w:szCs w:val="20"/>
              </w:rPr>
              <w:t xml:space="preserve"> </w:t>
            </w:r>
            <w:r w:rsidR="00377635" w:rsidRPr="0022227B">
              <w:rPr>
                <w:rFonts w:ascii="Times New Roman" w:hAnsi="Times New Roman" w:cs="Times New Roman"/>
                <w:sz w:val="20"/>
                <w:szCs w:val="20"/>
              </w:rPr>
              <w:t xml:space="preserve">the case of Senegal this suggests that competition in input markets and on the market for buying from farmers can increase the productivity and efficiency of the oil processing industry. This, in turn, would enhance the industry’s competitiveness on the export market (see </w:t>
            </w:r>
            <w:r w:rsidR="00377635" w:rsidRPr="0022227B">
              <w:rPr>
                <w:rFonts w:ascii="Times New Roman" w:hAnsi="Times New Roman" w:cs="Times New Roman"/>
                <w:sz w:val="20"/>
                <w:szCs w:val="20"/>
              </w:rPr>
              <w:fldChar w:fldCharType="begin"/>
            </w:r>
            <w:r w:rsidR="00377635" w:rsidRPr="0022227B">
              <w:rPr>
                <w:rFonts w:ascii="Times New Roman" w:hAnsi="Times New Roman" w:cs="Times New Roman"/>
                <w:sz w:val="20"/>
                <w:szCs w:val="20"/>
              </w:rPr>
              <w:instrText xml:space="preserve"> REF _Ref497663084 \h  \* MERGEFORMAT </w:instrText>
            </w:r>
            <w:r w:rsidR="00377635" w:rsidRPr="0022227B">
              <w:rPr>
                <w:rFonts w:ascii="Times New Roman" w:hAnsi="Times New Roman" w:cs="Times New Roman"/>
                <w:sz w:val="20"/>
                <w:szCs w:val="20"/>
              </w:rPr>
            </w:r>
            <w:r w:rsidR="00377635" w:rsidRPr="0022227B">
              <w:rPr>
                <w:rFonts w:ascii="Times New Roman" w:hAnsi="Times New Roman" w:cs="Times New Roman"/>
                <w:sz w:val="20"/>
                <w:szCs w:val="20"/>
              </w:rPr>
              <w:fldChar w:fldCharType="separate"/>
            </w:r>
            <w:r w:rsidR="008261B2" w:rsidRPr="008261B2">
              <w:rPr>
                <w:rFonts w:ascii="Times New Roman" w:hAnsi="Times New Roman" w:cs="Times New Roman"/>
                <w:sz w:val="20"/>
                <w:szCs w:val="20"/>
              </w:rPr>
              <w:t xml:space="preserve">Figure </w:t>
            </w:r>
            <w:r w:rsidR="008261B2" w:rsidRPr="008261B2">
              <w:rPr>
                <w:rFonts w:ascii="Times New Roman" w:hAnsi="Times New Roman" w:cs="Times New Roman"/>
                <w:noProof/>
                <w:sz w:val="20"/>
                <w:szCs w:val="20"/>
              </w:rPr>
              <w:t>46</w:t>
            </w:r>
            <w:r w:rsidR="00377635" w:rsidRPr="0022227B">
              <w:rPr>
                <w:rFonts w:ascii="Times New Roman" w:hAnsi="Times New Roman" w:cs="Times New Roman"/>
                <w:sz w:val="20"/>
                <w:szCs w:val="20"/>
              </w:rPr>
              <w:fldChar w:fldCharType="end"/>
            </w:r>
            <w:r w:rsidR="00377635" w:rsidRPr="0022227B">
              <w:rPr>
                <w:rFonts w:ascii="Times New Roman" w:hAnsi="Times New Roman" w:cs="Times New Roman"/>
                <w:sz w:val="20"/>
                <w:szCs w:val="20"/>
              </w:rPr>
              <w:t xml:space="preserve"> above). A processing industry with little competition is unlikely to incentivize innovation and productivity of enterprises to ensure their competitiveness on export markets.</w:t>
            </w:r>
          </w:p>
        </w:tc>
      </w:tr>
    </w:tbl>
    <w:p w14:paraId="7F97CB85" w14:textId="77777777" w:rsidR="00E21A62" w:rsidRDefault="00E21A62" w:rsidP="00377635">
      <w:pPr>
        <w:rPr>
          <w:rFonts w:ascii="Times New Roman" w:hAnsi="Times New Roman" w:cs="Times New Roman"/>
        </w:rPr>
      </w:pPr>
    </w:p>
    <w:p w14:paraId="7D67AE90" w14:textId="77777777" w:rsidR="00E21A62" w:rsidRPr="00C91EA2" w:rsidRDefault="00E21A62" w:rsidP="00377635">
      <w:pPr>
        <w:rPr>
          <w:rFonts w:ascii="Times New Roman" w:hAnsi="Times New Roman" w:cs="Times New Roman"/>
        </w:rPr>
      </w:pPr>
    </w:p>
    <w:p w14:paraId="0DA0D742" w14:textId="3D98ECE6" w:rsidR="00377635" w:rsidRPr="00C91EA2" w:rsidRDefault="00034A8A" w:rsidP="00034A8A">
      <w:pPr>
        <w:pStyle w:val="Heading3"/>
        <w:rPr>
          <w:rFonts w:ascii="Times New Roman" w:hAnsi="Times New Roman" w:cs="Times New Roman"/>
        </w:rPr>
      </w:pPr>
      <w:bookmarkStart w:id="209" w:name="_Toc520724112"/>
      <w:bookmarkStart w:id="210" w:name="_Toc494097777"/>
      <w:r w:rsidRPr="00C91EA2">
        <w:rPr>
          <w:rFonts w:ascii="Times New Roman" w:hAnsi="Times New Roman" w:cs="Times New Roman"/>
        </w:rPr>
        <w:t>5.1.</w:t>
      </w:r>
      <w:r w:rsidR="00E95720">
        <w:rPr>
          <w:rFonts w:ascii="Times New Roman" w:hAnsi="Times New Roman" w:cs="Times New Roman"/>
        </w:rPr>
        <w:t>3</w:t>
      </w:r>
      <w:r w:rsidRPr="00C91EA2">
        <w:rPr>
          <w:rFonts w:ascii="Times New Roman" w:hAnsi="Times New Roman" w:cs="Times New Roman"/>
        </w:rPr>
        <w:t xml:space="preserve"> </w:t>
      </w:r>
      <w:r w:rsidR="00377635" w:rsidRPr="00C91EA2">
        <w:rPr>
          <w:rFonts w:ascii="Times New Roman" w:hAnsi="Times New Roman" w:cs="Times New Roman"/>
        </w:rPr>
        <w:t xml:space="preserve">An </w:t>
      </w:r>
      <w:r w:rsidR="00B37FE4">
        <w:rPr>
          <w:rFonts w:ascii="Times New Roman" w:hAnsi="Times New Roman" w:cs="Times New Roman"/>
        </w:rPr>
        <w:t>A</w:t>
      </w:r>
      <w:r w:rsidR="00377635" w:rsidRPr="00C91EA2">
        <w:rPr>
          <w:rFonts w:ascii="Times New Roman" w:hAnsi="Times New Roman" w:cs="Times New Roman"/>
        </w:rPr>
        <w:t xml:space="preserve">ssessment of </w:t>
      </w:r>
      <w:r w:rsidR="00B37FE4">
        <w:rPr>
          <w:rFonts w:ascii="Times New Roman" w:hAnsi="Times New Roman" w:cs="Times New Roman"/>
        </w:rPr>
        <w:t>M</w:t>
      </w:r>
      <w:r w:rsidR="00377635" w:rsidRPr="00C91EA2">
        <w:rPr>
          <w:rFonts w:ascii="Times New Roman" w:hAnsi="Times New Roman" w:cs="Times New Roman"/>
        </w:rPr>
        <w:t xml:space="preserve">arket </w:t>
      </w:r>
      <w:r w:rsidR="00B37FE4">
        <w:rPr>
          <w:rFonts w:ascii="Times New Roman" w:hAnsi="Times New Roman" w:cs="Times New Roman"/>
        </w:rPr>
        <w:t>D</w:t>
      </w:r>
      <w:r w:rsidR="00377635" w:rsidRPr="00C91EA2">
        <w:rPr>
          <w:rFonts w:ascii="Times New Roman" w:hAnsi="Times New Roman" w:cs="Times New Roman"/>
        </w:rPr>
        <w:t xml:space="preserve">ynamics and </w:t>
      </w:r>
      <w:r w:rsidR="003B24ED">
        <w:rPr>
          <w:rFonts w:ascii="Times New Roman" w:hAnsi="Times New Roman" w:cs="Times New Roman"/>
        </w:rPr>
        <w:t>Government</w:t>
      </w:r>
      <w:r w:rsidR="00377635" w:rsidRPr="00C91EA2">
        <w:rPr>
          <w:rFonts w:ascii="Times New Roman" w:hAnsi="Times New Roman" w:cs="Times New Roman"/>
        </w:rPr>
        <w:t xml:space="preserve"> </w:t>
      </w:r>
      <w:r w:rsidR="00B37FE4">
        <w:rPr>
          <w:rFonts w:ascii="Times New Roman" w:hAnsi="Times New Roman" w:cs="Times New Roman"/>
        </w:rPr>
        <w:t>I</w:t>
      </w:r>
      <w:r w:rsidR="00377635" w:rsidRPr="00C91EA2">
        <w:rPr>
          <w:rFonts w:ascii="Times New Roman" w:hAnsi="Times New Roman" w:cs="Times New Roman"/>
        </w:rPr>
        <w:t xml:space="preserve">nterventions that </w:t>
      </w:r>
      <w:r w:rsidR="00B37FE4">
        <w:rPr>
          <w:rFonts w:ascii="Times New Roman" w:hAnsi="Times New Roman" w:cs="Times New Roman"/>
        </w:rPr>
        <w:t>M</w:t>
      </w:r>
      <w:r w:rsidR="00377635" w:rsidRPr="00C91EA2">
        <w:rPr>
          <w:rFonts w:ascii="Times New Roman" w:hAnsi="Times New Roman" w:cs="Times New Roman"/>
        </w:rPr>
        <w:t xml:space="preserve">ay </w:t>
      </w:r>
      <w:r w:rsidR="00B37FE4">
        <w:rPr>
          <w:rFonts w:ascii="Times New Roman" w:hAnsi="Times New Roman" w:cs="Times New Roman"/>
        </w:rPr>
        <w:t>R</w:t>
      </w:r>
      <w:r w:rsidR="00377635" w:rsidRPr="00C91EA2">
        <w:rPr>
          <w:rFonts w:ascii="Times New Roman" w:hAnsi="Times New Roman" w:cs="Times New Roman"/>
        </w:rPr>
        <w:t xml:space="preserve">estrict </w:t>
      </w:r>
      <w:r w:rsidR="00B37FE4">
        <w:rPr>
          <w:rFonts w:ascii="Times New Roman" w:hAnsi="Times New Roman" w:cs="Times New Roman"/>
        </w:rPr>
        <w:t>C</w:t>
      </w:r>
      <w:r w:rsidR="00377635" w:rsidRPr="00C91EA2">
        <w:rPr>
          <w:rFonts w:ascii="Times New Roman" w:hAnsi="Times New Roman" w:cs="Times New Roman"/>
        </w:rPr>
        <w:t>ompetition</w:t>
      </w:r>
      <w:bookmarkEnd w:id="209"/>
      <w:r w:rsidR="00377635" w:rsidRPr="00C91EA2">
        <w:rPr>
          <w:rFonts w:ascii="Times New Roman" w:hAnsi="Times New Roman" w:cs="Times New Roman"/>
        </w:rPr>
        <w:t xml:space="preserve"> </w:t>
      </w:r>
    </w:p>
    <w:p w14:paraId="6E6EA5B6" w14:textId="77777777" w:rsidR="00377635" w:rsidRPr="00C91EA2" w:rsidRDefault="00377635" w:rsidP="00377635">
      <w:pPr>
        <w:rPr>
          <w:rFonts w:ascii="Times New Roman" w:hAnsi="Times New Roman" w:cs="Times New Roman"/>
        </w:rPr>
      </w:pPr>
    </w:p>
    <w:p w14:paraId="25D833CD" w14:textId="0354B006" w:rsidR="00377635" w:rsidRDefault="00F34FBD" w:rsidP="00AA15ED">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 xml:space="preserve">The </w:t>
      </w:r>
      <w:proofErr w:type="spellStart"/>
      <w:r w:rsidR="00377635" w:rsidRPr="00C91EA2">
        <w:rPr>
          <w:rFonts w:ascii="Times New Roman" w:hAnsi="Times New Roman" w:cs="Times New Roman"/>
          <w:b/>
        </w:rPr>
        <w:t>GoS</w:t>
      </w:r>
      <w:proofErr w:type="spellEnd"/>
      <w:r w:rsidR="00377635" w:rsidRPr="00C91EA2">
        <w:rPr>
          <w:rFonts w:ascii="Times New Roman" w:hAnsi="Times New Roman" w:cs="Times New Roman"/>
          <w:b/>
        </w:rPr>
        <w:t xml:space="preserve"> makes use of several tools to shape outcomes in the groundnut sector at all stages of the value chain</w:t>
      </w:r>
      <w:r w:rsidR="00377635" w:rsidRPr="00C91EA2">
        <w:rPr>
          <w:rFonts w:ascii="Times New Roman" w:hAnsi="Times New Roman" w:cs="Times New Roman"/>
        </w:rPr>
        <w:t xml:space="preserve">. These </w:t>
      </w:r>
      <w:r w:rsidR="003B24ED">
        <w:rPr>
          <w:rFonts w:ascii="Times New Roman" w:hAnsi="Times New Roman" w:cs="Times New Roman"/>
        </w:rPr>
        <w:t>Government</w:t>
      </w:r>
      <w:r w:rsidR="0098273F">
        <w:rPr>
          <w:rFonts w:ascii="Times New Roman" w:hAnsi="Times New Roman" w:cs="Times New Roman"/>
        </w:rPr>
        <w:t xml:space="preserve"> </w:t>
      </w:r>
      <w:r w:rsidR="00377635" w:rsidRPr="00C91EA2">
        <w:rPr>
          <w:rFonts w:ascii="Times New Roman" w:hAnsi="Times New Roman" w:cs="Times New Roman"/>
        </w:rPr>
        <w:t>interventions in the market are both indirect (through policies</w:t>
      </w:r>
      <w:r w:rsidR="00FE3EB3">
        <w:rPr>
          <w:rFonts w:ascii="Times New Roman" w:hAnsi="Times New Roman" w:cs="Times New Roman"/>
        </w:rPr>
        <w:t>,</w:t>
      </w:r>
      <w:r w:rsidR="00377635" w:rsidRPr="00C91EA2">
        <w:rPr>
          <w:rFonts w:ascii="Times New Roman" w:hAnsi="Times New Roman" w:cs="Times New Roman"/>
        </w:rPr>
        <w:t xml:space="preserve"> regulation</w:t>
      </w:r>
      <w:r w:rsidR="00FE3EB3">
        <w:rPr>
          <w:rFonts w:ascii="Times New Roman" w:hAnsi="Times New Roman" w:cs="Times New Roman"/>
        </w:rPr>
        <w:t xml:space="preserve"> or departmental directives</w:t>
      </w:r>
      <w:r w:rsidR="00377635" w:rsidRPr="00C91EA2">
        <w:rPr>
          <w:rFonts w:ascii="Times New Roman" w:hAnsi="Times New Roman" w:cs="Times New Roman"/>
        </w:rPr>
        <w:t xml:space="preserve"> that set the rules for market functioning) and direct (through ownership of market players).</w:t>
      </w:r>
      <w:r w:rsidR="00377635" w:rsidRPr="00C91EA2">
        <w:rPr>
          <w:rFonts w:ascii="Times New Roman" w:hAnsi="Times New Roman" w:cs="Times New Roman"/>
          <w:b/>
        </w:rPr>
        <w:t xml:space="preserve"> </w:t>
      </w:r>
      <w:r w:rsidR="00377635" w:rsidRPr="00C91EA2">
        <w:rPr>
          <w:rFonts w:ascii="Times New Roman" w:hAnsi="Times New Roman" w:cs="Times New Roman"/>
        </w:rPr>
        <w:t xml:space="preserve">They aim particularly at protecting Senegalese oil millers, while at the same time providing support to farmers. In some cases, however, such interventions introduce distortions into the value chain which may restrict market functioning and distort the incentives or ability for various market players </w:t>
      </w:r>
      <w:r w:rsidR="00F6019D">
        <w:rPr>
          <w:rFonts w:ascii="Times New Roman" w:hAnsi="Times New Roman" w:cs="Times New Roman"/>
        </w:rPr>
        <w:t>(</w:t>
      </w:r>
      <w:r w:rsidR="00377635" w:rsidRPr="00C91EA2">
        <w:rPr>
          <w:rFonts w:ascii="Times New Roman" w:hAnsi="Times New Roman" w:cs="Times New Roman"/>
        </w:rPr>
        <w:t>including farmers, traders and processors</w:t>
      </w:r>
      <w:r w:rsidR="00F6019D">
        <w:rPr>
          <w:rFonts w:ascii="Times New Roman" w:hAnsi="Times New Roman" w:cs="Times New Roman"/>
        </w:rPr>
        <w:t>)</w:t>
      </w:r>
      <w:r w:rsidR="00377635" w:rsidRPr="00C91EA2">
        <w:rPr>
          <w:rFonts w:ascii="Times New Roman" w:hAnsi="Times New Roman" w:cs="Times New Roman"/>
        </w:rPr>
        <w:t xml:space="preserve"> to invest, compete and expand. </w:t>
      </w:r>
      <w:r w:rsidR="00377635" w:rsidRPr="00C91EA2">
        <w:rPr>
          <w:rFonts w:ascii="Times New Roman" w:hAnsi="Times New Roman" w:cs="Times New Roman"/>
        </w:rPr>
        <w:fldChar w:fldCharType="begin"/>
      </w:r>
      <w:r w:rsidR="00377635" w:rsidRPr="00C91EA2">
        <w:rPr>
          <w:rFonts w:ascii="Times New Roman" w:hAnsi="Times New Roman" w:cs="Times New Roman"/>
        </w:rPr>
        <w:instrText xml:space="preserve"> REF _Ref497846150 \h  \* MERGEFORMAT </w:instrText>
      </w:r>
      <w:r w:rsidR="00377635" w:rsidRPr="00C91EA2">
        <w:rPr>
          <w:rFonts w:ascii="Times New Roman" w:hAnsi="Times New Roman" w:cs="Times New Roman"/>
        </w:rPr>
      </w:r>
      <w:r w:rsidR="00377635"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47</w:t>
      </w:r>
      <w:r w:rsidR="00377635" w:rsidRPr="00C91EA2">
        <w:rPr>
          <w:rFonts w:ascii="Times New Roman" w:hAnsi="Times New Roman" w:cs="Times New Roman"/>
        </w:rPr>
        <w:fldChar w:fldCharType="end"/>
      </w:r>
      <w:r w:rsidR="00377635" w:rsidRPr="00C91EA2">
        <w:rPr>
          <w:rFonts w:ascii="Times New Roman" w:hAnsi="Times New Roman" w:cs="Times New Roman"/>
        </w:rPr>
        <w:t xml:space="preserve"> summarizes examples of these interventions:</w:t>
      </w:r>
    </w:p>
    <w:p w14:paraId="7247FC89" w14:textId="77777777" w:rsidR="00377635" w:rsidRPr="00C91EA2" w:rsidRDefault="00377635" w:rsidP="00377635">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377635" w:rsidRPr="00C91EA2" w14:paraId="5431A6D2"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4EB01565" w14:textId="4AFD1724" w:rsidR="00377635" w:rsidRPr="00C91EA2" w:rsidRDefault="00377635">
            <w:pPr>
              <w:pStyle w:val="Caption"/>
              <w:keepNext/>
              <w:jc w:val="both"/>
              <w:rPr>
                <w:rFonts w:ascii="Times New Roman" w:hAnsi="Times New Roman"/>
              </w:rPr>
            </w:pPr>
            <w:bookmarkStart w:id="211" w:name="_Ref497846150"/>
            <w:bookmarkStart w:id="212" w:name="_Toc520725603"/>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47</w:t>
            </w:r>
            <w:r w:rsidR="00D91B27">
              <w:rPr>
                <w:rFonts w:ascii="Times New Roman" w:hAnsi="Times New Roman"/>
              </w:rPr>
              <w:fldChar w:fldCharType="end"/>
            </w:r>
            <w:bookmarkEnd w:id="211"/>
            <w:r w:rsidRPr="00C91EA2">
              <w:rPr>
                <w:rFonts w:ascii="Times New Roman" w:hAnsi="Times New Roman"/>
              </w:rPr>
              <w:t xml:space="preserve">: Overview with examples of direct and indirect </w:t>
            </w:r>
            <w:r w:rsidR="003B24ED">
              <w:rPr>
                <w:rFonts w:ascii="Times New Roman" w:hAnsi="Times New Roman"/>
              </w:rPr>
              <w:t>Government</w:t>
            </w:r>
            <w:r w:rsidRPr="00C91EA2">
              <w:rPr>
                <w:rFonts w:ascii="Times New Roman" w:hAnsi="Times New Roman"/>
              </w:rPr>
              <w:t xml:space="preserve"> intervention in the groundnut value chain</w:t>
            </w:r>
            <w:bookmarkEnd w:id="212"/>
          </w:p>
        </w:tc>
      </w:tr>
      <w:tr w:rsidR="00377635" w:rsidRPr="00C91EA2" w14:paraId="2CA9EF19"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0FD9AC0C" w14:textId="77777777" w:rsidR="00377635" w:rsidRPr="00C91EA2" w:rsidRDefault="00E37609">
            <w:pPr>
              <w:jc w:val="both"/>
              <w:rPr>
                <w:rFonts w:ascii="Times New Roman" w:hAnsi="Times New Roman" w:cs="Times New Roman"/>
              </w:rPr>
            </w:pPr>
            <w:r>
              <w:rPr>
                <w:rFonts w:ascii="Times New Roman" w:hAnsi="Times New Roman" w:cs="Times New Roman"/>
                <w:noProof/>
              </w:rPr>
              <w:drawing>
                <wp:inline distT="0" distB="0" distL="0" distR="0" wp14:anchorId="7AA9C6A3" wp14:editId="5E364F0D">
                  <wp:extent cx="5339750" cy="3265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1826" cy="3273361"/>
                          </a:xfrm>
                          <a:prstGeom prst="rect">
                            <a:avLst/>
                          </a:prstGeom>
                          <a:noFill/>
                        </pic:spPr>
                      </pic:pic>
                    </a:graphicData>
                  </a:graphic>
                </wp:inline>
              </w:drawing>
            </w:r>
          </w:p>
        </w:tc>
      </w:tr>
      <w:tr w:rsidR="00377635" w:rsidRPr="00C91EA2" w14:paraId="3E1FF47C"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0E466867" w14:textId="77777777" w:rsidR="00377635" w:rsidRPr="00C91EA2" w:rsidRDefault="00377635">
            <w:pPr>
              <w:jc w:val="both"/>
              <w:rPr>
                <w:rFonts w:ascii="Times New Roman" w:hAnsi="Times New Roman" w:cs="Times New Roman"/>
              </w:rPr>
            </w:pPr>
            <w:r w:rsidRPr="00C91EA2">
              <w:rPr>
                <w:rFonts w:ascii="Times New Roman" w:hAnsi="Times New Roman" w:cs="Times New Roman"/>
                <w:sz w:val="20"/>
              </w:rPr>
              <w:t>Source: Authors’ assessment. Non-exhaustive assessment of indirect interventions in the value chain.</w:t>
            </w:r>
          </w:p>
        </w:tc>
      </w:tr>
    </w:tbl>
    <w:p w14:paraId="6AF3144F" w14:textId="77777777" w:rsidR="00377635" w:rsidRPr="00C91EA2" w:rsidRDefault="00377635" w:rsidP="00377635">
      <w:pPr>
        <w:jc w:val="both"/>
        <w:rPr>
          <w:rFonts w:ascii="Times New Roman" w:hAnsi="Times New Roman" w:cs="Times New Roman"/>
        </w:rPr>
      </w:pPr>
    </w:p>
    <w:p w14:paraId="0A5EFDAF" w14:textId="77777777" w:rsidR="00462335" w:rsidRPr="00462335" w:rsidRDefault="00462335" w:rsidP="00462335">
      <w:pPr>
        <w:pStyle w:val="ListParagraph"/>
        <w:numPr>
          <w:ilvl w:val="0"/>
          <w:numId w:val="71"/>
        </w:numPr>
        <w:ind w:left="0" w:firstLine="0"/>
        <w:jc w:val="both"/>
        <w:rPr>
          <w:rFonts w:ascii="Times New Roman" w:hAnsi="Times New Roman" w:cs="Times New Roman"/>
        </w:rPr>
      </w:pPr>
      <w:r w:rsidRPr="00131E1E">
        <w:rPr>
          <w:rFonts w:ascii="Times New Roman" w:hAnsi="Times New Roman" w:cs="Times New Roman"/>
          <w:b/>
        </w:rPr>
        <w:t>Tackling priority issues from a markets and competition perspective is key for the value chain development and can complement broader Government interventions on market development</w:t>
      </w:r>
      <w:r w:rsidRPr="00131E1E">
        <w:rPr>
          <w:rFonts w:ascii="Times New Roman" w:hAnsi="Times New Roman" w:cs="Times New Roman"/>
        </w:rPr>
        <w:t>, such as the development of adequate quality and standards, irrigation systems, and contract farming as well as risk mitigating measures for farmers, such as crop insurance and measures for social protection.</w:t>
      </w:r>
    </w:p>
    <w:p w14:paraId="7936D419" w14:textId="77777777" w:rsidR="00462335" w:rsidRPr="00131E1E" w:rsidRDefault="00462335" w:rsidP="00462335">
      <w:pPr>
        <w:pStyle w:val="ListParagraph"/>
        <w:ind w:left="0"/>
        <w:jc w:val="both"/>
        <w:rPr>
          <w:rFonts w:ascii="Times New Roman" w:hAnsi="Times New Roman" w:cs="Times New Roman"/>
        </w:rPr>
      </w:pPr>
    </w:p>
    <w:p w14:paraId="3F7674ED" w14:textId="6C2F60EB" w:rsidR="00377635"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This section explores these interventions and how they affect various markets along the value chain in more detail. </w:t>
      </w:r>
      <w:r w:rsidR="003B24ED">
        <w:rPr>
          <w:rFonts w:ascii="Times New Roman" w:hAnsi="Times New Roman" w:cs="Times New Roman"/>
        </w:rPr>
        <w:t>Government</w:t>
      </w:r>
      <w:r w:rsidR="0098273F">
        <w:rPr>
          <w:rFonts w:ascii="Times New Roman" w:hAnsi="Times New Roman" w:cs="Times New Roman"/>
        </w:rPr>
        <w:t xml:space="preserve"> </w:t>
      </w:r>
      <w:r w:rsidRPr="00C91EA2">
        <w:rPr>
          <w:rFonts w:ascii="Times New Roman" w:hAnsi="Times New Roman" w:cs="Times New Roman"/>
        </w:rPr>
        <w:t xml:space="preserve">interventions are classified according to their effects on the market, namely whether they: i) restrict entry or reinforce dominance; ii) facilitate collusion or limit firms’ choice of strategic variables; or iii) protect vested interests or provide an undue advantage to certain players. It is worth noting that such a classification does not preclude </w:t>
      </w:r>
      <w:r w:rsidR="008F0D09">
        <w:rPr>
          <w:rFonts w:ascii="Times New Roman" w:hAnsi="Times New Roman" w:cs="Times New Roman"/>
        </w:rPr>
        <w:t xml:space="preserve">the possibility </w:t>
      </w:r>
      <w:r w:rsidRPr="00C91EA2">
        <w:rPr>
          <w:rFonts w:ascii="Times New Roman" w:hAnsi="Times New Roman" w:cs="Times New Roman"/>
        </w:rPr>
        <w:t xml:space="preserve">that such interventions may play a legitimate role in achieving valid policy objective – but simply stresses that policy makers should also be aware of their potentially negative effects on the market, providing an opportunity to develop less distortive alternatives and to balance positive and negative effects more </w:t>
      </w:r>
      <w:r w:rsidR="00B00F3F">
        <w:rPr>
          <w:rFonts w:ascii="Times New Roman" w:hAnsi="Times New Roman" w:cs="Times New Roman"/>
        </w:rPr>
        <w:t>carefully</w:t>
      </w:r>
      <w:r w:rsidRPr="00C91EA2">
        <w:rPr>
          <w:rFonts w:ascii="Times New Roman" w:hAnsi="Times New Roman" w:cs="Times New Roman"/>
        </w:rPr>
        <w:t>.</w:t>
      </w:r>
    </w:p>
    <w:p w14:paraId="3E706C95" w14:textId="77777777" w:rsidR="00087C8B" w:rsidRPr="00087C8B" w:rsidRDefault="00087C8B" w:rsidP="00087C8B">
      <w:pPr>
        <w:jc w:val="both"/>
        <w:rPr>
          <w:rFonts w:ascii="Times New Roman" w:hAnsi="Times New Roman" w:cs="Times New Roman"/>
        </w:rPr>
      </w:pPr>
    </w:p>
    <w:p w14:paraId="7A026AB7" w14:textId="6463F604" w:rsidR="00377635" w:rsidRDefault="00B37FE4" w:rsidP="00034A8A">
      <w:pPr>
        <w:pStyle w:val="Heading4"/>
        <w:rPr>
          <w:rFonts w:ascii="Times New Roman" w:hAnsi="Times New Roman" w:cs="Times New Roman"/>
        </w:rPr>
      </w:pPr>
      <w:r>
        <w:rPr>
          <w:rFonts w:ascii="Times New Roman" w:hAnsi="Times New Roman" w:cs="Times New Roman"/>
        </w:rPr>
        <w:t>Groundnut I</w:t>
      </w:r>
      <w:r w:rsidR="00377635" w:rsidRPr="00C91EA2">
        <w:rPr>
          <w:rFonts w:ascii="Times New Roman" w:hAnsi="Times New Roman" w:cs="Times New Roman"/>
        </w:rPr>
        <w:t xml:space="preserve">nput </w:t>
      </w:r>
      <w:r>
        <w:rPr>
          <w:rFonts w:ascii="Times New Roman" w:hAnsi="Times New Roman" w:cs="Times New Roman"/>
        </w:rPr>
        <w:t>M</w:t>
      </w:r>
      <w:r w:rsidR="00377635" w:rsidRPr="00C91EA2">
        <w:rPr>
          <w:rFonts w:ascii="Times New Roman" w:hAnsi="Times New Roman" w:cs="Times New Roman"/>
        </w:rPr>
        <w:t>arket</w:t>
      </w:r>
      <w:bookmarkEnd w:id="210"/>
      <w:r w:rsidR="00377635" w:rsidRPr="00C91EA2">
        <w:rPr>
          <w:rFonts w:ascii="Times New Roman" w:hAnsi="Times New Roman" w:cs="Times New Roman"/>
        </w:rPr>
        <w:t>s in Senegal</w:t>
      </w:r>
    </w:p>
    <w:p w14:paraId="49C4DF79" w14:textId="77777777" w:rsidR="00365CB3" w:rsidRPr="00365CB3" w:rsidRDefault="00365CB3" w:rsidP="00365CB3"/>
    <w:p w14:paraId="20BDFB80" w14:textId="77777777" w:rsidR="00377635" w:rsidRPr="00C91EA2" w:rsidRDefault="00377635" w:rsidP="00034A8A">
      <w:pPr>
        <w:pStyle w:val="Heading5"/>
        <w:rPr>
          <w:rFonts w:ascii="Times New Roman" w:hAnsi="Times New Roman" w:cs="Times New Roman"/>
        </w:rPr>
      </w:pPr>
      <w:r w:rsidRPr="00C91EA2">
        <w:rPr>
          <w:rFonts w:ascii="Times New Roman" w:hAnsi="Times New Roman" w:cs="Times New Roman"/>
        </w:rPr>
        <w:t>Seeds</w:t>
      </w:r>
    </w:p>
    <w:p w14:paraId="33662F79" w14:textId="77777777" w:rsidR="00377635" w:rsidRPr="00C91EA2" w:rsidRDefault="00377635" w:rsidP="00377635">
      <w:pPr>
        <w:rPr>
          <w:rFonts w:ascii="Times New Roman" w:hAnsi="Times New Roman" w:cs="Times New Roman"/>
        </w:rPr>
      </w:pPr>
    </w:p>
    <w:p w14:paraId="723803DB" w14:textId="3FEDC309" w:rsidR="00377635" w:rsidRPr="00C91EA2" w:rsidRDefault="00377635" w:rsidP="00AA15ED">
      <w:pPr>
        <w:pStyle w:val="ListParagraph"/>
        <w:numPr>
          <w:ilvl w:val="0"/>
          <w:numId w:val="71"/>
        </w:numPr>
        <w:ind w:left="0" w:firstLine="0"/>
        <w:jc w:val="both"/>
        <w:rPr>
          <w:rFonts w:ascii="Times New Roman" w:eastAsiaTheme="minorHAnsi" w:hAnsi="Times New Roman" w:cs="Times New Roman"/>
        </w:rPr>
      </w:pPr>
      <w:r w:rsidRPr="00C91EA2">
        <w:rPr>
          <w:rFonts w:ascii="Times New Roman" w:eastAsiaTheme="minorHAnsi" w:hAnsi="Times New Roman" w:cs="Times New Roman"/>
        </w:rPr>
        <w:fldChar w:fldCharType="begin"/>
      </w:r>
      <w:r w:rsidRPr="00C91EA2">
        <w:rPr>
          <w:rFonts w:ascii="Times New Roman" w:eastAsiaTheme="minorHAnsi" w:hAnsi="Times New Roman" w:cs="Times New Roman"/>
        </w:rPr>
        <w:instrText xml:space="preserve"> REF _Ref497846281 \h </w:instrText>
      </w:r>
      <w:r w:rsidRPr="00C91EA2">
        <w:rPr>
          <w:rFonts w:ascii="Times New Roman" w:hAnsi="Times New Roman" w:cs="Times New Roman"/>
        </w:rPr>
        <w:instrText xml:space="preserve"> \* MERGEFORMAT </w:instrText>
      </w:r>
      <w:r w:rsidRPr="00C91EA2">
        <w:rPr>
          <w:rFonts w:ascii="Times New Roman" w:eastAsiaTheme="minorHAnsi" w:hAnsi="Times New Roman" w:cs="Times New Roman"/>
        </w:rPr>
      </w:r>
      <w:r w:rsidRPr="00C91EA2">
        <w:rPr>
          <w:rFonts w:ascii="Times New Roman" w:eastAsiaTheme="minorHAnsi"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48</w:t>
      </w:r>
      <w:r w:rsidRPr="00C91EA2">
        <w:rPr>
          <w:rFonts w:ascii="Times New Roman" w:eastAsiaTheme="minorHAnsi" w:hAnsi="Times New Roman" w:cs="Times New Roman"/>
        </w:rPr>
        <w:fldChar w:fldCharType="end"/>
      </w:r>
      <w:r w:rsidRPr="00C91EA2">
        <w:rPr>
          <w:rFonts w:ascii="Times New Roman" w:eastAsiaTheme="minorHAnsi" w:hAnsi="Times New Roman" w:cs="Times New Roman"/>
        </w:rPr>
        <w:t xml:space="preserve"> summarizes the segments of the seed value chain in Senegal, the actors present in each segment, the current market structure and the main restrictions to market functioning posed by </w:t>
      </w:r>
      <w:r w:rsidR="003B24ED">
        <w:rPr>
          <w:rFonts w:ascii="Times New Roman" w:eastAsiaTheme="minorHAnsi" w:hAnsi="Times New Roman" w:cs="Times New Roman"/>
        </w:rPr>
        <w:t>Government</w:t>
      </w:r>
      <w:r w:rsidR="0098273F">
        <w:rPr>
          <w:rFonts w:ascii="Times New Roman" w:eastAsiaTheme="minorHAnsi" w:hAnsi="Times New Roman" w:cs="Times New Roman"/>
        </w:rPr>
        <w:t xml:space="preserve"> </w:t>
      </w:r>
      <w:r w:rsidRPr="00C91EA2">
        <w:rPr>
          <w:rFonts w:ascii="Times New Roman" w:eastAsiaTheme="minorHAnsi" w:hAnsi="Times New Roman" w:cs="Times New Roman"/>
        </w:rPr>
        <w:t xml:space="preserve">interventions classified by their effect on the market. Since seeds are produced and distributed through a subsidized and </w:t>
      </w:r>
      <w:proofErr w:type="gramStart"/>
      <w:r w:rsidRPr="00C91EA2">
        <w:rPr>
          <w:rFonts w:ascii="Times New Roman" w:eastAsiaTheme="minorHAnsi" w:hAnsi="Times New Roman" w:cs="Times New Roman"/>
        </w:rPr>
        <w:t xml:space="preserve">a non-subsidized </w:t>
      </w:r>
      <w:r w:rsidR="006B319E">
        <w:rPr>
          <w:rFonts w:ascii="Times New Roman" w:eastAsiaTheme="minorHAnsi" w:hAnsi="Times New Roman" w:cs="Times New Roman"/>
        </w:rPr>
        <w:t>channels</w:t>
      </w:r>
      <w:proofErr w:type="gramEnd"/>
      <w:r w:rsidR="006B319E">
        <w:rPr>
          <w:rFonts w:ascii="Times New Roman" w:eastAsiaTheme="minorHAnsi" w:hAnsi="Times New Roman" w:cs="Times New Roman"/>
        </w:rPr>
        <w:t>,</w:t>
      </w:r>
      <w:r w:rsidR="006B319E" w:rsidRPr="00C91EA2">
        <w:rPr>
          <w:rFonts w:ascii="Times New Roman" w:eastAsiaTheme="minorHAnsi" w:hAnsi="Times New Roman" w:cs="Times New Roman"/>
        </w:rPr>
        <w:t xml:space="preserve"> </w:t>
      </w:r>
      <w:r w:rsidRPr="00C91EA2">
        <w:rPr>
          <w:rFonts w:ascii="Times New Roman" w:eastAsiaTheme="minorHAnsi" w:hAnsi="Times New Roman" w:cs="Times New Roman"/>
        </w:rPr>
        <w:t xml:space="preserve">both channels are shown in the figure. </w:t>
      </w:r>
    </w:p>
    <w:p w14:paraId="69F8CCA9" w14:textId="77777777" w:rsidR="00377635" w:rsidRPr="00C91EA2" w:rsidRDefault="00377635" w:rsidP="00377635">
      <w:pPr>
        <w:jc w:val="both"/>
        <w:rPr>
          <w:rFonts w:ascii="Times New Roman" w:eastAsiaTheme="minorHAnsi" w:hAnsi="Times New Roman" w:cs="Times New Roman"/>
        </w:rPr>
      </w:pPr>
    </w:p>
    <w:tbl>
      <w:tblPr>
        <w:tblStyle w:val="TableGrid"/>
        <w:tblW w:w="5000" w:type="pct"/>
        <w:tblLook w:val="04A0" w:firstRow="1" w:lastRow="0" w:firstColumn="1" w:lastColumn="0" w:noHBand="0" w:noVBand="1"/>
      </w:tblPr>
      <w:tblGrid>
        <w:gridCol w:w="8630"/>
      </w:tblGrid>
      <w:tr w:rsidR="00377635" w:rsidRPr="00C91EA2" w14:paraId="3D7327FB" w14:textId="77777777" w:rsidTr="00377635">
        <w:tc>
          <w:tcPr>
            <w:tcW w:w="5000" w:type="pct"/>
            <w:tcBorders>
              <w:top w:val="single" w:sz="4" w:space="0" w:color="auto"/>
              <w:left w:val="single" w:sz="4" w:space="0" w:color="auto"/>
              <w:bottom w:val="single" w:sz="4" w:space="0" w:color="auto"/>
              <w:right w:val="single" w:sz="4" w:space="0" w:color="auto"/>
            </w:tcBorders>
            <w:hideMark/>
          </w:tcPr>
          <w:p w14:paraId="08D06303" w14:textId="6664F535" w:rsidR="00377635" w:rsidRPr="00C91EA2" w:rsidRDefault="00377635">
            <w:pPr>
              <w:pStyle w:val="Caption"/>
              <w:keepNext/>
              <w:rPr>
                <w:rFonts w:ascii="Times New Roman" w:hAnsi="Times New Roman"/>
              </w:rPr>
            </w:pPr>
            <w:bookmarkStart w:id="213" w:name="_Ref497846281"/>
            <w:bookmarkStart w:id="214" w:name="_Toc520725604"/>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48</w:t>
            </w:r>
            <w:r w:rsidR="00D91B27">
              <w:rPr>
                <w:rFonts w:ascii="Times New Roman" w:hAnsi="Times New Roman"/>
              </w:rPr>
              <w:fldChar w:fldCharType="end"/>
            </w:r>
            <w:bookmarkEnd w:id="213"/>
            <w:r w:rsidRPr="00C91EA2">
              <w:rPr>
                <w:rFonts w:ascii="Times New Roman" w:hAnsi="Times New Roman"/>
              </w:rPr>
              <w:t>: The seed value chain</w:t>
            </w:r>
            <w:bookmarkEnd w:id="214"/>
          </w:p>
        </w:tc>
      </w:tr>
      <w:tr w:rsidR="00377635" w:rsidRPr="00C91EA2" w14:paraId="56754F86" w14:textId="77777777" w:rsidTr="00377635">
        <w:tc>
          <w:tcPr>
            <w:tcW w:w="5000" w:type="pct"/>
            <w:tcBorders>
              <w:top w:val="single" w:sz="4" w:space="0" w:color="auto"/>
              <w:left w:val="single" w:sz="4" w:space="0" w:color="auto"/>
              <w:bottom w:val="single" w:sz="4" w:space="0" w:color="auto"/>
              <w:right w:val="single" w:sz="4" w:space="0" w:color="auto"/>
            </w:tcBorders>
            <w:hideMark/>
          </w:tcPr>
          <w:p w14:paraId="05D1A360" w14:textId="77777777" w:rsidR="00377635" w:rsidRPr="00C91EA2" w:rsidRDefault="00377635">
            <w:pPr>
              <w:rPr>
                <w:rFonts w:ascii="Times New Roman" w:hAnsi="Times New Roman" w:cs="Times New Roman"/>
              </w:rPr>
            </w:pPr>
            <w:r w:rsidRPr="00C91EA2">
              <w:rPr>
                <w:rFonts w:ascii="Times New Roman" w:hAnsi="Times New Roman" w:cs="Times New Roman"/>
                <w:noProof/>
              </w:rPr>
              <w:drawing>
                <wp:inline distT="0" distB="0" distL="0" distR="0" wp14:anchorId="64839F08" wp14:editId="2878D2AB">
                  <wp:extent cx="5400675" cy="3914775"/>
                  <wp:effectExtent l="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3914775"/>
                          </a:xfrm>
                          <a:prstGeom prst="rect">
                            <a:avLst/>
                          </a:prstGeom>
                          <a:noFill/>
                          <a:ln>
                            <a:noFill/>
                          </a:ln>
                        </pic:spPr>
                      </pic:pic>
                    </a:graphicData>
                  </a:graphic>
                </wp:inline>
              </w:drawing>
            </w:r>
          </w:p>
        </w:tc>
      </w:tr>
      <w:tr w:rsidR="00377635" w:rsidRPr="00C91EA2" w14:paraId="03B92464" w14:textId="77777777" w:rsidTr="00377635">
        <w:tc>
          <w:tcPr>
            <w:tcW w:w="5000" w:type="pct"/>
            <w:tcBorders>
              <w:top w:val="single" w:sz="4" w:space="0" w:color="auto"/>
              <w:left w:val="single" w:sz="4" w:space="0" w:color="auto"/>
              <w:bottom w:val="single" w:sz="4" w:space="0" w:color="auto"/>
              <w:right w:val="single" w:sz="4" w:space="0" w:color="auto"/>
            </w:tcBorders>
            <w:hideMark/>
          </w:tcPr>
          <w:p w14:paraId="6D78A39D" w14:textId="12B50AD3" w:rsidR="00377635" w:rsidRPr="00C91EA2" w:rsidRDefault="00377635">
            <w:pPr>
              <w:rPr>
                <w:rFonts w:ascii="Times New Roman" w:hAnsi="Times New Roman" w:cs="Times New Roman"/>
                <w:sz w:val="20"/>
                <w:szCs w:val="20"/>
              </w:rPr>
            </w:pPr>
            <w:r w:rsidRPr="00C91EA2">
              <w:rPr>
                <w:rFonts w:ascii="Times New Roman" w:hAnsi="Times New Roman" w:cs="Times New Roman"/>
                <w:sz w:val="20"/>
                <w:szCs w:val="20"/>
              </w:rPr>
              <w:t xml:space="preserve">Note: S = subsidized; NS = non-subsidized; VI = Indicates there is some vertical integration between segments; </w:t>
            </w:r>
            <w:proofErr w:type="spellStart"/>
            <w:r w:rsidRPr="00C91EA2">
              <w:rPr>
                <w:rFonts w:ascii="Times New Roman" w:hAnsi="Times New Roman" w:cs="Times New Roman"/>
                <w:sz w:val="20"/>
                <w:szCs w:val="20"/>
              </w:rPr>
              <w:t>GoS</w:t>
            </w:r>
            <w:proofErr w:type="spellEnd"/>
            <w:r w:rsidRPr="00C91EA2">
              <w:rPr>
                <w:rFonts w:ascii="Times New Roman" w:hAnsi="Times New Roman" w:cs="Times New Roman"/>
                <w:sz w:val="20"/>
                <w:szCs w:val="20"/>
              </w:rPr>
              <w:t xml:space="preserve"> = </w:t>
            </w:r>
            <w:r w:rsidR="003B24ED">
              <w:rPr>
                <w:rFonts w:ascii="Times New Roman" w:hAnsi="Times New Roman" w:cs="Times New Roman"/>
                <w:sz w:val="20"/>
                <w:szCs w:val="20"/>
              </w:rPr>
              <w:t>Government</w:t>
            </w:r>
            <w:r w:rsidRPr="00C91EA2">
              <w:rPr>
                <w:rFonts w:ascii="Times New Roman" w:hAnsi="Times New Roman" w:cs="Times New Roman"/>
                <w:sz w:val="20"/>
                <w:szCs w:val="20"/>
              </w:rPr>
              <w:t xml:space="preserve"> of Senegal</w:t>
            </w:r>
          </w:p>
          <w:p w14:paraId="4829B95E" w14:textId="77777777" w:rsidR="00377635" w:rsidRPr="00C91EA2" w:rsidRDefault="00377635">
            <w:pPr>
              <w:rPr>
                <w:rFonts w:ascii="Times New Roman" w:hAnsi="Times New Roman" w:cs="Times New Roman"/>
                <w:sz w:val="18"/>
                <w:szCs w:val="24"/>
              </w:rPr>
            </w:pPr>
            <w:r w:rsidRPr="00C91EA2">
              <w:rPr>
                <w:rFonts w:ascii="Times New Roman" w:hAnsi="Times New Roman" w:cs="Times New Roman"/>
                <w:sz w:val="20"/>
                <w:szCs w:val="20"/>
              </w:rPr>
              <w:t>Source: Authors’ visualization</w:t>
            </w:r>
          </w:p>
        </w:tc>
      </w:tr>
    </w:tbl>
    <w:p w14:paraId="70B5D09D" w14:textId="77777777" w:rsidR="00377635" w:rsidRPr="00C91EA2" w:rsidRDefault="00377635" w:rsidP="00377635">
      <w:pPr>
        <w:rPr>
          <w:rFonts w:ascii="Times New Roman" w:hAnsi="Times New Roman" w:cs="Times New Roman"/>
        </w:rPr>
      </w:pPr>
    </w:p>
    <w:p w14:paraId="0A111166" w14:textId="77777777" w:rsidR="00377635" w:rsidRPr="00C91EA2" w:rsidRDefault="00377635" w:rsidP="00377635">
      <w:pPr>
        <w:rPr>
          <w:rFonts w:ascii="Times New Roman" w:hAnsi="Times New Roman" w:cs="Times New Roman"/>
        </w:rPr>
      </w:pPr>
    </w:p>
    <w:p w14:paraId="4BD51AFE" w14:textId="2596F030"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w:t>
      </w:r>
      <w:r w:rsidR="0045583C">
        <w:rPr>
          <w:rFonts w:ascii="Times New Roman" w:hAnsi="Times New Roman" w:cs="Times New Roman"/>
          <w:b/>
        </w:rPr>
        <w:t>Government</w:t>
      </w:r>
      <w:r w:rsidRPr="00C91EA2">
        <w:rPr>
          <w:rFonts w:ascii="Times New Roman" w:hAnsi="Times New Roman" w:cs="Times New Roman"/>
          <w:b/>
        </w:rPr>
        <w:t>’s research institution ISRA (</w:t>
      </w:r>
      <w:proofErr w:type="spellStart"/>
      <w:r w:rsidRPr="00C91EA2">
        <w:rPr>
          <w:rFonts w:ascii="Times New Roman" w:hAnsi="Times New Roman" w:cs="Times New Roman"/>
          <w:b/>
        </w:rPr>
        <w:t>Institut</w:t>
      </w:r>
      <w:proofErr w:type="spellEnd"/>
      <w:r w:rsidRPr="00C91EA2">
        <w:rPr>
          <w:rFonts w:ascii="Times New Roman" w:hAnsi="Times New Roman" w:cs="Times New Roman"/>
          <w:b/>
        </w:rPr>
        <w:t xml:space="preserve"> </w:t>
      </w:r>
      <w:proofErr w:type="spellStart"/>
      <w:r w:rsidRPr="00C91EA2">
        <w:rPr>
          <w:rFonts w:ascii="Times New Roman" w:hAnsi="Times New Roman" w:cs="Times New Roman"/>
          <w:b/>
        </w:rPr>
        <w:t>Sénégalais</w:t>
      </w:r>
      <w:proofErr w:type="spellEnd"/>
      <w:r w:rsidRPr="00C91EA2">
        <w:rPr>
          <w:rFonts w:ascii="Times New Roman" w:hAnsi="Times New Roman" w:cs="Times New Roman"/>
          <w:b/>
        </w:rPr>
        <w:t xml:space="preserve"> de </w:t>
      </w:r>
      <w:proofErr w:type="spellStart"/>
      <w:r w:rsidRPr="00C91EA2">
        <w:rPr>
          <w:rFonts w:ascii="Times New Roman" w:hAnsi="Times New Roman" w:cs="Times New Roman"/>
          <w:b/>
        </w:rPr>
        <w:t>Recherches</w:t>
      </w:r>
      <w:proofErr w:type="spellEnd"/>
      <w:r w:rsidRPr="00C91EA2">
        <w:rPr>
          <w:rFonts w:ascii="Times New Roman" w:hAnsi="Times New Roman" w:cs="Times New Roman"/>
          <w:b/>
        </w:rPr>
        <w:t xml:space="preserve"> </w:t>
      </w:r>
      <w:proofErr w:type="spellStart"/>
      <w:r w:rsidRPr="00C91EA2">
        <w:rPr>
          <w:rFonts w:ascii="Times New Roman" w:hAnsi="Times New Roman" w:cs="Times New Roman"/>
          <w:b/>
        </w:rPr>
        <w:t>Agricoles</w:t>
      </w:r>
      <w:proofErr w:type="spellEnd"/>
      <w:r w:rsidRPr="00C91EA2">
        <w:rPr>
          <w:rFonts w:ascii="Times New Roman" w:hAnsi="Times New Roman" w:cs="Times New Roman"/>
          <w:b/>
        </w:rPr>
        <w:t>) holds a</w:t>
      </w:r>
      <w:r w:rsidR="00FE3EB3">
        <w:rPr>
          <w:rFonts w:ascii="Times New Roman" w:hAnsi="Times New Roman" w:cs="Times New Roman"/>
          <w:b/>
        </w:rPr>
        <w:t xml:space="preserve"> de facto</w:t>
      </w:r>
      <w:r w:rsidRPr="00C91EA2">
        <w:rPr>
          <w:rFonts w:ascii="Times New Roman" w:hAnsi="Times New Roman" w:cs="Times New Roman"/>
          <w:b/>
        </w:rPr>
        <w:t xml:space="preserve"> monopoly on the production of pre-base seed and imports of groundnut seed are restricted.</w:t>
      </w:r>
      <w:r w:rsidRPr="00C91EA2">
        <w:rPr>
          <w:rFonts w:ascii="Times New Roman" w:hAnsi="Times New Roman" w:cs="Times New Roman"/>
        </w:rPr>
        <w:t xml:space="preserve"> However, ISRA is not able to produce sufficient pre-base seed to satisfy demand. As a result, certified groundnut seeds are in short supply</w:t>
      </w:r>
      <w:r w:rsidR="008F0D09">
        <w:rPr>
          <w:rFonts w:ascii="Times New Roman" w:hAnsi="Times New Roman" w:cs="Times New Roman"/>
        </w:rPr>
        <w:t>,</w:t>
      </w:r>
      <w:r w:rsidRPr="00C91EA2">
        <w:rPr>
          <w:rStyle w:val="FootnoteReference"/>
          <w:rFonts w:ascii="Times New Roman" w:hAnsi="Times New Roman" w:cs="Times New Roman"/>
        </w:rPr>
        <w:footnoteReference w:id="119"/>
      </w:r>
      <w:r w:rsidRPr="00C91EA2">
        <w:rPr>
          <w:rFonts w:ascii="Times New Roman" w:hAnsi="Times New Roman" w:cs="Times New Roman"/>
        </w:rPr>
        <w:t xml:space="preserve"> and many farmers instead </w:t>
      </w:r>
      <w:r w:rsidR="00C849AB">
        <w:rPr>
          <w:rFonts w:ascii="Times New Roman" w:hAnsi="Times New Roman" w:cs="Times New Roman"/>
        </w:rPr>
        <w:t xml:space="preserve">plant </w:t>
      </w:r>
      <w:r w:rsidRPr="00C91EA2">
        <w:rPr>
          <w:rFonts w:ascii="Times New Roman" w:hAnsi="Times New Roman" w:cs="Times New Roman"/>
        </w:rPr>
        <w:t>whole groundnuts, so-called “</w:t>
      </w:r>
      <w:proofErr w:type="spellStart"/>
      <w:r w:rsidRPr="00C91EA2">
        <w:rPr>
          <w:rFonts w:ascii="Times New Roman" w:hAnsi="Times New Roman" w:cs="Times New Roman"/>
        </w:rPr>
        <w:t>semences</w:t>
      </w:r>
      <w:proofErr w:type="spellEnd"/>
      <w:r w:rsidRPr="00C91EA2">
        <w:rPr>
          <w:rFonts w:ascii="Times New Roman" w:hAnsi="Times New Roman" w:cs="Times New Roman"/>
        </w:rPr>
        <w:t xml:space="preserve"> </w:t>
      </w:r>
      <w:proofErr w:type="spellStart"/>
      <w:r w:rsidRPr="00C91EA2">
        <w:rPr>
          <w:rFonts w:ascii="Times New Roman" w:hAnsi="Times New Roman" w:cs="Times New Roman"/>
        </w:rPr>
        <w:t>écrémées</w:t>
      </w:r>
      <w:proofErr w:type="spellEnd"/>
      <w:r w:rsidRPr="00C91EA2">
        <w:rPr>
          <w:rFonts w:ascii="Times New Roman" w:hAnsi="Times New Roman" w:cs="Times New Roman"/>
        </w:rPr>
        <w:t>”, which are not traceable and are of questionable quality. According to a 1960 decree, the import of groundnut seeds</w:t>
      </w:r>
      <w:r w:rsidR="002B7064">
        <w:rPr>
          <w:rFonts w:ascii="Times New Roman" w:hAnsi="Times New Roman" w:cs="Times New Roman"/>
        </w:rPr>
        <w:t xml:space="preserve"> (both pre-base and certified)</w:t>
      </w:r>
      <w:r w:rsidRPr="00C91EA2">
        <w:rPr>
          <w:rFonts w:ascii="Times New Roman" w:hAnsi="Times New Roman" w:cs="Times New Roman"/>
        </w:rPr>
        <w:t xml:space="preserve"> </w:t>
      </w:r>
      <w:r w:rsidR="005C32EA">
        <w:rPr>
          <w:rFonts w:ascii="Times New Roman" w:hAnsi="Times New Roman" w:cs="Times New Roman"/>
        </w:rPr>
        <w:t xml:space="preserve">must be authorized by </w:t>
      </w:r>
      <w:r w:rsidRPr="00C91EA2">
        <w:rPr>
          <w:rFonts w:ascii="Times New Roman" w:hAnsi="Times New Roman" w:cs="Times New Roman"/>
        </w:rPr>
        <w:t xml:space="preserve">the </w:t>
      </w:r>
      <w:r w:rsidR="0045583C">
        <w:rPr>
          <w:rFonts w:ascii="Times New Roman" w:hAnsi="Times New Roman" w:cs="Times New Roman"/>
        </w:rPr>
        <w:t>Government</w:t>
      </w:r>
      <w:r w:rsidRPr="00C91EA2">
        <w:rPr>
          <w:rFonts w:ascii="Times New Roman" w:hAnsi="Times New Roman" w:cs="Times New Roman"/>
        </w:rPr>
        <w:t xml:space="preserve">’s Service de la Protection des </w:t>
      </w:r>
      <w:proofErr w:type="spellStart"/>
      <w:r w:rsidRPr="00C91EA2">
        <w:rPr>
          <w:rFonts w:ascii="Times New Roman" w:hAnsi="Times New Roman" w:cs="Times New Roman"/>
        </w:rPr>
        <w:t>Végétaux</w:t>
      </w:r>
      <w:proofErr w:type="spellEnd"/>
      <w:r w:rsidRPr="00C91EA2">
        <w:rPr>
          <w:rFonts w:ascii="Times New Roman" w:hAnsi="Times New Roman" w:cs="Times New Roman"/>
        </w:rPr>
        <w:t xml:space="preserve"> (SPV).</w:t>
      </w:r>
      <w:r w:rsidRPr="00C91EA2">
        <w:rPr>
          <w:rStyle w:val="FootnoteReference"/>
          <w:rFonts w:ascii="Times New Roman" w:hAnsi="Times New Roman" w:cs="Times New Roman"/>
        </w:rPr>
        <w:footnoteReference w:id="120"/>
      </w:r>
      <w:r w:rsidRPr="00C91EA2">
        <w:rPr>
          <w:rFonts w:ascii="Times New Roman" w:hAnsi="Times New Roman" w:cs="Times New Roman"/>
        </w:rPr>
        <w:t xml:space="preserve"> The shortage of high-quality seeds contributes to Senegal’s low yields</w:t>
      </w:r>
      <w:r w:rsidR="008F0D09">
        <w:rPr>
          <w:rFonts w:ascii="Times New Roman" w:hAnsi="Times New Roman" w:cs="Times New Roman"/>
        </w:rPr>
        <w:t>,</w:t>
      </w:r>
      <w:r w:rsidRPr="00C91EA2">
        <w:rPr>
          <w:rFonts w:ascii="Times New Roman" w:hAnsi="Times New Roman" w:cs="Times New Roman"/>
        </w:rPr>
        <w:t xml:space="preserve"> and the </w:t>
      </w:r>
      <w:r w:rsidR="003B24ED">
        <w:rPr>
          <w:rFonts w:ascii="Times New Roman" w:hAnsi="Times New Roman" w:cs="Times New Roman"/>
        </w:rPr>
        <w:t>Government</w:t>
      </w:r>
      <w:r w:rsidRPr="00C91EA2">
        <w:rPr>
          <w:rFonts w:ascii="Times New Roman" w:hAnsi="Times New Roman" w:cs="Times New Roman"/>
        </w:rPr>
        <w:t xml:space="preserve"> aims to replace recycled seeds with certified ones.</w:t>
      </w:r>
      <w:r w:rsidRPr="00C91EA2">
        <w:rPr>
          <w:rStyle w:val="FootnoteReference"/>
          <w:rFonts w:ascii="Times New Roman" w:hAnsi="Times New Roman" w:cs="Times New Roman"/>
        </w:rPr>
        <w:footnoteReference w:id="121"/>
      </w:r>
    </w:p>
    <w:p w14:paraId="4979712B" w14:textId="77777777" w:rsidR="00377635" w:rsidRPr="00C91EA2" w:rsidRDefault="00377635" w:rsidP="00377635">
      <w:pPr>
        <w:jc w:val="both"/>
        <w:rPr>
          <w:rFonts w:ascii="Times New Roman" w:hAnsi="Times New Roman" w:cs="Times New Roman"/>
        </w:rPr>
      </w:pPr>
    </w:p>
    <w:p w14:paraId="52F751DE" w14:textId="77777777"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Prices of pre-base seed set by ISRA do not allow it to satisfy market demand while covering its costs. </w:t>
      </w:r>
      <w:r w:rsidRPr="00C91EA2">
        <w:rPr>
          <w:rFonts w:ascii="Times New Roman" w:hAnsi="Times New Roman" w:cs="Times New Roman"/>
        </w:rPr>
        <w:t>Typically, a research institute would set a price for its pre-base seed that allows it to cover the cost of producing sufficient seed to cover market demand</w:t>
      </w:r>
      <w:r w:rsidR="003507D8">
        <w:rPr>
          <w:rFonts w:ascii="Times New Roman" w:hAnsi="Times New Roman" w:cs="Times New Roman"/>
        </w:rPr>
        <w:t xml:space="preserve"> from market </w:t>
      </w:r>
      <w:r w:rsidR="003507D8" w:rsidRPr="00C91EA2">
        <w:rPr>
          <w:rFonts w:ascii="Times New Roman" w:hAnsi="Times New Roman" w:cs="Times New Roman"/>
        </w:rPr>
        <w:t>p</w:t>
      </w:r>
      <w:r w:rsidR="003507D8">
        <w:rPr>
          <w:rFonts w:ascii="Times New Roman" w:hAnsi="Times New Roman" w:cs="Times New Roman"/>
        </w:rPr>
        <w:t xml:space="preserve">layers looking to </w:t>
      </w:r>
      <w:r w:rsidR="003507D8" w:rsidRPr="00C91EA2">
        <w:rPr>
          <w:rFonts w:ascii="Times New Roman" w:hAnsi="Times New Roman" w:cs="Times New Roman"/>
        </w:rPr>
        <w:t>p</w:t>
      </w:r>
      <w:r w:rsidR="003507D8">
        <w:rPr>
          <w:rFonts w:ascii="Times New Roman" w:hAnsi="Times New Roman" w:cs="Times New Roman"/>
        </w:rPr>
        <w:t xml:space="preserve">roduce base seed from the </w:t>
      </w:r>
      <w:r w:rsidR="003507D8" w:rsidRPr="00C91EA2">
        <w:rPr>
          <w:rFonts w:ascii="Times New Roman" w:hAnsi="Times New Roman" w:cs="Times New Roman"/>
        </w:rPr>
        <w:t>p</w:t>
      </w:r>
      <w:r w:rsidR="003507D8">
        <w:rPr>
          <w:rFonts w:ascii="Times New Roman" w:hAnsi="Times New Roman" w:cs="Times New Roman"/>
        </w:rPr>
        <w:t xml:space="preserve">re-base </w:t>
      </w:r>
      <w:r w:rsidR="003507D8" w:rsidRPr="00766E17">
        <w:rPr>
          <w:rFonts w:ascii="Times New Roman" w:hAnsi="Times New Roman" w:cs="Times New Roman"/>
        </w:rPr>
        <w:t>seed</w:t>
      </w:r>
      <w:r w:rsidRPr="00766E17">
        <w:rPr>
          <w:rFonts w:ascii="Times New Roman" w:hAnsi="Times New Roman" w:cs="Times New Roman"/>
        </w:rPr>
        <w:t>.</w:t>
      </w:r>
      <w:r w:rsidR="00D52B0E" w:rsidRPr="00766E17">
        <w:rPr>
          <w:rStyle w:val="FootnoteReference"/>
          <w:rFonts w:ascii="Times New Roman" w:hAnsi="Times New Roman" w:cs="Times New Roman"/>
        </w:rPr>
        <w:footnoteReference w:id="122"/>
      </w:r>
      <w:r w:rsidRPr="00766E17">
        <w:rPr>
          <w:rFonts w:ascii="Times New Roman" w:hAnsi="Times New Roman" w:cs="Times New Roman"/>
        </w:rPr>
        <w:t xml:space="preserve"> However, this does not appear to be the case in Senegal where demand for pre-base seed</w:t>
      </w:r>
      <w:r w:rsidRPr="00C91EA2">
        <w:rPr>
          <w:rFonts w:ascii="Times New Roman" w:hAnsi="Times New Roman" w:cs="Times New Roman"/>
        </w:rPr>
        <w:t xml:space="preserve"> out-weighs supply from ISRA. Given scarce supply, ISRA decides on the allocation of pre-base seed between producers of base seed on a first-come-first-served basis, according to seed producers’ capacity. This allocation mechanism lacks transparency and could allow for discretion in allocation. Furthermore, it does not allow for scarce pre-base to be allocated to the most efficient seed producers. </w:t>
      </w:r>
    </w:p>
    <w:p w14:paraId="750C83EB" w14:textId="77777777" w:rsidR="00377635" w:rsidRPr="00C91EA2" w:rsidRDefault="00377635" w:rsidP="00AA15ED">
      <w:pPr>
        <w:jc w:val="both"/>
        <w:rPr>
          <w:rFonts w:ascii="Times New Roman" w:hAnsi="Times New Roman" w:cs="Times New Roman"/>
        </w:rPr>
      </w:pPr>
    </w:p>
    <w:p w14:paraId="7C2DB924" w14:textId="77777777" w:rsidR="00377635" w:rsidRPr="00C91EA2" w:rsidRDefault="00377635" w:rsidP="00AA15ED">
      <w:pPr>
        <w:pStyle w:val="ListParagraph"/>
        <w:numPr>
          <w:ilvl w:val="0"/>
          <w:numId w:val="71"/>
        </w:numPr>
        <w:ind w:left="0" w:firstLine="0"/>
        <w:jc w:val="both"/>
        <w:rPr>
          <w:rFonts w:ascii="Times New Roman" w:hAnsi="Times New Roman" w:cs="Times New Roman"/>
          <w:b/>
        </w:rPr>
      </w:pPr>
      <w:r w:rsidRPr="00C91EA2">
        <w:rPr>
          <w:rFonts w:ascii="Times New Roman" w:hAnsi="Times New Roman" w:cs="Times New Roman"/>
          <w:b/>
        </w:rPr>
        <w:t xml:space="preserve">Licensing requirements for seed producers, although often warranted to achieve public health, safety and environmental objectives, may restrict entry to the market. </w:t>
      </w:r>
      <w:r w:rsidRPr="00C91EA2">
        <w:rPr>
          <w:rFonts w:ascii="Times New Roman" w:hAnsi="Times New Roman" w:cs="Times New Roman"/>
        </w:rPr>
        <w:t>In Senegal, seed operators are</w:t>
      </w:r>
      <w:r w:rsidRPr="00C91EA2">
        <w:rPr>
          <w:rFonts w:ascii="Times New Roman" w:hAnsi="Times New Roman" w:cs="Times New Roman"/>
          <w:b/>
        </w:rPr>
        <w:t xml:space="preserve"> </w:t>
      </w:r>
      <w:r w:rsidRPr="00C91EA2">
        <w:rPr>
          <w:rFonts w:ascii="Times New Roman" w:hAnsi="Times New Roman" w:cs="Times New Roman"/>
        </w:rPr>
        <w:t xml:space="preserve">licensed by the Seed Division (Division des </w:t>
      </w:r>
      <w:proofErr w:type="spellStart"/>
      <w:r w:rsidRPr="00C91EA2">
        <w:rPr>
          <w:rFonts w:ascii="Times New Roman" w:hAnsi="Times New Roman" w:cs="Times New Roman"/>
        </w:rPr>
        <w:t>Semences</w:t>
      </w:r>
      <w:proofErr w:type="spellEnd"/>
      <w:r w:rsidRPr="00C91EA2">
        <w:rPr>
          <w:rFonts w:ascii="Times New Roman" w:hAnsi="Times New Roman" w:cs="Times New Roman"/>
        </w:rPr>
        <w:t>, DISEM) of the Ministry of Agriculture (</w:t>
      </w:r>
      <w:proofErr w:type="spellStart"/>
      <w:r w:rsidRPr="00C91EA2">
        <w:rPr>
          <w:rFonts w:ascii="Times New Roman" w:hAnsi="Times New Roman" w:cs="Times New Roman"/>
        </w:rPr>
        <w:t>Ministère</w:t>
      </w:r>
      <w:proofErr w:type="spellEnd"/>
      <w:r w:rsidRPr="00C91EA2">
        <w:rPr>
          <w:rFonts w:ascii="Times New Roman" w:hAnsi="Times New Roman" w:cs="Times New Roman"/>
        </w:rPr>
        <w:t xml:space="preserve"> de </w:t>
      </w:r>
      <w:proofErr w:type="spellStart"/>
      <w:r w:rsidRPr="00C91EA2">
        <w:rPr>
          <w:rFonts w:ascii="Times New Roman" w:hAnsi="Times New Roman" w:cs="Times New Roman"/>
        </w:rPr>
        <w:t>l'Agriculture</w:t>
      </w:r>
      <w:proofErr w:type="spellEnd"/>
      <w:r w:rsidRPr="00C91EA2">
        <w:rPr>
          <w:rFonts w:ascii="Times New Roman" w:hAnsi="Times New Roman" w:cs="Times New Roman"/>
        </w:rPr>
        <w:t xml:space="preserve"> et de </w:t>
      </w:r>
      <w:proofErr w:type="spellStart"/>
      <w:r w:rsidRPr="00C91EA2">
        <w:rPr>
          <w:rFonts w:ascii="Times New Roman" w:hAnsi="Times New Roman" w:cs="Times New Roman"/>
        </w:rPr>
        <w:t>l'Équipement</w:t>
      </w:r>
      <w:proofErr w:type="spellEnd"/>
      <w:r w:rsidRPr="00C91EA2">
        <w:rPr>
          <w:rFonts w:ascii="Times New Roman" w:hAnsi="Times New Roman" w:cs="Times New Roman"/>
        </w:rPr>
        <w:t xml:space="preserve"> Rural, MAER) based on the quality of the producer’s land, the adequacy of his equipment and his financial capacity.</w:t>
      </w:r>
      <w:r w:rsidRPr="00C91EA2">
        <w:rPr>
          <w:rStyle w:val="FootnoteReference"/>
          <w:rFonts w:ascii="Times New Roman" w:hAnsi="Times New Roman" w:cs="Times New Roman"/>
        </w:rPr>
        <w:footnoteReference w:id="123"/>
      </w:r>
      <w:r w:rsidRPr="00C91EA2">
        <w:rPr>
          <w:rFonts w:ascii="Times New Roman" w:hAnsi="Times New Roman" w:cs="Times New Roman"/>
        </w:rPr>
        <w:t xml:space="preserve"> It is important to ensure that licensing requirements are proportional to their objectives of safeguarding against food security, quality, health and environmental concerns.</w:t>
      </w:r>
      <w:r w:rsidRPr="00C91EA2">
        <w:rPr>
          <w:rFonts w:ascii="Times New Roman" w:hAnsi="Times New Roman" w:cs="Times New Roman"/>
          <w:b/>
        </w:rPr>
        <w:t xml:space="preserve"> </w:t>
      </w:r>
      <w:r w:rsidRPr="00C91EA2">
        <w:rPr>
          <w:rFonts w:ascii="Times New Roman" w:hAnsi="Times New Roman" w:cs="Times New Roman"/>
        </w:rPr>
        <w:t xml:space="preserve">Services for certification of seed </w:t>
      </w:r>
      <w:r w:rsidR="007D23F1">
        <w:rPr>
          <w:rFonts w:ascii="Times New Roman" w:hAnsi="Times New Roman" w:cs="Times New Roman"/>
        </w:rPr>
        <w:t>are</w:t>
      </w:r>
      <w:r w:rsidR="007D23F1" w:rsidRPr="00C91EA2">
        <w:rPr>
          <w:rFonts w:ascii="Times New Roman" w:hAnsi="Times New Roman" w:cs="Times New Roman"/>
        </w:rPr>
        <w:t xml:space="preserve"> </w:t>
      </w:r>
      <w:r w:rsidRPr="00C91EA2">
        <w:rPr>
          <w:rFonts w:ascii="Times New Roman" w:hAnsi="Times New Roman" w:cs="Times New Roman"/>
        </w:rPr>
        <w:t>also carried out exclusively by DISEM.</w:t>
      </w:r>
      <w:r w:rsidRPr="00C91EA2">
        <w:rPr>
          <w:rFonts w:ascii="Times New Roman" w:hAnsi="Times New Roman" w:cs="Times New Roman"/>
          <w:b/>
        </w:rPr>
        <w:t xml:space="preserve"> </w:t>
      </w:r>
      <w:r w:rsidRPr="00C91EA2">
        <w:rPr>
          <w:rFonts w:ascii="Times New Roman" w:hAnsi="Times New Roman" w:cs="Times New Roman"/>
        </w:rPr>
        <w:t>Thus, combined with DISEM’s role in seed producer licensing, the division determines entry of players to the market of certified seed.</w:t>
      </w:r>
    </w:p>
    <w:p w14:paraId="01249424" w14:textId="77777777" w:rsidR="00377635" w:rsidRPr="001A6540" w:rsidRDefault="00377635" w:rsidP="00AA15ED">
      <w:pPr>
        <w:jc w:val="both"/>
        <w:rPr>
          <w:rFonts w:ascii="Times New Roman" w:hAnsi="Times New Roman" w:cs="Times New Roman"/>
          <w:b/>
          <w:sz w:val="20"/>
          <w:szCs w:val="20"/>
        </w:rPr>
      </w:pPr>
    </w:p>
    <w:p w14:paraId="7353D881" w14:textId="63A5E9C5" w:rsidR="00377635" w:rsidRPr="00C91EA2" w:rsidRDefault="00377635" w:rsidP="00AA15ED">
      <w:pPr>
        <w:pStyle w:val="ListParagraph"/>
        <w:numPr>
          <w:ilvl w:val="0"/>
          <w:numId w:val="71"/>
        </w:numPr>
        <w:ind w:left="0" w:firstLine="0"/>
        <w:jc w:val="both"/>
        <w:rPr>
          <w:rFonts w:ascii="Times New Roman" w:hAnsi="Times New Roman" w:cs="Times New Roman"/>
          <w:vertAlign w:val="superscript"/>
        </w:rPr>
      </w:pPr>
      <w:r w:rsidRPr="00C91EA2">
        <w:rPr>
          <w:rFonts w:ascii="Times New Roman" w:hAnsi="Times New Roman" w:cs="Times New Roman"/>
          <w:b/>
        </w:rPr>
        <w:t xml:space="preserve">Once certified, seed continues through two separate channels – non-subsidized and subsidized – with the regional distribution of the latter being determined by the </w:t>
      </w:r>
      <w:r w:rsidR="003B24ED">
        <w:rPr>
          <w:rFonts w:ascii="Times New Roman" w:hAnsi="Times New Roman" w:cs="Times New Roman"/>
          <w:b/>
        </w:rPr>
        <w:t>Government</w:t>
      </w:r>
      <w:r w:rsidRPr="00C91EA2">
        <w:rPr>
          <w:rFonts w:ascii="Times New Roman" w:hAnsi="Times New Roman" w:cs="Times New Roman"/>
          <w:b/>
        </w:rPr>
        <w:t>.</w:t>
      </w:r>
      <w:r w:rsidRPr="00C91EA2">
        <w:rPr>
          <w:rFonts w:ascii="Times New Roman" w:hAnsi="Times New Roman" w:cs="Times New Roman"/>
        </w:rPr>
        <w:t xml:space="preserve"> For the non-subsidized channel, seed multiplied by commercial producers is sold through their distribution channels and can be bought at prices that are not subsidized by the </w:t>
      </w:r>
      <w:r w:rsidR="0045583C">
        <w:rPr>
          <w:rFonts w:ascii="Times New Roman" w:hAnsi="Times New Roman" w:cs="Times New Roman"/>
        </w:rPr>
        <w:t>Government</w:t>
      </w:r>
      <w:r w:rsidRPr="00C91EA2">
        <w:rPr>
          <w:rFonts w:ascii="Times New Roman" w:hAnsi="Times New Roman" w:cs="Times New Roman"/>
        </w:rPr>
        <w:t xml:space="preserve">. Seed that is distributed with a subsidy is multiplied by ISRA itself or by cooperatives. To acquire subsidized seed, farmers are required to purchase seed through a </w:t>
      </w:r>
      <w:r w:rsidR="0045583C">
        <w:rPr>
          <w:rFonts w:ascii="Times New Roman" w:hAnsi="Times New Roman" w:cs="Times New Roman"/>
        </w:rPr>
        <w:t>Government</w:t>
      </w:r>
      <w:r w:rsidRPr="00C91EA2">
        <w:rPr>
          <w:rFonts w:ascii="Times New Roman" w:hAnsi="Times New Roman" w:cs="Times New Roman"/>
        </w:rPr>
        <w:t xml:space="preserve">-managed distribution channel, in which the regional rural development directorates (Directions </w:t>
      </w:r>
      <w:proofErr w:type="spellStart"/>
      <w:r w:rsidRPr="00C91EA2">
        <w:rPr>
          <w:rFonts w:ascii="Times New Roman" w:hAnsi="Times New Roman" w:cs="Times New Roman"/>
        </w:rPr>
        <w:t>Régionales</w:t>
      </w:r>
      <w:proofErr w:type="spellEnd"/>
      <w:r w:rsidRPr="00C91EA2">
        <w:rPr>
          <w:rFonts w:ascii="Times New Roman" w:hAnsi="Times New Roman" w:cs="Times New Roman"/>
        </w:rPr>
        <w:t xml:space="preserve"> de </w:t>
      </w:r>
      <w:proofErr w:type="spellStart"/>
      <w:r w:rsidRPr="00C91EA2">
        <w:rPr>
          <w:rFonts w:ascii="Times New Roman" w:hAnsi="Times New Roman" w:cs="Times New Roman"/>
        </w:rPr>
        <w:t>Développement</w:t>
      </w:r>
      <w:proofErr w:type="spellEnd"/>
      <w:r w:rsidRPr="00C91EA2">
        <w:rPr>
          <w:rFonts w:ascii="Times New Roman" w:hAnsi="Times New Roman" w:cs="Times New Roman"/>
        </w:rPr>
        <w:t xml:space="preserve"> Rural, DRDR) allocate seeds to communities and, with the support of cooperatives and village leaders, eventually to farmers. Farmers are restricted to the </w:t>
      </w:r>
      <w:r w:rsidR="003B24ED">
        <w:rPr>
          <w:rFonts w:ascii="Times New Roman" w:hAnsi="Times New Roman" w:cs="Times New Roman"/>
        </w:rPr>
        <w:t>Government</w:t>
      </w:r>
      <w:r w:rsidR="0098273F">
        <w:rPr>
          <w:rFonts w:ascii="Times New Roman" w:hAnsi="Times New Roman" w:cs="Times New Roman"/>
        </w:rPr>
        <w:t xml:space="preserve"> </w:t>
      </w:r>
      <w:r w:rsidRPr="00C91EA2">
        <w:rPr>
          <w:rFonts w:ascii="Times New Roman" w:hAnsi="Times New Roman" w:cs="Times New Roman"/>
        </w:rPr>
        <w:t xml:space="preserve">allocation points in their choice of where to purchase subsidized seed. </w:t>
      </w:r>
      <w:r w:rsidR="007D23F1">
        <w:rPr>
          <w:rFonts w:ascii="Times New Roman" w:hAnsi="Times New Roman" w:cs="Times New Roman"/>
        </w:rPr>
        <w:t>S</w:t>
      </w:r>
      <w:r w:rsidRPr="00C91EA2">
        <w:rPr>
          <w:rFonts w:ascii="Times New Roman" w:hAnsi="Times New Roman" w:cs="Times New Roman"/>
        </w:rPr>
        <w:t>ome sources claim that the lack of transparency in the allocation mechanism for subsidized seeds has tended favor well-connected entrepreneurial growers, such as politicians, religious leaders (Marabouts) and other officials.</w:t>
      </w:r>
      <w:r w:rsidRPr="00C91EA2">
        <w:rPr>
          <w:rStyle w:val="FootnoteReference"/>
          <w:rFonts w:ascii="Times New Roman" w:hAnsi="Times New Roman" w:cs="Times New Roman"/>
        </w:rPr>
        <w:footnoteReference w:id="124"/>
      </w:r>
      <w:r w:rsidRPr="00C91EA2">
        <w:rPr>
          <w:rFonts w:ascii="Times New Roman" w:hAnsi="Times New Roman" w:cs="Times New Roman"/>
          <w:vertAlign w:val="superscript"/>
        </w:rPr>
        <w:t>,</w:t>
      </w:r>
      <w:r w:rsidRPr="00C91EA2">
        <w:rPr>
          <w:rStyle w:val="FootnoteReference"/>
          <w:rFonts w:ascii="Times New Roman" w:hAnsi="Times New Roman" w:cs="Times New Roman"/>
        </w:rPr>
        <w:footnoteReference w:id="125"/>
      </w:r>
      <w:r w:rsidR="00D4452F">
        <w:rPr>
          <w:rFonts w:ascii="Times New Roman" w:hAnsi="Times New Roman" w:cs="Times New Roman"/>
          <w:vertAlign w:val="superscript"/>
        </w:rPr>
        <w:t>,</w:t>
      </w:r>
      <w:r w:rsidR="004555EB">
        <w:rPr>
          <w:rStyle w:val="FootnoteReference"/>
          <w:rFonts w:ascii="Times New Roman" w:hAnsi="Times New Roman" w:cs="Times New Roman"/>
        </w:rPr>
        <w:footnoteReference w:id="126"/>
      </w:r>
    </w:p>
    <w:p w14:paraId="72A5CC3D" w14:textId="77777777" w:rsidR="00377635" w:rsidRPr="00C91EA2" w:rsidRDefault="00377635" w:rsidP="00377635">
      <w:pPr>
        <w:jc w:val="both"/>
        <w:rPr>
          <w:rFonts w:ascii="Times New Roman" w:hAnsi="Times New Roman" w:cs="Times New Roman"/>
        </w:rPr>
      </w:pPr>
    </w:p>
    <w:p w14:paraId="5D9943CF" w14:textId="1B0BD7C7"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Restrictions on the seed market are summarized in </w:t>
      </w:r>
      <w:r w:rsidRPr="00C91EA2">
        <w:rPr>
          <w:rFonts w:ascii="Times New Roman" w:hAnsi="Times New Roman" w:cs="Times New Roman"/>
          <w:b/>
        </w:rPr>
        <w:fldChar w:fldCharType="begin"/>
      </w:r>
      <w:r w:rsidRPr="00C91EA2">
        <w:rPr>
          <w:rFonts w:ascii="Times New Roman" w:hAnsi="Times New Roman" w:cs="Times New Roman"/>
          <w:b/>
        </w:rPr>
        <w:instrText xml:space="preserve"> REF _Ref497846930 \h  \* MERGEFORMAT </w:instrText>
      </w:r>
      <w:r w:rsidRPr="00C91EA2">
        <w:rPr>
          <w:rFonts w:ascii="Times New Roman" w:hAnsi="Times New Roman" w:cs="Times New Roman"/>
          <w:b/>
        </w:rPr>
      </w:r>
      <w:r w:rsidRPr="00C91EA2">
        <w:rPr>
          <w:rFonts w:ascii="Times New Roman" w:hAnsi="Times New Roman" w:cs="Times New Roman"/>
          <w:b/>
        </w:rPr>
        <w:fldChar w:fldCharType="separate"/>
      </w:r>
      <w:r w:rsidR="008261B2" w:rsidRPr="008261B2">
        <w:rPr>
          <w:rFonts w:ascii="Times New Roman" w:hAnsi="Times New Roman" w:cs="Times New Roman"/>
          <w:b/>
        </w:rPr>
        <w:t xml:space="preserve">Table </w:t>
      </w:r>
      <w:r w:rsidR="008261B2" w:rsidRPr="008261B2">
        <w:rPr>
          <w:rFonts w:ascii="Times New Roman" w:hAnsi="Times New Roman" w:cs="Times New Roman"/>
          <w:b/>
          <w:noProof/>
        </w:rPr>
        <w:t>8</w:t>
      </w:r>
      <w:r w:rsidRPr="00C91EA2">
        <w:rPr>
          <w:rFonts w:ascii="Times New Roman" w:hAnsi="Times New Roman" w:cs="Times New Roman"/>
          <w:b/>
        </w:rPr>
        <w:fldChar w:fldCharType="end"/>
      </w:r>
      <w:r w:rsidRPr="00C91EA2">
        <w:rPr>
          <w:rFonts w:ascii="Times New Roman" w:hAnsi="Times New Roman" w:cs="Times New Roman"/>
          <w:b/>
        </w:rPr>
        <w:t xml:space="preserve"> below. </w:t>
      </w:r>
      <w:r w:rsidRPr="00C91EA2">
        <w:rPr>
          <w:rFonts w:ascii="Times New Roman" w:hAnsi="Times New Roman" w:cs="Times New Roman"/>
        </w:rPr>
        <w:t xml:space="preserve">In addition to the restrictions elaborated on above, the involvement of cooperatives and farmer organizations in the multiplication process, while potentially </w:t>
      </w:r>
      <w:r w:rsidR="00C454C9">
        <w:rPr>
          <w:rFonts w:ascii="Times New Roman" w:hAnsi="Times New Roman" w:cs="Times New Roman"/>
        </w:rPr>
        <w:t>offering</w:t>
      </w:r>
      <w:r w:rsidR="00C454C9" w:rsidRPr="00C91EA2">
        <w:rPr>
          <w:rFonts w:ascii="Times New Roman" w:hAnsi="Times New Roman" w:cs="Times New Roman"/>
        </w:rPr>
        <w:t xml:space="preserve"> </w:t>
      </w:r>
      <w:r w:rsidRPr="00C91EA2">
        <w:rPr>
          <w:rFonts w:ascii="Times New Roman" w:hAnsi="Times New Roman" w:cs="Times New Roman"/>
        </w:rPr>
        <w:t xml:space="preserve">efficiencies, could also facilitate information exchange among participating seed producers </w:t>
      </w:r>
      <w:r w:rsidR="00C454C9">
        <w:rPr>
          <w:rFonts w:ascii="Times New Roman" w:hAnsi="Times New Roman" w:cs="Times New Roman"/>
        </w:rPr>
        <w:t>and thus</w:t>
      </w:r>
      <w:r w:rsidRPr="00C91EA2">
        <w:rPr>
          <w:rFonts w:ascii="Times New Roman" w:hAnsi="Times New Roman" w:cs="Times New Roman"/>
        </w:rPr>
        <w:t xml:space="preserve"> facilitate collusion.</w:t>
      </w:r>
    </w:p>
    <w:p w14:paraId="5BCB3B95" w14:textId="77777777" w:rsidR="00377635" w:rsidRPr="00C91EA2" w:rsidRDefault="00377635" w:rsidP="00377635">
      <w:pPr>
        <w:rPr>
          <w:rFonts w:ascii="Times New Roman" w:hAnsi="Times New Roman" w:cs="Times New Roman"/>
        </w:rPr>
        <w:sectPr w:rsidR="00377635" w:rsidRPr="00C91EA2" w:rsidSect="00B41724">
          <w:pgSz w:w="12240" w:h="15840"/>
          <w:pgMar w:top="1440" w:right="1800" w:bottom="1440" w:left="1800" w:header="720" w:footer="720" w:gutter="0"/>
          <w:cols w:space="720"/>
        </w:sectPr>
      </w:pPr>
    </w:p>
    <w:p w14:paraId="1EB9A5BD" w14:textId="178E0605" w:rsidR="00377635" w:rsidRPr="00C91EA2" w:rsidRDefault="00377635" w:rsidP="00377635">
      <w:pPr>
        <w:pStyle w:val="Caption"/>
        <w:keepNext/>
        <w:rPr>
          <w:rFonts w:ascii="Times New Roman" w:hAnsi="Times New Roman"/>
        </w:rPr>
      </w:pPr>
      <w:bookmarkStart w:id="215" w:name="_Ref497846930"/>
      <w:bookmarkStart w:id="216" w:name="_Toc520725695"/>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8</w:t>
      </w:r>
      <w:r w:rsidRPr="00C91EA2">
        <w:rPr>
          <w:rFonts w:ascii="Times New Roman" w:hAnsi="Times New Roman"/>
        </w:rPr>
        <w:fldChar w:fldCharType="end"/>
      </w:r>
      <w:bookmarkEnd w:id="215"/>
      <w:r w:rsidRPr="00C91EA2">
        <w:rPr>
          <w:rFonts w:ascii="Times New Roman" w:hAnsi="Times New Roman"/>
        </w:rPr>
        <w:t>: Rules that may hinder competition in the market for seed</w:t>
      </w:r>
      <w:bookmarkEnd w:id="216"/>
    </w:p>
    <w:tbl>
      <w:tblPr>
        <w:tblStyle w:val="ListTable3-Accent1"/>
        <w:tblW w:w="0" w:type="auto"/>
        <w:tblLook w:val="0420" w:firstRow="1" w:lastRow="0" w:firstColumn="0" w:lastColumn="0" w:noHBand="0" w:noVBand="1"/>
      </w:tblPr>
      <w:tblGrid>
        <w:gridCol w:w="459"/>
        <w:gridCol w:w="3933"/>
        <w:gridCol w:w="4530"/>
        <w:gridCol w:w="4028"/>
      </w:tblGrid>
      <w:tr w:rsidR="00377635" w:rsidRPr="00C91EA2" w14:paraId="5DC4FAA7" w14:textId="77777777" w:rsidTr="00377635">
        <w:trPr>
          <w:cnfStyle w:val="100000000000" w:firstRow="1" w:lastRow="0" w:firstColumn="0" w:lastColumn="0" w:oddVBand="0" w:evenVBand="0" w:oddHBand="0" w:evenHBand="0" w:firstRowFirstColumn="0" w:firstRowLastColumn="0" w:lastRowFirstColumn="0" w:lastRowLastColumn="0"/>
          <w:trHeight w:val="107"/>
        </w:trPr>
        <w:tc>
          <w:tcPr>
            <w:tcW w:w="0" w:type="auto"/>
            <w:tcBorders>
              <w:top w:val="single" w:sz="4" w:space="0" w:color="4F81BD" w:themeColor="accent1"/>
              <w:left w:val="single" w:sz="4" w:space="0" w:color="4F81BD" w:themeColor="accent1"/>
              <w:bottom w:val="nil"/>
              <w:right w:val="nil"/>
            </w:tcBorders>
            <w:hideMark/>
          </w:tcPr>
          <w:p w14:paraId="5317F8A2" w14:textId="77777777" w:rsidR="00377635" w:rsidRPr="00C91EA2" w:rsidRDefault="00377635">
            <w:pPr>
              <w:rPr>
                <w:rFonts w:ascii="Times New Roman" w:hAnsi="Times New Roman" w:cs="Times New Roman"/>
                <w:sz w:val="20"/>
              </w:rPr>
            </w:pPr>
            <w:r w:rsidRPr="00C91EA2">
              <w:rPr>
                <w:rFonts w:ascii="Times New Roman" w:hAnsi="Times New Roman" w:cs="Times New Roman"/>
                <w:bCs w:val="0"/>
                <w:sz w:val="20"/>
              </w:rPr>
              <w:t> </w:t>
            </w:r>
          </w:p>
        </w:tc>
        <w:tc>
          <w:tcPr>
            <w:tcW w:w="0" w:type="auto"/>
            <w:tcBorders>
              <w:top w:val="single" w:sz="4" w:space="0" w:color="4F81BD" w:themeColor="accent1"/>
              <w:left w:val="nil"/>
              <w:bottom w:val="nil"/>
              <w:right w:val="nil"/>
            </w:tcBorders>
            <w:hideMark/>
          </w:tcPr>
          <w:p w14:paraId="59AA48CD" w14:textId="77777777" w:rsidR="00377635" w:rsidRPr="00C91EA2" w:rsidRDefault="00377635">
            <w:pPr>
              <w:rPr>
                <w:rFonts w:ascii="Times New Roman" w:hAnsi="Times New Roman" w:cs="Times New Roman"/>
                <w:sz w:val="20"/>
              </w:rPr>
            </w:pPr>
            <w:r w:rsidRPr="00C91EA2">
              <w:rPr>
                <w:rFonts w:ascii="Times New Roman" w:hAnsi="Times New Roman" w:cs="Times New Roman"/>
                <w:bCs w:val="0"/>
                <w:sz w:val="20"/>
              </w:rPr>
              <w:t>Rules that reinforce dominance or limit entry</w:t>
            </w:r>
          </w:p>
        </w:tc>
        <w:tc>
          <w:tcPr>
            <w:tcW w:w="0" w:type="auto"/>
            <w:tcBorders>
              <w:top w:val="single" w:sz="4" w:space="0" w:color="4F81BD" w:themeColor="accent1"/>
              <w:left w:val="nil"/>
              <w:bottom w:val="nil"/>
              <w:right w:val="nil"/>
            </w:tcBorders>
            <w:hideMark/>
          </w:tcPr>
          <w:p w14:paraId="74B7B42A" w14:textId="77777777" w:rsidR="00377635" w:rsidRPr="00C91EA2" w:rsidRDefault="00377635">
            <w:pPr>
              <w:rPr>
                <w:rFonts w:ascii="Times New Roman" w:hAnsi="Times New Roman" w:cs="Times New Roman"/>
                <w:sz w:val="20"/>
              </w:rPr>
            </w:pPr>
            <w:r w:rsidRPr="00C91EA2">
              <w:rPr>
                <w:rFonts w:ascii="Times New Roman" w:hAnsi="Times New Roman" w:cs="Times New Roman"/>
                <w:bCs w:val="0"/>
                <w:sz w:val="20"/>
              </w:rPr>
              <w:t>Rules that facilitate collusion or restrict firms' choice of strategic variables</w:t>
            </w:r>
          </w:p>
        </w:tc>
        <w:tc>
          <w:tcPr>
            <w:tcW w:w="0" w:type="auto"/>
            <w:tcBorders>
              <w:top w:val="single" w:sz="4" w:space="0" w:color="4F81BD" w:themeColor="accent1"/>
              <w:left w:val="nil"/>
              <w:bottom w:val="nil"/>
              <w:right w:val="single" w:sz="4" w:space="0" w:color="4F81BD" w:themeColor="accent1"/>
            </w:tcBorders>
            <w:hideMark/>
          </w:tcPr>
          <w:p w14:paraId="4687AB57" w14:textId="77777777" w:rsidR="00377635" w:rsidRPr="00C91EA2" w:rsidRDefault="00377635">
            <w:pPr>
              <w:rPr>
                <w:rFonts w:ascii="Times New Roman" w:hAnsi="Times New Roman" w:cs="Times New Roman"/>
                <w:sz w:val="20"/>
              </w:rPr>
            </w:pPr>
            <w:r w:rsidRPr="00C91EA2">
              <w:rPr>
                <w:rFonts w:ascii="Times New Roman" w:hAnsi="Times New Roman" w:cs="Times New Roman"/>
                <w:bCs w:val="0"/>
                <w:sz w:val="20"/>
              </w:rPr>
              <w:t>Rules that discriminate and provide an undue advantage to certain players</w:t>
            </w:r>
          </w:p>
        </w:tc>
      </w:tr>
      <w:tr w:rsidR="00377635" w:rsidRPr="00C91EA2" w14:paraId="02D8D578" w14:textId="77777777" w:rsidTr="00377635">
        <w:trPr>
          <w:cnfStyle w:val="000000100000" w:firstRow="0" w:lastRow="0" w:firstColumn="0" w:lastColumn="0" w:oddVBand="0" w:evenVBand="0" w:oddHBand="1" w:evenHBand="0" w:firstRowFirstColumn="0" w:firstRowLastColumn="0" w:lastRowFirstColumn="0" w:lastRowLastColumn="0"/>
          <w:trHeight w:val="773"/>
        </w:trPr>
        <w:tc>
          <w:tcPr>
            <w:tcW w:w="0" w:type="auto"/>
            <w:tcBorders>
              <w:left w:val="single" w:sz="4" w:space="0" w:color="4F81BD" w:themeColor="accent1"/>
              <w:right w:val="nil"/>
            </w:tcBorders>
            <w:textDirection w:val="btLr"/>
            <w:hideMark/>
          </w:tcPr>
          <w:p w14:paraId="68D0AE89" w14:textId="77777777" w:rsidR="00377635" w:rsidRPr="00C91EA2" w:rsidRDefault="00377635">
            <w:pPr>
              <w:jc w:val="center"/>
              <w:rPr>
                <w:rFonts w:ascii="Times New Roman" w:hAnsi="Times New Roman" w:cs="Times New Roman"/>
                <w:sz w:val="20"/>
              </w:rPr>
            </w:pPr>
            <w:r w:rsidRPr="00C91EA2">
              <w:rPr>
                <w:rFonts w:ascii="Times New Roman" w:hAnsi="Times New Roman" w:cs="Times New Roman"/>
                <w:sz w:val="20"/>
                <w:lang w:val="en-GB"/>
              </w:rPr>
              <w:t>Pre-base</w:t>
            </w:r>
          </w:p>
        </w:tc>
        <w:tc>
          <w:tcPr>
            <w:tcW w:w="0" w:type="auto"/>
            <w:tcBorders>
              <w:left w:val="nil"/>
              <w:right w:val="nil"/>
            </w:tcBorders>
            <w:hideMark/>
          </w:tcPr>
          <w:p w14:paraId="28C49DC1" w14:textId="77777777" w:rsidR="00377635" w:rsidRPr="00C91EA2" w:rsidRDefault="00377635">
            <w:pPr>
              <w:rPr>
                <w:rFonts w:ascii="Times New Roman" w:hAnsi="Times New Roman" w:cs="Times New Roman"/>
                <w:sz w:val="20"/>
                <w:lang w:val="en-GB"/>
              </w:rPr>
            </w:pPr>
            <w:r w:rsidRPr="00C91EA2">
              <w:rPr>
                <w:rFonts w:ascii="Times New Roman" w:hAnsi="Times New Roman" w:cs="Times New Roman"/>
                <w:b/>
                <w:bCs/>
                <w:sz w:val="20"/>
                <w:lang w:val="en-GB"/>
              </w:rPr>
              <w:t>Monopoly rights and absolute ban on entry</w:t>
            </w:r>
            <w:r w:rsidRPr="00C91EA2">
              <w:rPr>
                <w:rFonts w:ascii="Times New Roman" w:hAnsi="Times New Roman" w:cs="Times New Roman"/>
                <w:sz w:val="20"/>
                <w:lang w:val="en-GB"/>
              </w:rPr>
              <w:t>:</w:t>
            </w:r>
          </w:p>
          <w:p w14:paraId="19E4C2BE" w14:textId="77777777" w:rsidR="00377635" w:rsidRPr="00C91EA2" w:rsidRDefault="00377635" w:rsidP="007575D7">
            <w:pPr>
              <w:numPr>
                <w:ilvl w:val="0"/>
                <w:numId w:val="106"/>
              </w:numPr>
              <w:tabs>
                <w:tab w:val="num" w:pos="198"/>
              </w:tabs>
              <w:spacing w:line="256" w:lineRule="auto"/>
              <w:ind w:left="198" w:hanging="180"/>
              <w:jc w:val="both"/>
              <w:rPr>
                <w:rFonts w:ascii="Times New Roman" w:hAnsi="Times New Roman" w:cs="Times New Roman"/>
                <w:sz w:val="20"/>
              </w:rPr>
            </w:pPr>
            <w:r w:rsidRPr="00C91EA2">
              <w:rPr>
                <w:rFonts w:ascii="Times New Roman" w:hAnsi="Times New Roman" w:cs="Times New Roman"/>
                <w:sz w:val="20"/>
                <w:lang w:val="en-GB"/>
              </w:rPr>
              <w:t>ISRA holds monopoly on pre-base seed production and sets price</w:t>
            </w:r>
          </w:p>
        </w:tc>
        <w:tc>
          <w:tcPr>
            <w:tcW w:w="0" w:type="auto"/>
            <w:tcBorders>
              <w:left w:val="nil"/>
              <w:right w:val="nil"/>
            </w:tcBorders>
            <w:hideMark/>
          </w:tcPr>
          <w:p w14:paraId="780FAD64" w14:textId="77777777" w:rsidR="00377635" w:rsidRPr="00C91EA2" w:rsidRDefault="00377635">
            <w:pPr>
              <w:rPr>
                <w:rFonts w:ascii="Times New Roman" w:hAnsi="Times New Roman" w:cs="Times New Roman"/>
                <w:sz w:val="20"/>
              </w:rPr>
            </w:pPr>
          </w:p>
        </w:tc>
        <w:tc>
          <w:tcPr>
            <w:tcW w:w="0" w:type="auto"/>
            <w:tcBorders>
              <w:left w:val="nil"/>
              <w:right w:val="single" w:sz="4" w:space="0" w:color="4F81BD" w:themeColor="accent1"/>
            </w:tcBorders>
            <w:hideMark/>
          </w:tcPr>
          <w:p w14:paraId="0C7BC247" w14:textId="77777777" w:rsidR="00377635" w:rsidRPr="00C91EA2" w:rsidRDefault="00377635">
            <w:pPr>
              <w:rPr>
                <w:rFonts w:ascii="Times New Roman" w:hAnsi="Times New Roman" w:cs="Times New Roman"/>
                <w:sz w:val="20"/>
                <w:szCs w:val="20"/>
              </w:rPr>
            </w:pPr>
          </w:p>
        </w:tc>
      </w:tr>
      <w:tr w:rsidR="00377635" w:rsidRPr="00C91EA2" w14:paraId="6BEA19C6" w14:textId="77777777" w:rsidTr="00377635">
        <w:trPr>
          <w:trHeight w:val="962"/>
        </w:trPr>
        <w:tc>
          <w:tcPr>
            <w:tcW w:w="0" w:type="auto"/>
            <w:tcBorders>
              <w:top w:val="nil"/>
              <w:left w:val="single" w:sz="4" w:space="0" w:color="4F81BD" w:themeColor="accent1"/>
              <w:bottom w:val="nil"/>
              <w:right w:val="nil"/>
            </w:tcBorders>
            <w:textDirection w:val="btLr"/>
            <w:hideMark/>
          </w:tcPr>
          <w:p w14:paraId="53820E7F" w14:textId="77777777" w:rsidR="00377635" w:rsidRPr="00C91EA2" w:rsidRDefault="00377635">
            <w:pPr>
              <w:jc w:val="center"/>
              <w:rPr>
                <w:rFonts w:ascii="Times New Roman" w:hAnsi="Times New Roman" w:cs="Times New Roman"/>
                <w:sz w:val="20"/>
              </w:rPr>
            </w:pPr>
            <w:r w:rsidRPr="00C91EA2">
              <w:rPr>
                <w:rFonts w:ascii="Times New Roman" w:hAnsi="Times New Roman" w:cs="Times New Roman"/>
                <w:sz w:val="20"/>
                <w:lang w:val="en-GB"/>
              </w:rPr>
              <w:t>Multiplication</w:t>
            </w:r>
          </w:p>
        </w:tc>
        <w:tc>
          <w:tcPr>
            <w:tcW w:w="0" w:type="auto"/>
            <w:tcBorders>
              <w:top w:val="nil"/>
              <w:left w:val="nil"/>
              <w:bottom w:val="nil"/>
              <w:right w:val="nil"/>
            </w:tcBorders>
            <w:hideMark/>
          </w:tcPr>
          <w:p w14:paraId="3F72F6EE" w14:textId="77777777" w:rsidR="00377635" w:rsidRPr="00C91EA2" w:rsidRDefault="00377635">
            <w:pPr>
              <w:rPr>
                <w:rFonts w:ascii="Times New Roman" w:hAnsi="Times New Roman" w:cs="Times New Roman"/>
                <w:b/>
                <w:sz w:val="20"/>
              </w:rPr>
            </w:pPr>
            <w:r w:rsidRPr="00C91EA2">
              <w:rPr>
                <w:rFonts w:ascii="Times New Roman" w:hAnsi="Times New Roman" w:cs="Times New Roman"/>
                <w:b/>
                <w:bCs/>
                <w:sz w:val="20"/>
                <w:lang w:val="en-GB"/>
              </w:rPr>
              <w:t>Relative ban on entry</w:t>
            </w:r>
          </w:p>
          <w:p w14:paraId="3877DC4E" w14:textId="77777777" w:rsidR="00377635" w:rsidRPr="00C91EA2" w:rsidRDefault="00377635" w:rsidP="007575D7">
            <w:pPr>
              <w:numPr>
                <w:ilvl w:val="0"/>
                <w:numId w:val="106"/>
              </w:numPr>
              <w:tabs>
                <w:tab w:val="num" w:pos="198"/>
              </w:tabs>
              <w:spacing w:line="256" w:lineRule="auto"/>
              <w:ind w:left="198" w:hanging="180"/>
              <w:jc w:val="both"/>
              <w:rPr>
                <w:rFonts w:ascii="Times New Roman" w:hAnsi="Times New Roman" w:cs="Times New Roman"/>
                <w:sz w:val="20"/>
              </w:rPr>
            </w:pPr>
            <w:r w:rsidRPr="00C91EA2">
              <w:rPr>
                <w:rFonts w:ascii="Times New Roman" w:hAnsi="Times New Roman" w:cs="Times New Roman"/>
                <w:sz w:val="20"/>
                <w:lang w:val="en-GB"/>
              </w:rPr>
              <w:t>Shortage of pre-base seed, and first come first served allocation of pre-base to multipliers by ISRA, limits access to essential inputs for multipliers</w:t>
            </w:r>
          </w:p>
        </w:tc>
        <w:tc>
          <w:tcPr>
            <w:tcW w:w="0" w:type="auto"/>
            <w:tcBorders>
              <w:top w:val="nil"/>
              <w:left w:val="nil"/>
              <w:bottom w:val="nil"/>
              <w:right w:val="nil"/>
            </w:tcBorders>
            <w:hideMark/>
          </w:tcPr>
          <w:p w14:paraId="694B7FFD" w14:textId="77777777" w:rsidR="00377635" w:rsidRPr="00C91EA2" w:rsidRDefault="00377635">
            <w:pPr>
              <w:rPr>
                <w:rFonts w:ascii="Times New Roman" w:hAnsi="Times New Roman" w:cs="Times New Roman"/>
                <w:bCs/>
                <w:sz w:val="20"/>
                <w:lang w:val="en-GB"/>
              </w:rPr>
            </w:pPr>
            <w:r w:rsidRPr="00C91EA2">
              <w:rPr>
                <w:rFonts w:ascii="Times New Roman" w:hAnsi="Times New Roman" w:cs="Times New Roman"/>
                <w:b/>
                <w:bCs/>
                <w:sz w:val="20"/>
                <w:lang w:val="en-GB"/>
              </w:rPr>
              <w:t>Rules that facilitate agreements among competitors</w:t>
            </w:r>
            <w:r w:rsidRPr="00C91EA2">
              <w:rPr>
                <w:rFonts w:ascii="Times New Roman" w:hAnsi="Times New Roman" w:cs="Times New Roman"/>
                <w:bCs/>
                <w:sz w:val="20"/>
                <w:lang w:val="en-GB"/>
              </w:rPr>
              <w:t xml:space="preserve">: </w:t>
            </w:r>
          </w:p>
          <w:p w14:paraId="1079FD15" w14:textId="1C4BA4DB" w:rsidR="00377635" w:rsidRPr="00C91EA2" w:rsidRDefault="003B24ED" w:rsidP="007575D7">
            <w:pPr>
              <w:numPr>
                <w:ilvl w:val="0"/>
                <w:numId w:val="106"/>
              </w:numPr>
              <w:tabs>
                <w:tab w:val="num" w:pos="198"/>
              </w:tabs>
              <w:spacing w:line="256" w:lineRule="auto"/>
              <w:ind w:left="198" w:hanging="180"/>
              <w:jc w:val="both"/>
              <w:rPr>
                <w:rFonts w:ascii="Times New Roman" w:hAnsi="Times New Roman" w:cs="Times New Roman"/>
                <w:sz w:val="20"/>
              </w:rPr>
            </w:pPr>
            <w:r>
              <w:rPr>
                <w:rFonts w:ascii="Times New Roman" w:hAnsi="Times New Roman" w:cs="Times New Roman"/>
                <w:sz w:val="20"/>
                <w:lang w:val="en-GB"/>
              </w:rPr>
              <w:t>Government</w:t>
            </w:r>
            <w:r w:rsidR="0098273F">
              <w:rPr>
                <w:rFonts w:ascii="Times New Roman" w:hAnsi="Times New Roman" w:cs="Times New Roman"/>
                <w:sz w:val="20"/>
                <w:lang w:val="en-GB"/>
              </w:rPr>
              <w:t xml:space="preserve"> </w:t>
            </w:r>
            <w:r w:rsidR="00377635" w:rsidRPr="00C91EA2">
              <w:rPr>
                <w:rFonts w:ascii="Times New Roman" w:hAnsi="Times New Roman" w:cs="Times New Roman"/>
                <w:sz w:val="20"/>
                <w:lang w:val="en-GB"/>
              </w:rPr>
              <w:t>may encourage formation of seed producers into cooperatives or large associations which may provide additional information exchange mechanism that can facilitate collusion</w:t>
            </w:r>
          </w:p>
        </w:tc>
        <w:tc>
          <w:tcPr>
            <w:tcW w:w="0" w:type="auto"/>
            <w:tcBorders>
              <w:top w:val="nil"/>
              <w:left w:val="nil"/>
              <w:bottom w:val="nil"/>
              <w:right w:val="single" w:sz="4" w:space="0" w:color="4F81BD" w:themeColor="accent1"/>
            </w:tcBorders>
            <w:hideMark/>
          </w:tcPr>
          <w:p w14:paraId="32EEBEE2" w14:textId="77777777" w:rsidR="00377635" w:rsidRPr="00C91EA2" w:rsidRDefault="00377635">
            <w:pPr>
              <w:rPr>
                <w:rFonts w:ascii="Times New Roman" w:hAnsi="Times New Roman" w:cs="Times New Roman"/>
                <w:sz w:val="20"/>
                <w:lang w:val="en-GB"/>
              </w:rPr>
            </w:pPr>
            <w:r w:rsidRPr="00C91EA2">
              <w:rPr>
                <w:rFonts w:ascii="Times New Roman" w:hAnsi="Times New Roman" w:cs="Times New Roman"/>
                <w:b/>
                <w:bCs/>
                <w:sz w:val="20"/>
                <w:lang w:val="en-GB"/>
              </w:rPr>
              <w:t>Potential discretionary application of rules</w:t>
            </w:r>
            <w:r w:rsidRPr="00C91EA2">
              <w:rPr>
                <w:rFonts w:ascii="Times New Roman" w:hAnsi="Times New Roman" w:cs="Times New Roman"/>
                <w:bCs/>
                <w:sz w:val="20"/>
                <w:lang w:val="en-GB"/>
              </w:rPr>
              <w:t>:</w:t>
            </w:r>
          </w:p>
          <w:p w14:paraId="0C1DBD0C" w14:textId="3D287F29" w:rsidR="00377635" w:rsidRPr="00C91EA2" w:rsidRDefault="00377635" w:rsidP="007575D7">
            <w:pPr>
              <w:numPr>
                <w:ilvl w:val="0"/>
                <w:numId w:val="106"/>
              </w:numPr>
              <w:tabs>
                <w:tab w:val="num" w:pos="198"/>
              </w:tabs>
              <w:spacing w:line="256" w:lineRule="auto"/>
              <w:ind w:left="198" w:hanging="180"/>
              <w:jc w:val="both"/>
              <w:rPr>
                <w:rFonts w:ascii="Times New Roman" w:hAnsi="Times New Roman" w:cs="Times New Roman"/>
                <w:sz w:val="20"/>
              </w:rPr>
            </w:pPr>
            <w:r w:rsidRPr="00C91EA2">
              <w:rPr>
                <w:rFonts w:ascii="Times New Roman" w:hAnsi="Times New Roman" w:cs="Times New Roman"/>
                <w:sz w:val="20"/>
                <w:lang w:val="en-GB"/>
              </w:rPr>
              <w:t>First</w:t>
            </w:r>
            <w:r w:rsidR="00C454C9">
              <w:rPr>
                <w:rFonts w:ascii="Times New Roman" w:hAnsi="Times New Roman" w:cs="Times New Roman"/>
                <w:sz w:val="20"/>
                <w:lang w:val="en-GB"/>
              </w:rPr>
              <w:t>-</w:t>
            </w:r>
            <w:r w:rsidRPr="00C91EA2">
              <w:rPr>
                <w:rFonts w:ascii="Times New Roman" w:hAnsi="Times New Roman" w:cs="Times New Roman"/>
                <w:sz w:val="20"/>
                <w:lang w:val="en-GB"/>
              </w:rPr>
              <w:t>come</w:t>
            </w:r>
            <w:r w:rsidR="00C454C9">
              <w:rPr>
                <w:rFonts w:ascii="Times New Roman" w:hAnsi="Times New Roman" w:cs="Times New Roman"/>
                <w:sz w:val="20"/>
                <w:lang w:val="en-GB"/>
              </w:rPr>
              <w:t>-</w:t>
            </w:r>
            <w:r w:rsidRPr="00C91EA2">
              <w:rPr>
                <w:rFonts w:ascii="Times New Roman" w:hAnsi="Times New Roman" w:cs="Times New Roman"/>
                <w:sz w:val="20"/>
                <w:lang w:val="en-GB"/>
              </w:rPr>
              <w:t>first</w:t>
            </w:r>
            <w:r w:rsidR="00C454C9">
              <w:rPr>
                <w:rFonts w:ascii="Times New Roman" w:hAnsi="Times New Roman" w:cs="Times New Roman"/>
                <w:sz w:val="20"/>
                <w:lang w:val="en-GB"/>
              </w:rPr>
              <w:t>-</w:t>
            </w:r>
            <w:r w:rsidRPr="00C91EA2">
              <w:rPr>
                <w:rFonts w:ascii="Times New Roman" w:hAnsi="Times New Roman" w:cs="Times New Roman"/>
                <w:sz w:val="20"/>
                <w:lang w:val="en-GB"/>
              </w:rPr>
              <w:t xml:space="preserve">served allocation of pre-base seed from ISRA may leave scope for discretion which may provide for advantage allocation to certain players </w:t>
            </w:r>
            <w:proofErr w:type="gramStart"/>
            <w:r w:rsidRPr="00C91EA2">
              <w:rPr>
                <w:rFonts w:ascii="Times New Roman" w:hAnsi="Times New Roman" w:cs="Times New Roman"/>
                <w:sz w:val="20"/>
                <w:lang w:val="en-GB"/>
              </w:rPr>
              <w:t>on the basis of</w:t>
            </w:r>
            <w:proofErr w:type="gramEnd"/>
            <w:r w:rsidRPr="00C91EA2">
              <w:rPr>
                <w:rFonts w:ascii="Times New Roman" w:hAnsi="Times New Roman" w:cs="Times New Roman"/>
                <w:sz w:val="20"/>
                <w:lang w:val="en-GB"/>
              </w:rPr>
              <w:t xml:space="preserve"> factors other than merit.</w:t>
            </w:r>
          </w:p>
        </w:tc>
      </w:tr>
      <w:tr w:rsidR="00377635" w:rsidRPr="00C91EA2" w14:paraId="786480BB" w14:textId="77777777" w:rsidTr="00377635">
        <w:trPr>
          <w:cnfStyle w:val="000000100000" w:firstRow="0" w:lastRow="0" w:firstColumn="0" w:lastColumn="0" w:oddVBand="0" w:evenVBand="0" w:oddHBand="1" w:evenHBand="0" w:firstRowFirstColumn="0" w:firstRowLastColumn="0" w:lastRowFirstColumn="0" w:lastRowLastColumn="0"/>
          <w:trHeight w:val="2729"/>
        </w:trPr>
        <w:tc>
          <w:tcPr>
            <w:tcW w:w="0" w:type="auto"/>
            <w:tcBorders>
              <w:left w:val="single" w:sz="4" w:space="0" w:color="4F81BD" w:themeColor="accent1"/>
              <w:right w:val="nil"/>
            </w:tcBorders>
            <w:textDirection w:val="btLr"/>
            <w:hideMark/>
          </w:tcPr>
          <w:p w14:paraId="0EEBA569" w14:textId="77777777" w:rsidR="00377635" w:rsidRPr="00C91EA2" w:rsidRDefault="00377635">
            <w:pPr>
              <w:jc w:val="center"/>
              <w:rPr>
                <w:rFonts w:ascii="Times New Roman" w:hAnsi="Times New Roman" w:cs="Times New Roman"/>
                <w:sz w:val="20"/>
              </w:rPr>
            </w:pPr>
            <w:r w:rsidRPr="00C91EA2">
              <w:rPr>
                <w:rFonts w:ascii="Times New Roman" w:hAnsi="Times New Roman" w:cs="Times New Roman"/>
                <w:sz w:val="20"/>
                <w:lang w:val="en-GB"/>
              </w:rPr>
              <w:t>Distribution</w:t>
            </w:r>
          </w:p>
        </w:tc>
        <w:tc>
          <w:tcPr>
            <w:tcW w:w="0" w:type="auto"/>
            <w:tcBorders>
              <w:left w:val="nil"/>
              <w:right w:val="nil"/>
            </w:tcBorders>
            <w:hideMark/>
          </w:tcPr>
          <w:p w14:paraId="013576F4" w14:textId="77777777" w:rsidR="00377635" w:rsidRPr="00C91EA2" w:rsidRDefault="00377635">
            <w:pPr>
              <w:rPr>
                <w:rFonts w:ascii="Times New Roman" w:hAnsi="Times New Roman" w:cs="Times New Roman"/>
                <w:sz w:val="20"/>
              </w:rPr>
            </w:pPr>
            <w:r w:rsidRPr="00C91EA2">
              <w:rPr>
                <w:rFonts w:ascii="Times New Roman" w:hAnsi="Times New Roman" w:cs="Times New Roman"/>
                <w:b/>
                <w:bCs/>
                <w:sz w:val="20"/>
                <w:lang w:val="en-GB"/>
              </w:rPr>
              <w:t>Relative ban on entry</w:t>
            </w:r>
            <w:r w:rsidRPr="00C91EA2">
              <w:rPr>
                <w:rFonts w:ascii="Times New Roman" w:hAnsi="Times New Roman" w:cs="Times New Roman"/>
                <w:bCs/>
                <w:sz w:val="20"/>
                <w:lang w:val="en-GB"/>
              </w:rPr>
              <w:t>:</w:t>
            </w:r>
          </w:p>
          <w:p w14:paraId="7B211EE4" w14:textId="55A32D59" w:rsidR="00377635" w:rsidRPr="00C91EA2" w:rsidRDefault="00377635" w:rsidP="007575D7">
            <w:pPr>
              <w:numPr>
                <w:ilvl w:val="0"/>
                <w:numId w:val="106"/>
              </w:numPr>
              <w:tabs>
                <w:tab w:val="num" w:pos="198"/>
              </w:tabs>
              <w:spacing w:line="256" w:lineRule="auto"/>
              <w:ind w:left="198" w:hanging="180"/>
              <w:jc w:val="both"/>
              <w:rPr>
                <w:rFonts w:ascii="Times New Roman" w:hAnsi="Times New Roman" w:cs="Times New Roman"/>
                <w:sz w:val="20"/>
                <w:lang w:val="en-GB"/>
              </w:rPr>
            </w:pPr>
            <w:r w:rsidRPr="00C91EA2">
              <w:rPr>
                <w:rFonts w:ascii="Times New Roman" w:hAnsi="Times New Roman" w:cs="Times New Roman"/>
                <w:sz w:val="20"/>
                <w:lang w:val="en-GB"/>
              </w:rPr>
              <w:t xml:space="preserve">Regional distribution of seed under the subsidy scheme determined by </w:t>
            </w:r>
            <w:r w:rsidR="0045583C">
              <w:rPr>
                <w:rFonts w:ascii="Times New Roman" w:hAnsi="Times New Roman" w:cs="Times New Roman"/>
                <w:sz w:val="20"/>
                <w:lang w:val="en-GB"/>
              </w:rPr>
              <w:t>Government</w:t>
            </w:r>
            <w:r w:rsidRPr="00C91EA2">
              <w:rPr>
                <w:rFonts w:ascii="Times New Roman" w:hAnsi="Times New Roman" w:cs="Times New Roman"/>
                <w:sz w:val="20"/>
                <w:lang w:val="en-GB"/>
              </w:rPr>
              <w:t>, limiting entry by multiplier/distributors in regional markets</w:t>
            </w:r>
          </w:p>
          <w:p w14:paraId="40AB1022" w14:textId="77777777" w:rsidR="00377635" w:rsidRPr="00C91EA2" w:rsidRDefault="00377635" w:rsidP="007575D7">
            <w:pPr>
              <w:numPr>
                <w:ilvl w:val="0"/>
                <w:numId w:val="106"/>
              </w:numPr>
              <w:tabs>
                <w:tab w:val="num" w:pos="198"/>
              </w:tabs>
              <w:spacing w:line="256" w:lineRule="auto"/>
              <w:ind w:left="198" w:hanging="180"/>
              <w:jc w:val="both"/>
              <w:rPr>
                <w:rFonts w:ascii="Times New Roman" w:hAnsi="Times New Roman" w:cs="Times New Roman"/>
                <w:sz w:val="20"/>
                <w:lang w:val="en-GB"/>
              </w:rPr>
            </w:pPr>
            <w:r w:rsidRPr="00C91EA2">
              <w:rPr>
                <w:rFonts w:ascii="Times New Roman" w:hAnsi="Times New Roman" w:cs="Times New Roman"/>
                <w:sz w:val="20"/>
                <w:lang w:val="en-GB"/>
              </w:rPr>
              <w:t>Farmers cannot choose where to buy subsidized seed reducing opportunities for the private sector to enter and compete</w:t>
            </w:r>
          </w:p>
          <w:p w14:paraId="7D96BEBE" w14:textId="77777777" w:rsidR="00377635" w:rsidRPr="00C91EA2" w:rsidRDefault="00377635" w:rsidP="007575D7">
            <w:pPr>
              <w:numPr>
                <w:ilvl w:val="0"/>
                <w:numId w:val="106"/>
              </w:numPr>
              <w:tabs>
                <w:tab w:val="num" w:pos="198"/>
              </w:tabs>
              <w:spacing w:line="256" w:lineRule="auto"/>
              <w:ind w:left="198" w:hanging="180"/>
              <w:jc w:val="both"/>
              <w:rPr>
                <w:rFonts w:ascii="Times New Roman" w:hAnsi="Times New Roman" w:cs="Times New Roman"/>
                <w:sz w:val="20"/>
              </w:rPr>
            </w:pPr>
            <w:r w:rsidRPr="00C91EA2">
              <w:rPr>
                <w:rFonts w:ascii="Times New Roman" w:hAnsi="Times New Roman" w:cs="Times New Roman"/>
                <w:sz w:val="20"/>
                <w:lang w:val="en-GB"/>
              </w:rPr>
              <w:t>Licensing restrictions on imports of groundnut seed.</w:t>
            </w:r>
          </w:p>
        </w:tc>
        <w:tc>
          <w:tcPr>
            <w:tcW w:w="0" w:type="auto"/>
            <w:tcBorders>
              <w:left w:val="nil"/>
              <w:right w:val="nil"/>
            </w:tcBorders>
          </w:tcPr>
          <w:p w14:paraId="1B20696D" w14:textId="77777777" w:rsidR="00377635" w:rsidRPr="00C91EA2" w:rsidRDefault="00377635">
            <w:pPr>
              <w:rPr>
                <w:rFonts w:ascii="Times New Roman" w:hAnsi="Times New Roman" w:cs="Times New Roman"/>
                <w:b/>
                <w:sz w:val="20"/>
              </w:rPr>
            </w:pPr>
            <w:r w:rsidRPr="00C91EA2">
              <w:rPr>
                <w:rFonts w:ascii="Times New Roman" w:hAnsi="Times New Roman" w:cs="Times New Roman"/>
                <w:b/>
                <w:bCs/>
                <w:sz w:val="20"/>
                <w:lang w:val="en-GB"/>
              </w:rPr>
              <w:t>Restrictions on type of products and services/format and location</w:t>
            </w:r>
          </w:p>
          <w:p w14:paraId="45792B60" w14:textId="1EB7F28A" w:rsidR="00377635" w:rsidRPr="00C91EA2" w:rsidRDefault="003B24ED" w:rsidP="007575D7">
            <w:pPr>
              <w:numPr>
                <w:ilvl w:val="0"/>
                <w:numId w:val="106"/>
              </w:numPr>
              <w:tabs>
                <w:tab w:val="num" w:pos="198"/>
              </w:tabs>
              <w:spacing w:line="256" w:lineRule="auto"/>
              <w:ind w:left="198" w:hanging="180"/>
              <w:jc w:val="both"/>
              <w:rPr>
                <w:rFonts w:ascii="Times New Roman" w:hAnsi="Times New Roman" w:cs="Times New Roman"/>
                <w:sz w:val="20"/>
                <w:lang w:val="en-GB"/>
              </w:rPr>
            </w:pPr>
            <w:r>
              <w:rPr>
                <w:rFonts w:ascii="Times New Roman" w:hAnsi="Times New Roman" w:cs="Times New Roman"/>
                <w:sz w:val="20"/>
                <w:lang w:val="en-GB"/>
              </w:rPr>
              <w:t>Government</w:t>
            </w:r>
            <w:r w:rsidR="0098273F">
              <w:rPr>
                <w:rFonts w:ascii="Times New Roman" w:hAnsi="Times New Roman" w:cs="Times New Roman"/>
                <w:sz w:val="20"/>
                <w:lang w:val="en-GB"/>
              </w:rPr>
              <w:t xml:space="preserve"> </w:t>
            </w:r>
            <w:r w:rsidR="00377635" w:rsidRPr="00C91EA2">
              <w:rPr>
                <w:rFonts w:ascii="Times New Roman" w:hAnsi="Times New Roman" w:cs="Times New Roman"/>
                <w:sz w:val="20"/>
                <w:lang w:val="en-GB"/>
              </w:rPr>
              <w:t xml:space="preserve">determined regional distribution of subsidized seed may limit multiplier/distributors choice over which regional markets </w:t>
            </w:r>
            <w:r w:rsidR="006B1372">
              <w:rPr>
                <w:rFonts w:ascii="Times New Roman" w:hAnsi="Times New Roman" w:cs="Times New Roman"/>
                <w:sz w:val="20"/>
                <w:lang w:val="en-GB"/>
              </w:rPr>
              <w:t>to supply</w:t>
            </w:r>
          </w:p>
          <w:p w14:paraId="5481E53B" w14:textId="77777777" w:rsidR="00377635" w:rsidRPr="00C91EA2" w:rsidRDefault="00377635">
            <w:pPr>
              <w:rPr>
                <w:rFonts w:ascii="Times New Roman" w:hAnsi="Times New Roman" w:cs="Times New Roman"/>
                <w:b/>
                <w:bCs/>
                <w:sz w:val="20"/>
                <w:lang w:val="en-GB"/>
              </w:rPr>
            </w:pPr>
          </w:p>
          <w:p w14:paraId="1643DCBB" w14:textId="77777777" w:rsidR="00377635" w:rsidRPr="00C91EA2" w:rsidRDefault="00377635">
            <w:pPr>
              <w:rPr>
                <w:rFonts w:ascii="Times New Roman" w:hAnsi="Times New Roman" w:cs="Times New Roman"/>
                <w:bCs/>
                <w:sz w:val="20"/>
                <w:lang w:val="en-GB"/>
              </w:rPr>
            </w:pPr>
            <w:r w:rsidRPr="00C91EA2">
              <w:rPr>
                <w:rFonts w:ascii="Times New Roman" w:hAnsi="Times New Roman" w:cs="Times New Roman"/>
                <w:b/>
                <w:bCs/>
                <w:sz w:val="20"/>
                <w:lang w:val="en-GB"/>
              </w:rPr>
              <w:t>Rules that facilitate agreements among competitors</w:t>
            </w:r>
            <w:r w:rsidRPr="00C91EA2">
              <w:rPr>
                <w:rFonts w:ascii="Times New Roman" w:hAnsi="Times New Roman" w:cs="Times New Roman"/>
                <w:bCs/>
                <w:sz w:val="20"/>
                <w:lang w:val="en-GB"/>
              </w:rPr>
              <w:t xml:space="preserve">: </w:t>
            </w:r>
          </w:p>
          <w:p w14:paraId="4477B2AC" w14:textId="65F7E360" w:rsidR="00377635" w:rsidRPr="00C91EA2" w:rsidRDefault="003B24ED" w:rsidP="007575D7">
            <w:pPr>
              <w:numPr>
                <w:ilvl w:val="0"/>
                <w:numId w:val="106"/>
              </w:numPr>
              <w:tabs>
                <w:tab w:val="num" w:pos="198"/>
              </w:tabs>
              <w:spacing w:line="256" w:lineRule="auto"/>
              <w:ind w:left="198" w:hanging="180"/>
              <w:jc w:val="both"/>
              <w:rPr>
                <w:rFonts w:ascii="Times New Roman" w:hAnsi="Times New Roman" w:cs="Times New Roman"/>
                <w:bCs/>
                <w:sz w:val="20"/>
                <w:lang w:val="en-GB"/>
              </w:rPr>
            </w:pPr>
            <w:r>
              <w:rPr>
                <w:rFonts w:ascii="Times New Roman" w:hAnsi="Times New Roman" w:cs="Times New Roman"/>
                <w:sz w:val="20"/>
                <w:lang w:val="en-GB"/>
              </w:rPr>
              <w:t>Government</w:t>
            </w:r>
            <w:r w:rsidR="0098273F">
              <w:rPr>
                <w:rFonts w:ascii="Times New Roman" w:hAnsi="Times New Roman" w:cs="Times New Roman"/>
                <w:sz w:val="20"/>
                <w:lang w:val="en-GB"/>
              </w:rPr>
              <w:t xml:space="preserve"> </w:t>
            </w:r>
            <w:r w:rsidR="00377635" w:rsidRPr="00C91EA2">
              <w:rPr>
                <w:rFonts w:ascii="Times New Roman" w:hAnsi="Times New Roman" w:cs="Times New Roman"/>
                <w:sz w:val="20"/>
                <w:lang w:val="en-GB"/>
              </w:rPr>
              <w:t>may encourage formation of seed producers into cooperatives or large associations which may provide additional information exchange mechanism that can facilitate collusion</w:t>
            </w:r>
          </w:p>
        </w:tc>
        <w:tc>
          <w:tcPr>
            <w:tcW w:w="0" w:type="auto"/>
            <w:tcBorders>
              <w:left w:val="nil"/>
              <w:right w:val="single" w:sz="4" w:space="0" w:color="4F81BD" w:themeColor="accent1"/>
            </w:tcBorders>
          </w:tcPr>
          <w:p w14:paraId="3F0E47ED" w14:textId="77777777" w:rsidR="00377635" w:rsidRPr="00C91EA2" w:rsidRDefault="00377635">
            <w:pPr>
              <w:spacing w:line="256" w:lineRule="auto"/>
              <w:ind w:left="18"/>
              <w:rPr>
                <w:rFonts w:ascii="Times New Roman" w:hAnsi="Times New Roman" w:cs="Times New Roman"/>
                <w:b/>
                <w:sz w:val="20"/>
                <w:lang w:val="en-GB"/>
              </w:rPr>
            </w:pPr>
            <w:r w:rsidRPr="00C91EA2">
              <w:rPr>
                <w:rFonts w:ascii="Times New Roman" w:hAnsi="Times New Roman" w:cs="Times New Roman"/>
                <w:b/>
                <w:sz w:val="20"/>
                <w:lang w:val="en-GB"/>
              </w:rPr>
              <w:t>Discretionary application of rules:</w:t>
            </w:r>
          </w:p>
          <w:p w14:paraId="21EA27F7" w14:textId="77777777" w:rsidR="00377635" w:rsidRPr="00C91EA2" w:rsidRDefault="00377635" w:rsidP="007575D7">
            <w:pPr>
              <w:pStyle w:val="ListParagraph"/>
              <w:numPr>
                <w:ilvl w:val="0"/>
                <w:numId w:val="106"/>
              </w:numPr>
              <w:tabs>
                <w:tab w:val="num" w:pos="198"/>
              </w:tabs>
              <w:spacing w:line="256" w:lineRule="auto"/>
              <w:ind w:left="198" w:hanging="180"/>
              <w:jc w:val="both"/>
              <w:rPr>
                <w:rFonts w:ascii="Times New Roman" w:hAnsi="Times New Roman" w:cs="Times New Roman"/>
                <w:sz w:val="20"/>
                <w:lang w:val="en-GB"/>
              </w:rPr>
            </w:pPr>
            <w:r w:rsidRPr="00C91EA2">
              <w:rPr>
                <w:rFonts w:ascii="Times New Roman" w:hAnsi="Times New Roman" w:cs="Times New Roman"/>
                <w:sz w:val="20"/>
                <w:lang w:val="en-GB"/>
              </w:rPr>
              <w:t xml:space="preserve">Lack of transparency in targeting of subsidies (said to </w:t>
            </w:r>
            <w:proofErr w:type="spellStart"/>
            <w:r w:rsidR="00C454C9">
              <w:rPr>
                <w:rFonts w:ascii="Times New Roman" w:hAnsi="Times New Roman" w:cs="Times New Roman"/>
                <w:sz w:val="20"/>
                <w:lang w:val="en-GB"/>
              </w:rPr>
              <w:t>favor</w:t>
            </w:r>
            <w:proofErr w:type="spellEnd"/>
            <w:r w:rsidR="00C454C9">
              <w:rPr>
                <w:rFonts w:ascii="Times New Roman" w:hAnsi="Times New Roman" w:cs="Times New Roman"/>
                <w:sz w:val="20"/>
                <w:lang w:val="en-GB"/>
              </w:rPr>
              <w:t xml:space="preserve"> </w:t>
            </w:r>
            <w:r w:rsidRPr="00C91EA2">
              <w:rPr>
                <w:rFonts w:ascii="Times New Roman" w:hAnsi="Times New Roman" w:cs="Times New Roman"/>
                <w:sz w:val="20"/>
                <w:lang w:val="en-GB"/>
              </w:rPr>
              <w:t>connected individuals)</w:t>
            </w:r>
          </w:p>
          <w:p w14:paraId="2F0BF28B" w14:textId="77777777" w:rsidR="00377635" w:rsidRPr="00C91EA2" w:rsidRDefault="00377635">
            <w:pPr>
              <w:spacing w:line="256" w:lineRule="auto"/>
              <w:ind w:left="18"/>
              <w:rPr>
                <w:rFonts w:ascii="Times New Roman" w:hAnsi="Times New Roman" w:cs="Times New Roman"/>
                <w:sz w:val="20"/>
                <w:lang w:val="en-GB"/>
              </w:rPr>
            </w:pPr>
          </w:p>
        </w:tc>
      </w:tr>
    </w:tbl>
    <w:p w14:paraId="42AB75A7" w14:textId="77777777" w:rsidR="00377635" w:rsidRPr="00C91EA2" w:rsidRDefault="00377635" w:rsidP="00377635">
      <w:pPr>
        <w:rPr>
          <w:rFonts w:ascii="Times New Roman" w:hAnsi="Times New Roman" w:cs="Times New Roman"/>
          <w:b/>
        </w:rPr>
        <w:sectPr w:rsidR="00377635" w:rsidRPr="00C91EA2" w:rsidSect="00B41724">
          <w:pgSz w:w="15840" w:h="12240" w:orient="landscape"/>
          <w:pgMar w:top="1800" w:right="1440" w:bottom="1800" w:left="1440" w:header="720" w:footer="720" w:gutter="0"/>
          <w:cols w:space="720"/>
        </w:sectPr>
      </w:pPr>
    </w:p>
    <w:p w14:paraId="46CD5AEA" w14:textId="77777777" w:rsidR="00377635" w:rsidRPr="00C91EA2" w:rsidRDefault="00377635" w:rsidP="00034A8A">
      <w:pPr>
        <w:pStyle w:val="Heading5"/>
        <w:rPr>
          <w:rFonts w:ascii="Times New Roman" w:hAnsi="Times New Roman" w:cs="Times New Roman"/>
        </w:rPr>
      </w:pPr>
      <w:r w:rsidRPr="00C91EA2">
        <w:rPr>
          <w:rFonts w:ascii="Times New Roman" w:hAnsi="Times New Roman" w:cs="Times New Roman"/>
        </w:rPr>
        <w:t>Fertilizer</w:t>
      </w:r>
    </w:p>
    <w:p w14:paraId="4F259547" w14:textId="77777777" w:rsidR="00377635" w:rsidRPr="00C91EA2" w:rsidRDefault="00377635" w:rsidP="00377635">
      <w:pPr>
        <w:rPr>
          <w:rFonts w:ascii="Times New Roman" w:hAnsi="Times New Roman" w:cs="Times New Roman"/>
        </w:rPr>
      </w:pPr>
    </w:p>
    <w:p w14:paraId="6FDCAF90" w14:textId="32E55A25" w:rsidR="00377635" w:rsidRPr="00C91EA2" w:rsidRDefault="00377635" w:rsidP="00AA15ED">
      <w:pPr>
        <w:pStyle w:val="ListParagraph"/>
        <w:numPr>
          <w:ilvl w:val="0"/>
          <w:numId w:val="71"/>
        </w:numPr>
        <w:ind w:left="0" w:firstLine="0"/>
        <w:jc w:val="both"/>
        <w:rPr>
          <w:rFonts w:ascii="Times New Roman" w:eastAsiaTheme="minorHAnsi" w:hAnsi="Times New Roman" w:cs="Times New Roman"/>
        </w:rPr>
      </w:pPr>
      <w:r w:rsidRPr="007575D7">
        <w:rPr>
          <w:rFonts w:ascii="Times New Roman" w:eastAsiaTheme="minorHAnsi" w:hAnsi="Times New Roman" w:cs="Times New Roman"/>
          <w:b/>
          <w:highlight w:val="yellow"/>
        </w:rPr>
        <w:fldChar w:fldCharType="begin"/>
      </w:r>
      <w:r w:rsidRPr="007575D7">
        <w:rPr>
          <w:rFonts w:ascii="Times New Roman" w:hAnsi="Times New Roman" w:cs="Times New Roman"/>
          <w:b/>
          <w:highlight w:val="yellow"/>
        </w:rPr>
        <w:instrText xml:space="preserve"> REF _Ref497847014 \h </w:instrText>
      </w:r>
      <w:r w:rsidRPr="007575D7">
        <w:rPr>
          <w:rFonts w:ascii="Times New Roman" w:eastAsiaTheme="minorHAnsi" w:hAnsi="Times New Roman" w:cs="Times New Roman"/>
          <w:b/>
          <w:highlight w:val="yellow"/>
        </w:rPr>
        <w:instrText xml:space="preserve"> \* MERGEFORMAT </w:instrText>
      </w:r>
      <w:r w:rsidRPr="007575D7">
        <w:rPr>
          <w:rFonts w:ascii="Times New Roman" w:eastAsiaTheme="minorHAnsi" w:hAnsi="Times New Roman" w:cs="Times New Roman"/>
          <w:b/>
          <w:highlight w:val="yellow"/>
        </w:rPr>
      </w:r>
      <w:r w:rsidRPr="007575D7">
        <w:rPr>
          <w:rFonts w:ascii="Times New Roman" w:eastAsiaTheme="minorHAnsi" w:hAnsi="Times New Roman" w:cs="Times New Roman"/>
          <w:b/>
          <w:highlight w:val="yellow"/>
        </w:rPr>
        <w:fldChar w:fldCharType="separate"/>
      </w:r>
      <w:r w:rsidR="008261B2" w:rsidRPr="008261B2">
        <w:rPr>
          <w:rFonts w:ascii="Times New Roman" w:hAnsi="Times New Roman" w:cs="Times New Roman"/>
          <w:b/>
        </w:rPr>
        <w:t xml:space="preserve">Figure </w:t>
      </w:r>
      <w:r w:rsidR="008261B2" w:rsidRPr="008261B2">
        <w:rPr>
          <w:rFonts w:ascii="Times New Roman" w:hAnsi="Times New Roman" w:cs="Times New Roman"/>
          <w:b/>
          <w:noProof/>
        </w:rPr>
        <w:t>49</w:t>
      </w:r>
      <w:r w:rsidRPr="007575D7">
        <w:rPr>
          <w:rFonts w:ascii="Times New Roman" w:eastAsiaTheme="minorHAnsi" w:hAnsi="Times New Roman" w:cs="Times New Roman"/>
          <w:b/>
          <w:highlight w:val="yellow"/>
        </w:rPr>
        <w:fldChar w:fldCharType="end"/>
      </w:r>
      <w:r w:rsidRPr="007575D7">
        <w:rPr>
          <w:rFonts w:ascii="Times New Roman" w:eastAsiaTheme="minorHAnsi" w:hAnsi="Times New Roman" w:cs="Times New Roman"/>
          <w:b/>
        </w:rPr>
        <w:t xml:space="preserve"> summarizes the segments of the fertilizer value chain in Senegal, the actors present in each segment, the current market structure and the main restrictions to market functioning posed by </w:t>
      </w:r>
      <w:r w:rsidR="003B24ED" w:rsidRPr="007575D7">
        <w:rPr>
          <w:rFonts w:ascii="Times New Roman" w:eastAsiaTheme="minorHAnsi" w:hAnsi="Times New Roman" w:cs="Times New Roman"/>
          <w:b/>
        </w:rPr>
        <w:t>Government</w:t>
      </w:r>
      <w:r w:rsidR="0098273F" w:rsidRPr="007575D7">
        <w:rPr>
          <w:rFonts w:ascii="Times New Roman" w:eastAsiaTheme="minorHAnsi" w:hAnsi="Times New Roman" w:cs="Times New Roman"/>
          <w:b/>
        </w:rPr>
        <w:t xml:space="preserve"> </w:t>
      </w:r>
      <w:r w:rsidRPr="007575D7">
        <w:rPr>
          <w:rFonts w:ascii="Times New Roman" w:eastAsiaTheme="minorHAnsi" w:hAnsi="Times New Roman" w:cs="Times New Roman"/>
          <w:b/>
        </w:rPr>
        <w:t>interventions classified by their effect on the market</w:t>
      </w:r>
      <w:r w:rsidRPr="00C91EA2">
        <w:rPr>
          <w:rFonts w:ascii="Times New Roman" w:eastAsiaTheme="minorHAnsi" w:hAnsi="Times New Roman" w:cs="Times New Roman"/>
        </w:rPr>
        <w:t xml:space="preserve">. Since fertilizer can be distributed through either a subsidized or </w:t>
      </w:r>
      <w:proofErr w:type="gramStart"/>
      <w:r w:rsidRPr="00C91EA2">
        <w:rPr>
          <w:rFonts w:ascii="Times New Roman" w:eastAsiaTheme="minorHAnsi" w:hAnsi="Times New Roman" w:cs="Times New Roman"/>
        </w:rPr>
        <w:t xml:space="preserve">a non-subsidized </w:t>
      </w:r>
      <w:r w:rsidR="00AD35AA">
        <w:rPr>
          <w:rFonts w:ascii="Times New Roman" w:eastAsiaTheme="minorHAnsi" w:hAnsi="Times New Roman" w:cs="Times New Roman"/>
        </w:rPr>
        <w:t>channels</w:t>
      </w:r>
      <w:proofErr w:type="gramEnd"/>
      <w:r w:rsidR="00AD35AA" w:rsidRPr="00C91EA2">
        <w:rPr>
          <w:rFonts w:ascii="Times New Roman" w:eastAsiaTheme="minorHAnsi" w:hAnsi="Times New Roman" w:cs="Times New Roman"/>
        </w:rPr>
        <w:t xml:space="preserve"> </w:t>
      </w:r>
      <w:r w:rsidRPr="00C91EA2">
        <w:rPr>
          <w:rFonts w:ascii="Times New Roman" w:eastAsiaTheme="minorHAnsi" w:hAnsi="Times New Roman" w:cs="Times New Roman"/>
        </w:rPr>
        <w:t xml:space="preserve">both channels are shown in the figure. </w:t>
      </w:r>
      <w:r w:rsidRPr="00C91EA2">
        <w:rPr>
          <w:rFonts w:ascii="Times New Roman" w:eastAsiaTheme="minorHAnsi" w:hAnsi="Times New Roman" w:cs="Times New Roman"/>
          <w:highlight w:val="yellow"/>
        </w:rPr>
        <w:fldChar w:fldCharType="begin"/>
      </w:r>
      <w:r w:rsidRPr="00C91EA2">
        <w:rPr>
          <w:rFonts w:ascii="Times New Roman" w:eastAsiaTheme="minorHAnsi" w:hAnsi="Times New Roman" w:cs="Times New Roman"/>
        </w:rPr>
        <w:instrText xml:space="preserve"> REF _Ref497847298 \h </w:instrText>
      </w:r>
      <w:r w:rsidRPr="00C91EA2">
        <w:rPr>
          <w:rFonts w:ascii="Times New Roman" w:eastAsiaTheme="minorHAnsi" w:hAnsi="Times New Roman" w:cs="Times New Roman"/>
          <w:highlight w:val="yellow"/>
        </w:rPr>
        <w:instrText xml:space="preserve"> \* MERGEFORMAT </w:instrText>
      </w:r>
      <w:r w:rsidRPr="00C91EA2">
        <w:rPr>
          <w:rFonts w:ascii="Times New Roman" w:eastAsiaTheme="minorHAnsi" w:hAnsi="Times New Roman" w:cs="Times New Roman"/>
          <w:highlight w:val="yellow"/>
        </w:rPr>
      </w:r>
      <w:r w:rsidRPr="00C91EA2">
        <w:rPr>
          <w:rFonts w:ascii="Times New Roman" w:eastAsiaTheme="minorHAnsi" w:hAnsi="Times New Roman" w:cs="Times New Roman"/>
          <w:highlight w:val="yellow"/>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9</w:t>
      </w:r>
      <w:r w:rsidRPr="00C91EA2">
        <w:rPr>
          <w:rFonts w:ascii="Times New Roman" w:eastAsiaTheme="minorHAnsi" w:hAnsi="Times New Roman" w:cs="Times New Roman"/>
          <w:highlight w:val="yellow"/>
        </w:rPr>
        <w:fldChar w:fldCharType="end"/>
      </w:r>
      <w:r w:rsidRPr="00C91EA2">
        <w:rPr>
          <w:rFonts w:ascii="Times New Roman" w:eastAsiaTheme="minorHAnsi" w:hAnsi="Times New Roman" w:cs="Times New Roman"/>
        </w:rPr>
        <w:t xml:space="preserve"> summarizes the rules that may hinder competition in the market for fertilizer in more detail.</w:t>
      </w:r>
    </w:p>
    <w:p w14:paraId="0048214D" w14:textId="77777777" w:rsidR="00377635" w:rsidRPr="00C91EA2" w:rsidRDefault="00377635" w:rsidP="00377635">
      <w:pPr>
        <w:jc w:val="both"/>
        <w:rPr>
          <w:rFonts w:ascii="Times New Roman" w:hAnsi="Times New Roman" w:cs="Times New Roman"/>
          <w:b/>
        </w:rPr>
      </w:pPr>
    </w:p>
    <w:tbl>
      <w:tblPr>
        <w:tblStyle w:val="TableGrid"/>
        <w:tblpPr w:leftFromText="180" w:rightFromText="180" w:vertAnchor="text" w:horzAnchor="margin" w:tblpY="-53"/>
        <w:tblW w:w="5000" w:type="pct"/>
        <w:tblLook w:val="04A0" w:firstRow="1" w:lastRow="0" w:firstColumn="1" w:lastColumn="0" w:noHBand="0" w:noVBand="1"/>
      </w:tblPr>
      <w:tblGrid>
        <w:gridCol w:w="8630"/>
      </w:tblGrid>
      <w:tr w:rsidR="00377635" w:rsidRPr="00C91EA2" w14:paraId="224FB298" w14:textId="77777777" w:rsidTr="00377635">
        <w:tc>
          <w:tcPr>
            <w:tcW w:w="5000" w:type="pct"/>
            <w:tcBorders>
              <w:top w:val="single" w:sz="4" w:space="0" w:color="auto"/>
              <w:left w:val="single" w:sz="4" w:space="0" w:color="auto"/>
              <w:bottom w:val="single" w:sz="4" w:space="0" w:color="auto"/>
              <w:right w:val="single" w:sz="4" w:space="0" w:color="auto"/>
            </w:tcBorders>
            <w:hideMark/>
          </w:tcPr>
          <w:p w14:paraId="6A322F5B" w14:textId="744241C9" w:rsidR="00377635" w:rsidRPr="00C91EA2" w:rsidRDefault="00377635">
            <w:pPr>
              <w:pStyle w:val="Caption"/>
              <w:keepNext/>
              <w:rPr>
                <w:rFonts w:ascii="Times New Roman" w:hAnsi="Times New Roman"/>
              </w:rPr>
            </w:pPr>
            <w:r w:rsidRPr="00C91EA2">
              <w:rPr>
                <w:rFonts w:ascii="Times New Roman" w:hAnsi="Times New Roman"/>
              </w:rPr>
              <w:t xml:space="preserve"> </w:t>
            </w:r>
            <w:bookmarkStart w:id="217" w:name="_Ref497847014"/>
            <w:bookmarkStart w:id="218" w:name="_Toc520725605"/>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49</w:t>
            </w:r>
            <w:r w:rsidR="00D91B27">
              <w:rPr>
                <w:rFonts w:ascii="Times New Roman" w:hAnsi="Times New Roman"/>
              </w:rPr>
              <w:fldChar w:fldCharType="end"/>
            </w:r>
            <w:bookmarkEnd w:id="217"/>
            <w:r w:rsidRPr="00C91EA2">
              <w:rPr>
                <w:rFonts w:ascii="Times New Roman" w:hAnsi="Times New Roman"/>
              </w:rPr>
              <w:t>: The fertilizer value chain</w:t>
            </w:r>
            <w:bookmarkEnd w:id="218"/>
          </w:p>
        </w:tc>
      </w:tr>
      <w:tr w:rsidR="00377635" w:rsidRPr="00C91EA2" w14:paraId="51A4C101" w14:textId="77777777" w:rsidTr="00377635">
        <w:tc>
          <w:tcPr>
            <w:tcW w:w="5000" w:type="pct"/>
            <w:tcBorders>
              <w:top w:val="single" w:sz="4" w:space="0" w:color="auto"/>
              <w:left w:val="single" w:sz="4" w:space="0" w:color="auto"/>
              <w:bottom w:val="single" w:sz="4" w:space="0" w:color="auto"/>
              <w:right w:val="single" w:sz="4" w:space="0" w:color="auto"/>
            </w:tcBorders>
            <w:hideMark/>
          </w:tcPr>
          <w:p w14:paraId="66832EBC" w14:textId="77777777" w:rsidR="00377635" w:rsidRPr="00C91EA2" w:rsidRDefault="00377635">
            <w:pPr>
              <w:rPr>
                <w:rFonts w:ascii="Times New Roman" w:hAnsi="Times New Roman" w:cs="Times New Roman"/>
                <w:sz w:val="24"/>
                <w:szCs w:val="24"/>
              </w:rPr>
            </w:pPr>
            <w:r w:rsidRPr="00C91EA2">
              <w:rPr>
                <w:rFonts w:ascii="Times New Roman" w:hAnsi="Times New Roman" w:cs="Times New Roman"/>
                <w:noProof/>
              </w:rPr>
              <w:drawing>
                <wp:inline distT="0" distB="0" distL="0" distR="0" wp14:anchorId="3E36BF04" wp14:editId="554ACE93">
                  <wp:extent cx="5410200" cy="43434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10200" cy="4343400"/>
                          </a:xfrm>
                          <a:prstGeom prst="rect">
                            <a:avLst/>
                          </a:prstGeom>
                          <a:noFill/>
                          <a:ln>
                            <a:noFill/>
                          </a:ln>
                        </pic:spPr>
                      </pic:pic>
                    </a:graphicData>
                  </a:graphic>
                </wp:inline>
              </w:drawing>
            </w:r>
          </w:p>
        </w:tc>
      </w:tr>
      <w:tr w:rsidR="00377635" w:rsidRPr="00C91EA2" w14:paraId="1C0FFE40" w14:textId="77777777" w:rsidTr="00377635">
        <w:tc>
          <w:tcPr>
            <w:tcW w:w="5000" w:type="pct"/>
            <w:tcBorders>
              <w:top w:val="single" w:sz="4" w:space="0" w:color="auto"/>
              <w:left w:val="single" w:sz="4" w:space="0" w:color="auto"/>
              <w:bottom w:val="single" w:sz="4" w:space="0" w:color="auto"/>
              <w:right w:val="single" w:sz="4" w:space="0" w:color="auto"/>
            </w:tcBorders>
            <w:hideMark/>
          </w:tcPr>
          <w:p w14:paraId="388D33FB" w14:textId="77777777" w:rsidR="00377635" w:rsidRPr="00C91EA2" w:rsidRDefault="00377635">
            <w:pPr>
              <w:rPr>
                <w:rFonts w:ascii="Times New Roman" w:hAnsi="Times New Roman" w:cs="Times New Roman"/>
                <w:sz w:val="24"/>
                <w:szCs w:val="24"/>
              </w:rPr>
            </w:pPr>
            <w:r w:rsidRPr="00C91EA2">
              <w:rPr>
                <w:rFonts w:ascii="Times New Roman" w:hAnsi="Times New Roman" w:cs="Times New Roman"/>
                <w:sz w:val="20"/>
                <w:szCs w:val="24"/>
              </w:rPr>
              <w:t>Source: Authors’ visualization</w:t>
            </w:r>
          </w:p>
        </w:tc>
      </w:tr>
    </w:tbl>
    <w:p w14:paraId="2C999D77" w14:textId="77777777" w:rsidR="00377635" w:rsidRPr="00C91EA2" w:rsidRDefault="00377635" w:rsidP="00377635">
      <w:pPr>
        <w:jc w:val="both"/>
        <w:rPr>
          <w:rFonts w:ascii="Times New Roman" w:hAnsi="Times New Roman" w:cs="Times New Roman"/>
          <w:b/>
        </w:rPr>
      </w:pPr>
    </w:p>
    <w:p w14:paraId="1C3AAB42" w14:textId="6BA34AAA"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While there are two producers of phosphatic fertilizer present in Senegal (both of which are characterized by state ownership), Senegal imports most of its straight and complex fertilizer. </w:t>
      </w:r>
      <w:r w:rsidRPr="00C91EA2">
        <w:rPr>
          <w:rFonts w:ascii="Times New Roman" w:hAnsi="Times New Roman" w:cs="Times New Roman"/>
        </w:rPr>
        <w:t xml:space="preserve">Industries </w:t>
      </w:r>
      <w:proofErr w:type="spellStart"/>
      <w:r w:rsidRPr="00C91EA2">
        <w:rPr>
          <w:rFonts w:ascii="Times New Roman" w:hAnsi="Times New Roman" w:cs="Times New Roman"/>
        </w:rPr>
        <w:t>Chimiques</w:t>
      </w:r>
      <w:proofErr w:type="spellEnd"/>
      <w:r w:rsidRPr="00C91EA2">
        <w:rPr>
          <w:rFonts w:ascii="Times New Roman" w:hAnsi="Times New Roman" w:cs="Times New Roman"/>
        </w:rPr>
        <w:t xml:space="preserve"> du </w:t>
      </w:r>
      <w:proofErr w:type="spellStart"/>
      <w:r w:rsidRPr="00C91EA2">
        <w:rPr>
          <w:rFonts w:ascii="Times New Roman" w:hAnsi="Times New Roman" w:cs="Times New Roman"/>
        </w:rPr>
        <w:t>Sénégal</w:t>
      </w:r>
      <w:proofErr w:type="spellEnd"/>
      <w:r w:rsidRPr="00C91EA2">
        <w:rPr>
          <w:rFonts w:ascii="Times New Roman" w:hAnsi="Times New Roman" w:cs="Times New Roman"/>
        </w:rPr>
        <w:t xml:space="preserve"> (ICS), of which the </w:t>
      </w:r>
      <w:r w:rsidR="003B24ED">
        <w:rPr>
          <w:rFonts w:ascii="Times New Roman" w:hAnsi="Times New Roman" w:cs="Times New Roman"/>
        </w:rPr>
        <w:t>Government</w:t>
      </w:r>
      <w:r w:rsidR="00282CA3">
        <w:rPr>
          <w:rFonts w:ascii="Times New Roman" w:hAnsi="Times New Roman" w:cs="Times New Roman"/>
        </w:rPr>
        <w:t xml:space="preserve"> </w:t>
      </w:r>
      <w:r w:rsidRPr="00C91EA2">
        <w:rPr>
          <w:rFonts w:ascii="Times New Roman" w:hAnsi="Times New Roman" w:cs="Times New Roman"/>
        </w:rPr>
        <w:t>holds 15 percent,</w:t>
      </w:r>
      <w:r w:rsidRPr="00C91EA2">
        <w:rPr>
          <w:rStyle w:val="FootnoteReference"/>
          <w:rFonts w:ascii="Times New Roman" w:hAnsi="Times New Roman" w:cs="Times New Roman"/>
        </w:rPr>
        <w:footnoteReference w:id="127"/>
      </w:r>
      <w:r w:rsidRPr="00C91EA2">
        <w:rPr>
          <w:rFonts w:ascii="Times New Roman" w:hAnsi="Times New Roman" w:cs="Times New Roman"/>
        </w:rPr>
        <w:t xml:space="preserve"> and Société </w:t>
      </w:r>
      <w:proofErr w:type="spellStart"/>
      <w:r w:rsidRPr="00C91EA2">
        <w:rPr>
          <w:rFonts w:ascii="Times New Roman" w:hAnsi="Times New Roman" w:cs="Times New Roman"/>
        </w:rPr>
        <w:t>d'Etudes</w:t>
      </w:r>
      <w:proofErr w:type="spellEnd"/>
      <w:r w:rsidRPr="00C91EA2">
        <w:rPr>
          <w:rFonts w:ascii="Times New Roman" w:hAnsi="Times New Roman" w:cs="Times New Roman"/>
        </w:rPr>
        <w:t xml:space="preserve"> et de </w:t>
      </w:r>
      <w:proofErr w:type="spellStart"/>
      <w:r w:rsidRPr="00C91EA2">
        <w:rPr>
          <w:rFonts w:ascii="Times New Roman" w:hAnsi="Times New Roman" w:cs="Times New Roman"/>
        </w:rPr>
        <w:t>Réalisation</w:t>
      </w:r>
      <w:proofErr w:type="spellEnd"/>
      <w:r w:rsidRPr="00C91EA2">
        <w:rPr>
          <w:rFonts w:ascii="Times New Roman" w:hAnsi="Times New Roman" w:cs="Times New Roman"/>
        </w:rPr>
        <w:t xml:space="preserve"> des Phosphates de </w:t>
      </w:r>
      <w:proofErr w:type="spellStart"/>
      <w:r w:rsidRPr="00C91EA2">
        <w:rPr>
          <w:rFonts w:ascii="Times New Roman" w:hAnsi="Times New Roman" w:cs="Times New Roman"/>
        </w:rPr>
        <w:t>Matam</w:t>
      </w:r>
      <w:proofErr w:type="spellEnd"/>
      <w:r w:rsidRPr="00C91EA2">
        <w:rPr>
          <w:rFonts w:ascii="Times New Roman" w:hAnsi="Times New Roman" w:cs="Times New Roman"/>
        </w:rPr>
        <w:t xml:space="preserve"> (SERPM), which is owned by the </w:t>
      </w:r>
      <w:proofErr w:type="spellStart"/>
      <w:r w:rsidR="0039382B">
        <w:rPr>
          <w:rFonts w:ascii="Times New Roman" w:hAnsi="Times New Roman" w:cs="Times New Roman"/>
        </w:rPr>
        <w:t>GoS</w:t>
      </w:r>
      <w:proofErr w:type="spellEnd"/>
      <w:r w:rsidRPr="00C91EA2">
        <w:rPr>
          <w:rFonts w:ascii="Times New Roman" w:hAnsi="Times New Roman" w:cs="Times New Roman"/>
        </w:rPr>
        <w:t xml:space="preserve"> and controlled by the Ministry of Mines and Geology,</w:t>
      </w:r>
      <w:r w:rsidRPr="00C91EA2">
        <w:rPr>
          <w:rStyle w:val="FootnoteReference"/>
          <w:rFonts w:ascii="Times New Roman" w:hAnsi="Times New Roman" w:cs="Times New Roman"/>
        </w:rPr>
        <w:footnoteReference w:id="128"/>
      </w:r>
      <w:r w:rsidRPr="00C91EA2">
        <w:rPr>
          <w:rFonts w:ascii="Times New Roman" w:hAnsi="Times New Roman" w:cs="Times New Roman"/>
        </w:rPr>
        <w:t xml:space="preserve"> appear to be the only producers of fertilizer in Senegal. Both focus on phosphate fertilizers such as phosphate rock, diammonium phosphate</w:t>
      </w:r>
      <w:r w:rsidRPr="00C91EA2">
        <w:rPr>
          <w:rFonts w:ascii="Times New Roman" w:hAnsi="Times New Roman" w:cs="Times New Roman"/>
          <w:b/>
        </w:rPr>
        <w:t xml:space="preserve"> </w:t>
      </w:r>
      <w:r w:rsidRPr="00C91EA2">
        <w:rPr>
          <w:rFonts w:ascii="Times New Roman" w:hAnsi="Times New Roman" w:cs="Times New Roman"/>
        </w:rPr>
        <w:t>(DAP) and other NPKs.</w:t>
      </w:r>
      <w:r w:rsidRPr="00C91EA2">
        <w:rPr>
          <w:rStyle w:val="FootnoteReference"/>
          <w:rFonts w:ascii="Times New Roman" w:hAnsi="Times New Roman" w:cs="Times New Roman"/>
        </w:rPr>
        <w:footnoteReference w:id="129"/>
      </w:r>
      <w:r w:rsidRPr="00C91EA2">
        <w:rPr>
          <w:rFonts w:ascii="Times New Roman" w:hAnsi="Times New Roman" w:cs="Times New Roman"/>
        </w:rPr>
        <w:t xml:space="preserve"> </w:t>
      </w:r>
      <w:r w:rsidR="00FC2610">
        <w:rPr>
          <w:rFonts w:ascii="Times New Roman" w:hAnsi="Times New Roman" w:cs="Times New Roman"/>
        </w:rPr>
        <w:t xml:space="preserve">Domestic production of fertilizers appears to be limited so that the country relies on fertilizer </w:t>
      </w:r>
      <w:r w:rsidR="00FC2610" w:rsidRPr="00553AF3">
        <w:rPr>
          <w:rFonts w:ascii="Times New Roman" w:hAnsi="Times New Roman" w:cs="Times New Roman"/>
        </w:rPr>
        <w:t>imports.</w:t>
      </w:r>
      <w:r w:rsidR="00553AF3">
        <w:rPr>
          <w:rStyle w:val="FootnoteReference"/>
          <w:rFonts w:ascii="Times New Roman" w:hAnsi="Times New Roman" w:cs="Times New Roman"/>
        </w:rPr>
        <w:footnoteReference w:id="130"/>
      </w:r>
      <w:r w:rsidR="00FC2610" w:rsidRPr="00553AF3">
        <w:rPr>
          <w:rFonts w:ascii="Times New Roman" w:hAnsi="Times New Roman" w:cs="Times New Roman"/>
        </w:rPr>
        <w:t xml:space="preserve"> </w:t>
      </w:r>
      <w:r w:rsidRPr="00553AF3">
        <w:rPr>
          <w:rFonts w:ascii="Times New Roman" w:hAnsi="Times New Roman" w:cs="Times New Roman"/>
        </w:rPr>
        <w:t>In 2015, Senegal’s fertilizer imports exceeded its use of fertilizer for domestic agriculture.</w:t>
      </w:r>
      <w:r w:rsidRPr="00553AF3">
        <w:rPr>
          <w:rStyle w:val="FootnoteReference"/>
          <w:rFonts w:ascii="Times New Roman" w:hAnsi="Times New Roman" w:cs="Times New Roman"/>
        </w:rPr>
        <w:footnoteReference w:id="131"/>
      </w:r>
      <w:r w:rsidR="004C212D" w:rsidRPr="00553AF3">
        <w:rPr>
          <w:rFonts w:ascii="Times New Roman" w:hAnsi="Times New Roman" w:cs="Times New Roman"/>
        </w:rPr>
        <w:t xml:space="preserve"> </w:t>
      </w:r>
      <w:r w:rsidRPr="00553AF3">
        <w:rPr>
          <w:rFonts w:ascii="Times New Roman" w:hAnsi="Times New Roman" w:cs="Times New Roman"/>
        </w:rPr>
        <w:fldChar w:fldCharType="begin"/>
      </w:r>
      <w:r w:rsidRPr="00553AF3">
        <w:rPr>
          <w:rFonts w:ascii="Times New Roman" w:hAnsi="Times New Roman" w:cs="Times New Roman"/>
        </w:rPr>
        <w:instrText xml:space="preserve"> REF _Ref497848602 \h  \* MERGEFORMAT </w:instrText>
      </w:r>
      <w:r w:rsidRPr="00553AF3">
        <w:rPr>
          <w:rFonts w:ascii="Times New Roman" w:hAnsi="Times New Roman" w:cs="Times New Roman"/>
        </w:rPr>
      </w:r>
      <w:r w:rsidRPr="00553AF3">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50</w:t>
      </w:r>
      <w:r w:rsidRPr="00553AF3">
        <w:rPr>
          <w:rFonts w:ascii="Times New Roman" w:hAnsi="Times New Roman" w:cs="Times New Roman"/>
        </w:rPr>
        <w:fldChar w:fldCharType="end"/>
      </w:r>
      <w:r w:rsidRPr="00C91EA2">
        <w:rPr>
          <w:rFonts w:ascii="Times New Roman" w:hAnsi="Times New Roman" w:cs="Times New Roman"/>
        </w:rPr>
        <w:t xml:space="preserve"> shows consumption by fertilizer type</w:t>
      </w:r>
      <w:r w:rsidR="004C212D">
        <w:rPr>
          <w:rFonts w:ascii="Times New Roman" w:hAnsi="Times New Roman" w:cs="Times New Roman"/>
        </w:rPr>
        <w:t xml:space="preserve"> t</w:t>
      </w:r>
      <w:r w:rsidRPr="00C91EA2">
        <w:rPr>
          <w:rFonts w:ascii="Times New Roman" w:hAnsi="Times New Roman" w:cs="Times New Roman"/>
        </w:rPr>
        <w:t>o</w:t>
      </w:r>
      <w:r w:rsidR="001D33F8">
        <w:rPr>
          <w:rFonts w:ascii="Times New Roman" w:hAnsi="Times New Roman" w:cs="Times New Roman"/>
        </w:rPr>
        <w:t xml:space="preserve"> highlight the structure of the fertilizer market</w:t>
      </w:r>
      <w:r w:rsidRPr="00C91EA2">
        <w:rPr>
          <w:rFonts w:ascii="Times New Roman" w:hAnsi="Times New Roman" w:cs="Times New Roman"/>
        </w:rPr>
        <w:t>.</w:t>
      </w:r>
    </w:p>
    <w:p w14:paraId="11C8D254" w14:textId="77777777" w:rsidR="00377635" w:rsidRPr="00C91EA2" w:rsidRDefault="00377635" w:rsidP="00377635">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377635" w:rsidRPr="00C91EA2" w14:paraId="1DFD5148"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6039A1B4" w14:textId="3B53491D" w:rsidR="00377635" w:rsidRPr="00C91EA2" w:rsidRDefault="00377635">
            <w:pPr>
              <w:pStyle w:val="Caption"/>
              <w:keepNext/>
              <w:jc w:val="both"/>
              <w:rPr>
                <w:rFonts w:ascii="Times New Roman" w:hAnsi="Times New Roman"/>
              </w:rPr>
            </w:pPr>
            <w:bookmarkStart w:id="219" w:name="_Ref497848602"/>
            <w:bookmarkStart w:id="220" w:name="_Toc520725606"/>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50</w:t>
            </w:r>
            <w:r w:rsidR="00D91B27">
              <w:rPr>
                <w:rFonts w:ascii="Times New Roman" w:hAnsi="Times New Roman"/>
              </w:rPr>
              <w:fldChar w:fldCharType="end"/>
            </w:r>
            <w:bookmarkEnd w:id="219"/>
            <w:r w:rsidRPr="00C91EA2">
              <w:rPr>
                <w:rFonts w:ascii="Times New Roman" w:hAnsi="Times New Roman"/>
              </w:rPr>
              <w:t>: Senegalese fertilizer imports and consumption by type (2015)</w:t>
            </w:r>
            <w:bookmarkEnd w:id="220"/>
          </w:p>
        </w:tc>
      </w:tr>
      <w:tr w:rsidR="00377635" w:rsidRPr="00C91EA2" w14:paraId="70D2E4AA"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1A23F74C" w14:textId="77777777" w:rsidR="00377635" w:rsidRPr="00C91EA2" w:rsidRDefault="005A26C7">
            <w:pPr>
              <w:jc w:val="both"/>
              <w:rPr>
                <w:rFonts w:ascii="Times New Roman" w:hAnsi="Times New Roman" w:cs="Times New Roman"/>
              </w:rPr>
            </w:pPr>
            <w:r>
              <w:rPr>
                <w:noProof/>
              </w:rPr>
              <w:drawing>
                <wp:inline distT="0" distB="0" distL="0" distR="0" wp14:anchorId="31E3BA3D" wp14:editId="086C9207">
                  <wp:extent cx="5350510" cy="1760814"/>
                  <wp:effectExtent l="0" t="0" r="8890" b="0"/>
                  <wp:docPr id="10" name="Chart 10">
                    <a:extLst xmlns:a="http://schemas.openxmlformats.org/drawingml/2006/main">
                      <a:ext uri="{FF2B5EF4-FFF2-40B4-BE49-F238E27FC236}">
                        <a16:creationId xmlns:a16="http://schemas.microsoft.com/office/drawing/2014/main" id="{0D159CD8-0B71-4EBA-8AE6-E8DAE2136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377635" w:rsidRPr="00C91EA2" w14:paraId="1116532F"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659B4797" w14:textId="77777777" w:rsidR="00377635" w:rsidRPr="00C91EA2" w:rsidRDefault="00377635">
            <w:pPr>
              <w:jc w:val="both"/>
              <w:rPr>
                <w:rFonts w:ascii="Times New Roman" w:hAnsi="Times New Roman" w:cs="Times New Roman"/>
              </w:rPr>
            </w:pPr>
            <w:r w:rsidRPr="00C91EA2">
              <w:rPr>
                <w:rFonts w:ascii="Times New Roman" w:hAnsi="Times New Roman" w:cs="Times New Roman"/>
                <w:sz w:val="20"/>
                <w:szCs w:val="20"/>
              </w:rPr>
              <w:t xml:space="preserve">USAID. 2016. </w:t>
            </w:r>
            <w:r w:rsidRPr="00C91EA2">
              <w:rPr>
                <w:rFonts w:ascii="Times New Roman" w:hAnsi="Times New Roman" w:cs="Times New Roman"/>
                <w:i/>
                <w:sz w:val="20"/>
                <w:szCs w:val="20"/>
              </w:rPr>
              <w:t>Fertilizer Statistics Overview Senegal 2012 -2015.</w:t>
            </w:r>
          </w:p>
        </w:tc>
      </w:tr>
    </w:tbl>
    <w:p w14:paraId="2081F80F" w14:textId="77777777" w:rsidR="00377635" w:rsidRDefault="00377635" w:rsidP="00377635">
      <w:pPr>
        <w:jc w:val="both"/>
        <w:rPr>
          <w:rFonts w:ascii="Times New Roman" w:hAnsi="Times New Roman" w:cs="Times New Roman"/>
        </w:rPr>
      </w:pPr>
    </w:p>
    <w:p w14:paraId="351623F4" w14:textId="77777777" w:rsidR="00021E5E" w:rsidRPr="00C91EA2" w:rsidRDefault="00021E5E" w:rsidP="00377635">
      <w:pPr>
        <w:jc w:val="both"/>
        <w:rPr>
          <w:rFonts w:ascii="Times New Roman" w:hAnsi="Times New Roman" w:cs="Times New Roman"/>
        </w:rPr>
      </w:pPr>
    </w:p>
    <w:p w14:paraId="2D6E0C93" w14:textId="4A3BD1B5"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w:t>
      </w:r>
      <w:r w:rsidR="003B24ED">
        <w:rPr>
          <w:rFonts w:ascii="Times New Roman" w:hAnsi="Times New Roman" w:cs="Times New Roman"/>
          <w:b/>
        </w:rPr>
        <w:t>Government</w:t>
      </w:r>
      <w:r w:rsidRPr="00C91EA2">
        <w:rPr>
          <w:rFonts w:ascii="Times New Roman" w:hAnsi="Times New Roman" w:cs="Times New Roman"/>
          <w:b/>
        </w:rPr>
        <w:t xml:space="preserve"> of Senegal subsidizes fertilizer and is involved in all stages of the value chain from procurement to distribution.</w:t>
      </w:r>
      <w:r w:rsidRPr="00C91EA2">
        <w:rPr>
          <w:rFonts w:ascii="Times New Roman" w:hAnsi="Times New Roman" w:cs="Times New Roman"/>
        </w:rPr>
        <w:t xml:space="preserve"> Roughly 23 percent of fertilizers are being subsidized by the </w:t>
      </w:r>
      <w:r w:rsidR="0045583C">
        <w:rPr>
          <w:rFonts w:ascii="Times New Roman" w:hAnsi="Times New Roman" w:cs="Times New Roman"/>
        </w:rPr>
        <w:t>Government</w:t>
      </w:r>
      <w:r w:rsidRPr="00C91EA2">
        <w:rPr>
          <w:rFonts w:ascii="Times New Roman" w:hAnsi="Times New Roman" w:cs="Times New Roman"/>
        </w:rPr>
        <w:t>.</w:t>
      </w:r>
      <w:r w:rsidRPr="00C91EA2">
        <w:rPr>
          <w:rStyle w:val="FootnoteReference"/>
          <w:rFonts w:ascii="Times New Roman" w:hAnsi="Times New Roman" w:cs="Times New Roman"/>
        </w:rPr>
        <w:footnoteReference w:id="132"/>
      </w:r>
      <w:r w:rsidRPr="00C91EA2">
        <w:rPr>
          <w:rFonts w:ascii="Times New Roman" w:hAnsi="Times New Roman" w:cs="Times New Roman"/>
        </w:rPr>
        <w:t xml:space="preserve"> For subsidized fertilizer, the </w:t>
      </w:r>
      <w:r w:rsidR="003B24ED">
        <w:rPr>
          <w:rFonts w:ascii="Times New Roman" w:hAnsi="Times New Roman" w:cs="Times New Roman"/>
        </w:rPr>
        <w:t>Government</w:t>
      </w:r>
      <w:r w:rsidR="0098273F">
        <w:rPr>
          <w:rFonts w:ascii="Times New Roman" w:hAnsi="Times New Roman" w:cs="Times New Roman"/>
        </w:rPr>
        <w:t xml:space="preserve"> </w:t>
      </w:r>
      <w:r w:rsidRPr="00C91EA2">
        <w:rPr>
          <w:rFonts w:ascii="Times New Roman" w:hAnsi="Times New Roman" w:cs="Times New Roman"/>
        </w:rPr>
        <w:t xml:space="preserve">engages in a public procurement process based on anticipated demand and then awards contracts to a few large providers. As part of the contract, providers are required to deliver fertilizer to specific locations determined by the </w:t>
      </w:r>
      <w:r w:rsidR="0045583C">
        <w:rPr>
          <w:rFonts w:ascii="Times New Roman" w:hAnsi="Times New Roman" w:cs="Times New Roman"/>
        </w:rPr>
        <w:t>Government</w:t>
      </w:r>
      <w:r w:rsidRPr="00C91EA2">
        <w:rPr>
          <w:rFonts w:ascii="Times New Roman" w:hAnsi="Times New Roman" w:cs="Times New Roman"/>
        </w:rPr>
        <w:t xml:space="preserve">. The regional allocation is carried out by the Agriculture Directorate in the MAER. As with seed, local allocation is undertaken by DRDR in cooperation with cooperatives and village-level distribution committees. The </w:t>
      </w:r>
      <w:r w:rsidR="003B24ED">
        <w:rPr>
          <w:rFonts w:ascii="Times New Roman" w:hAnsi="Times New Roman" w:cs="Times New Roman"/>
        </w:rPr>
        <w:t>Government</w:t>
      </w:r>
      <w:r w:rsidR="00A5496E">
        <w:rPr>
          <w:rFonts w:ascii="Times New Roman" w:hAnsi="Times New Roman" w:cs="Times New Roman"/>
        </w:rPr>
        <w:t xml:space="preserve"> </w:t>
      </w:r>
      <w:r w:rsidRPr="00C91EA2">
        <w:rPr>
          <w:rFonts w:ascii="Times New Roman" w:hAnsi="Times New Roman" w:cs="Times New Roman"/>
        </w:rPr>
        <w:t xml:space="preserve">determines the final price of the subsidized fertilizer and importers recoup the difference between their cost of delivery and the subsidized price upon presenting sales receipts to the </w:t>
      </w:r>
      <w:r w:rsidR="0045583C">
        <w:rPr>
          <w:rFonts w:ascii="Times New Roman" w:hAnsi="Times New Roman" w:cs="Times New Roman"/>
        </w:rPr>
        <w:t>Government</w:t>
      </w:r>
      <w:r w:rsidRPr="00C91EA2">
        <w:rPr>
          <w:rFonts w:ascii="Times New Roman" w:hAnsi="Times New Roman" w:cs="Times New Roman"/>
        </w:rPr>
        <w:t>. The average subsidy is 50-60 percent,</w:t>
      </w:r>
      <w:r w:rsidRPr="00C91EA2">
        <w:rPr>
          <w:rStyle w:val="FootnoteReference"/>
          <w:rFonts w:ascii="Times New Roman" w:hAnsi="Times New Roman" w:cs="Times New Roman"/>
        </w:rPr>
        <w:footnoteReference w:id="133"/>
      </w:r>
      <w:r w:rsidRPr="00C91EA2">
        <w:rPr>
          <w:rFonts w:ascii="Times New Roman" w:hAnsi="Times New Roman" w:cs="Times New Roman"/>
        </w:rPr>
        <w:t xml:space="preserve"> although this varies across regions according to transport costs.</w:t>
      </w:r>
    </w:p>
    <w:p w14:paraId="71E5416F" w14:textId="77777777" w:rsidR="00377635" w:rsidRPr="00C91EA2" w:rsidRDefault="00377635" w:rsidP="00377635">
      <w:pPr>
        <w:jc w:val="both"/>
        <w:rPr>
          <w:rFonts w:ascii="Times New Roman" w:hAnsi="Times New Roman" w:cs="Times New Roman"/>
          <w:b/>
        </w:rPr>
      </w:pPr>
    </w:p>
    <w:p w14:paraId="030C3DF5" w14:textId="73E8DB6D" w:rsidR="00377635" w:rsidRPr="00D751D9"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In the 2016/17 season</w:t>
      </w:r>
      <w:r w:rsidR="00D4452F">
        <w:rPr>
          <w:rFonts w:ascii="Times New Roman" w:hAnsi="Times New Roman" w:cs="Times New Roman"/>
          <w:b/>
        </w:rPr>
        <w:t>,</w:t>
      </w:r>
      <w:r w:rsidRPr="00C91EA2">
        <w:rPr>
          <w:rFonts w:ascii="Times New Roman" w:hAnsi="Times New Roman" w:cs="Times New Roman"/>
          <w:b/>
        </w:rPr>
        <w:t xml:space="preserve"> one supplier dominated both the provision of subsidized urea and DAP fertilizers. </w:t>
      </w:r>
      <w:r w:rsidRPr="00C91EA2">
        <w:rPr>
          <w:rFonts w:ascii="Times New Roman" w:hAnsi="Times New Roman" w:cs="Times New Roman"/>
        </w:rPr>
        <w:t xml:space="preserve">The Société </w:t>
      </w:r>
      <w:proofErr w:type="spellStart"/>
      <w:r w:rsidRPr="00C91EA2">
        <w:rPr>
          <w:rFonts w:ascii="Times New Roman" w:hAnsi="Times New Roman" w:cs="Times New Roman"/>
        </w:rPr>
        <w:t>Sahélienne</w:t>
      </w:r>
      <w:proofErr w:type="spellEnd"/>
      <w:r w:rsidRPr="00C91EA2">
        <w:rPr>
          <w:rFonts w:ascii="Times New Roman" w:hAnsi="Times New Roman" w:cs="Times New Roman"/>
        </w:rPr>
        <w:t xml:space="preserve"> </w:t>
      </w:r>
      <w:proofErr w:type="spellStart"/>
      <w:r w:rsidRPr="00C91EA2">
        <w:rPr>
          <w:rFonts w:ascii="Times New Roman" w:hAnsi="Times New Roman" w:cs="Times New Roman"/>
        </w:rPr>
        <w:t>d’Entreprises</w:t>
      </w:r>
      <w:proofErr w:type="spellEnd"/>
      <w:r w:rsidRPr="00C91EA2">
        <w:rPr>
          <w:rFonts w:ascii="Times New Roman" w:hAnsi="Times New Roman" w:cs="Times New Roman"/>
        </w:rPr>
        <w:t xml:space="preserve"> de Distribution et </w:t>
      </w:r>
      <w:proofErr w:type="spellStart"/>
      <w:r w:rsidRPr="00C91EA2">
        <w:rPr>
          <w:rFonts w:ascii="Times New Roman" w:hAnsi="Times New Roman" w:cs="Times New Roman"/>
        </w:rPr>
        <w:t>d’Agro</w:t>
      </w:r>
      <w:proofErr w:type="spellEnd"/>
      <w:r w:rsidRPr="00C91EA2">
        <w:rPr>
          <w:rFonts w:ascii="Times New Roman" w:hAnsi="Times New Roman" w:cs="Times New Roman"/>
        </w:rPr>
        <w:t xml:space="preserve">-Business (SEDAB) was the only supplier of subsidized DAP in Senegal and provided 58 percent of the country’s subsidized urea fertilizer. Although </w:t>
      </w:r>
      <w:r w:rsidR="00631A8B" w:rsidRPr="005A26C7">
        <w:rPr>
          <w:rFonts w:ascii="Times New Roman" w:hAnsi="Times New Roman" w:cs="Times New Roman"/>
        </w:rPr>
        <w:t>high market concentration</w:t>
      </w:r>
      <w:r w:rsidR="00631A8B" w:rsidRPr="00D751D9">
        <w:rPr>
          <w:rFonts w:ascii="Times New Roman" w:hAnsi="Times New Roman" w:cs="Times New Roman"/>
        </w:rPr>
        <w:t xml:space="preserve"> </w:t>
      </w:r>
      <w:r w:rsidRPr="00D751D9">
        <w:rPr>
          <w:rFonts w:ascii="Times New Roman" w:hAnsi="Times New Roman" w:cs="Times New Roman"/>
        </w:rPr>
        <w:t>is not in itself problematic</w:t>
      </w:r>
      <w:r w:rsidR="00631A8B" w:rsidRPr="00D751D9">
        <w:rPr>
          <w:rFonts w:ascii="Times New Roman" w:hAnsi="Times New Roman" w:cs="Times New Roman"/>
        </w:rPr>
        <w:t>,</w:t>
      </w:r>
      <w:r w:rsidR="002B7064">
        <w:rPr>
          <w:rFonts w:ascii="Times New Roman" w:hAnsi="Times New Roman" w:cs="Times New Roman"/>
        </w:rPr>
        <w:t xml:space="preserve"> if a tender has</w:t>
      </w:r>
      <w:r w:rsidR="00D70A94">
        <w:rPr>
          <w:rFonts w:ascii="Times New Roman" w:hAnsi="Times New Roman" w:cs="Times New Roman"/>
        </w:rPr>
        <w:t xml:space="preserve"> not</w:t>
      </w:r>
      <w:r w:rsidR="002B7064">
        <w:rPr>
          <w:rFonts w:ascii="Times New Roman" w:hAnsi="Times New Roman" w:cs="Times New Roman"/>
        </w:rPr>
        <w:t xml:space="preserve"> </w:t>
      </w:r>
      <w:r w:rsidR="000A2990">
        <w:rPr>
          <w:rFonts w:ascii="Times New Roman" w:hAnsi="Times New Roman" w:cs="Times New Roman"/>
        </w:rPr>
        <w:t>been awarded</w:t>
      </w:r>
      <w:r w:rsidR="002B7064">
        <w:rPr>
          <w:rFonts w:ascii="Times New Roman" w:hAnsi="Times New Roman" w:cs="Times New Roman"/>
        </w:rPr>
        <w:t xml:space="preserve"> to the most competitive</w:t>
      </w:r>
      <w:r w:rsidRPr="00E43ED7">
        <w:rPr>
          <w:rFonts w:ascii="Times New Roman" w:hAnsi="Times New Roman" w:cs="Times New Roman"/>
        </w:rPr>
        <w:t xml:space="preserve"> </w:t>
      </w:r>
      <w:r w:rsidR="002B7064">
        <w:rPr>
          <w:rFonts w:ascii="Times New Roman" w:hAnsi="Times New Roman" w:cs="Times New Roman"/>
        </w:rPr>
        <w:t xml:space="preserve">supplier, </w:t>
      </w:r>
      <w:r w:rsidRPr="00D751D9">
        <w:rPr>
          <w:rFonts w:ascii="Times New Roman" w:hAnsi="Times New Roman" w:cs="Times New Roman"/>
        </w:rPr>
        <w:t>it may raise questions about the</w:t>
      </w:r>
      <w:r w:rsidR="00631A8B" w:rsidRPr="00D751D9">
        <w:rPr>
          <w:rFonts w:ascii="Times New Roman" w:hAnsi="Times New Roman" w:cs="Times New Roman"/>
        </w:rPr>
        <w:t xml:space="preserve"> </w:t>
      </w:r>
      <w:r w:rsidR="00631A8B" w:rsidRPr="005A26C7">
        <w:rPr>
          <w:rFonts w:ascii="Times New Roman" w:hAnsi="Times New Roman" w:cs="Times New Roman"/>
        </w:rPr>
        <w:t>competitive nature of the</w:t>
      </w:r>
      <w:r w:rsidRPr="00D751D9">
        <w:rPr>
          <w:rFonts w:ascii="Times New Roman" w:hAnsi="Times New Roman" w:cs="Times New Roman"/>
        </w:rPr>
        <w:t xml:space="preserve"> tender process. </w:t>
      </w:r>
      <w:r w:rsidR="002B7064">
        <w:rPr>
          <w:rFonts w:ascii="Times New Roman" w:hAnsi="Times New Roman" w:cs="Times New Roman"/>
        </w:rPr>
        <w:t xml:space="preserve">In fact, there are indications that contracts are awarded also </w:t>
      </w:r>
      <w:proofErr w:type="gramStart"/>
      <w:r w:rsidR="002B7064">
        <w:rPr>
          <w:rFonts w:ascii="Times New Roman" w:hAnsi="Times New Roman" w:cs="Times New Roman"/>
        </w:rPr>
        <w:t>on the basis of</w:t>
      </w:r>
      <w:proofErr w:type="gramEnd"/>
      <w:r w:rsidR="002B7064">
        <w:rPr>
          <w:rFonts w:ascii="Times New Roman" w:hAnsi="Times New Roman" w:cs="Times New Roman"/>
        </w:rPr>
        <w:t xml:space="preserve"> factors that are not related to performance, like the identity of winning bidders </w:t>
      </w:r>
      <w:r w:rsidR="00D70A94">
        <w:rPr>
          <w:rFonts w:ascii="Times New Roman" w:hAnsi="Times New Roman" w:cs="Times New Roman"/>
        </w:rPr>
        <w:t xml:space="preserve">(e.g., </w:t>
      </w:r>
      <w:r w:rsidR="002B7064">
        <w:rPr>
          <w:rFonts w:ascii="Times New Roman" w:hAnsi="Times New Roman" w:cs="Times New Roman"/>
        </w:rPr>
        <w:t>Senegalese suppliers</w:t>
      </w:r>
      <w:r w:rsidR="00D70A94">
        <w:rPr>
          <w:rFonts w:ascii="Times New Roman" w:hAnsi="Times New Roman" w:cs="Times New Roman"/>
        </w:rPr>
        <w:t>)</w:t>
      </w:r>
      <w:r w:rsidR="002B7064">
        <w:rPr>
          <w:rFonts w:ascii="Times New Roman" w:hAnsi="Times New Roman" w:cs="Times New Roman"/>
        </w:rPr>
        <w:t>.</w:t>
      </w:r>
      <w:r w:rsidR="002B7064">
        <w:rPr>
          <w:rStyle w:val="FootnoteReference"/>
          <w:rFonts w:ascii="Times New Roman" w:hAnsi="Times New Roman" w:cs="Times New Roman"/>
        </w:rPr>
        <w:footnoteReference w:id="134"/>
      </w:r>
    </w:p>
    <w:p w14:paraId="07B19296" w14:textId="77777777" w:rsidR="00377635" w:rsidRPr="00C91EA2" w:rsidRDefault="00377635" w:rsidP="00AA15ED">
      <w:pPr>
        <w:jc w:val="both"/>
        <w:rPr>
          <w:rFonts w:ascii="Times New Roman" w:hAnsi="Times New Roman" w:cs="Times New Roman"/>
        </w:rPr>
      </w:pPr>
    </w:p>
    <w:p w14:paraId="425128E9" w14:textId="62CFAE25" w:rsidR="00377635"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Tender rules for subsidized fertilizer in Senegal display some features </w:t>
      </w:r>
      <w:r w:rsidR="000A2990">
        <w:rPr>
          <w:rFonts w:ascii="Times New Roman" w:hAnsi="Times New Roman" w:cs="Times New Roman"/>
          <w:b/>
        </w:rPr>
        <w:t>that</w:t>
      </w:r>
      <w:r w:rsidR="000A2990" w:rsidRPr="00C91EA2">
        <w:rPr>
          <w:rFonts w:ascii="Times New Roman" w:hAnsi="Times New Roman" w:cs="Times New Roman"/>
          <w:b/>
        </w:rPr>
        <w:t xml:space="preserve"> </w:t>
      </w:r>
      <w:r w:rsidRPr="00C91EA2">
        <w:rPr>
          <w:rFonts w:ascii="Times New Roman" w:hAnsi="Times New Roman" w:cs="Times New Roman"/>
          <w:b/>
        </w:rPr>
        <w:t>may restrict competition.</w:t>
      </w:r>
      <w:r w:rsidRPr="00C91EA2">
        <w:rPr>
          <w:rFonts w:ascii="Times New Roman" w:hAnsi="Times New Roman" w:cs="Times New Roman"/>
        </w:rPr>
        <w:t xml:space="preserve"> For example, a specific formula for groundnut fertilizer is determined in the tender rules</w:t>
      </w:r>
      <w:r w:rsidR="006C61D4">
        <w:rPr>
          <w:rFonts w:ascii="Times New Roman" w:hAnsi="Times New Roman" w:cs="Times New Roman"/>
        </w:rPr>
        <w:t>, and this</w:t>
      </w:r>
      <w:r w:rsidRPr="00C91EA2">
        <w:rPr>
          <w:rFonts w:ascii="Times New Roman" w:hAnsi="Times New Roman" w:cs="Times New Roman"/>
        </w:rPr>
        <w:t xml:space="preserve"> may restrict entry of potential substitute specifications and limit firms’ choice of strategic variables (i.e. prevent competition in the dimension of the formula specification). It may also facilitate collusion by increasing symmetry between bidders. Furthermore, the </w:t>
      </w:r>
      <w:r w:rsidR="003B24ED">
        <w:rPr>
          <w:rFonts w:ascii="Times New Roman" w:hAnsi="Times New Roman" w:cs="Times New Roman"/>
        </w:rPr>
        <w:t>Government</w:t>
      </w:r>
      <w:r w:rsidR="0098273F">
        <w:rPr>
          <w:rFonts w:ascii="Times New Roman" w:hAnsi="Times New Roman" w:cs="Times New Roman"/>
        </w:rPr>
        <w:t xml:space="preserve"> </w:t>
      </w:r>
      <w:r w:rsidRPr="00C91EA2">
        <w:rPr>
          <w:rFonts w:ascii="Times New Roman" w:hAnsi="Times New Roman" w:cs="Times New Roman"/>
        </w:rPr>
        <w:t xml:space="preserve">appears to prohibit the participation of bulk blended products in fertilizer tenders (limiting tenders to complex blends which are produced by ICS for example). This has the effect of excluding potential regional competitors from Mali, Burkina Faso, Côte d’Ivoire, and Guinea, and may raise prices. Finally, it appears tender bonuses may informally be given to </w:t>
      </w:r>
      <w:r w:rsidR="007575D7">
        <w:rPr>
          <w:rFonts w:ascii="Times New Roman" w:hAnsi="Times New Roman" w:cs="Times New Roman"/>
        </w:rPr>
        <w:t>bidders</w:t>
      </w:r>
      <w:r w:rsidRPr="00C91EA2">
        <w:rPr>
          <w:rFonts w:ascii="Times New Roman" w:hAnsi="Times New Roman" w:cs="Times New Roman"/>
        </w:rPr>
        <w:t xml:space="preserve"> who agree to procuring fertilizer partially from ICS.</w:t>
      </w:r>
      <w:r w:rsidRPr="00C91EA2">
        <w:rPr>
          <w:rStyle w:val="FootnoteReference"/>
          <w:rFonts w:ascii="Times New Roman" w:hAnsi="Times New Roman" w:cs="Times New Roman"/>
        </w:rPr>
        <w:footnoteReference w:id="135"/>
      </w:r>
      <w:r w:rsidRPr="00C91EA2">
        <w:rPr>
          <w:rFonts w:ascii="Times New Roman" w:hAnsi="Times New Roman" w:cs="Times New Roman"/>
        </w:rPr>
        <w:t xml:space="preserve"> </w:t>
      </w:r>
    </w:p>
    <w:p w14:paraId="3E9B47C1" w14:textId="77777777" w:rsidR="00377635" w:rsidRPr="00C91EA2" w:rsidRDefault="00377635" w:rsidP="00AA15ED">
      <w:pPr>
        <w:jc w:val="both"/>
        <w:rPr>
          <w:rFonts w:ascii="Times New Roman" w:hAnsi="Times New Roman" w:cs="Times New Roman"/>
        </w:rPr>
      </w:pPr>
    </w:p>
    <w:p w14:paraId="661C8EDA" w14:textId="38D200F3" w:rsidR="00EE6190" w:rsidRPr="00C91EA2"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Delayed </w:t>
      </w:r>
      <w:r w:rsidR="003B24ED">
        <w:rPr>
          <w:rFonts w:ascii="Times New Roman" w:hAnsi="Times New Roman" w:cs="Times New Roman"/>
          <w:b/>
        </w:rPr>
        <w:t>Government</w:t>
      </w:r>
      <w:r w:rsidR="0098273F">
        <w:rPr>
          <w:rFonts w:ascii="Times New Roman" w:hAnsi="Times New Roman" w:cs="Times New Roman"/>
          <w:b/>
        </w:rPr>
        <w:t xml:space="preserve"> </w:t>
      </w:r>
      <w:r w:rsidRPr="00C91EA2">
        <w:rPr>
          <w:rFonts w:ascii="Times New Roman" w:hAnsi="Times New Roman" w:cs="Times New Roman"/>
          <w:b/>
        </w:rPr>
        <w:t>payments to suppliers and inefficiencies in the subsidized channel hinder entry and raise the final costs of subsidized fertilizer relative to fertilizer delivered commercially.</w:t>
      </w:r>
      <w:r w:rsidRPr="00C91EA2">
        <w:rPr>
          <w:rFonts w:ascii="Times New Roman" w:hAnsi="Times New Roman" w:cs="Times New Roman"/>
        </w:rPr>
        <w:t xml:space="preserve"> Some suppliers to the </w:t>
      </w:r>
      <w:r w:rsidR="003B24ED">
        <w:rPr>
          <w:rFonts w:ascii="Times New Roman" w:hAnsi="Times New Roman" w:cs="Times New Roman"/>
        </w:rPr>
        <w:t>Government</w:t>
      </w:r>
      <w:r w:rsidRPr="00C91EA2">
        <w:rPr>
          <w:rFonts w:ascii="Times New Roman" w:hAnsi="Times New Roman" w:cs="Times New Roman"/>
        </w:rPr>
        <w:t xml:space="preserve"> fertilizer schemes stated that difficulties in ensuring timely tender selection and payment through the subsidized channel raised risks for players and hindered entry into</w:t>
      </w:r>
      <w:r w:rsidR="00631A8B">
        <w:rPr>
          <w:rFonts w:ascii="Times New Roman" w:hAnsi="Times New Roman" w:cs="Times New Roman"/>
        </w:rPr>
        <w:t xml:space="preserve"> the</w:t>
      </w:r>
      <w:r w:rsidRPr="00C91EA2">
        <w:rPr>
          <w:rFonts w:ascii="Times New Roman" w:hAnsi="Times New Roman" w:cs="Times New Roman"/>
        </w:rPr>
        <w:t xml:space="preserve"> tender processes.</w:t>
      </w:r>
      <w:r w:rsidRPr="00C91EA2">
        <w:rPr>
          <w:rStyle w:val="FootnoteReference"/>
          <w:rFonts w:ascii="Times New Roman" w:hAnsi="Times New Roman" w:cs="Times New Roman"/>
        </w:rPr>
        <w:footnoteReference w:id="136"/>
      </w:r>
      <w:r w:rsidRPr="00C91EA2">
        <w:rPr>
          <w:rFonts w:ascii="Times New Roman" w:hAnsi="Times New Roman" w:cs="Times New Roman"/>
        </w:rPr>
        <w:t xml:space="preserve"> It was reported that such inefficiencies in the </w:t>
      </w:r>
      <w:r w:rsidR="003B24ED">
        <w:rPr>
          <w:rFonts w:ascii="Times New Roman" w:hAnsi="Times New Roman" w:cs="Times New Roman"/>
        </w:rPr>
        <w:t>Government</w:t>
      </w:r>
      <w:r w:rsidRPr="00C91EA2">
        <w:rPr>
          <w:rFonts w:ascii="Times New Roman" w:hAnsi="Times New Roman" w:cs="Times New Roman"/>
        </w:rPr>
        <w:t xml:space="preserve">-managed distribution channels meant that the cost for the private sector of delivering fertilizer under subsidy (and therefore the cost passed on to </w:t>
      </w:r>
      <w:r w:rsidR="003B24ED">
        <w:rPr>
          <w:rFonts w:ascii="Times New Roman" w:hAnsi="Times New Roman" w:cs="Times New Roman"/>
        </w:rPr>
        <w:t>Government</w:t>
      </w:r>
      <w:r w:rsidRPr="00C91EA2">
        <w:rPr>
          <w:rFonts w:ascii="Times New Roman" w:hAnsi="Times New Roman" w:cs="Times New Roman"/>
        </w:rPr>
        <w:t xml:space="preserve">) was around 20 percent higher </w:t>
      </w:r>
      <w:r w:rsidR="00C900E6">
        <w:rPr>
          <w:rFonts w:ascii="Times New Roman" w:hAnsi="Times New Roman" w:cs="Times New Roman"/>
        </w:rPr>
        <w:t>than the</w:t>
      </w:r>
      <w:r w:rsidRPr="00C91EA2">
        <w:rPr>
          <w:rFonts w:ascii="Times New Roman" w:hAnsi="Times New Roman" w:cs="Times New Roman"/>
        </w:rPr>
        <w:t xml:space="preserve"> cost of delivery through the commercial distribution channel.</w:t>
      </w:r>
      <w:r w:rsidRPr="00C91EA2">
        <w:rPr>
          <w:rStyle w:val="FootnoteReference"/>
          <w:rFonts w:ascii="Times New Roman" w:hAnsi="Times New Roman" w:cs="Times New Roman"/>
        </w:rPr>
        <w:footnoteReference w:id="137"/>
      </w:r>
      <w:r w:rsidRPr="00C91EA2">
        <w:rPr>
          <w:rFonts w:ascii="Times New Roman" w:hAnsi="Times New Roman" w:cs="Times New Roman"/>
        </w:rPr>
        <w:t xml:space="preserve"> </w:t>
      </w:r>
      <w:r w:rsidR="00E95720">
        <w:rPr>
          <w:rFonts w:ascii="Times New Roman" w:hAnsi="Times New Roman" w:cs="Times New Roman"/>
        </w:rPr>
        <w:t xml:space="preserve">This differential is also likely to reflect the lack of incentives for market </w:t>
      </w:r>
      <w:r w:rsidR="00E95720" w:rsidRPr="00C91EA2">
        <w:rPr>
          <w:rFonts w:ascii="Times New Roman" w:hAnsi="Times New Roman" w:cs="Times New Roman"/>
        </w:rPr>
        <w:t>p</w:t>
      </w:r>
      <w:r w:rsidR="00E95720">
        <w:rPr>
          <w:rFonts w:ascii="Times New Roman" w:hAnsi="Times New Roman" w:cs="Times New Roman"/>
        </w:rPr>
        <w:t xml:space="preserve">layers to reduce costs under the subsidized distribution channel and </w:t>
      </w:r>
      <w:r w:rsidRPr="00C91EA2">
        <w:rPr>
          <w:rFonts w:ascii="Times New Roman" w:hAnsi="Times New Roman" w:cs="Times New Roman"/>
        </w:rPr>
        <w:t xml:space="preserve">suggests that the </w:t>
      </w:r>
      <w:r w:rsidR="003B24ED">
        <w:rPr>
          <w:rFonts w:ascii="Times New Roman" w:hAnsi="Times New Roman" w:cs="Times New Roman"/>
        </w:rPr>
        <w:t>Government</w:t>
      </w:r>
      <w:r w:rsidRPr="00C91EA2">
        <w:rPr>
          <w:rFonts w:ascii="Times New Roman" w:hAnsi="Times New Roman" w:cs="Times New Roman"/>
        </w:rPr>
        <w:t xml:space="preserve"> may be able to lower its costs by developing ways to leverage on commercial networks for fertilizer schemes (e.g. through utilizing demand side vouchers for users rather than supply side subsidies).</w:t>
      </w:r>
    </w:p>
    <w:p w14:paraId="70A135EE" w14:textId="77777777" w:rsidR="00EE6190" w:rsidRPr="00C91EA2" w:rsidRDefault="00EE6190" w:rsidP="00AA15ED">
      <w:pPr>
        <w:pStyle w:val="ListParagraph"/>
        <w:ind w:left="0"/>
        <w:rPr>
          <w:rFonts w:ascii="Times New Roman" w:hAnsi="Times New Roman" w:cs="Times New Roman"/>
          <w:b/>
        </w:rPr>
      </w:pPr>
    </w:p>
    <w:p w14:paraId="739EEB83" w14:textId="3C697FDD" w:rsidR="00EE6190" w:rsidRPr="00C91EA2" w:rsidRDefault="00EE6190"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Given that formula specifications are narrowly set, retail prices </w:t>
      </w:r>
      <w:r w:rsidR="00BD1231">
        <w:rPr>
          <w:rFonts w:ascii="Times New Roman" w:hAnsi="Times New Roman" w:cs="Times New Roman"/>
          <w:b/>
        </w:rPr>
        <w:t xml:space="preserve">are </w:t>
      </w:r>
      <w:r w:rsidRPr="00C91EA2">
        <w:rPr>
          <w:rFonts w:ascii="Times New Roman" w:hAnsi="Times New Roman" w:cs="Times New Roman"/>
          <w:b/>
        </w:rPr>
        <w:t xml:space="preserve">set by the </w:t>
      </w:r>
      <w:r w:rsidR="0045583C">
        <w:rPr>
          <w:rFonts w:ascii="Times New Roman" w:hAnsi="Times New Roman" w:cs="Times New Roman"/>
          <w:b/>
        </w:rPr>
        <w:t>Government</w:t>
      </w:r>
      <w:r w:rsidRPr="00C91EA2">
        <w:rPr>
          <w:rFonts w:ascii="Times New Roman" w:hAnsi="Times New Roman" w:cs="Times New Roman"/>
          <w:b/>
        </w:rPr>
        <w:t xml:space="preserve">, and regional allocations </w:t>
      </w:r>
      <w:r w:rsidR="00BD1231">
        <w:rPr>
          <w:rFonts w:ascii="Times New Roman" w:hAnsi="Times New Roman" w:cs="Times New Roman"/>
          <w:b/>
        </w:rPr>
        <w:t xml:space="preserve">are </w:t>
      </w:r>
      <w:r w:rsidRPr="00C91EA2">
        <w:rPr>
          <w:rFonts w:ascii="Times New Roman" w:hAnsi="Times New Roman" w:cs="Times New Roman"/>
          <w:b/>
        </w:rPr>
        <w:t>pre-determined, few competitive dimensions remain on the subsidized fertilizer market.</w:t>
      </w:r>
      <w:r w:rsidRPr="00C91EA2">
        <w:rPr>
          <w:rFonts w:ascii="Times New Roman" w:hAnsi="Times New Roman" w:cs="Times New Roman"/>
        </w:rPr>
        <w:t xml:space="preserve"> Farmers are restricted to a single outlet for subsidized fertilizer (market restrictions are summarized in </w:t>
      </w:r>
      <w:r w:rsidRPr="00C91EA2">
        <w:rPr>
          <w:rFonts w:ascii="Times New Roman" w:hAnsi="Times New Roman" w:cs="Times New Roman"/>
        </w:rPr>
        <w:fldChar w:fldCharType="begin"/>
      </w:r>
      <w:r w:rsidRPr="00C91EA2">
        <w:rPr>
          <w:rFonts w:ascii="Times New Roman" w:hAnsi="Times New Roman" w:cs="Times New Roman"/>
        </w:rPr>
        <w:instrText xml:space="preserve"> REF _Ref497847298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9</w:t>
      </w:r>
      <w:r w:rsidRPr="00C91EA2">
        <w:rPr>
          <w:rFonts w:ascii="Times New Roman" w:hAnsi="Times New Roman" w:cs="Times New Roman"/>
        </w:rPr>
        <w:fldChar w:fldCharType="end"/>
      </w:r>
      <w:r w:rsidRPr="00C91EA2">
        <w:rPr>
          <w:rFonts w:ascii="Times New Roman" w:hAnsi="Times New Roman" w:cs="Times New Roman"/>
        </w:rPr>
        <w:t xml:space="preserve"> below).</w:t>
      </w:r>
      <w:r w:rsidRPr="00C91EA2">
        <w:rPr>
          <w:rFonts w:ascii="Times New Roman" w:hAnsi="Times New Roman" w:cs="Times New Roman"/>
          <w:b/>
        </w:rPr>
        <w:t xml:space="preserve"> </w:t>
      </w:r>
      <w:r w:rsidRPr="00C91EA2">
        <w:rPr>
          <w:rFonts w:ascii="Times New Roman" w:hAnsi="Times New Roman" w:cs="Times New Roman"/>
        </w:rPr>
        <w:t xml:space="preserve">Moreover, the process of allocating subsidized fertilizers </w:t>
      </w:r>
      <w:r w:rsidR="00BD1231">
        <w:rPr>
          <w:rFonts w:ascii="Times New Roman" w:hAnsi="Times New Roman" w:cs="Times New Roman"/>
        </w:rPr>
        <w:t>among</w:t>
      </w:r>
      <w:r w:rsidR="00BD1231" w:rsidRPr="00C91EA2">
        <w:rPr>
          <w:rFonts w:ascii="Times New Roman" w:hAnsi="Times New Roman" w:cs="Times New Roman"/>
        </w:rPr>
        <w:t xml:space="preserve"> </w:t>
      </w:r>
      <w:r w:rsidRPr="00C91EA2">
        <w:rPr>
          <w:rFonts w:ascii="Times New Roman" w:hAnsi="Times New Roman" w:cs="Times New Roman"/>
        </w:rPr>
        <w:t>farmers lacks transparency,</w:t>
      </w:r>
      <w:r w:rsidRPr="00C91EA2">
        <w:rPr>
          <w:rStyle w:val="FootnoteReference"/>
          <w:rFonts w:ascii="Times New Roman" w:hAnsi="Times New Roman" w:cs="Times New Roman"/>
        </w:rPr>
        <w:footnoteReference w:id="138"/>
      </w:r>
      <w:r w:rsidRPr="00C91EA2">
        <w:rPr>
          <w:rFonts w:ascii="Times New Roman" w:hAnsi="Times New Roman" w:cs="Times New Roman"/>
        </w:rPr>
        <w:t xml:space="preserve"> which some sources have claimed has led to</w:t>
      </w:r>
      <w:r w:rsidRPr="00C91EA2">
        <w:rPr>
          <w:rFonts w:ascii="Times New Roman" w:hAnsi="Times New Roman" w:cs="Times New Roman"/>
          <w:b/>
        </w:rPr>
        <w:t xml:space="preserve"> </w:t>
      </w:r>
      <w:r w:rsidRPr="00C91EA2">
        <w:rPr>
          <w:rFonts w:ascii="Times New Roman" w:hAnsi="Times New Roman" w:cs="Times New Roman"/>
        </w:rPr>
        <w:t>an advantage for well-connected producers.</w:t>
      </w:r>
      <w:r w:rsidRPr="00C91EA2">
        <w:rPr>
          <w:rStyle w:val="FootnoteReference"/>
          <w:rFonts w:ascii="Times New Roman" w:hAnsi="Times New Roman" w:cs="Times New Roman"/>
        </w:rPr>
        <w:footnoteReference w:id="139"/>
      </w:r>
    </w:p>
    <w:p w14:paraId="32BDEAC4" w14:textId="77777777" w:rsidR="00EE6190" w:rsidRPr="00C91EA2" w:rsidRDefault="00EE6190" w:rsidP="00EE6190">
      <w:pPr>
        <w:jc w:val="both"/>
        <w:rPr>
          <w:rFonts w:ascii="Times New Roman" w:hAnsi="Times New Roman" w:cs="Times New Roman"/>
        </w:rPr>
      </w:pPr>
    </w:p>
    <w:p w14:paraId="3AE42384" w14:textId="77777777" w:rsidR="00377635" w:rsidRPr="00C91EA2" w:rsidRDefault="00EE6190" w:rsidP="004226F6">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A lack of harmonization at the regional level and burdensome licensing and permitting requirements may further limit entry of imports to the Senegalese fertilizer market.</w:t>
      </w:r>
      <w:r w:rsidRPr="00C91EA2">
        <w:rPr>
          <w:rFonts w:ascii="Times New Roman" w:hAnsi="Times New Roman" w:cs="Times New Roman"/>
        </w:rPr>
        <w:t xml:space="preserve"> A regional legal framework to harmonize national fertilizer quality control regulations was enacted formally in 2014. However, only 4 out of 15 ECOWAS countries were classified as having made some progress toward implementation and WAEMU has not formally signed the convention.</w:t>
      </w:r>
    </w:p>
    <w:p w14:paraId="5D334F46" w14:textId="77777777" w:rsidR="00377635" w:rsidRPr="00C91EA2" w:rsidRDefault="00377635" w:rsidP="00377635">
      <w:pPr>
        <w:rPr>
          <w:rFonts w:ascii="Times New Roman" w:hAnsi="Times New Roman" w:cs="Times New Roman"/>
        </w:rPr>
        <w:sectPr w:rsidR="00377635" w:rsidRPr="00C91EA2" w:rsidSect="00B41724">
          <w:pgSz w:w="12240" w:h="15840"/>
          <w:pgMar w:top="1440" w:right="1800" w:bottom="1440" w:left="1800" w:header="720" w:footer="720" w:gutter="0"/>
          <w:cols w:space="720"/>
        </w:sectPr>
      </w:pPr>
    </w:p>
    <w:p w14:paraId="147525D8" w14:textId="5B0BE838" w:rsidR="00377635" w:rsidRPr="00C91EA2" w:rsidRDefault="00377635" w:rsidP="00377635">
      <w:pPr>
        <w:pStyle w:val="Caption"/>
        <w:keepNext/>
        <w:rPr>
          <w:rFonts w:ascii="Times New Roman" w:hAnsi="Times New Roman"/>
        </w:rPr>
      </w:pPr>
      <w:bookmarkStart w:id="221" w:name="_Ref497847298"/>
      <w:bookmarkStart w:id="222" w:name="_Toc520725696"/>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9</w:t>
      </w:r>
      <w:r w:rsidRPr="00C91EA2">
        <w:rPr>
          <w:rFonts w:ascii="Times New Roman" w:hAnsi="Times New Roman"/>
        </w:rPr>
        <w:fldChar w:fldCharType="end"/>
      </w:r>
      <w:bookmarkEnd w:id="221"/>
      <w:r w:rsidRPr="00C91EA2">
        <w:rPr>
          <w:rFonts w:ascii="Times New Roman" w:hAnsi="Times New Roman"/>
        </w:rPr>
        <w:t>: Rules that may hinder competition in the market for fertilizer</w:t>
      </w:r>
      <w:bookmarkEnd w:id="222"/>
    </w:p>
    <w:tbl>
      <w:tblPr>
        <w:tblStyle w:val="ListTable3-Accent1"/>
        <w:tblW w:w="0" w:type="auto"/>
        <w:tblLook w:val="0420" w:firstRow="1" w:lastRow="0" w:firstColumn="0" w:lastColumn="0" w:noHBand="0" w:noVBand="1"/>
      </w:tblPr>
      <w:tblGrid>
        <w:gridCol w:w="475"/>
        <w:gridCol w:w="4464"/>
        <w:gridCol w:w="4112"/>
        <w:gridCol w:w="3899"/>
      </w:tblGrid>
      <w:tr w:rsidR="00377635" w:rsidRPr="00C91EA2" w14:paraId="426DBA58" w14:textId="77777777" w:rsidTr="00377635">
        <w:trPr>
          <w:cnfStyle w:val="100000000000" w:firstRow="1" w:lastRow="0" w:firstColumn="0" w:lastColumn="0" w:oddVBand="0" w:evenVBand="0" w:oddHBand="0" w:evenHBand="0" w:firstRowFirstColumn="0" w:firstRowLastColumn="0" w:lastRowFirstColumn="0" w:lastRowLastColumn="0"/>
          <w:trHeight w:val="377"/>
        </w:trPr>
        <w:tc>
          <w:tcPr>
            <w:tcW w:w="475" w:type="dxa"/>
            <w:tcBorders>
              <w:top w:val="single" w:sz="4" w:space="0" w:color="4F81BD" w:themeColor="accent1"/>
              <w:left w:val="single" w:sz="4" w:space="0" w:color="4F81BD" w:themeColor="accent1"/>
              <w:bottom w:val="nil"/>
              <w:right w:val="nil"/>
            </w:tcBorders>
            <w:hideMark/>
          </w:tcPr>
          <w:p w14:paraId="6D399B25"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val="0"/>
                <w:bCs w:val="0"/>
                <w:sz w:val="20"/>
                <w:szCs w:val="22"/>
              </w:rPr>
              <w:t> </w:t>
            </w:r>
          </w:p>
        </w:tc>
        <w:tc>
          <w:tcPr>
            <w:tcW w:w="4464" w:type="dxa"/>
            <w:tcBorders>
              <w:top w:val="single" w:sz="4" w:space="0" w:color="4F81BD" w:themeColor="accent1"/>
              <w:left w:val="nil"/>
              <w:bottom w:val="nil"/>
              <w:right w:val="nil"/>
            </w:tcBorders>
            <w:hideMark/>
          </w:tcPr>
          <w:p w14:paraId="5601C5D0"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val="0"/>
                <w:bCs w:val="0"/>
                <w:sz w:val="20"/>
                <w:szCs w:val="22"/>
              </w:rPr>
              <w:t>Rules that reinforce dominance or limit entry</w:t>
            </w:r>
          </w:p>
        </w:tc>
        <w:tc>
          <w:tcPr>
            <w:tcW w:w="0" w:type="auto"/>
            <w:tcBorders>
              <w:top w:val="single" w:sz="4" w:space="0" w:color="4F81BD" w:themeColor="accent1"/>
              <w:left w:val="nil"/>
              <w:bottom w:val="nil"/>
              <w:right w:val="nil"/>
            </w:tcBorders>
            <w:hideMark/>
          </w:tcPr>
          <w:p w14:paraId="1D0EA1A5"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val="0"/>
                <w:bCs w:val="0"/>
                <w:sz w:val="20"/>
                <w:szCs w:val="22"/>
              </w:rPr>
              <w:t>Rules that facilitate collusion or restrict firms' choice of strategic variables</w:t>
            </w:r>
          </w:p>
        </w:tc>
        <w:tc>
          <w:tcPr>
            <w:tcW w:w="0" w:type="auto"/>
            <w:tcBorders>
              <w:top w:val="single" w:sz="4" w:space="0" w:color="4F81BD" w:themeColor="accent1"/>
              <w:left w:val="nil"/>
              <w:bottom w:val="nil"/>
              <w:right w:val="single" w:sz="4" w:space="0" w:color="4F81BD" w:themeColor="accent1"/>
            </w:tcBorders>
            <w:hideMark/>
          </w:tcPr>
          <w:p w14:paraId="555BEBB1"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val="0"/>
                <w:bCs w:val="0"/>
                <w:sz w:val="20"/>
                <w:szCs w:val="22"/>
              </w:rPr>
              <w:t>Rules that discriminate and provide an undue advantage to certain players</w:t>
            </w:r>
          </w:p>
        </w:tc>
      </w:tr>
      <w:tr w:rsidR="00377635" w:rsidRPr="00C91EA2" w14:paraId="1EFC0B4F" w14:textId="77777777" w:rsidTr="00377635">
        <w:trPr>
          <w:cnfStyle w:val="000000100000" w:firstRow="0" w:lastRow="0" w:firstColumn="0" w:lastColumn="0" w:oddVBand="0" w:evenVBand="0" w:oddHBand="1" w:evenHBand="0" w:firstRowFirstColumn="0" w:firstRowLastColumn="0" w:lastRowFirstColumn="0" w:lastRowLastColumn="0"/>
          <w:trHeight w:val="790"/>
        </w:trPr>
        <w:tc>
          <w:tcPr>
            <w:tcW w:w="475" w:type="dxa"/>
            <w:tcBorders>
              <w:left w:val="single" w:sz="4" w:space="0" w:color="4F81BD" w:themeColor="accent1"/>
              <w:right w:val="nil"/>
            </w:tcBorders>
            <w:textDirection w:val="btLr"/>
            <w:hideMark/>
          </w:tcPr>
          <w:p w14:paraId="0692A208" w14:textId="77777777" w:rsidR="00377635" w:rsidRPr="00C91EA2" w:rsidRDefault="00377635">
            <w:pPr>
              <w:jc w:val="center"/>
              <w:rPr>
                <w:rFonts w:ascii="Times New Roman" w:hAnsi="Times New Roman" w:cs="Times New Roman"/>
                <w:sz w:val="20"/>
                <w:szCs w:val="22"/>
              </w:rPr>
            </w:pPr>
            <w:r w:rsidRPr="00C91EA2">
              <w:rPr>
                <w:rFonts w:ascii="Times New Roman" w:hAnsi="Times New Roman" w:cs="Times New Roman"/>
                <w:sz w:val="20"/>
                <w:szCs w:val="22"/>
                <w:lang w:val="en-GB"/>
              </w:rPr>
              <w:t>Fertilizer Import / production</w:t>
            </w:r>
          </w:p>
        </w:tc>
        <w:tc>
          <w:tcPr>
            <w:tcW w:w="4464" w:type="dxa"/>
            <w:tcBorders>
              <w:left w:val="nil"/>
              <w:right w:val="nil"/>
            </w:tcBorders>
            <w:hideMark/>
          </w:tcPr>
          <w:p w14:paraId="425EBB23"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Relative ban on entry and expansion of activities</w:t>
            </w:r>
          </w:p>
          <w:p w14:paraId="473E0A53" w14:textId="77777777" w:rsidR="00377635" w:rsidRPr="00C91EA2" w:rsidRDefault="00377635" w:rsidP="007575D7">
            <w:pPr>
              <w:numPr>
                <w:ilvl w:val="0"/>
                <w:numId w:val="107"/>
              </w:numPr>
              <w:tabs>
                <w:tab w:val="num" w:pos="198"/>
              </w:tabs>
              <w:ind w:left="198" w:hanging="180"/>
              <w:jc w:val="both"/>
              <w:rPr>
                <w:rFonts w:ascii="Times New Roman" w:hAnsi="Times New Roman" w:cs="Times New Roman"/>
                <w:sz w:val="20"/>
                <w:szCs w:val="22"/>
              </w:rPr>
            </w:pPr>
            <w:r w:rsidRPr="00C91EA2">
              <w:rPr>
                <w:rFonts w:ascii="Times New Roman" w:hAnsi="Times New Roman" w:cs="Times New Roman"/>
                <w:sz w:val="20"/>
                <w:szCs w:val="22"/>
                <w:lang w:val="en-GB"/>
              </w:rPr>
              <w:t>Potentially over-</w:t>
            </w:r>
            <w:r w:rsidRPr="00C91EA2">
              <w:rPr>
                <w:rFonts w:ascii="Times New Roman" w:hAnsi="Times New Roman" w:cs="Times New Roman"/>
                <w:sz w:val="20"/>
                <w:szCs w:val="22"/>
              </w:rPr>
              <w:t xml:space="preserve">burdensome requirements for registry of new fertilizers (licenses and permits) due to lack of regional harmonization in product registration, labeling, and inspection — even for identical products in similar </w:t>
            </w:r>
            <w:proofErr w:type="spellStart"/>
            <w:r w:rsidRPr="00C91EA2">
              <w:rPr>
                <w:rFonts w:ascii="Times New Roman" w:hAnsi="Times New Roman" w:cs="Times New Roman"/>
                <w:sz w:val="20"/>
                <w:szCs w:val="22"/>
              </w:rPr>
              <w:t>agro</w:t>
            </w:r>
            <w:proofErr w:type="spellEnd"/>
            <w:r w:rsidR="0098273F">
              <w:rPr>
                <w:rFonts w:ascii="Times New Roman" w:hAnsi="Times New Roman" w:cs="Times New Roman"/>
                <w:sz w:val="20"/>
                <w:szCs w:val="22"/>
              </w:rPr>
              <w:t>-</w:t>
            </w:r>
            <w:r w:rsidRPr="00C91EA2">
              <w:rPr>
                <w:rFonts w:ascii="Times New Roman" w:hAnsi="Times New Roman" w:cs="Times New Roman"/>
                <w:sz w:val="20"/>
                <w:szCs w:val="22"/>
              </w:rPr>
              <w:t>climatic conditions.</w:t>
            </w:r>
          </w:p>
          <w:p w14:paraId="321EFF79" w14:textId="6F41C8D3" w:rsidR="00377635" w:rsidRPr="00C91EA2" w:rsidRDefault="00377635" w:rsidP="007575D7">
            <w:pPr>
              <w:numPr>
                <w:ilvl w:val="0"/>
                <w:numId w:val="107"/>
              </w:numPr>
              <w:tabs>
                <w:tab w:val="num" w:pos="198"/>
              </w:tabs>
              <w:ind w:left="198" w:hanging="180"/>
              <w:jc w:val="both"/>
              <w:rPr>
                <w:rFonts w:ascii="Times New Roman" w:hAnsi="Times New Roman" w:cs="Times New Roman"/>
                <w:sz w:val="20"/>
                <w:szCs w:val="22"/>
              </w:rPr>
            </w:pPr>
            <w:r w:rsidRPr="00C91EA2">
              <w:rPr>
                <w:rFonts w:ascii="Times New Roman" w:hAnsi="Times New Roman" w:cs="Times New Roman"/>
                <w:sz w:val="20"/>
                <w:szCs w:val="22"/>
              </w:rPr>
              <w:t xml:space="preserve">Payment delays caused by the </w:t>
            </w:r>
            <w:r w:rsidR="003B24ED">
              <w:rPr>
                <w:rFonts w:ascii="Times New Roman" w:hAnsi="Times New Roman" w:cs="Times New Roman"/>
                <w:sz w:val="20"/>
                <w:szCs w:val="22"/>
              </w:rPr>
              <w:t>Government</w:t>
            </w:r>
            <w:r w:rsidR="0098273F">
              <w:rPr>
                <w:rFonts w:ascii="Times New Roman" w:hAnsi="Times New Roman" w:cs="Times New Roman"/>
                <w:sz w:val="20"/>
                <w:szCs w:val="22"/>
              </w:rPr>
              <w:t xml:space="preserve"> </w:t>
            </w:r>
            <w:r w:rsidRPr="00C91EA2">
              <w:rPr>
                <w:rFonts w:ascii="Times New Roman" w:hAnsi="Times New Roman" w:cs="Times New Roman"/>
                <w:sz w:val="20"/>
                <w:szCs w:val="22"/>
              </w:rPr>
              <w:t>in the subsidized channel create additional costs for potential competitors</w:t>
            </w:r>
          </w:p>
          <w:p w14:paraId="6A3B9F51" w14:textId="49C23E76" w:rsidR="00377635" w:rsidRPr="00C91EA2" w:rsidRDefault="00377635" w:rsidP="007575D7">
            <w:pPr>
              <w:numPr>
                <w:ilvl w:val="0"/>
                <w:numId w:val="107"/>
              </w:numPr>
              <w:tabs>
                <w:tab w:val="num" w:pos="198"/>
              </w:tabs>
              <w:ind w:left="198" w:hanging="180"/>
              <w:jc w:val="both"/>
              <w:rPr>
                <w:rFonts w:ascii="Times New Roman" w:hAnsi="Times New Roman" w:cs="Times New Roman"/>
                <w:sz w:val="20"/>
                <w:szCs w:val="22"/>
              </w:rPr>
            </w:pPr>
            <w:r w:rsidRPr="00C91EA2">
              <w:rPr>
                <w:rFonts w:ascii="Times New Roman" w:hAnsi="Times New Roman" w:cs="Times New Roman"/>
                <w:sz w:val="20"/>
                <w:szCs w:val="22"/>
              </w:rPr>
              <w:t xml:space="preserve">Overly restrictive formula specifications for </w:t>
            </w:r>
            <w:r w:rsidR="003B24ED">
              <w:rPr>
                <w:rFonts w:ascii="Times New Roman" w:hAnsi="Times New Roman" w:cs="Times New Roman"/>
                <w:sz w:val="20"/>
                <w:szCs w:val="22"/>
              </w:rPr>
              <w:t>Government</w:t>
            </w:r>
            <w:r w:rsidRPr="00C91EA2">
              <w:rPr>
                <w:rFonts w:ascii="Times New Roman" w:hAnsi="Times New Roman" w:cs="Times New Roman"/>
                <w:sz w:val="20"/>
                <w:szCs w:val="22"/>
              </w:rPr>
              <w:t xml:space="preserve"> tenders can limit entry of potential substitute specifications</w:t>
            </w:r>
          </w:p>
          <w:p w14:paraId="0C5BE8E1" w14:textId="77777777" w:rsidR="00377635" w:rsidRPr="00C91EA2" w:rsidRDefault="00377635" w:rsidP="007575D7">
            <w:pPr>
              <w:numPr>
                <w:ilvl w:val="0"/>
                <w:numId w:val="107"/>
              </w:numPr>
              <w:tabs>
                <w:tab w:val="num" w:pos="198"/>
              </w:tabs>
              <w:ind w:left="198" w:hanging="180"/>
              <w:jc w:val="both"/>
              <w:rPr>
                <w:rFonts w:ascii="Times New Roman" w:hAnsi="Times New Roman" w:cs="Times New Roman"/>
                <w:sz w:val="20"/>
                <w:szCs w:val="22"/>
              </w:rPr>
            </w:pPr>
            <w:r w:rsidRPr="00C91EA2">
              <w:rPr>
                <w:rFonts w:ascii="Times New Roman" w:hAnsi="Times New Roman" w:cs="Times New Roman"/>
                <w:sz w:val="20"/>
                <w:szCs w:val="22"/>
              </w:rPr>
              <w:t xml:space="preserve">Tender process for subsidized fertilizer tends to only select 3-7 </w:t>
            </w:r>
            <w:r w:rsidR="00822593">
              <w:rPr>
                <w:rFonts w:ascii="Times New Roman" w:hAnsi="Times New Roman" w:cs="Times New Roman"/>
                <w:sz w:val="20"/>
                <w:szCs w:val="22"/>
              </w:rPr>
              <w:t xml:space="preserve">recurrent </w:t>
            </w:r>
            <w:r w:rsidRPr="00C91EA2">
              <w:rPr>
                <w:rFonts w:ascii="Times New Roman" w:hAnsi="Times New Roman" w:cs="Times New Roman"/>
                <w:sz w:val="20"/>
                <w:szCs w:val="22"/>
              </w:rPr>
              <w:t>firms to import/distribute</w:t>
            </w:r>
          </w:p>
          <w:p w14:paraId="3D01BC48" w14:textId="3BE31FCA" w:rsidR="00377635" w:rsidRPr="00C91EA2" w:rsidRDefault="00377635" w:rsidP="00377635">
            <w:pPr>
              <w:numPr>
                <w:ilvl w:val="0"/>
                <w:numId w:val="107"/>
              </w:numPr>
              <w:tabs>
                <w:tab w:val="num" w:pos="198"/>
              </w:tabs>
              <w:ind w:left="198" w:hanging="180"/>
              <w:rPr>
                <w:rFonts w:ascii="Times New Roman" w:hAnsi="Times New Roman" w:cs="Times New Roman"/>
                <w:sz w:val="20"/>
                <w:szCs w:val="22"/>
              </w:rPr>
            </w:pPr>
            <w:r w:rsidRPr="00C91EA2">
              <w:rPr>
                <w:rFonts w:ascii="Times New Roman" w:hAnsi="Times New Roman" w:cs="Times New Roman"/>
                <w:sz w:val="20"/>
                <w:szCs w:val="22"/>
              </w:rPr>
              <w:t xml:space="preserve">Prohibition on bulk blending </w:t>
            </w:r>
            <w:r w:rsidR="003B24ED">
              <w:rPr>
                <w:rFonts w:ascii="Times New Roman" w:hAnsi="Times New Roman" w:cs="Times New Roman"/>
                <w:sz w:val="20"/>
                <w:szCs w:val="22"/>
              </w:rPr>
              <w:t>Government</w:t>
            </w:r>
            <w:r w:rsidRPr="00C91EA2">
              <w:rPr>
                <w:rFonts w:ascii="Times New Roman" w:hAnsi="Times New Roman" w:cs="Times New Roman"/>
                <w:sz w:val="20"/>
                <w:szCs w:val="22"/>
              </w:rPr>
              <w:t xml:space="preserve"> tenders (limiting the market to complex, nominally to protect farmers)</w:t>
            </w:r>
          </w:p>
        </w:tc>
        <w:tc>
          <w:tcPr>
            <w:tcW w:w="0" w:type="auto"/>
            <w:tcBorders>
              <w:left w:val="nil"/>
              <w:right w:val="nil"/>
            </w:tcBorders>
          </w:tcPr>
          <w:p w14:paraId="06A0E702" w14:textId="77777777" w:rsidR="00377635" w:rsidRPr="00C91EA2" w:rsidRDefault="00377635">
            <w:pPr>
              <w:rPr>
                <w:rFonts w:ascii="Times New Roman" w:hAnsi="Times New Roman" w:cs="Times New Roman"/>
                <w:b/>
                <w:bCs/>
                <w:sz w:val="20"/>
                <w:szCs w:val="22"/>
                <w:lang w:val="en-GB"/>
              </w:rPr>
            </w:pPr>
            <w:r w:rsidRPr="00C91EA2">
              <w:rPr>
                <w:rFonts w:ascii="Times New Roman" w:hAnsi="Times New Roman" w:cs="Times New Roman"/>
                <w:b/>
                <w:bCs/>
                <w:sz w:val="20"/>
                <w:szCs w:val="22"/>
                <w:lang w:val="en-GB"/>
              </w:rPr>
              <w:t xml:space="preserve">Rules that facilitate agreements among competitors and restrictions on type of products and services/format and location: </w:t>
            </w:r>
          </w:p>
          <w:p w14:paraId="65CAEAD3" w14:textId="134769F1" w:rsidR="00377635" w:rsidRPr="00C91EA2" w:rsidRDefault="00377635" w:rsidP="007575D7">
            <w:pPr>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 xml:space="preserve">Overly restrictive tender specifications and bans on bulk blends in tenders increases symmetry and can facilitate </w:t>
            </w:r>
            <w:proofErr w:type="gramStart"/>
            <w:r w:rsidRPr="00C91EA2">
              <w:rPr>
                <w:rFonts w:ascii="Times New Roman" w:hAnsi="Times New Roman" w:cs="Times New Roman"/>
                <w:sz w:val="20"/>
                <w:szCs w:val="22"/>
                <w:lang w:val="en-GB"/>
              </w:rPr>
              <w:t>collusion, and</w:t>
            </w:r>
            <w:proofErr w:type="gramEnd"/>
            <w:r w:rsidRPr="00C91EA2">
              <w:rPr>
                <w:rFonts w:ascii="Times New Roman" w:hAnsi="Times New Roman" w:cs="Times New Roman"/>
                <w:sz w:val="20"/>
                <w:szCs w:val="22"/>
                <w:lang w:val="en-GB"/>
              </w:rPr>
              <w:t xml:space="preserve"> reduces firms’ ability to choose their strategic variables.</w:t>
            </w:r>
          </w:p>
          <w:p w14:paraId="349F9C36" w14:textId="77777777" w:rsidR="00377635" w:rsidRPr="00C91EA2" w:rsidRDefault="00377635">
            <w:pPr>
              <w:rPr>
                <w:rFonts w:ascii="Times New Roman" w:hAnsi="Times New Roman" w:cs="Times New Roman"/>
                <w:sz w:val="20"/>
                <w:szCs w:val="22"/>
              </w:rPr>
            </w:pPr>
          </w:p>
          <w:p w14:paraId="6A388B3F" w14:textId="77777777" w:rsidR="00377635" w:rsidRPr="00C91EA2" w:rsidRDefault="00377635" w:rsidP="007575D7">
            <w:pPr>
              <w:jc w:val="both"/>
              <w:rPr>
                <w:rFonts w:ascii="Times New Roman" w:hAnsi="Times New Roman" w:cs="Times New Roman"/>
                <w:sz w:val="20"/>
                <w:szCs w:val="22"/>
              </w:rPr>
            </w:pPr>
            <w:r w:rsidRPr="00C91EA2">
              <w:rPr>
                <w:rFonts w:ascii="Times New Roman" w:hAnsi="Times New Roman" w:cs="Times New Roman"/>
                <w:b/>
                <w:bCs/>
                <w:sz w:val="20"/>
                <w:szCs w:val="22"/>
                <w:lang w:val="en-GB"/>
              </w:rPr>
              <w:t xml:space="preserve">Rules that facilitate agreements among competitors: </w:t>
            </w:r>
            <w:r w:rsidRPr="00C91EA2">
              <w:rPr>
                <w:rFonts w:ascii="Times New Roman" w:hAnsi="Times New Roman" w:cs="Times New Roman"/>
                <w:sz w:val="20"/>
                <w:szCs w:val="22"/>
                <w:lang w:val="en-GB"/>
              </w:rPr>
              <w:t>Information exchange through the CNIA can facilitate collusion in both the subsidized and unsubsidized channel</w:t>
            </w:r>
          </w:p>
        </w:tc>
        <w:tc>
          <w:tcPr>
            <w:tcW w:w="0" w:type="auto"/>
            <w:tcBorders>
              <w:left w:val="nil"/>
              <w:right w:val="single" w:sz="4" w:space="0" w:color="4F81BD" w:themeColor="accent1"/>
            </w:tcBorders>
            <w:hideMark/>
          </w:tcPr>
          <w:p w14:paraId="1642E29B" w14:textId="35B8090F" w:rsidR="00377635" w:rsidRPr="00C91EA2" w:rsidRDefault="00377635" w:rsidP="007575D7">
            <w:pPr>
              <w:jc w:val="both"/>
              <w:rPr>
                <w:rFonts w:ascii="Times New Roman" w:hAnsi="Times New Roman" w:cs="Times New Roman"/>
                <w:sz w:val="20"/>
                <w:szCs w:val="22"/>
              </w:rPr>
            </w:pPr>
            <w:r w:rsidRPr="00C91EA2">
              <w:rPr>
                <w:rFonts w:ascii="Times New Roman" w:hAnsi="Times New Roman" w:cs="Times New Roman"/>
                <w:b/>
                <w:bCs/>
                <w:sz w:val="20"/>
                <w:szCs w:val="22"/>
              </w:rPr>
              <w:t xml:space="preserve">Discretionary application of rules: </w:t>
            </w:r>
            <w:r w:rsidRPr="00C91EA2">
              <w:rPr>
                <w:rFonts w:ascii="Times New Roman" w:hAnsi="Times New Roman" w:cs="Times New Roman"/>
                <w:sz w:val="20"/>
                <w:szCs w:val="22"/>
              </w:rPr>
              <w:t>An informal tender bonus may be provided to distributor</w:t>
            </w:r>
            <w:r w:rsidR="000738D1">
              <w:rPr>
                <w:rFonts w:ascii="Times New Roman" w:hAnsi="Times New Roman" w:cs="Times New Roman"/>
                <w:sz w:val="20"/>
                <w:szCs w:val="22"/>
              </w:rPr>
              <w:t>s</w:t>
            </w:r>
            <w:r w:rsidRPr="00C91EA2">
              <w:rPr>
                <w:rFonts w:ascii="Times New Roman" w:hAnsi="Times New Roman" w:cs="Times New Roman"/>
                <w:sz w:val="20"/>
                <w:szCs w:val="22"/>
              </w:rPr>
              <w:t xml:space="preserve"> who agree to buy from local producers (through a letter of recommendation from suppliers to the </w:t>
            </w:r>
            <w:r w:rsidR="0045583C">
              <w:rPr>
                <w:rFonts w:ascii="Times New Roman" w:hAnsi="Times New Roman" w:cs="Times New Roman"/>
                <w:sz w:val="20"/>
                <w:szCs w:val="22"/>
              </w:rPr>
              <w:t>Government</w:t>
            </w:r>
            <w:r w:rsidRPr="00C91EA2">
              <w:rPr>
                <w:rFonts w:ascii="Times New Roman" w:hAnsi="Times New Roman" w:cs="Times New Roman"/>
                <w:sz w:val="20"/>
                <w:szCs w:val="22"/>
              </w:rPr>
              <w:t xml:space="preserve">) </w:t>
            </w:r>
          </w:p>
        </w:tc>
      </w:tr>
      <w:tr w:rsidR="00377635" w:rsidRPr="00C91EA2" w14:paraId="0ED26886" w14:textId="77777777" w:rsidTr="00377635">
        <w:trPr>
          <w:trHeight w:val="830"/>
        </w:trPr>
        <w:tc>
          <w:tcPr>
            <w:tcW w:w="475" w:type="dxa"/>
            <w:tcBorders>
              <w:top w:val="nil"/>
              <w:left w:val="single" w:sz="4" w:space="0" w:color="4F81BD" w:themeColor="accent1"/>
              <w:bottom w:val="single" w:sz="4" w:space="0" w:color="4F81BD" w:themeColor="accent1"/>
              <w:right w:val="nil"/>
            </w:tcBorders>
            <w:textDirection w:val="btLr"/>
            <w:hideMark/>
          </w:tcPr>
          <w:p w14:paraId="464A959D" w14:textId="77777777" w:rsidR="00377635" w:rsidRPr="00C91EA2" w:rsidRDefault="00377635">
            <w:pPr>
              <w:jc w:val="center"/>
              <w:rPr>
                <w:rFonts w:ascii="Times New Roman" w:hAnsi="Times New Roman" w:cs="Times New Roman"/>
                <w:sz w:val="20"/>
                <w:szCs w:val="22"/>
              </w:rPr>
            </w:pPr>
            <w:r w:rsidRPr="00C91EA2">
              <w:rPr>
                <w:rFonts w:ascii="Times New Roman" w:hAnsi="Times New Roman" w:cs="Times New Roman"/>
                <w:sz w:val="20"/>
                <w:szCs w:val="22"/>
                <w:lang w:val="en-GB"/>
              </w:rPr>
              <w:t>Fertilizer Distribution</w:t>
            </w:r>
          </w:p>
        </w:tc>
        <w:tc>
          <w:tcPr>
            <w:tcW w:w="4464" w:type="dxa"/>
            <w:tcBorders>
              <w:top w:val="nil"/>
              <w:left w:val="nil"/>
              <w:bottom w:val="single" w:sz="4" w:space="0" w:color="4F81BD" w:themeColor="accent1"/>
              <w:right w:val="nil"/>
            </w:tcBorders>
            <w:hideMark/>
          </w:tcPr>
          <w:p w14:paraId="365A7F8D"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Relative ban on entry and expansion of activities</w:t>
            </w:r>
          </w:p>
          <w:p w14:paraId="48DC240E" w14:textId="70405B5D" w:rsidR="00377635" w:rsidRPr="00C91EA2" w:rsidRDefault="00377635" w:rsidP="007575D7">
            <w:pPr>
              <w:numPr>
                <w:ilvl w:val="0"/>
                <w:numId w:val="107"/>
              </w:numPr>
              <w:tabs>
                <w:tab w:val="num" w:pos="198"/>
              </w:tabs>
              <w:ind w:left="198" w:hanging="180"/>
              <w:jc w:val="both"/>
              <w:rPr>
                <w:rFonts w:ascii="Times New Roman" w:hAnsi="Times New Roman" w:cs="Times New Roman"/>
                <w:sz w:val="20"/>
                <w:szCs w:val="22"/>
              </w:rPr>
            </w:pPr>
            <w:r w:rsidRPr="00C91EA2">
              <w:rPr>
                <w:rFonts w:ascii="Times New Roman" w:hAnsi="Times New Roman" w:cs="Times New Roman"/>
                <w:sz w:val="20"/>
                <w:szCs w:val="22"/>
              </w:rPr>
              <w:t xml:space="preserve">Distribution of subsidized fertilizer across regions by various players determined by </w:t>
            </w:r>
            <w:r w:rsidR="003B24ED">
              <w:rPr>
                <w:rFonts w:ascii="Times New Roman" w:hAnsi="Times New Roman" w:cs="Times New Roman"/>
                <w:sz w:val="20"/>
                <w:szCs w:val="22"/>
              </w:rPr>
              <w:t>Government</w:t>
            </w:r>
            <w:r w:rsidRPr="00C91EA2">
              <w:rPr>
                <w:rFonts w:ascii="Times New Roman" w:hAnsi="Times New Roman" w:cs="Times New Roman"/>
                <w:sz w:val="20"/>
                <w:szCs w:val="22"/>
              </w:rPr>
              <w:t xml:space="preserve"> limiting entry by alternative distributors in regional markets </w:t>
            </w:r>
          </w:p>
          <w:p w14:paraId="40601323" w14:textId="77777777" w:rsidR="00377635" w:rsidRPr="00C91EA2" w:rsidRDefault="00377635" w:rsidP="007575D7">
            <w:pPr>
              <w:numPr>
                <w:ilvl w:val="0"/>
                <w:numId w:val="107"/>
              </w:numPr>
              <w:tabs>
                <w:tab w:val="num" w:pos="198"/>
              </w:tabs>
              <w:ind w:left="198" w:hanging="180"/>
              <w:jc w:val="both"/>
              <w:rPr>
                <w:rFonts w:ascii="Times New Roman" w:hAnsi="Times New Roman" w:cs="Times New Roman"/>
                <w:sz w:val="20"/>
                <w:szCs w:val="22"/>
              </w:rPr>
            </w:pPr>
            <w:r w:rsidRPr="00C91EA2">
              <w:rPr>
                <w:rFonts w:ascii="Times New Roman" w:hAnsi="Times New Roman" w:cs="Times New Roman"/>
                <w:sz w:val="20"/>
                <w:szCs w:val="22"/>
              </w:rPr>
              <w:t xml:space="preserve">Farmers are obliged to buy subsidized fertilizer from specific distribution points </w:t>
            </w:r>
            <w:r w:rsidRPr="00C91EA2">
              <w:rPr>
                <w:rFonts w:ascii="Times New Roman" w:hAnsi="Times New Roman" w:cs="Times New Roman"/>
                <w:sz w:val="20"/>
                <w:szCs w:val="22"/>
                <w:lang w:val="en-GB"/>
              </w:rPr>
              <w:t>reducing opportunities for the private sector to enter and compete</w:t>
            </w:r>
          </w:p>
        </w:tc>
        <w:tc>
          <w:tcPr>
            <w:tcW w:w="0" w:type="auto"/>
            <w:tcBorders>
              <w:top w:val="nil"/>
              <w:left w:val="nil"/>
              <w:bottom w:val="single" w:sz="4" w:space="0" w:color="4F81BD" w:themeColor="accent1"/>
              <w:right w:val="nil"/>
            </w:tcBorders>
          </w:tcPr>
          <w:p w14:paraId="40CB0EB1"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Limits on choice of strategic variable</w:t>
            </w:r>
          </w:p>
          <w:p w14:paraId="48FF6222" w14:textId="77777777" w:rsidR="00377635" w:rsidRPr="00C91EA2" w:rsidRDefault="00377635" w:rsidP="007575D7">
            <w:pPr>
              <w:numPr>
                <w:ilvl w:val="0"/>
                <w:numId w:val="107"/>
              </w:numPr>
              <w:tabs>
                <w:tab w:val="num" w:pos="198"/>
              </w:tabs>
              <w:ind w:left="198" w:hanging="180"/>
              <w:jc w:val="both"/>
              <w:rPr>
                <w:rFonts w:ascii="Times New Roman" w:hAnsi="Times New Roman" w:cs="Times New Roman"/>
                <w:sz w:val="20"/>
                <w:szCs w:val="22"/>
              </w:rPr>
            </w:pPr>
            <w:proofErr w:type="spellStart"/>
            <w:r w:rsidRPr="00C91EA2">
              <w:rPr>
                <w:rFonts w:ascii="Times New Roman" w:hAnsi="Times New Roman" w:cs="Times New Roman"/>
                <w:sz w:val="20"/>
                <w:szCs w:val="22"/>
              </w:rPr>
              <w:t>GoS</w:t>
            </w:r>
            <w:proofErr w:type="spellEnd"/>
            <w:r w:rsidRPr="00C91EA2">
              <w:rPr>
                <w:rFonts w:ascii="Times New Roman" w:hAnsi="Times New Roman" w:cs="Times New Roman"/>
                <w:sz w:val="20"/>
                <w:szCs w:val="22"/>
              </w:rPr>
              <w:t xml:space="preserve"> allocates regions among players for fertilizer distribution under the subsidy scheme limiting choice of strategic variable for importers/distributors in regional markets</w:t>
            </w:r>
          </w:p>
          <w:p w14:paraId="08649749" w14:textId="77777777" w:rsidR="00377635" w:rsidRPr="00C91EA2" w:rsidRDefault="00377635">
            <w:pPr>
              <w:ind w:left="720"/>
              <w:rPr>
                <w:rFonts w:ascii="Times New Roman" w:hAnsi="Times New Roman" w:cs="Times New Roman"/>
                <w:sz w:val="20"/>
                <w:szCs w:val="22"/>
              </w:rPr>
            </w:pPr>
          </w:p>
          <w:p w14:paraId="160C7256" w14:textId="77777777" w:rsidR="00377635" w:rsidRPr="00C91EA2" w:rsidRDefault="00377635" w:rsidP="007575D7">
            <w:pPr>
              <w:jc w:val="both"/>
              <w:rPr>
                <w:rFonts w:ascii="Times New Roman" w:hAnsi="Times New Roman" w:cs="Times New Roman"/>
                <w:sz w:val="20"/>
                <w:szCs w:val="22"/>
              </w:rPr>
            </w:pPr>
            <w:r w:rsidRPr="00C91EA2">
              <w:rPr>
                <w:rFonts w:ascii="Times New Roman" w:hAnsi="Times New Roman" w:cs="Times New Roman"/>
                <w:b/>
                <w:bCs/>
                <w:sz w:val="20"/>
                <w:szCs w:val="22"/>
                <w:lang w:val="en-GB"/>
              </w:rPr>
              <w:t>Rules that facilitate agreements among competitors:</w:t>
            </w:r>
            <w:r w:rsidRPr="00C91EA2">
              <w:rPr>
                <w:rFonts w:ascii="Times New Roman" w:hAnsi="Times New Roman" w:cs="Times New Roman"/>
                <w:sz w:val="20"/>
                <w:szCs w:val="22"/>
                <w:lang w:val="en-GB"/>
              </w:rPr>
              <w:t xml:space="preserve"> Information exchange through the CNIA. </w:t>
            </w:r>
          </w:p>
        </w:tc>
        <w:tc>
          <w:tcPr>
            <w:tcW w:w="0" w:type="auto"/>
            <w:tcBorders>
              <w:top w:val="nil"/>
              <w:left w:val="nil"/>
              <w:bottom w:val="single" w:sz="4" w:space="0" w:color="4F81BD" w:themeColor="accent1"/>
              <w:right w:val="single" w:sz="4" w:space="0" w:color="4F81BD" w:themeColor="accent1"/>
            </w:tcBorders>
          </w:tcPr>
          <w:p w14:paraId="768B0429" w14:textId="7C771550" w:rsidR="00377635" w:rsidRPr="00C91EA2" w:rsidRDefault="00377635" w:rsidP="007575D7">
            <w:pPr>
              <w:jc w:val="both"/>
              <w:rPr>
                <w:rFonts w:ascii="Times New Roman" w:hAnsi="Times New Roman" w:cs="Times New Roman"/>
                <w:sz w:val="20"/>
                <w:szCs w:val="22"/>
                <w:lang w:val="en-GB"/>
              </w:rPr>
            </w:pPr>
            <w:r w:rsidRPr="00C91EA2">
              <w:rPr>
                <w:rFonts w:ascii="Times New Roman" w:hAnsi="Times New Roman" w:cs="Times New Roman"/>
                <w:b/>
                <w:bCs/>
                <w:sz w:val="20"/>
                <w:szCs w:val="22"/>
                <w:lang w:val="en-GB"/>
              </w:rPr>
              <w:t xml:space="preserve">Discriminatory application of rules and standards: </w:t>
            </w:r>
            <w:r w:rsidRPr="00C91EA2">
              <w:rPr>
                <w:rFonts w:ascii="Times New Roman" w:hAnsi="Times New Roman" w:cs="Times New Roman"/>
                <w:sz w:val="20"/>
                <w:szCs w:val="22"/>
              </w:rPr>
              <w:t xml:space="preserve">Prohibition on bulk blending </w:t>
            </w:r>
            <w:r w:rsidR="003B24ED">
              <w:rPr>
                <w:rFonts w:ascii="Times New Roman" w:hAnsi="Times New Roman" w:cs="Times New Roman"/>
                <w:sz w:val="20"/>
                <w:szCs w:val="22"/>
              </w:rPr>
              <w:t>Government</w:t>
            </w:r>
            <w:r w:rsidR="0098273F">
              <w:rPr>
                <w:rFonts w:ascii="Times New Roman" w:hAnsi="Times New Roman" w:cs="Times New Roman"/>
                <w:sz w:val="20"/>
                <w:szCs w:val="22"/>
              </w:rPr>
              <w:t xml:space="preserve"> </w:t>
            </w:r>
            <w:r w:rsidRPr="00C91EA2">
              <w:rPr>
                <w:rFonts w:ascii="Times New Roman" w:hAnsi="Times New Roman" w:cs="Times New Roman"/>
                <w:sz w:val="20"/>
                <w:szCs w:val="22"/>
              </w:rPr>
              <w:t>tenders favors local complex fertilizer producers.</w:t>
            </w:r>
            <w:r w:rsidRPr="00C91EA2">
              <w:rPr>
                <w:rFonts w:ascii="Times New Roman" w:hAnsi="Times New Roman" w:cs="Times New Roman"/>
                <w:sz w:val="20"/>
                <w:szCs w:val="22"/>
                <w:lang w:val="en-GB"/>
              </w:rPr>
              <w:t xml:space="preserve"> </w:t>
            </w:r>
          </w:p>
          <w:p w14:paraId="4E2B9E91" w14:textId="77777777" w:rsidR="00377635" w:rsidRPr="00C91EA2" w:rsidRDefault="00377635">
            <w:pPr>
              <w:rPr>
                <w:rFonts w:ascii="Times New Roman" w:hAnsi="Times New Roman" w:cs="Times New Roman"/>
                <w:sz w:val="20"/>
                <w:szCs w:val="22"/>
                <w:lang w:val="en-GB"/>
              </w:rPr>
            </w:pPr>
          </w:p>
          <w:p w14:paraId="7A6EFC4F" w14:textId="77777777" w:rsidR="00377635" w:rsidRPr="00C91EA2" w:rsidRDefault="00377635" w:rsidP="007575D7">
            <w:pPr>
              <w:jc w:val="both"/>
              <w:rPr>
                <w:rFonts w:ascii="Times New Roman" w:hAnsi="Times New Roman" w:cs="Times New Roman"/>
                <w:sz w:val="20"/>
                <w:szCs w:val="22"/>
                <w:lang w:val="en-GB"/>
              </w:rPr>
            </w:pPr>
            <w:r w:rsidRPr="00C91EA2">
              <w:rPr>
                <w:rFonts w:ascii="Times New Roman" w:hAnsi="Times New Roman" w:cs="Times New Roman"/>
                <w:b/>
                <w:bCs/>
                <w:sz w:val="20"/>
                <w:szCs w:val="22"/>
                <w:lang w:val="en-GB"/>
              </w:rPr>
              <w:t>Discretionary application of rules:</w:t>
            </w:r>
            <w:r w:rsidRPr="00C91EA2">
              <w:rPr>
                <w:rFonts w:ascii="Times New Roman" w:hAnsi="Times New Roman" w:cs="Times New Roman"/>
                <w:sz w:val="20"/>
                <w:szCs w:val="22"/>
                <w:lang w:val="en-GB"/>
              </w:rPr>
              <w:t xml:space="preserve"> Lack of transparency in targeting of subsidies said to benefit well connected agricultural producers</w:t>
            </w:r>
          </w:p>
        </w:tc>
      </w:tr>
    </w:tbl>
    <w:p w14:paraId="3900A00A" w14:textId="77777777" w:rsidR="00377635" w:rsidRPr="00C91EA2" w:rsidRDefault="00377635" w:rsidP="00377635">
      <w:pPr>
        <w:rPr>
          <w:rFonts w:ascii="Times New Roman" w:hAnsi="Times New Roman" w:cs="Times New Roman"/>
          <w:sz w:val="22"/>
          <w:szCs w:val="22"/>
        </w:rPr>
        <w:sectPr w:rsidR="00377635" w:rsidRPr="00C91EA2" w:rsidSect="00B41724">
          <w:pgSz w:w="15840" w:h="12240" w:orient="landscape"/>
          <w:pgMar w:top="1800" w:right="1440" w:bottom="1800" w:left="1440" w:header="720" w:footer="720" w:gutter="0"/>
          <w:cols w:space="720"/>
        </w:sectPr>
      </w:pPr>
    </w:p>
    <w:p w14:paraId="680884C9" w14:textId="77777777" w:rsidR="00377635" w:rsidRPr="00C91EA2" w:rsidRDefault="00B37FE4" w:rsidP="00034A8A">
      <w:pPr>
        <w:pStyle w:val="Heading4"/>
        <w:rPr>
          <w:rFonts w:ascii="Times New Roman" w:hAnsi="Times New Roman" w:cs="Times New Roman"/>
        </w:rPr>
      </w:pPr>
      <w:bookmarkStart w:id="223" w:name="_Toc494097778"/>
      <w:r>
        <w:rPr>
          <w:rFonts w:ascii="Times New Roman" w:hAnsi="Times New Roman" w:cs="Times New Roman"/>
        </w:rPr>
        <w:t>The M</w:t>
      </w:r>
      <w:r w:rsidR="00377635" w:rsidRPr="00C91EA2">
        <w:rPr>
          <w:rFonts w:ascii="Times New Roman" w:hAnsi="Times New Roman" w:cs="Times New Roman"/>
        </w:rPr>
        <w:t xml:space="preserve">arket for </w:t>
      </w:r>
      <w:r>
        <w:rPr>
          <w:rFonts w:ascii="Times New Roman" w:hAnsi="Times New Roman" w:cs="Times New Roman"/>
        </w:rPr>
        <w:t>B</w:t>
      </w:r>
      <w:r w:rsidR="00377635" w:rsidRPr="00C91EA2">
        <w:rPr>
          <w:rFonts w:ascii="Times New Roman" w:hAnsi="Times New Roman" w:cs="Times New Roman"/>
        </w:rPr>
        <w:t>uying</w:t>
      </w:r>
      <w:r w:rsidR="00AD2C08">
        <w:rPr>
          <w:rFonts w:ascii="Times New Roman" w:hAnsi="Times New Roman" w:cs="Times New Roman"/>
        </w:rPr>
        <w:t xml:space="preserve"> Raw Groundnut</w:t>
      </w:r>
      <w:r w:rsidR="00377635" w:rsidRPr="00C91EA2">
        <w:rPr>
          <w:rFonts w:ascii="Times New Roman" w:hAnsi="Times New Roman" w:cs="Times New Roman"/>
        </w:rPr>
        <w:t xml:space="preserve"> from </w:t>
      </w:r>
      <w:r>
        <w:rPr>
          <w:rFonts w:ascii="Times New Roman" w:hAnsi="Times New Roman" w:cs="Times New Roman"/>
        </w:rPr>
        <w:t>F</w:t>
      </w:r>
      <w:r w:rsidR="00377635" w:rsidRPr="00C91EA2">
        <w:rPr>
          <w:rFonts w:ascii="Times New Roman" w:hAnsi="Times New Roman" w:cs="Times New Roman"/>
        </w:rPr>
        <w:t>armers</w:t>
      </w:r>
      <w:bookmarkEnd w:id="223"/>
    </w:p>
    <w:p w14:paraId="29DAF51A" w14:textId="77777777" w:rsidR="00377635" w:rsidRPr="00C91EA2" w:rsidRDefault="00377635" w:rsidP="00377635">
      <w:pPr>
        <w:rPr>
          <w:rFonts w:ascii="Times New Roman" w:hAnsi="Times New Roman" w:cs="Times New Roman"/>
        </w:rPr>
      </w:pPr>
    </w:p>
    <w:p w14:paraId="4FF9B75E" w14:textId="511201C5" w:rsidR="0000571B" w:rsidRPr="007575D7" w:rsidRDefault="00377635" w:rsidP="001433F1">
      <w:pPr>
        <w:pStyle w:val="ListParagraph"/>
        <w:numPr>
          <w:ilvl w:val="0"/>
          <w:numId w:val="71"/>
        </w:numPr>
        <w:ind w:left="0" w:firstLine="0"/>
        <w:jc w:val="both"/>
      </w:pPr>
      <w:r w:rsidRPr="00CA73BB">
        <w:rPr>
          <w:rFonts w:ascii="Times New Roman" w:hAnsi="Times New Roman" w:cs="Times New Roman"/>
          <w:b/>
        </w:rPr>
        <w:t xml:space="preserve">The market for buying </w:t>
      </w:r>
      <w:r w:rsidR="00C91E06" w:rsidRPr="00CA73BB">
        <w:rPr>
          <w:rFonts w:ascii="Times New Roman" w:hAnsi="Times New Roman" w:cs="Times New Roman"/>
          <w:b/>
        </w:rPr>
        <w:t xml:space="preserve">raw groundnut </w:t>
      </w:r>
      <w:r w:rsidRPr="00CA73BB">
        <w:rPr>
          <w:rFonts w:ascii="Times New Roman" w:hAnsi="Times New Roman" w:cs="Times New Roman"/>
          <w:b/>
        </w:rPr>
        <w:t xml:space="preserve">from farmers directly determines the income for almost 500,000 </w:t>
      </w:r>
      <w:proofErr w:type="gramStart"/>
      <w:r w:rsidRPr="00CA73BB">
        <w:rPr>
          <w:rFonts w:ascii="Times New Roman" w:hAnsi="Times New Roman" w:cs="Times New Roman"/>
          <w:b/>
        </w:rPr>
        <w:t>groundnut</w:t>
      </w:r>
      <w:proofErr w:type="gramEnd"/>
      <w:r w:rsidRPr="00CA73BB">
        <w:rPr>
          <w:rFonts w:ascii="Times New Roman" w:hAnsi="Times New Roman" w:cs="Times New Roman"/>
          <w:b/>
        </w:rPr>
        <w:t xml:space="preserve"> producers, </w:t>
      </w:r>
      <w:r w:rsidR="004871AD" w:rsidRPr="00CA73BB">
        <w:rPr>
          <w:rFonts w:ascii="Times New Roman" w:hAnsi="Times New Roman" w:cs="Times New Roman"/>
          <w:b/>
        </w:rPr>
        <w:t>and is</w:t>
      </w:r>
      <w:r w:rsidRPr="00CA73BB">
        <w:rPr>
          <w:rFonts w:ascii="Times New Roman" w:hAnsi="Times New Roman" w:cs="Times New Roman"/>
          <w:b/>
        </w:rPr>
        <w:t xml:space="preserve"> characterized by a significant degree of </w:t>
      </w:r>
      <w:r w:rsidR="003B24ED" w:rsidRPr="0031765F">
        <w:rPr>
          <w:rFonts w:ascii="Times New Roman" w:hAnsi="Times New Roman" w:cs="Times New Roman"/>
          <w:b/>
        </w:rPr>
        <w:t>Government</w:t>
      </w:r>
      <w:r w:rsidRPr="0049603D">
        <w:rPr>
          <w:rFonts w:ascii="Times New Roman" w:hAnsi="Times New Roman" w:cs="Times New Roman"/>
          <w:b/>
        </w:rPr>
        <w:t xml:space="preserve"> intervention. </w:t>
      </w:r>
      <w:r w:rsidRPr="0049603D">
        <w:rPr>
          <w:rFonts w:ascii="Times New Roman" w:hAnsi="Times New Roman" w:cs="Times New Roman"/>
        </w:rPr>
        <w:t>There are four</w:t>
      </w:r>
      <w:r w:rsidRPr="00AF6B9E">
        <w:rPr>
          <w:rFonts w:ascii="Times New Roman" w:hAnsi="Times New Roman" w:cs="Times New Roman"/>
        </w:rPr>
        <w:t xml:space="preserve"> types of buyers in the market for raw groundnuts. First, the </w:t>
      </w:r>
      <w:proofErr w:type="spellStart"/>
      <w:r w:rsidRPr="00AF6B9E">
        <w:rPr>
          <w:rFonts w:ascii="Times New Roman" w:hAnsi="Times New Roman" w:cs="Times New Roman"/>
        </w:rPr>
        <w:t>Opérateurs</w:t>
      </w:r>
      <w:proofErr w:type="spellEnd"/>
      <w:r w:rsidRPr="00AF6B9E">
        <w:rPr>
          <w:rFonts w:ascii="Times New Roman" w:hAnsi="Times New Roman" w:cs="Times New Roman"/>
        </w:rPr>
        <w:t xml:space="preserve"> </w:t>
      </w:r>
      <w:proofErr w:type="spellStart"/>
      <w:r w:rsidRPr="00AF6B9E">
        <w:rPr>
          <w:rFonts w:ascii="Times New Roman" w:hAnsi="Times New Roman" w:cs="Times New Roman"/>
        </w:rPr>
        <w:t>Privés</w:t>
      </w:r>
      <w:proofErr w:type="spellEnd"/>
      <w:r w:rsidRPr="00AF6B9E">
        <w:rPr>
          <w:rFonts w:ascii="Times New Roman" w:hAnsi="Times New Roman" w:cs="Times New Roman"/>
        </w:rPr>
        <w:t xml:space="preserve"> </w:t>
      </w:r>
      <w:proofErr w:type="spellStart"/>
      <w:r w:rsidRPr="00AF6B9E">
        <w:rPr>
          <w:rFonts w:ascii="Times New Roman" w:hAnsi="Times New Roman" w:cs="Times New Roman"/>
        </w:rPr>
        <w:t>Stockeurs</w:t>
      </w:r>
      <w:proofErr w:type="spellEnd"/>
      <w:r w:rsidRPr="00AF6B9E">
        <w:rPr>
          <w:rFonts w:ascii="Times New Roman" w:hAnsi="Times New Roman" w:cs="Times New Roman"/>
        </w:rPr>
        <w:t xml:space="preserve"> (OPS) and other formal collectors generally purchase for one or more of the industrial millers, often under contract. In this sense, ultimately the dynamics of the ma</w:t>
      </w:r>
      <w:r w:rsidRPr="00925CA9">
        <w:rPr>
          <w:rFonts w:ascii="Times New Roman" w:hAnsi="Times New Roman" w:cs="Times New Roman"/>
        </w:rPr>
        <w:t>rket for purchasing groundnut</w:t>
      </w:r>
      <w:r w:rsidR="004871AD" w:rsidRPr="00925CA9">
        <w:rPr>
          <w:rFonts w:ascii="Times New Roman" w:hAnsi="Times New Roman" w:cs="Times New Roman"/>
        </w:rPr>
        <w:t>s</w:t>
      </w:r>
      <w:r w:rsidRPr="00925CA9">
        <w:rPr>
          <w:rFonts w:ascii="Times New Roman" w:hAnsi="Times New Roman" w:cs="Times New Roman"/>
        </w:rPr>
        <w:t xml:space="preserve"> through this channel </w:t>
      </w:r>
      <w:r w:rsidR="00462CF4" w:rsidRPr="00E73215">
        <w:rPr>
          <w:rFonts w:ascii="Times New Roman" w:hAnsi="Times New Roman" w:cs="Times New Roman"/>
        </w:rPr>
        <w:t>are</w:t>
      </w:r>
      <w:r w:rsidRPr="00CA73BB">
        <w:rPr>
          <w:rFonts w:ascii="Times New Roman" w:hAnsi="Times New Roman" w:cs="Times New Roman"/>
        </w:rPr>
        <w:t xml:space="preserve"> determined by the local groundnut processors. Second, exporters, largely from China or Vietnam, purchase groundnuts for export, either in the form of nuts in shell (NIS) or shelled kernels. Third, artisanal or semi-industrial processors purchase groundnuts </w:t>
      </w:r>
      <w:proofErr w:type="gramStart"/>
      <w:r w:rsidRPr="00CA73BB">
        <w:rPr>
          <w:rFonts w:ascii="Times New Roman" w:hAnsi="Times New Roman" w:cs="Times New Roman"/>
        </w:rPr>
        <w:t xml:space="preserve">for </w:t>
      </w:r>
      <w:r w:rsidRPr="002926ED">
        <w:rPr>
          <w:rFonts w:ascii="Times New Roman" w:hAnsi="Times New Roman" w:cs="Times New Roman"/>
        </w:rPr>
        <w:t>the production of</w:t>
      </w:r>
      <w:proofErr w:type="gramEnd"/>
      <w:r w:rsidRPr="002926ED">
        <w:rPr>
          <w:rFonts w:ascii="Times New Roman" w:hAnsi="Times New Roman" w:cs="Times New Roman"/>
        </w:rPr>
        <w:t xml:space="preserve"> Se</w:t>
      </w:r>
      <w:r w:rsidR="00861B0A" w:rsidRPr="002926ED">
        <w:rPr>
          <w:rFonts w:ascii="Times New Roman" w:hAnsi="Times New Roman" w:cs="Times New Roman"/>
        </w:rPr>
        <w:t>ne</w:t>
      </w:r>
      <w:r w:rsidRPr="002926ED">
        <w:rPr>
          <w:rFonts w:ascii="Times New Roman" w:hAnsi="Times New Roman" w:cs="Times New Roman"/>
        </w:rPr>
        <w:t>gal, an artisanal groundnut oil, or for some confectionary uses</w:t>
      </w:r>
      <w:r w:rsidR="0000571B" w:rsidRPr="002926ED">
        <w:rPr>
          <w:rFonts w:ascii="Times New Roman" w:hAnsi="Times New Roman" w:cs="Times New Roman"/>
        </w:rPr>
        <w:t xml:space="preserve"> (See Box</w:t>
      </w:r>
      <w:r w:rsidR="0000571B">
        <w:rPr>
          <w:rFonts w:ascii="Times New Roman" w:hAnsi="Times New Roman" w:cs="Times New Roman"/>
        </w:rPr>
        <w:t xml:space="preserve"> </w:t>
      </w:r>
      <w:r w:rsidR="002926ED">
        <w:rPr>
          <w:rFonts w:ascii="Times New Roman" w:hAnsi="Times New Roman" w:cs="Times New Roman"/>
        </w:rPr>
        <w:t>9</w:t>
      </w:r>
      <w:r w:rsidR="0000571B">
        <w:rPr>
          <w:rFonts w:ascii="Times New Roman" w:hAnsi="Times New Roman" w:cs="Times New Roman"/>
        </w:rPr>
        <w:t xml:space="preserve"> on the international experience in developing the confectionary industry)</w:t>
      </w:r>
      <w:r w:rsidRPr="00CA73BB">
        <w:rPr>
          <w:rFonts w:ascii="Times New Roman" w:hAnsi="Times New Roman" w:cs="Times New Roman"/>
        </w:rPr>
        <w:t xml:space="preserve">. </w:t>
      </w:r>
      <w:r w:rsidRPr="0000571B">
        <w:rPr>
          <w:rFonts w:ascii="Times New Roman" w:hAnsi="Times New Roman" w:cs="Times New Roman"/>
        </w:rPr>
        <w:t>Although there are no reliable estimates, artisanal processing carries significant employment implications, particularly for women.</w:t>
      </w:r>
      <w:r w:rsidRPr="00C91EA2">
        <w:rPr>
          <w:rStyle w:val="FootnoteReference"/>
          <w:rFonts w:ascii="Times New Roman" w:hAnsi="Times New Roman" w:cs="Times New Roman"/>
        </w:rPr>
        <w:footnoteReference w:id="140"/>
      </w:r>
      <w:r w:rsidRPr="0000571B">
        <w:rPr>
          <w:rFonts w:ascii="Times New Roman" w:hAnsi="Times New Roman" w:cs="Times New Roman"/>
        </w:rPr>
        <w:t xml:space="preserve"> </w:t>
      </w:r>
      <w:r w:rsidR="0000571B" w:rsidRPr="003A225F">
        <w:rPr>
          <w:rFonts w:ascii="Times New Roman" w:hAnsi="Times New Roman" w:cs="Times New Roman"/>
        </w:rPr>
        <w:t>Often organized in farmers’ organizations or cooperatives, artisanal processors tend to be partially vertically integrated into farming. According to the World Bank, artisanal processing generates profits of 11 F CFA/kg.</w:t>
      </w:r>
      <w:r w:rsidR="0000571B" w:rsidRPr="00C91EA2">
        <w:rPr>
          <w:rStyle w:val="FootnoteReference"/>
          <w:rFonts w:ascii="Times New Roman" w:hAnsi="Times New Roman" w:cs="Times New Roman"/>
        </w:rPr>
        <w:footnoteReference w:id="141"/>
      </w:r>
      <w:r w:rsidR="0000571B" w:rsidRPr="0000571B">
        <w:rPr>
          <w:rFonts w:ascii="Times New Roman" w:hAnsi="Times New Roman" w:cs="Times New Roman"/>
        </w:rPr>
        <w:t xml:space="preserve"> Finally, the remainder of the groundnut is self-consumed by farmers or recycled as seed (</w:t>
      </w:r>
      <w:r w:rsidR="001433F1">
        <w:rPr>
          <w:rFonts w:ascii="Times New Roman" w:hAnsi="Times New Roman" w:cs="Times New Roman"/>
        </w:rPr>
        <w:fldChar w:fldCharType="begin"/>
      </w:r>
      <w:r w:rsidR="001433F1">
        <w:rPr>
          <w:rFonts w:ascii="Times New Roman" w:hAnsi="Times New Roman" w:cs="Times New Roman"/>
        </w:rPr>
        <w:instrText xml:space="preserve"> REF _Ref520391560 \h </w:instrText>
      </w:r>
      <w:r w:rsidR="001433F1">
        <w:rPr>
          <w:rFonts w:ascii="Times New Roman" w:hAnsi="Times New Roman" w:cs="Times New Roman"/>
        </w:rPr>
      </w:r>
      <w:r w:rsidR="001433F1">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51</w:t>
      </w:r>
      <w:r w:rsidR="001433F1">
        <w:rPr>
          <w:rFonts w:ascii="Times New Roman" w:hAnsi="Times New Roman" w:cs="Times New Roman"/>
        </w:rPr>
        <w:fldChar w:fldCharType="end"/>
      </w:r>
      <w:r w:rsidR="0000571B" w:rsidRPr="0000571B">
        <w:rPr>
          <w:rFonts w:ascii="Times New Roman" w:hAnsi="Times New Roman" w:cs="Times New Roman"/>
        </w:rPr>
        <w:t xml:space="preserve">). </w:t>
      </w:r>
    </w:p>
    <w:p w14:paraId="39FC7195" w14:textId="77777777" w:rsidR="0000571B" w:rsidRDefault="0000571B" w:rsidP="0000571B">
      <w:pPr>
        <w:pStyle w:val="ListParagraph"/>
        <w:ind w:left="0"/>
        <w:jc w:val="both"/>
      </w:pPr>
    </w:p>
    <w:tbl>
      <w:tblPr>
        <w:tblStyle w:val="TableGrid"/>
        <w:tblW w:w="5000" w:type="pct"/>
        <w:tblLook w:val="04A0" w:firstRow="1" w:lastRow="0" w:firstColumn="1" w:lastColumn="0" w:noHBand="0" w:noVBand="1"/>
      </w:tblPr>
      <w:tblGrid>
        <w:gridCol w:w="8630"/>
      </w:tblGrid>
      <w:tr w:rsidR="008B7787" w:rsidRPr="00C91EA2" w14:paraId="63F8BCE5" w14:textId="77777777" w:rsidTr="003C4574">
        <w:tc>
          <w:tcPr>
            <w:tcW w:w="5000" w:type="pct"/>
            <w:tcBorders>
              <w:top w:val="single" w:sz="4" w:space="0" w:color="auto"/>
              <w:left w:val="single" w:sz="4" w:space="0" w:color="auto"/>
              <w:bottom w:val="single" w:sz="4" w:space="0" w:color="auto"/>
              <w:right w:val="single" w:sz="4" w:space="0" w:color="auto"/>
            </w:tcBorders>
            <w:hideMark/>
          </w:tcPr>
          <w:p w14:paraId="249E3234" w14:textId="031B1504" w:rsidR="008B7787" w:rsidRPr="00C91EA2" w:rsidRDefault="008B7787" w:rsidP="003C4574">
            <w:pPr>
              <w:pStyle w:val="Caption"/>
              <w:keepNext/>
              <w:rPr>
                <w:rFonts w:ascii="Times New Roman" w:hAnsi="Times New Roman"/>
              </w:rPr>
            </w:pPr>
            <w:bookmarkStart w:id="224" w:name="_Ref520391560"/>
            <w:bookmarkStart w:id="225" w:name="_Toc520725607"/>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51</w:t>
            </w:r>
            <w:r w:rsidR="00D91B27">
              <w:rPr>
                <w:rFonts w:ascii="Times New Roman" w:hAnsi="Times New Roman"/>
              </w:rPr>
              <w:fldChar w:fldCharType="end"/>
            </w:r>
            <w:bookmarkEnd w:id="224"/>
            <w:r w:rsidRPr="00C91EA2">
              <w:rPr>
                <w:rFonts w:ascii="Times New Roman" w:hAnsi="Times New Roman"/>
              </w:rPr>
              <w:t xml:space="preserve">: Overview of the market for buying from </w:t>
            </w:r>
            <w:r w:rsidRPr="00C91EA2">
              <w:rPr>
                <w:rFonts w:ascii="Times New Roman" w:hAnsi="Times New Roman"/>
                <w:szCs w:val="24"/>
              </w:rPr>
              <w:t>farmers</w:t>
            </w:r>
            <w:bookmarkEnd w:id="225"/>
          </w:p>
        </w:tc>
      </w:tr>
      <w:tr w:rsidR="008B7787" w:rsidRPr="00C91EA2" w14:paraId="63DD7AB8" w14:textId="77777777" w:rsidTr="003C4574">
        <w:tc>
          <w:tcPr>
            <w:tcW w:w="5000" w:type="pct"/>
            <w:tcBorders>
              <w:top w:val="single" w:sz="4" w:space="0" w:color="auto"/>
              <w:left w:val="single" w:sz="4" w:space="0" w:color="auto"/>
              <w:bottom w:val="single" w:sz="4" w:space="0" w:color="auto"/>
              <w:right w:val="single" w:sz="4" w:space="0" w:color="auto"/>
            </w:tcBorders>
            <w:hideMark/>
          </w:tcPr>
          <w:p w14:paraId="58738C62" w14:textId="77777777" w:rsidR="008B7787" w:rsidRPr="00C91EA2" w:rsidRDefault="008B7787" w:rsidP="003C4574">
            <w:pPr>
              <w:rPr>
                <w:rFonts w:ascii="Times New Roman" w:hAnsi="Times New Roman" w:cs="Times New Roman"/>
              </w:rPr>
            </w:pPr>
            <w:r>
              <w:rPr>
                <w:rFonts w:ascii="Times New Roman" w:hAnsi="Times New Roman" w:cs="Times New Roman"/>
                <w:noProof/>
              </w:rPr>
              <w:drawing>
                <wp:inline distT="0" distB="0" distL="0" distR="0" wp14:anchorId="482ABE2E" wp14:editId="2ACEC7EC">
                  <wp:extent cx="5386415" cy="401955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4619" cy="4025672"/>
                          </a:xfrm>
                          <a:prstGeom prst="rect">
                            <a:avLst/>
                          </a:prstGeom>
                          <a:noFill/>
                        </pic:spPr>
                      </pic:pic>
                    </a:graphicData>
                  </a:graphic>
                </wp:inline>
              </w:drawing>
            </w:r>
          </w:p>
        </w:tc>
      </w:tr>
      <w:tr w:rsidR="008B7787" w:rsidRPr="00C91EA2" w14:paraId="6CFA188B" w14:textId="77777777" w:rsidTr="003C4574">
        <w:tc>
          <w:tcPr>
            <w:tcW w:w="5000" w:type="pct"/>
            <w:tcBorders>
              <w:top w:val="single" w:sz="4" w:space="0" w:color="auto"/>
              <w:left w:val="single" w:sz="4" w:space="0" w:color="auto"/>
              <w:bottom w:val="single" w:sz="4" w:space="0" w:color="auto"/>
              <w:right w:val="single" w:sz="4" w:space="0" w:color="auto"/>
            </w:tcBorders>
            <w:hideMark/>
          </w:tcPr>
          <w:p w14:paraId="42B9CCFF" w14:textId="77777777" w:rsidR="008B7787" w:rsidRPr="00C91EA2" w:rsidRDefault="008B7787" w:rsidP="003C4574">
            <w:pPr>
              <w:rPr>
                <w:rFonts w:ascii="Times New Roman" w:hAnsi="Times New Roman" w:cs="Times New Roman"/>
                <w:sz w:val="24"/>
                <w:szCs w:val="24"/>
              </w:rPr>
            </w:pPr>
            <w:r w:rsidRPr="00C91EA2">
              <w:rPr>
                <w:rFonts w:ascii="Times New Roman" w:hAnsi="Times New Roman" w:cs="Times New Roman"/>
                <w:sz w:val="20"/>
                <w:szCs w:val="24"/>
              </w:rPr>
              <w:t>Source: Authors’ visualization</w:t>
            </w:r>
          </w:p>
        </w:tc>
      </w:tr>
    </w:tbl>
    <w:p w14:paraId="518C7864" w14:textId="77777777" w:rsidR="0000571B" w:rsidRDefault="0000571B" w:rsidP="0000571B">
      <w:pPr>
        <w:pStyle w:val="ListParagraph"/>
        <w:ind w:left="0"/>
        <w:jc w:val="both"/>
      </w:pPr>
    </w:p>
    <w:p w14:paraId="29C60A77" w14:textId="7752C4FB" w:rsidR="002926ED" w:rsidRPr="007575D7" w:rsidRDefault="002926ED" w:rsidP="007575D7"/>
    <w:p w14:paraId="2C3C067C" w14:textId="357CAC16" w:rsidR="002926ED" w:rsidRDefault="002926ED" w:rsidP="009A1B0E">
      <w:pPr>
        <w:pStyle w:val="Caption"/>
        <w:keepNext/>
      </w:pPr>
      <w:bookmarkStart w:id="226" w:name="_Toc520725797"/>
      <w:r w:rsidRPr="009A1B0E">
        <w:rPr>
          <w:rFonts w:ascii="Times New Roman" w:hAnsi="Times New Roman"/>
        </w:rPr>
        <w:t xml:space="preserve">Box </w:t>
      </w:r>
      <w:r w:rsidRPr="009A1B0E">
        <w:rPr>
          <w:rFonts w:ascii="Times New Roman" w:hAnsi="Times New Roman"/>
        </w:rPr>
        <w:fldChar w:fldCharType="begin"/>
      </w:r>
      <w:r w:rsidRPr="009A1B0E">
        <w:rPr>
          <w:rFonts w:ascii="Times New Roman" w:hAnsi="Times New Roman"/>
        </w:rPr>
        <w:instrText xml:space="preserve"> SEQ Box \* ARABIC </w:instrText>
      </w:r>
      <w:r w:rsidRPr="009A1B0E">
        <w:rPr>
          <w:rFonts w:ascii="Times New Roman" w:hAnsi="Times New Roman"/>
        </w:rPr>
        <w:fldChar w:fldCharType="separate"/>
      </w:r>
      <w:r w:rsidR="008261B2">
        <w:rPr>
          <w:rFonts w:ascii="Times New Roman" w:hAnsi="Times New Roman"/>
          <w:noProof/>
        </w:rPr>
        <w:t>9</w:t>
      </w:r>
      <w:r w:rsidRPr="009A1B0E">
        <w:rPr>
          <w:rFonts w:ascii="Times New Roman" w:hAnsi="Times New Roman"/>
        </w:rPr>
        <w:fldChar w:fldCharType="end"/>
      </w:r>
      <w:r w:rsidRPr="007575D7">
        <w:rPr>
          <w:rFonts w:ascii="Times New Roman" w:hAnsi="Times New Roman"/>
        </w:rPr>
        <w:t xml:space="preserve">: </w:t>
      </w:r>
      <w:r w:rsidRPr="002926ED">
        <w:rPr>
          <w:rFonts w:ascii="Times New Roman" w:hAnsi="Times New Roman"/>
        </w:rPr>
        <w:t>International</w:t>
      </w:r>
      <w:r>
        <w:rPr>
          <w:rFonts w:ascii="Times New Roman" w:hAnsi="Times New Roman"/>
        </w:rPr>
        <w:t xml:space="preserve"> experience: Development of the groundnut confectionery industry</w:t>
      </w:r>
      <w:bookmarkEnd w:id="226"/>
    </w:p>
    <w:tbl>
      <w:tblPr>
        <w:tblStyle w:val="TableGrid"/>
        <w:tblW w:w="9209" w:type="dxa"/>
        <w:jc w:val="center"/>
        <w:shd w:val="clear" w:color="auto" w:fill="F2F2F2" w:themeFill="background1" w:themeFillShade="F2"/>
        <w:tblLayout w:type="fixed"/>
        <w:tblLook w:val="04A0" w:firstRow="1" w:lastRow="0" w:firstColumn="1" w:lastColumn="0" w:noHBand="0" w:noVBand="1"/>
      </w:tblPr>
      <w:tblGrid>
        <w:gridCol w:w="9209"/>
      </w:tblGrid>
      <w:tr w:rsidR="0000571B" w:rsidRPr="00ED1840" w14:paraId="60A4A682" w14:textId="77777777" w:rsidTr="007575D7">
        <w:trPr>
          <w:trHeight w:val="530"/>
          <w:jc w:val="center"/>
        </w:trPr>
        <w:tc>
          <w:tcPr>
            <w:tcW w:w="9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97EC26" w14:textId="77777777" w:rsidR="0000571B" w:rsidRDefault="0000571B" w:rsidP="003C457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5"/>
            </w:tblGrid>
            <w:tr w:rsidR="0000571B" w:rsidRPr="00A23773" w14:paraId="46E5CBF1" w14:textId="77777777" w:rsidTr="003C4574">
              <w:trPr>
                <w:trHeight w:val="1093"/>
              </w:trPr>
              <w:tc>
                <w:tcPr>
                  <w:tcW w:w="9095" w:type="dxa"/>
                </w:tcPr>
                <w:p w14:paraId="744B34D5" w14:textId="07633BA7" w:rsidR="0000571B" w:rsidRPr="00131E1E" w:rsidRDefault="0000571B" w:rsidP="0083684B">
                  <w:pPr>
                    <w:pStyle w:val="ListParagraph"/>
                    <w:ind w:left="0"/>
                    <w:jc w:val="both"/>
                    <w:rPr>
                      <w:rFonts w:ascii="Times New Roman" w:hAnsi="Times New Roman" w:cs="Times New Roman"/>
                      <w:sz w:val="20"/>
                      <w:szCs w:val="20"/>
                    </w:rPr>
                  </w:pPr>
                  <w:r w:rsidRPr="0000571B">
                    <w:rPr>
                      <w:rFonts w:ascii="Times New Roman" w:eastAsiaTheme="minorEastAsia" w:hAnsi="Times New Roman" w:cs="Times New Roman"/>
                      <w:sz w:val="20"/>
                      <w:szCs w:val="20"/>
                    </w:rPr>
                    <w:t xml:space="preserve">Exports of confectionery groundnuts </w:t>
                  </w:r>
                  <w:r w:rsidR="0054587B">
                    <w:rPr>
                      <w:rFonts w:ascii="Times New Roman" w:eastAsiaTheme="minorEastAsia" w:hAnsi="Times New Roman" w:cs="Times New Roman"/>
                      <w:sz w:val="20"/>
                      <w:szCs w:val="20"/>
                    </w:rPr>
                    <w:t>re</w:t>
                  </w:r>
                  <w:r w:rsidRPr="0000571B">
                    <w:rPr>
                      <w:rFonts w:ascii="Times New Roman" w:eastAsiaTheme="minorEastAsia" w:hAnsi="Times New Roman" w:cs="Times New Roman"/>
                      <w:sz w:val="20"/>
                      <w:szCs w:val="20"/>
                    </w:rPr>
                    <w:t>present a profitable opportunity for Senegal, given the growing demand of confectionery in Africa and Asia. At the same time, this opportunity requires investments to respond to consumer trends and quality requirements in importer countries. For instance, in Europe, consumers favor flavored groundnuts and snacks, confectionery or chocolate products over groundnut oil and cake.</w:t>
                  </w:r>
                  <w:r w:rsidRPr="00131E1E">
                    <w:rPr>
                      <w:rFonts w:ascii="Times New Roman" w:hAnsi="Times New Roman" w:cs="Times New Roman"/>
                      <w:b/>
                      <w:sz w:val="20"/>
                      <w:szCs w:val="20"/>
                    </w:rPr>
                    <w:t xml:space="preserve"> </w:t>
                  </w:r>
                  <w:r w:rsidRPr="00131E1E">
                    <w:rPr>
                      <w:rFonts w:ascii="Times New Roman" w:hAnsi="Times New Roman" w:cs="Times New Roman"/>
                      <w:sz w:val="20"/>
                      <w:szCs w:val="20"/>
                    </w:rPr>
                    <w:t>Countries such as India, Argentina and Brazil offer examples that have diversified away in groundnut processing by investing in the confectionery industry. The have managed to become leading exporters by investing in quality compliance standards or developing new types of groundnuts to take advantage of the growing demand of the confectionery industry and to meet the demanding requirements of markets such as the EU.</w:t>
                  </w:r>
                </w:p>
                <w:p w14:paraId="0436D714" w14:textId="77777777" w:rsidR="0000571B" w:rsidRPr="000852F2" w:rsidRDefault="0000571B" w:rsidP="003C4574">
                  <w:pPr>
                    <w:jc w:val="both"/>
                    <w:rPr>
                      <w:rFonts w:ascii="Times New Roman" w:eastAsiaTheme="minorEastAsia" w:hAnsi="Times New Roman" w:cs="Times New Roman"/>
                      <w:sz w:val="20"/>
                      <w:szCs w:val="20"/>
                    </w:rPr>
                  </w:pPr>
                </w:p>
              </w:tc>
            </w:tr>
          </w:tbl>
          <w:p w14:paraId="78CDC6CC" w14:textId="77777777" w:rsidR="0000571B" w:rsidRDefault="0000571B" w:rsidP="003C4574">
            <w:pPr>
              <w:pStyle w:val="ListParagraph"/>
              <w:numPr>
                <w:ilvl w:val="0"/>
                <w:numId w:val="152"/>
              </w:numPr>
              <w:autoSpaceDE w:val="0"/>
              <w:autoSpaceDN w:val="0"/>
              <w:adjustRightInd w:val="0"/>
              <w:jc w:val="both"/>
              <w:rPr>
                <w:rFonts w:ascii="Times New Roman" w:hAnsi="Times New Roman" w:cs="Times New Roman"/>
                <w:sz w:val="20"/>
                <w:szCs w:val="20"/>
              </w:rPr>
            </w:pPr>
            <w:r w:rsidRPr="00F862A1">
              <w:rPr>
                <w:rFonts w:ascii="Times New Roman" w:hAnsi="Times New Roman" w:cs="Times New Roman"/>
                <w:b/>
                <w:sz w:val="20"/>
                <w:szCs w:val="20"/>
              </w:rPr>
              <w:t>India</w:t>
            </w:r>
            <w:r w:rsidRPr="00F862A1">
              <w:rPr>
                <w:rFonts w:ascii="Times New Roman" w:hAnsi="Times New Roman" w:cs="Times New Roman"/>
                <w:sz w:val="20"/>
                <w:szCs w:val="20"/>
              </w:rPr>
              <w:t>:</w:t>
            </w:r>
            <w:r>
              <w:rPr>
                <w:rFonts w:ascii="Times New Roman" w:hAnsi="Times New Roman" w:cs="Times New Roman"/>
                <w:sz w:val="20"/>
                <w:szCs w:val="20"/>
              </w:rPr>
              <w:t xml:space="preserve"> In 2018, India has developed jointly with the International </w:t>
            </w:r>
            <w:r w:rsidRPr="001551A1">
              <w:rPr>
                <w:rFonts w:ascii="Times New Roman" w:hAnsi="Times New Roman" w:cs="Times New Roman"/>
                <w:sz w:val="20"/>
                <w:szCs w:val="20"/>
              </w:rPr>
              <w:t xml:space="preserve">Crops Research Institute for the Semi-Arid Tropics (ICRISAT) </w:t>
            </w:r>
            <w:r>
              <w:rPr>
                <w:rFonts w:ascii="Times New Roman" w:hAnsi="Times New Roman" w:cs="Times New Roman"/>
                <w:sz w:val="20"/>
                <w:szCs w:val="20"/>
              </w:rPr>
              <w:t xml:space="preserve">a type of high-oleic groundnuts that can be grown in Indian farms. This biotechnological development will allow India to benefit from the confectionery groundnut market (i.e. confectionery multinationals such as Mars pledged to use only oleic-rich groundnut from 2017). The coordination of two institutions, </w:t>
            </w:r>
            <w:r w:rsidRPr="00F862A1">
              <w:rPr>
                <w:rFonts w:ascii="Times New Roman" w:hAnsi="Times New Roman" w:cs="Times New Roman"/>
                <w:sz w:val="20"/>
                <w:szCs w:val="20"/>
              </w:rPr>
              <w:t>India’s Agricultural and Processed Food Products Export Development Authority (APEDA) and the Indian Oilseeds and Produce Export Promotion Council (IOPEPC) have put together efforts to increase groundnuts quality standards. APEDA has issued export guidelines for groundnuts and groundnut products, and information on registration of groundnut processing units and/or warehouse; and IOPEPC has issued export certificates, and organized workshops to raise awareness about the benefits of improving quality for exports. For instance, farmers received workshops about technologies for groundnut processing and culinary preparation. India has also set Codex standards for “Ready to Eat Peanuts”. These measures have contributed to increased quality and added value groundnut exports and thus to its leading position in exports.</w:t>
            </w:r>
          </w:p>
          <w:p w14:paraId="09506FAE" w14:textId="77777777" w:rsidR="0000571B" w:rsidRPr="00B65EFB" w:rsidRDefault="0000571B" w:rsidP="003C4574">
            <w:pPr>
              <w:pStyle w:val="ListParagraph"/>
              <w:numPr>
                <w:ilvl w:val="0"/>
                <w:numId w:val="152"/>
              </w:numPr>
              <w:jc w:val="both"/>
              <w:rPr>
                <w:rFonts w:ascii="Times New Roman" w:hAnsi="Times New Roman" w:cs="Times New Roman"/>
                <w:sz w:val="20"/>
                <w:szCs w:val="20"/>
              </w:rPr>
            </w:pPr>
            <w:r w:rsidRPr="0002184C">
              <w:rPr>
                <w:rFonts w:ascii="Times New Roman" w:hAnsi="Times New Roman" w:cs="Times New Roman"/>
                <w:b/>
                <w:sz w:val="20"/>
                <w:szCs w:val="20"/>
              </w:rPr>
              <w:t>Argentina:</w:t>
            </w:r>
            <w:r>
              <w:rPr>
                <w:rFonts w:ascii="Times New Roman" w:hAnsi="Times New Roman" w:cs="Times New Roman"/>
                <w:sz w:val="20"/>
                <w:szCs w:val="20"/>
              </w:rPr>
              <w:t xml:space="preserve"> Argentina</w:t>
            </w:r>
            <w:r w:rsidRPr="00B65EFB">
              <w:rPr>
                <w:rFonts w:ascii="Times New Roman" w:hAnsi="Times New Roman" w:cs="Times New Roman"/>
                <w:sz w:val="20"/>
                <w:szCs w:val="20"/>
              </w:rPr>
              <w:t xml:space="preserve"> </w:t>
            </w:r>
            <w:r>
              <w:rPr>
                <w:rFonts w:ascii="Times New Roman" w:hAnsi="Times New Roman" w:cs="Times New Roman"/>
                <w:sz w:val="20"/>
                <w:szCs w:val="20"/>
              </w:rPr>
              <w:t>was</w:t>
            </w:r>
            <w:r w:rsidRPr="00B65EFB">
              <w:rPr>
                <w:rFonts w:ascii="Times New Roman" w:hAnsi="Times New Roman" w:cs="Times New Roman"/>
                <w:sz w:val="20"/>
                <w:szCs w:val="20"/>
              </w:rPr>
              <w:t xml:space="preserve"> able to shift from groundnut oil to high quality prepared groundnuts to respond to global market demands, with confectionery groundnut growing in importance worldwide.</w:t>
            </w:r>
            <w:r>
              <w:rPr>
                <w:rFonts w:ascii="Times New Roman" w:hAnsi="Times New Roman" w:cs="Times New Roman"/>
                <w:sz w:val="20"/>
                <w:szCs w:val="20"/>
              </w:rPr>
              <w:t xml:space="preserve"> </w:t>
            </w:r>
            <w:r w:rsidRPr="00B65EFB">
              <w:rPr>
                <w:rFonts w:ascii="Times New Roman" w:hAnsi="Times New Roman" w:cs="Times New Roman"/>
                <w:sz w:val="20"/>
                <w:szCs w:val="20"/>
              </w:rPr>
              <w:t xml:space="preserve">By establishing alliances and partnerships with research institutions, that monitor quality, the private sector and universities, and investing in technology, the Argentinian groundnut industry has been able to develop new varieties, improve its processes and marketing. </w:t>
            </w:r>
            <w:r>
              <w:rPr>
                <w:rFonts w:ascii="Times New Roman" w:hAnsi="Times New Roman" w:cs="Times New Roman"/>
                <w:sz w:val="20"/>
                <w:szCs w:val="20"/>
              </w:rPr>
              <w:t xml:space="preserve">For instance, </w:t>
            </w:r>
            <w:r w:rsidRPr="00B65EFB">
              <w:rPr>
                <w:rFonts w:ascii="Times New Roman" w:hAnsi="Times New Roman" w:cs="Times New Roman"/>
                <w:sz w:val="20"/>
                <w:szCs w:val="20"/>
              </w:rPr>
              <w:t xml:space="preserve">Cordoba, the largest producer province in Argentina (90 percent of national production), has designated a quality seal, “Córdoba Peanuts” as a certificate of origin to ensure quality and compliance with social, environmental and economic standards. Producers have organized themselves in cooperatives that own processing plants and manage exports to bear with high processing costs, what has also allowed them to coordinate supply chains and become more competitive. </w:t>
            </w:r>
            <w:r>
              <w:rPr>
                <w:rFonts w:ascii="Times New Roman" w:hAnsi="Times New Roman" w:cs="Times New Roman"/>
                <w:sz w:val="20"/>
                <w:szCs w:val="20"/>
              </w:rPr>
              <w:t xml:space="preserve">Investments in production and processing helped Argentina to become the leading groundnut exporter by exporting only added-value groundnuts: </w:t>
            </w:r>
            <w:r w:rsidRPr="0058321C">
              <w:rPr>
                <w:rFonts w:ascii="Times New Roman" w:hAnsi="Times New Roman" w:cs="Times New Roman"/>
                <w:sz w:val="20"/>
                <w:szCs w:val="20"/>
              </w:rPr>
              <w:t>shelled, blanched, splits, chopped, sized</w:t>
            </w:r>
            <w:r>
              <w:rPr>
                <w:rFonts w:ascii="Times New Roman" w:hAnsi="Times New Roman" w:cs="Times New Roman"/>
                <w:sz w:val="20"/>
                <w:szCs w:val="20"/>
              </w:rPr>
              <w:t xml:space="preserve"> for confectionery; snacks (prepared and/or flavored); and peanut butter. Argentina is also a producer of the high-oleic groundnut used in the confectionery industry and competes in this segment with the United States.</w:t>
            </w:r>
          </w:p>
          <w:p w14:paraId="6DD92B84" w14:textId="372ACF3D" w:rsidR="0000571B" w:rsidRDefault="0000571B" w:rsidP="003C4574">
            <w:pPr>
              <w:pStyle w:val="ListParagraph"/>
              <w:numPr>
                <w:ilvl w:val="0"/>
                <w:numId w:val="152"/>
              </w:numPr>
              <w:autoSpaceDE w:val="0"/>
              <w:autoSpaceDN w:val="0"/>
              <w:adjustRightInd w:val="0"/>
              <w:jc w:val="both"/>
              <w:rPr>
                <w:rFonts w:ascii="Times New Roman" w:hAnsi="Times New Roman" w:cs="Times New Roman"/>
                <w:sz w:val="20"/>
                <w:szCs w:val="20"/>
              </w:rPr>
            </w:pPr>
            <w:r w:rsidRPr="00294D1A">
              <w:rPr>
                <w:rFonts w:ascii="Times New Roman" w:hAnsi="Times New Roman" w:cs="Times New Roman"/>
                <w:b/>
                <w:sz w:val="20"/>
                <w:szCs w:val="20"/>
              </w:rPr>
              <w:t>Brazil:</w:t>
            </w:r>
            <w:r>
              <w:rPr>
                <w:rFonts w:ascii="Times New Roman" w:hAnsi="Times New Roman" w:cs="Times New Roman"/>
                <w:sz w:val="20"/>
                <w:szCs w:val="20"/>
              </w:rPr>
              <w:t xml:space="preserve"> Brazil has developed a groundnut confectionery industry, specializing in it, while groundnut oil and cake have become complementary industries. This has allowed Brazil to become an export</w:t>
            </w:r>
            <w:r w:rsidR="00B15022">
              <w:rPr>
                <w:rFonts w:ascii="Times New Roman" w:hAnsi="Times New Roman" w:cs="Times New Roman"/>
                <w:sz w:val="20"/>
                <w:szCs w:val="20"/>
              </w:rPr>
              <w:t>-</w:t>
            </w:r>
            <w:r>
              <w:rPr>
                <w:rFonts w:ascii="Times New Roman" w:hAnsi="Times New Roman" w:cs="Times New Roman"/>
                <w:sz w:val="20"/>
                <w:szCs w:val="20"/>
              </w:rPr>
              <w:t>oriented groundnut producer. To take this strategic approach, Brazil introduced technical, organizational and institutional reforms along the production chain such as: new cultivars, processing techniques and harvesting mechanization; artificial drying techniques and control of environmental conditions. Aflatoxin control and prevention was another key aspect to this paradigmatic change. Brazil increased its EU market share from 1 to 6 percent between 2001 and 2005.</w:t>
            </w:r>
          </w:p>
          <w:p w14:paraId="3F6767D5" w14:textId="77777777" w:rsidR="0000571B" w:rsidRPr="0000571B" w:rsidRDefault="0000571B" w:rsidP="003C4574">
            <w:pPr>
              <w:autoSpaceDE w:val="0"/>
              <w:autoSpaceDN w:val="0"/>
              <w:adjustRightInd w:val="0"/>
              <w:jc w:val="both"/>
              <w:rPr>
                <w:rFonts w:ascii="Times New Roman" w:hAnsi="Times New Roman" w:cs="Times New Roman"/>
                <w:sz w:val="20"/>
                <w:szCs w:val="20"/>
              </w:rPr>
            </w:pPr>
          </w:p>
          <w:p w14:paraId="7D071A09" w14:textId="77777777" w:rsidR="0000571B" w:rsidRPr="00131E1E" w:rsidRDefault="0000571B" w:rsidP="003C4574">
            <w:pPr>
              <w:jc w:val="both"/>
              <w:rPr>
                <w:rFonts w:ascii="Times New Roman" w:hAnsi="Times New Roman" w:cs="Times New Roman"/>
                <w:sz w:val="20"/>
                <w:szCs w:val="20"/>
              </w:rPr>
            </w:pPr>
            <w:r w:rsidRPr="00131E1E">
              <w:rPr>
                <w:rFonts w:ascii="Times New Roman" w:hAnsi="Times New Roman" w:cs="Times New Roman"/>
                <w:sz w:val="20"/>
                <w:szCs w:val="20"/>
              </w:rPr>
              <w:t xml:space="preserve">Key takeaways that are worth highlighting: </w:t>
            </w:r>
          </w:p>
          <w:p w14:paraId="147ECC4D" w14:textId="77777777" w:rsidR="0000571B" w:rsidRDefault="0000571B" w:rsidP="003C4574">
            <w:pPr>
              <w:pStyle w:val="ListParagraph"/>
              <w:numPr>
                <w:ilvl w:val="0"/>
                <w:numId w:val="157"/>
              </w:numPr>
              <w:jc w:val="both"/>
              <w:rPr>
                <w:rFonts w:ascii="Times New Roman" w:hAnsi="Times New Roman" w:cs="Times New Roman"/>
                <w:sz w:val="20"/>
                <w:szCs w:val="20"/>
              </w:rPr>
            </w:pPr>
            <w:r w:rsidRPr="00131E1E">
              <w:rPr>
                <w:rFonts w:ascii="Times New Roman" w:hAnsi="Times New Roman" w:cs="Times New Roman"/>
                <w:b/>
                <w:i/>
                <w:sz w:val="20"/>
                <w:szCs w:val="20"/>
              </w:rPr>
              <w:t xml:space="preserve">Institutional coordination </w:t>
            </w:r>
            <w:r w:rsidRPr="00131E1E">
              <w:rPr>
                <w:rFonts w:ascii="Times New Roman" w:hAnsi="Times New Roman" w:cs="Times New Roman"/>
                <w:sz w:val="20"/>
                <w:szCs w:val="20"/>
              </w:rPr>
              <w:t>is key to achieve improve</w:t>
            </w:r>
            <w:r>
              <w:rPr>
                <w:rFonts w:ascii="Times New Roman" w:hAnsi="Times New Roman" w:cs="Times New Roman"/>
                <w:sz w:val="20"/>
                <w:szCs w:val="20"/>
              </w:rPr>
              <w:t>d</w:t>
            </w:r>
            <w:r w:rsidRPr="00131E1E">
              <w:rPr>
                <w:rFonts w:ascii="Times New Roman" w:hAnsi="Times New Roman" w:cs="Times New Roman"/>
                <w:sz w:val="20"/>
                <w:szCs w:val="20"/>
              </w:rPr>
              <w:t xml:space="preserve"> quality standards</w:t>
            </w:r>
            <w:r>
              <w:rPr>
                <w:rFonts w:ascii="Times New Roman" w:hAnsi="Times New Roman" w:cs="Times New Roman"/>
                <w:sz w:val="20"/>
                <w:szCs w:val="20"/>
              </w:rPr>
              <w:t>;</w:t>
            </w:r>
          </w:p>
          <w:p w14:paraId="5F70515B" w14:textId="77777777" w:rsidR="0000571B" w:rsidRDefault="0000571B" w:rsidP="003C4574">
            <w:pPr>
              <w:pStyle w:val="ListParagraph"/>
              <w:numPr>
                <w:ilvl w:val="0"/>
                <w:numId w:val="157"/>
              </w:numPr>
              <w:jc w:val="both"/>
              <w:rPr>
                <w:rFonts w:ascii="Times New Roman" w:hAnsi="Times New Roman" w:cs="Times New Roman"/>
                <w:sz w:val="20"/>
                <w:szCs w:val="20"/>
              </w:rPr>
            </w:pPr>
            <w:r w:rsidRPr="00131E1E">
              <w:rPr>
                <w:rFonts w:ascii="Times New Roman" w:hAnsi="Times New Roman" w:cs="Times New Roman"/>
                <w:b/>
                <w:i/>
                <w:sz w:val="20"/>
                <w:szCs w:val="20"/>
              </w:rPr>
              <w:t xml:space="preserve">Alliances </w:t>
            </w:r>
            <w:r>
              <w:rPr>
                <w:rFonts w:ascii="Times New Roman" w:hAnsi="Times New Roman" w:cs="Times New Roman"/>
                <w:b/>
                <w:i/>
                <w:sz w:val="20"/>
                <w:szCs w:val="20"/>
              </w:rPr>
              <w:t xml:space="preserve">and partnerships </w:t>
            </w:r>
            <w:r w:rsidRPr="00131E1E">
              <w:rPr>
                <w:rFonts w:ascii="Times New Roman" w:hAnsi="Times New Roman" w:cs="Times New Roman"/>
                <w:sz w:val="20"/>
                <w:szCs w:val="20"/>
              </w:rPr>
              <w:t xml:space="preserve">with research institutions and </w:t>
            </w:r>
            <w:r>
              <w:rPr>
                <w:rFonts w:ascii="Times New Roman" w:hAnsi="Times New Roman" w:cs="Times New Roman"/>
                <w:sz w:val="20"/>
                <w:szCs w:val="20"/>
              </w:rPr>
              <w:t xml:space="preserve">the </w:t>
            </w:r>
            <w:r w:rsidRPr="00131E1E">
              <w:rPr>
                <w:rFonts w:ascii="Times New Roman" w:hAnsi="Times New Roman" w:cs="Times New Roman"/>
                <w:sz w:val="20"/>
                <w:szCs w:val="20"/>
              </w:rPr>
              <w:t xml:space="preserve">private sector </w:t>
            </w:r>
            <w:r>
              <w:rPr>
                <w:rFonts w:ascii="Times New Roman" w:hAnsi="Times New Roman" w:cs="Times New Roman"/>
                <w:sz w:val="20"/>
                <w:szCs w:val="20"/>
              </w:rPr>
              <w:t>can help</w:t>
            </w:r>
            <w:r w:rsidRPr="00131E1E">
              <w:rPr>
                <w:rFonts w:ascii="Times New Roman" w:hAnsi="Times New Roman" w:cs="Times New Roman"/>
                <w:sz w:val="20"/>
                <w:szCs w:val="20"/>
              </w:rPr>
              <w:t xml:space="preserve"> develop new varieties and improve processes</w:t>
            </w:r>
            <w:r>
              <w:rPr>
                <w:rFonts w:ascii="Times New Roman" w:hAnsi="Times New Roman" w:cs="Times New Roman"/>
                <w:sz w:val="20"/>
                <w:szCs w:val="20"/>
              </w:rPr>
              <w:t>;</w:t>
            </w:r>
          </w:p>
          <w:p w14:paraId="72EDF06A" w14:textId="77777777" w:rsidR="0000571B" w:rsidRDefault="0000571B" w:rsidP="003C4574">
            <w:pPr>
              <w:pStyle w:val="ListParagraph"/>
              <w:numPr>
                <w:ilvl w:val="0"/>
                <w:numId w:val="157"/>
              </w:numPr>
              <w:jc w:val="both"/>
              <w:rPr>
                <w:rFonts w:ascii="Times New Roman" w:hAnsi="Times New Roman" w:cs="Times New Roman"/>
                <w:sz w:val="20"/>
                <w:szCs w:val="20"/>
              </w:rPr>
            </w:pPr>
            <w:r>
              <w:rPr>
                <w:rFonts w:ascii="Times New Roman" w:hAnsi="Times New Roman" w:cs="Times New Roman"/>
                <w:b/>
                <w:i/>
                <w:sz w:val="20"/>
                <w:szCs w:val="20"/>
              </w:rPr>
              <w:t xml:space="preserve">Investments </w:t>
            </w:r>
            <w:r>
              <w:rPr>
                <w:rFonts w:ascii="Times New Roman" w:hAnsi="Times New Roman" w:cs="Times New Roman"/>
                <w:sz w:val="20"/>
                <w:szCs w:val="20"/>
              </w:rPr>
              <w:t>in enhanced processes and techniques are also important to increase the value-added of groundnuts;</w:t>
            </w:r>
          </w:p>
          <w:p w14:paraId="2D2D02FA" w14:textId="77777777" w:rsidR="0000571B" w:rsidRPr="00131E1E" w:rsidRDefault="0000571B" w:rsidP="003C4574">
            <w:pPr>
              <w:pStyle w:val="ListParagraph"/>
              <w:numPr>
                <w:ilvl w:val="0"/>
                <w:numId w:val="157"/>
              </w:numPr>
              <w:jc w:val="both"/>
              <w:rPr>
                <w:rFonts w:ascii="Times New Roman" w:hAnsi="Times New Roman" w:cs="Times New Roman"/>
                <w:sz w:val="20"/>
                <w:szCs w:val="20"/>
              </w:rPr>
            </w:pPr>
            <w:r w:rsidRPr="00131E1E">
              <w:rPr>
                <w:rFonts w:ascii="Times New Roman" w:hAnsi="Times New Roman" w:cs="Times New Roman"/>
                <w:b/>
                <w:i/>
                <w:sz w:val="20"/>
                <w:szCs w:val="20"/>
              </w:rPr>
              <w:t xml:space="preserve">Marketing </w:t>
            </w:r>
            <w:r w:rsidRPr="006937C5">
              <w:rPr>
                <w:rFonts w:ascii="Times New Roman" w:hAnsi="Times New Roman" w:cs="Times New Roman"/>
                <w:sz w:val="20"/>
                <w:szCs w:val="20"/>
              </w:rPr>
              <w:t>and quality labels investments</w:t>
            </w:r>
            <w:r>
              <w:rPr>
                <w:rFonts w:ascii="Times New Roman" w:hAnsi="Times New Roman" w:cs="Times New Roman"/>
                <w:sz w:val="20"/>
                <w:szCs w:val="20"/>
              </w:rPr>
              <w:t xml:space="preserve"> have proved to help increase groundnut exports in competitive and high-quality demanding markets.</w:t>
            </w:r>
          </w:p>
          <w:p w14:paraId="32D7FD06" w14:textId="77777777" w:rsidR="0000571B" w:rsidRPr="00131E1E" w:rsidRDefault="0000571B" w:rsidP="003C4574">
            <w:pPr>
              <w:autoSpaceDE w:val="0"/>
              <w:autoSpaceDN w:val="0"/>
              <w:adjustRightInd w:val="0"/>
              <w:jc w:val="both"/>
              <w:rPr>
                <w:rFonts w:ascii="Times New Roman" w:hAnsi="Times New Roman" w:cs="Times New Roman"/>
                <w:sz w:val="20"/>
                <w:szCs w:val="20"/>
              </w:rPr>
            </w:pPr>
          </w:p>
          <w:p w14:paraId="23129E9B" w14:textId="77777777" w:rsidR="0000571B" w:rsidRDefault="0000571B" w:rsidP="003C4574">
            <w:pPr>
              <w:jc w:val="both"/>
              <w:rPr>
                <w:rFonts w:ascii="Times New Roman" w:hAnsi="Times New Roman" w:cs="Times New Roman"/>
                <w:sz w:val="18"/>
                <w:szCs w:val="18"/>
              </w:rPr>
            </w:pPr>
          </w:p>
          <w:p w14:paraId="465C5E90" w14:textId="7F73AC56" w:rsidR="0000571B" w:rsidRPr="00ED1840" w:rsidRDefault="0000571B" w:rsidP="003C4574">
            <w:pPr>
              <w:jc w:val="both"/>
              <w:rPr>
                <w:rFonts w:ascii="Times New Roman" w:hAnsi="Times New Roman" w:cs="Times New Roman"/>
                <w:sz w:val="20"/>
                <w:szCs w:val="20"/>
              </w:rPr>
            </w:pPr>
            <w:proofErr w:type="spellStart"/>
            <w:proofErr w:type="gramStart"/>
            <w:r w:rsidRPr="007575D7">
              <w:rPr>
                <w:rFonts w:ascii="Times New Roman" w:hAnsi="Times New Roman" w:cs="Times New Roman"/>
                <w:i/>
                <w:sz w:val="18"/>
                <w:szCs w:val="18"/>
              </w:rPr>
              <w:t>Source:</w:t>
            </w:r>
            <w:r w:rsidRPr="0095448E">
              <w:rPr>
                <w:rFonts w:ascii="Times New Roman" w:hAnsi="Times New Roman" w:cs="Times New Roman"/>
                <w:sz w:val="18"/>
                <w:szCs w:val="18"/>
              </w:rPr>
              <w:t>International</w:t>
            </w:r>
            <w:proofErr w:type="spellEnd"/>
            <w:proofErr w:type="gramEnd"/>
            <w:r w:rsidRPr="0095448E">
              <w:rPr>
                <w:rFonts w:ascii="Times New Roman" w:hAnsi="Times New Roman" w:cs="Times New Roman"/>
                <w:sz w:val="18"/>
                <w:szCs w:val="18"/>
              </w:rPr>
              <w:t xml:space="preserve"> Crops Research Institute for the Semi-Arid Tropics (ICRISAT), 2018. </w:t>
            </w:r>
            <w:r w:rsidRPr="0095448E">
              <w:rPr>
                <w:rFonts w:ascii="Times New Roman" w:hAnsi="Times New Roman" w:cs="Times New Roman"/>
                <w:i/>
                <w:sz w:val="18"/>
                <w:szCs w:val="18"/>
              </w:rPr>
              <w:t xml:space="preserve">Indian smallholder farmers could soon benefit from the growing confectionary peanut market, as the first-ever high oleic groundnut varieties adapted to India are ready for release.  </w:t>
            </w:r>
          </w:p>
        </w:tc>
      </w:tr>
    </w:tbl>
    <w:p w14:paraId="2794AE28" w14:textId="77777777" w:rsidR="0000571B" w:rsidRPr="00C91EA2" w:rsidRDefault="0000571B" w:rsidP="0000571B">
      <w:pPr>
        <w:rPr>
          <w:rFonts w:ascii="Times New Roman" w:hAnsi="Times New Roman" w:cs="Times New Roman"/>
        </w:rPr>
      </w:pPr>
    </w:p>
    <w:p w14:paraId="65505A0A" w14:textId="77777777" w:rsidR="008B7787" w:rsidRPr="00131E1E" w:rsidRDefault="008B7787" w:rsidP="008B7787">
      <w:pPr>
        <w:pStyle w:val="ListParagraph"/>
        <w:ind w:left="0"/>
        <w:jc w:val="both"/>
      </w:pPr>
      <w:bookmarkStart w:id="227" w:name="_Hlk516708106"/>
      <w:bookmarkStart w:id="228" w:name="_Hlk516699557"/>
    </w:p>
    <w:p w14:paraId="569B10F1" w14:textId="13A756FB" w:rsidR="008B7787" w:rsidRPr="007575D7" w:rsidRDefault="008B7787" w:rsidP="007575D7">
      <w:pPr>
        <w:pStyle w:val="ListParagraph"/>
        <w:numPr>
          <w:ilvl w:val="0"/>
          <w:numId w:val="71"/>
        </w:numPr>
        <w:ind w:left="0" w:firstLine="0"/>
        <w:jc w:val="both"/>
        <w:rPr>
          <w:rFonts w:ascii="Times New Roman" w:hAnsi="Times New Roman"/>
        </w:rPr>
      </w:pPr>
      <w:r w:rsidRPr="00131E1E">
        <w:rPr>
          <w:rFonts w:ascii="Times New Roman" w:hAnsi="Times New Roman" w:cs="Times New Roman"/>
          <w:b/>
        </w:rPr>
        <w:t xml:space="preserve">Compliance with high-quality standards, especially </w:t>
      </w:r>
      <w:r w:rsidR="00033CA3">
        <w:rPr>
          <w:rFonts w:ascii="Times New Roman" w:hAnsi="Times New Roman" w:cs="Times New Roman"/>
          <w:b/>
        </w:rPr>
        <w:t>aflatoxin detection and control</w:t>
      </w:r>
      <w:r w:rsidRPr="00131E1E">
        <w:rPr>
          <w:rFonts w:ascii="Times New Roman" w:hAnsi="Times New Roman" w:cs="Times New Roman"/>
          <w:b/>
        </w:rPr>
        <w:t xml:space="preserve"> is a key question for groundnut competitiveness in global markets</w:t>
      </w:r>
      <w:r w:rsidRPr="0000571B">
        <w:rPr>
          <w:rFonts w:ascii="Times New Roman" w:hAnsi="Times New Roman" w:cs="Times New Roman"/>
        </w:rPr>
        <w:t>.</w:t>
      </w:r>
      <w:r>
        <w:rPr>
          <w:rStyle w:val="FootnoteReference"/>
          <w:rFonts w:ascii="Times New Roman" w:hAnsi="Times New Roman" w:cs="Times New Roman"/>
        </w:rPr>
        <w:footnoteReference w:id="142"/>
      </w:r>
      <w:r w:rsidRPr="0000571B">
        <w:rPr>
          <w:rFonts w:ascii="Times New Roman" w:hAnsi="Times New Roman" w:cs="Times New Roman"/>
        </w:rPr>
        <w:t xml:space="preserve"> Levels of aflatoxin, a proven carcinogen, have been reported to be high in these products, but recent innovations, also supported by the World Bank Group, have been able to reduce health risks</w:t>
      </w:r>
      <w:r w:rsidRPr="00C91EA2">
        <w:rPr>
          <w:rStyle w:val="FootnoteReference"/>
          <w:rFonts w:ascii="Times New Roman" w:hAnsi="Times New Roman" w:cs="Times New Roman"/>
        </w:rPr>
        <w:footnoteReference w:id="143"/>
      </w:r>
      <w:r w:rsidRPr="0000571B">
        <w:rPr>
          <w:rFonts w:ascii="Times New Roman" w:hAnsi="Times New Roman" w:cs="Times New Roman"/>
        </w:rPr>
        <w:t xml:space="preserve"> - and this channel may show room for growth in the future. Some countries like India, Argentina or Brazil have improved standards to align their domestic production with international demand and became leading groundnut exporters globally. Similarly, Nigeria and Ghana have introduced measures to improve standards, notably aflatoxin detection and </w:t>
      </w:r>
      <w:r w:rsidRPr="002926ED">
        <w:rPr>
          <w:rFonts w:ascii="Times New Roman" w:hAnsi="Times New Roman" w:cs="Times New Roman"/>
        </w:rPr>
        <w:t xml:space="preserve">control (Box </w:t>
      </w:r>
      <w:r w:rsidR="002926ED" w:rsidRPr="002926ED">
        <w:rPr>
          <w:rFonts w:ascii="Times New Roman" w:hAnsi="Times New Roman" w:cs="Times New Roman"/>
        </w:rPr>
        <w:t>10</w:t>
      </w:r>
      <w:r w:rsidRPr="0000571B">
        <w:rPr>
          <w:rFonts w:ascii="Times New Roman" w:hAnsi="Times New Roman" w:cs="Times New Roman"/>
        </w:rPr>
        <w:t xml:space="preserve">). </w:t>
      </w:r>
    </w:p>
    <w:p w14:paraId="0FAE3D7E" w14:textId="7439A879" w:rsidR="002926ED" w:rsidRPr="007575D7" w:rsidRDefault="002926ED" w:rsidP="007575D7"/>
    <w:p w14:paraId="69994BA9" w14:textId="389831F1" w:rsidR="002926ED" w:rsidRDefault="002926ED" w:rsidP="001433F1">
      <w:pPr>
        <w:pStyle w:val="Caption"/>
        <w:keepNext/>
      </w:pPr>
      <w:bookmarkStart w:id="229" w:name="_Toc520725798"/>
      <w:r w:rsidRPr="001433F1">
        <w:rPr>
          <w:rFonts w:ascii="Times New Roman" w:hAnsi="Times New Roman"/>
        </w:rPr>
        <w:t xml:space="preserve">Box </w:t>
      </w:r>
      <w:r w:rsidRPr="001433F1">
        <w:rPr>
          <w:rFonts w:ascii="Times New Roman" w:hAnsi="Times New Roman"/>
        </w:rPr>
        <w:fldChar w:fldCharType="begin"/>
      </w:r>
      <w:r w:rsidRPr="001433F1">
        <w:rPr>
          <w:rFonts w:ascii="Times New Roman" w:hAnsi="Times New Roman"/>
        </w:rPr>
        <w:instrText xml:space="preserve"> SEQ Box \* ARABIC </w:instrText>
      </w:r>
      <w:r w:rsidRPr="001433F1">
        <w:rPr>
          <w:rFonts w:ascii="Times New Roman" w:hAnsi="Times New Roman"/>
        </w:rPr>
        <w:fldChar w:fldCharType="separate"/>
      </w:r>
      <w:r w:rsidR="008261B2">
        <w:rPr>
          <w:rFonts w:ascii="Times New Roman" w:hAnsi="Times New Roman"/>
          <w:noProof/>
        </w:rPr>
        <w:t>10</w:t>
      </w:r>
      <w:r w:rsidRPr="001433F1">
        <w:rPr>
          <w:rFonts w:ascii="Times New Roman" w:hAnsi="Times New Roman"/>
        </w:rPr>
        <w:fldChar w:fldCharType="end"/>
      </w:r>
      <w:r w:rsidRPr="001433F1">
        <w:rPr>
          <w:rFonts w:ascii="Times New Roman" w:hAnsi="Times New Roman"/>
        </w:rPr>
        <w:t xml:space="preserve">: </w:t>
      </w:r>
      <w:r>
        <w:rPr>
          <w:rFonts w:ascii="Times New Roman" w:hAnsi="Times New Roman"/>
        </w:rPr>
        <w:t>International Experience: Standards in the groundnut industry</w:t>
      </w:r>
      <w:bookmarkEnd w:id="229"/>
    </w:p>
    <w:bookmarkEnd w:id="227"/>
    <w:tbl>
      <w:tblPr>
        <w:tblStyle w:val="TableGrid"/>
        <w:tblW w:w="8640" w:type="dxa"/>
        <w:tblInd w:w="-5" w:type="dxa"/>
        <w:shd w:val="clear" w:color="auto" w:fill="F2F2F2" w:themeFill="background1" w:themeFillShade="F2"/>
        <w:tblLayout w:type="fixed"/>
        <w:tblLook w:val="04A0" w:firstRow="1" w:lastRow="0" w:firstColumn="1" w:lastColumn="0" w:noHBand="0" w:noVBand="1"/>
      </w:tblPr>
      <w:tblGrid>
        <w:gridCol w:w="8640"/>
      </w:tblGrid>
      <w:tr w:rsidR="00A5496E" w:rsidRPr="00834734" w14:paraId="5BB961C1" w14:textId="77777777" w:rsidTr="007575D7">
        <w:trPr>
          <w:trHeight w:val="1970"/>
        </w:trPr>
        <w:tc>
          <w:tcPr>
            <w:tcW w:w="8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8DBC4" w14:textId="77777777" w:rsidR="00A5496E" w:rsidRDefault="00A5496E" w:rsidP="003C4574">
            <w:pPr>
              <w:jc w:val="both"/>
              <w:rPr>
                <w:rFonts w:ascii="Times New Roman" w:eastAsiaTheme="minorEastAsia" w:hAnsi="Times New Roman" w:cs="Times New Roman"/>
                <w:sz w:val="20"/>
                <w:szCs w:val="20"/>
              </w:rPr>
            </w:pPr>
          </w:p>
          <w:p w14:paraId="1E03C56C" w14:textId="77777777" w:rsidR="00A5496E" w:rsidRDefault="00A5496E" w:rsidP="003C4574">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Some developing countries, like India, the global leading groundnut exporter, have successfully encouraged groundnut producers to invest in standards for quality increase, processing and storage technology to adapt to these trends. Argentina, the second larger groundnut exporter worldwide, has invested in technology, marketing and quality standards to integrate their domestic groundnut industry into global markets. Brazil also managed to become a groundnut exporter by investing in these three areas and creating a quality control label or “pro-peanut label”.  </w:t>
            </w:r>
          </w:p>
          <w:p w14:paraId="11B98433" w14:textId="77777777" w:rsidR="00A5496E" w:rsidRPr="00CE0BA1" w:rsidRDefault="00A5496E" w:rsidP="003C4574">
            <w:pPr>
              <w:jc w:val="both"/>
              <w:rPr>
                <w:rFonts w:ascii="Times New Roman" w:hAnsi="Times New Roman" w:cs="Times New Roman"/>
                <w:sz w:val="20"/>
                <w:szCs w:val="20"/>
              </w:rPr>
            </w:pPr>
          </w:p>
          <w:p w14:paraId="15114257" w14:textId="77777777" w:rsidR="00A5496E" w:rsidRPr="00F862A1" w:rsidRDefault="00A5496E" w:rsidP="003C4574">
            <w:pPr>
              <w:pStyle w:val="ListParagraph"/>
              <w:numPr>
                <w:ilvl w:val="0"/>
                <w:numId w:val="152"/>
              </w:numPr>
              <w:autoSpaceDE w:val="0"/>
              <w:autoSpaceDN w:val="0"/>
              <w:adjustRightInd w:val="0"/>
              <w:jc w:val="both"/>
              <w:rPr>
                <w:rFonts w:ascii="Times New Roman" w:hAnsi="Times New Roman" w:cs="Times New Roman"/>
                <w:sz w:val="20"/>
                <w:szCs w:val="20"/>
              </w:rPr>
            </w:pPr>
            <w:r w:rsidRPr="00F862A1">
              <w:rPr>
                <w:rFonts w:ascii="Times New Roman" w:hAnsi="Times New Roman" w:cs="Times New Roman"/>
                <w:b/>
                <w:sz w:val="20"/>
                <w:szCs w:val="20"/>
              </w:rPr>
              <w:t>India</w:t>
            </w:r>
            <w:r w:rsidRPr="00F862A1">
              <w:rPr>
                <w:rFonts w:ascii="Times New Roman" w:hAnsi="Times New Roman" w:cs="Times New Roman"/>
                <w:sz w:val="20"/>
                <w:szCs w:val="20"/>
              </w:rPr>
              <w:t>: India is the leading groundnut exporter worldwide and the second largest producer after China. Two institutions, India’s Agricultural and Processed Food Products Export Development Authority (APEDA) and the Indian Oilseeds and Produce Export Promotion Council (IOPEPC) have put together efforts to increase groundnuts quality standards. APEDA has issued export guidelines for groundnuts and groundnut products, and information on registration of groundnut processing units and/or warehouse; and IOPEPC has issued export certificates, and organized workshops to raise awareness about the benefits of improving quality for exports. For instance, farmers received workshops about technologies for groundnut processing and culinary preparation. India has also set Codex standards for “Ready to Eat Peanuts”. These measures have contributed to increased quality and added value groundnut exports and thus to its leading position in exports.</w:t>
            </w:r>
            <w:r>
              <w:rPr>
                <w:rFonts w:ascii="Times New Roman" w:hAnsi="Times New Roman" w:cs="Times New Roman"/>
                <w:sz w:val="20"/>
                <w:szCs w:val="20"/>
              </w:rPr>
              <w:t xml:space="preserve"> </w:t>
            </w:r>
          </w:p>
          <w:p w14:paraId="522AC4B8" w14:textId="77777777" w:rsidR="00A5496E" w:rsidRPr="00B65EFB" w:rsidRDefault="00A5496E" w:rsidP="003C4574">
            <w:pPr>
              <w:pStyle w:val="ListParagraph"/>
              <w:numPr>
                <w:ilvl w:val="0"/>
                <w:numId w:val="152"/>
              </w:numPr>
              <w:jc w:val="both"/>
              <w:rPr>
                <w:rFonts w:ascii="Times New Roman" w:hAnsi="Times New Roman" w:cs="Times New Roman"/>
                <w:sz w:val="20"/>
                <w:szCs w:val="20"/>
              </w:rPr>
            </w:pPr>
            <w:r w:rsidRPr="000070C8">
              <w:rPr>
                <w:rFonts w:ascii="Times New Roman" w:hAnsi="Times New Roman" w:cs="Times New Roman"/>
                <w:b/>
                <w:sz w:val="20"/>
                <w:szCs w:val="20"/>
              </w:rPr>
              <w:t>Argentina:</w:t>
            </w:r>
            <w:r w:rsidRPr="00B65EFB">
              <w:rPr>
                <w:rFonts w:ascii="Times New Roman" w:hAnsi="Times New Roman" w:cs="Times New Roman"/>
                <w:sz w:val="20"/>
                <w:szCs w:val="20"/>
              </w:rPr>
              <w:t xml:space="preserve"> Argentina is the seventh groundnut producer worldwide and the largest one in Latin America, as well as second larger exporter after India, exporting 90 percent of national production. By establishing alliances and partnerships with research institutions, that monitor quality, the private sector and universities, and investing in technology, the Argentinian groundnut industry has been able to develop new varieties, improve its processes and marketing. </w:t>
            </w:r>
            <w:r>
              <w:rPr>
                <w:rFonts w:ascii="Times New Roman" w:hAnsi="Times New Roman" w:cs="Times New Roman"/>
                <w:sz w:val="20"/>
                <w:szCs w:val="20"/>
              </w:rPr>
              <w:t xml:space="preserve">For instance, </w:t>
            </w:r>
            <w:r w:rsidRPr="00B65EFB">
              <w:rPr>
                <w:rFonts w:ascii="Times New Roman" w:hAnsi="Times New Roman" w:cs="Times New Roman"/>
                <w:sz w:val="20"/>
                <w:szCs w:val="20"/>
              </w:rPr>
              <w:t xml:space="preserve">Cordoba, the largest producer province in Argentina (90 percent of national production), has designated a quality seal, “Córdoba Peanuts” as a certificate of origin to ensure quality and compliance with social, environmental and economic standards. Producers have organized themselves in cooperatives that own processing plants and manage exports to bear with high processing costs, what has also allowed them to coordinate supply chains and become more competitive. </w:t>
            </w:r>
          </w:p>
          <w:p w14:paraId="4DC99AC3" w14:textId="77777777" w:rsidR="00A5496E" w:rsidRPr="00131E1E" w:rsidRDefault="00A5496E" w:rsidP="003C4574">
            <w:pPr>
              <w:pStyle w:val="ListParagraph"/>
              <w:numPr>
                <w:ilvl w:val="0"/>
                <w:numId w:val="152"/>
              </w:numPr>
              <w:jc w:val="both"/>
              <w:rPr>
                <w:rFonts w:ascii="Times New Roman" w:hAnsi="Times New Roman" w:cs="Times New Roman"/>
                <w:b/>
                <w:sz w:val="20"/>
                <w:szCs w:val="20"/>
              </w:rPr>
            </w:pPr>
            <w:r>
              <w:rPr>
                <w:rFonts w:ascii="Times New Roman" w:hAnsi="Times New Roman" w:cs="Times New Roman"/>
                <w:b/>
                <w:sz w:val="20"/>
                <w:szCs w:val="20"/>
              </w:rPr>
              <w:t>Brazil</w:t>
            </w:r>
            <w:r w:rsidRPr="00091BBF">
              <w:rPr>
                <w:rFonts w:ascii="Times New Roman" w:hAnsi="Times New Roman" w:cs="Times New Roman"/>
                <w:b/>
                <w:sz w:val="20"/>
                <w:szCs w:val="20"/>
              </w:rPr>
              <w:t xml:space="preserve">: </w:t>
            </w:r>
            <w:r>
              <w:rPr>
                <w:rFonts w:ascii="Times New Roman" w:hAnsi="Times New Roman" w:cs="Times New Roman"/>
                <w:sz w:val="20"/>
                <w:szCs w:val="20"/>
              </w:rPr>
              <w:t xml:space="preserve">Investments in groundnut quality (i.e. aflatoxin tests), storage technology (i.e. big bags) and marketing (i.e. label), together with innovative cultivars, have allowed Brazil to shift from being a groundnut importer country to become an exporter country from 2001. </w:t>
            </w:r>
            <w:r w:rsidRPr="0058321C">
              <w:rPr>
                <w:rFonts w:ascii="Times New Roman" w:hAnsi="Times New Roman" w:cs="Times New Roman"/>
                <w:sz w:val="20"/>
                <w:szCs w:val="20"/>
              </w:rPr>
              <w:t>The Brazilian Association of the Chocolate, Cocoa, Peanut, Bullet and Derivatives Industry (ABICAB</w:t>
            </w:r>
            <w:r>
              <w:rPr>
                <w:rFonts w:ascii="Times New Roman" w:hAnsi="Times New Roman" w:cs="Times New Roman"/>
                <w:sz w:val="20"/>
                <w:szCs w:val="20"/>
              </w:rPr>
              <w:t>) designated a quality label, “Pro-</w:t>
            </w:r>
            <w:proofErr w:type="spellStart"/>
            <w:r>
              <w:rPr>
                <w:rFonts w:ascii="Times New Roman" w:hAnsi="Times New Roman" w:cs="Times New Roman"/>
                <w:sz w:val="20"/>
                <w:szCs w:val="20"/>
              </w:rPr>
              <w:t>Amendoin</w:t>
            </w:r>
            <w:proofErr w:type="spellEnd"/>
            <w:r>
              <w:rPr>
                <w:rFonts w:ascii="Times New Roman" w:hAnsi="Times New Roman" w:cs="Times New Roman"/>
                <w:sz w:val="20"/>
                <w:szCs w:val="20"/>
              </w:rPr>
              <w:t>” (pro-peanut) label, to complain with safety standards, and especially for control of aflatoxin levels, which has been key to it in terms of communication of quality standards to as well. Public and private collaboration has been key to promote measures to prevent and reduce aflatoxin contamination.</w:t>
            </w:r>
          </w:p>
          <w:p w14:paraId="4A431576" w14:textId="77777777" w:rsidR="00A5496E" w:rsidRDefault="00A5496E" w:rsidP="003C4574">
            <w:pPr>
              <w:jc w:val="both"/>
              <w:rPr>
                <w:rFonts w:ascii="Times New Roman" w:hAnsi="Times New Roman" w:cs="Times New Roman"/>
                <w:b/>
                <w:sz w:val="20"/>
                <w:szCs w:val="20"/>
              </w:rPr>
            </w:pPr>
          </w:p>
          <w:p w14:paraId="0A9B3BEB" w14:textId="77777777" w:rsidR="00A5496E" w:rsidRPr="00131E1E" w:rsidRDefault="00A5496E" w:rsidP="003C4574">
            <w:pPr>
              <w:jc w:val="both"/>
              <w:rPr>
                <w:rFonts w:ascii="Times New Roman" w:eastAsiaTheme="minorEastAsia" w:hAnsi="Times New Roman" w:cs="Times New Roman"/>
                <w:sz w:val="20"/>
                <w:szCs w:val="20"/>
              </w:rPr>
            </w:pPr>
            <w:r w:rsidRPr="00131E1E">
              <w:rPr>
                <w:rFonts w:ascii="Times New Roman" w:hAnsi="Times New Roman" w:cs="Times New Roman"/>
                <w:sz w:val="20"/>
                <w:szCs w:val="20"/>
              </w:rPr>
              <w:t>In Africa, the following countries have implemented policies in aflatoxin standards:</w:t>
            </w:r>
          </w:p>
          <w:p w14:paraId="00565701" w14:textId="77777777" w:rsidR="00A5496E" w:rsidRPr="007575D7" w:rsidRDefault="00A5496E" w:rsidP="007575D7">
            <w:pPr>
              <w:pStyle w:val="ListParagraph"/>
              <w:numPr>
                <w:ilvl w:val="0"/>
                <w:numId w:val="152"/>
              </w:numPr>
              <w:jc w:val="both"/>
              <w:rPr>
                <w:rFonts w:ascii="Times New Roman" w:hAnsi="Times New Roman" w:cs="Times New Roman"/>
                <w:sz w:val="20"/>
                <w:szCs w:val="20"/>
              </w:rPr>
            </w:pPr>
            <w:r w:rsidRPr="00DA02CC">
              <w:rPr>
                <w:rFonts w:ascii="Times New Roman" w:hAnsi="Times New Roman" w:cs="Times New Roman"/>
                <w:b/>
                <w:sz w:val="20"/>
                <w:szCs w:val="20"/>
              </w:rPr>
              <w:t>Nigeria:</w:t>
            </w:r>
            <w:r w:rsidRPr="007575D7">
              <w:rPr>
                <w:rFonts w:ascii="Times New Roman" w:hAnsi="Times New Roman" w:cs="Times New Roman"/>
                <w:sz w:val="20"/>
                <w:szCs w:val="20"/>
              </w:rPr>
              <w:t xml:space="preserve"> </w:t>
            </w:r>
            <w:r w:rsidRPr="00DA02CC">
              <w:rPr>
                <w:rFonts w:ascii="Times New Roman" w:hAnsi="Times New Roman" w:cs="Times New Roman"/>
                <w:sz w:val="20"/>
                <w:szCs w:val="20"/>
              </w:rPr>
              <w:t xml:space="preserve">Nigeria’s </w:t>
            </w:r>
            <w:proofErr w:type="spellStart"/>
            <w:r w:rsidRPr="00DA02CC">
              <w:rPr>
                <w:rFonts w:ascii="Times New Roman" w:hAnsi="Times New Roman" w:cs="Times New Roman"/>
                <w:sz w:val="20"/>
                <w:szCs w:val="20"/>
              </w:rPr>
              <w:t>Harvestfield</w:t>
            </w:r>
            <w:proofErr w:type="spellEnd"/>
            <w:r w:rsidRPr="00DA02CC">
              <w:rPr>
                <w:rFonts w:ascii="Times New Roman" w:hAnsi="Times New Roman" w:cs="Times New Roman"/>
                <w:sz w:val="20"/>
                <w:szCs w:val="20"/>
              </w:rPr>
              <w:t xml:space="preserve"> Industries Ltd will sign a Technology Transfer and Licensing Agreement (TTLA) </w:t>
            </w:r>
            <w:r w:rsidRPr="00505244">
              <w:rPr>
                <w:rFonts w:ascii="Times New Roman" w:hAnsi="Times New Roman" w:cs="Times New Roman"/>
                <w:sz w:val="20"/>
                <w:szCs w:val="20"/>
              </w:rPr>
              <w:t xml:space="preserve">with IITA – the developers of </w:t>
            </w:r>
            <w:proofErr w:type="spellStart"/>
            <w:r w:rsidRPr="00505244">
              <w:rPr>
                <w:rFonts w:ascii="Times New Roman" w:hAnsi="Times New Roman" w:cs="Times New Roman"/>
                <w:sz w:val="20"/>
                <w:szCs w:val="20"/>
              </w:rPr>
              <w:t>Aflasafe</w:t>
            </w:r>
            <w:proofErr w:type="spellEnd"/>
            <w:r w:rsidRPr="00505244">
              <w:rPr>
                <w:rFonts w:ascii="Times New Roman" w:hAnsi="Times New Roman" w:cs="Times New Roman"/>
                <w:sz w:val="20"/>
                <w:szCs w:val="20"/>
              </w:rPr>
              <w:t xml:space="preserve">, “a biological aflatoxin control technology developed by IITA, US Department of Agriculture, University of Arizona and local partners (e.g. University of Ibadan in Nigeria)”. In addition to it, to promote the adoption of improved varieties of groundnut, projects such as </w:t>
            </w:r>
            <w:r w:rsidRPr="00505244">
              <w:rPr>
                <w:rFonts w:ascii="Times New Roman" w:hAnsi="Times New Roman" w:cs="Times New Roman" w:hint="eastAsia"/>
                <w:sz w:val="20"/>
                <w:szCs w:val="20"/>
              </w:rPr>
              <w:t>“</w:t>
            </w:r>
            <w:r w:rsidRPr="00505244">
              <w:rPr>
                <w:rFonts w:ascii="Times New Roman" w:hAnsi="Times New Roman" w:cs="Times New Roman" w:hint="eastAsia"/>
                <w:sz w:val="20"/>
                <w:szCs w:val="20"/>
              </w:rPr>
              <w:t>Increasing groundnut productivity of smallholder farmers in Ghana, Mali and Nigeria</w:t>
            </w:r>
            <w:r w:rsidRPr="0000571B">
              <w:rPr>
                <w:rFonts w:ascii="Times New Roman" w:hAnsi="Times New Roman" w:cs="Times New Roman" w:hint="eastAsia"/>
                <w:sz w:val="20"/>
                <w:szCs w:val="20"/>
              </w:rPr>
              <w:t>”</w:t>
            </w:r>
            <w:r w:rsidRPr="0000571B">
              <w:rPr>
                <w:rFonts w:ascii="Times New Roman" w:hAnsi="Times New Roman" w:cs="Times New Roman" w:hint="eastAsia"/>
                <w:sz w:val="20"/>
                <w:szCs w:val="20"/>
              </w:rPr>
              <w:t>, have contributed to the use of technologies to control seeds quality and to improve management practices among farmers</w:t>
            </w:r>
            <w:r w:rsidRPr="008B7787">
              <w:rPr>
                <w:rFonts w:ascii="Times New Roman" w:hAnsi="Times New Roman" w:cs="Times New Roman"/>
                <w:sz w:val="20"/>
                <w:szCs w:val="20"/>
              </w:rPr>
              <w:t>, for instance through demonstration plots for varietal and aflatoxin management at local level. Four institutions,</w:t>
            </w:r>
            <w:r w:rsidRPr="007575D7">
              <w:rPr>
                <w:rFonts w:ascii="Times New Roman" w:hAnsi="Times New Roman" w:cs="Times New Roman"/>
                <w:sz w:val="20"/>
                <w:szCs w:val="20"/>
              </w:rPr>
              <w:t xml:space="preserve"> </w:t>
            </w:r>
            <w:r w:rsidRPr="00DA02CC">
              <w:rPr>
                <w:rFonts w:ascii="Times New Roman" w:hAnsi="Times New Roman" w:cs="Times New Roman"/>
                <w:sz w:val="20"/>
                <w:szCs w:val="20"/>
              </w:rPr>
              <w:t>the Standards Organization of Nigeria (SON), National Agency for Food and Drug Admin</w:t>
            </w:r>
            <w:r w:rsidRPr="00505244">
              <w:rPr>
                <w:rFonts w:ascii="Times New Roman" w:hAnsi="Times New Roman" w:cs="Times New Roman"/>
                <w:sz w:val="20"/>
                <w:szCs w:val="20"/>
              </w:rPr>
              <w:t>istration and Control (NAFDAC), The Nigeria Agricultural Quarantine Services (NAQS) and The Nigerian Institute of Animal Science (NIAS), are responsible for food safety control systems.</w:t>
            </w:r>
          </w:p>
          <w:p w14:paraId="0B54706C" w14:textId="77777777" w:rsidR="00A5496E" w:rsidRPr="007575D7" w:rsidRDefault="00A5496E" w:rsidP="007575D7">
            <w:pPr>
              <w:pStyle w:val="ListParagraph"/>
              <w:numPr>
                <w:ilvl w:val="0"/>
                <w:numId w:val="152"/>
              </w:numPr>
              <w:jc w:val="both"/>
              <w:rPr>
                <w:rFonts w:ascii="Times New Roman" w:hAnsi="Times New Roman" w:cs="Times New Roman"/>
                <w:sz w:val="20"/>
                <w:szCs w:val="20"/>
              </w:rPr>
            </w:pPr>
            <w:r w:rsidRPr="00DA02CC">
              <w:rPr>
                <w:rFonts w:ascii="Times New Roman" w:hAnsi="Times New Roman" w:cs="Times New Roman"/>
                <w:b/>
                <w:sz w:val="20"/>
                <w:szCs w:val="20"/>
              </w:rPr>
              <w:t>Ghana:</w:t>
            </w:r>
            <w:r w:rsidRPr="00DA02CC">
              <w:rPr>
                <w:rFonts w:ascii="Times New Roman" w:hAnsi="Times New Roman" w:cs="Times New Roman"/>
                <w:sz w:val="20"/>
                <w:szCs w:val="20"/>
              </w:rPr>
              <w:t xml:space="preserve"> It is the only African country with a Code of Practice/SOP for Food Hygiene in Processing. However, it does not have a Code of Practice for other stakeholders such as farmers.</w:t>
            </w:r>
            <w:r w:rsidRPr="00505244">
              <w:rPr>
                <w:rFonts w:ascii="Times New Roman" w:hAnsi="Times New Roman" w:cs="Times New Roman"/>
                <w:sz w:val="20"/>
                <w:szCs w:val="20"/>
              </w:rPr>
              <w:t xml:space="preserve"> A randomized control trial (RCT) led by the University of Georgia, International Food Policy Research Institute (IFPRI), and University for Development Studies in Ghana showed the effectiveness of videos to train farmers</w:t>
            </w:r>
            <w:r w:rsidRPr="0000571B">
              <w:rPr>
                <w:rFonts w:ascii="Times New Roman" w:hAnsi="Times New Roman" w:cs="Times New Roman"/>
                <w:sz w:val="20"/>
                <w:szCs w:val="20"/>
              </w:rPr>
              <w:t xml:space="preserve"> on recommended-practices to reduce aflatoxin in crops and described the opportunities derived from aflatoxin-safe groundnuts. After it, a series of videos were distributed among farmers in different regions across the country.</w:t>
            </w:r>
          </w:p>
          <w:p w14:paraId="41699569" w14:textId="77777777" w:rsidR="00A5496E" w:rsidRDefault="00A5496E" w:rsidP="003C4574">
            <w:pPr>
              <w:jc w:val="both"/>
              <w:rPr>
                <w:rFonts w:ascii="Times New Roman" w:hAnsi="Times New Roman" w:cs="Times New Roman"/>
                <w:color w:val="000000"/>
                <w:sz w:val="23"/>
                <w:szCs w:val="23"/>
              </w:rPr>
            </w:pPr>
          </w:p>
          <w:p w14:paraId="0A95AB84" w14:textId="77777777" w:rsidR="00A5496E" w:rsidRPr="007575D7" w:rsidRDefault="00A5496E" w:rsidP="003C4574">
            <w:pPr>
              <w:jc w:val="both"/>
              <w:rPr>
                <w:rFonts w:ascii="Times New Roman" w:hAnsi="Times New Roman" w:cs="Times New Roman"/>
                <w:i/>
                <w:sz w:val="18"/>
                <w:szCs w:val="18"/>
              </w:rPr>
            </w:pPr>
            <w:r w:rsidRPr="007575D7">
              <w:rPr>
                <w:rFonts w:ascii="Times New Roman" w:hAnsi="Times New Roman" w:cs="Times New Roman"/>
                <w:i/>
                <w:sz w:val="18"/>
                <w:szCs w:val="18"/>
              </w:rPr>
              <w:t>Source: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14"/>
            </w:tblGrid>
            <w:tr w:rsidR="00A5496E" w:rsidRPr="00E23320" w14:paraId="27B6C941" w14:textId="77777777" w:rsidTr="003C4574">
              <w:tc>
                <w:tcPr>
                  <w:tcW w:w="8414" w:type="dxa"/>
                  <w:shd w:val="clear" w:color="auto" w:fill="auto"/>
                  <w:hideMark/>
                </w:tcPr>
                <w:p w14:paraId="6B7CA445" w14:textId="3F95AED0" w:rsidR="00A5496E" w:rsidRPr="00131E1E" w:rsidRDefault="00A5496E" w:rsidP="007575D7">
                  <w:pPr>
                    <w:jc w:val="both"/>
                    <w:rPr>
                      <w:rFonts w:ascii="Arial" w:hAnsi="Arial" w:cs="Arial"/>
                      <w:color w:val="464D4F"/>
                      <w:spacing w:val="-1"/>
                      <w:sz w:val="51"/>
                      <w:szCs w:val="51"/>
                    </w:rPr>
                  </w:pPr>
                  <w:r w:rsidRPr="00131E1E">
                    <w:rPr>
                      <w:rFonts w:ascii="Times New Roman" w:hAnsi="Times New Roman" w:cs="Times New Roman"/>
                      <w:sz w:val="20"/>
                      <w:szCs w:val="20"/>
                    </w:rPr>
                    <w:t xml:space="preserve">International Trade Centre, 2015. </w:t>
                  </w:r>
                  <w:r w:rsidRPr="00131E1E">
                    <w:rPr>
                      <w:rFonts w:ascii="Times New Roman" w:hAnsi="Times New Roman" w:cs="Times New Roman"/>
                      <w:i/>
                      <w:sz w:val="20"/>
                      <w:szCs w:val="20"/>
                    </w:rPr>
                    <w:t>Edible Nuts- Groundnuts</w:t>
                  </w:r>
                  <w:r w:rsidR="00DC79E7">
                    <w:rPr>
                      <w:rFonts w:ascii="Times New Roman" w:hAnsi="Times New Roman" w:cs="Times New Roman"/>
                      <w:i/>
                      <w:sz w:val="20"/>
                      <w:szCs w:val="20"/>
                    </w:rPr>
                    <w:t>.</w:t>
                  </w:r>
                  <w:r w:rsidRPr="00131E1E">
                    <w:rPr>
                      <w:rFonts w:ascii="Times New Roman" w:hAnsi="Times New Roman" w:cs="Times New Roman"/>
                      <w:i/>
                      <w:sz w:val="20"/>
                      <w:szCs w:val="20"/>
                    </w:rPr>
                    <w:t xml:space="preserve"> </w:t>
                  </w:r>
                  <w:r w:rsidR="00DC79E7">
                    <w:rPr>
                      <w:rFonts w:ascii="Times New Roman" w:hAnsi="Times New Roman" w:cs="Times New Roman"/>
                      <w:sz w:val="20"/>
                      <w:szCs w:val="20"/>
                    </w:rPr>
                    <w:t>A</w:t>
                  </w:r>
                  <w:r w:rsidRPr="00131E1E">
                    <w:rPr>
                      <w:rFonts w:ascii="Times New Roman" w:hAnsi="Times New Roman" w:cs="Times New Roman"/>
                      <w:sz w:val="20"/>
                      <w:szCs w:val="20"/>
                    </w:rPr>
                    <w:t xml:space="preserve">vailable at </w:t>
                  </w:r>
                  <w:hyperlink r:id="rId65" w:history="1">
                    <w:r w:rsidRPr="00131E1E">
                      <w:rPr>
                        <w:rStyle w:val="Hyperlink"/>
                        <w:rFonts w:ascii="Times New Roman" w:hAnsi="Times New Roman" w:cs="Times New Roman"/>
                        <w:sz w:val="20"/>
                        <w:szCs w:val="20"/>
                      </w:rPr>
                      <w:t>http://www.intracen.org/uploadedFiles/intracen.org/Content/Exporters/Market_Data_and_Information/Market_information/Market_Insider/Edible_Nuts/Groundnut%20Quarterly%20Bulletin%20June%202015.pdf</w:t>
                    </w:r>
                  </w:hyperlink>
                  <w:r w:rsidRPr="00131E1E">
                    <w:rPr>
                      <w:rFonts w:ascii="Times New Roman" w:hAnsi="Times New Roman" w:cs="Times New Roman"/>
                      <w:sz w:val="20"/>
                      <w:szCs w:val="20"/>
                    </w:rPr>
                    <w:t xml:space="preserve"> </w:t>
                  </w:r>
                </w:p>
              </w:tc>
            </w:tr>
            <w:tr w:rsidR="00A5496E" w:rsidRPr="00834734" w14:paraId="6432E4FC" w14:textId="77777777" w:rsidTr="007575D7">
              <w:trPr>
                <w:trHeight w:val="70"/>
              </w:trPr>
              <w:tc>
                <w:tcPr>
                  <w:tcW w:w="8414" w:type="dxa"/>
                  <w:shd w:val="clear" w:color="auto" w:fill="auto"/>
                </w:tcPr>
                <w:p w14:paraId="2A539975" w14:textId="77777777" w:rsidR="00A5496E" w:rsidRPr="0006088A" w:rsidRDefault="00A5496E" w:rsidP="003C457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w:t>
                  </w:r>
                </w:p>
              </w:tc>
            </w:tr>
          </w:tbl>
          <w:p w14:paraId="0F877C54" w14:textId="77777777" w:rsidR="00A5496E" w:rsidRPr="0006088A" w:rsidRDefault="00A5496E" w:rsidP="003C4574">
            <w:pPr>
              <w:jc w:val="both"/>
              <w:rPr>
                <w:rFonts w:ascii="Times New Roman" w:hAnsi="Times New Roman" w:cs="Times New Roman"/>
                <w:sz w:val="20"/>
                <w:szCs w:val="20"/>
              </w:rPr>
            </w:pPr>
          </w:p>
        </w:tc>
      </w:tr>
      <w:bookmarkEnd w:id="228"/>
    </w:tbl>
    <w:p w14:paraId="304E0B41" w14:textId="3D1284D8" w:rsidR="00E8404A" w:rsidRDefault="00E8404A" w:rsidP="007575D7">
      <w:pPr>
        <w:jc w:val="both"/>
        <w:rPr>
          <w:rFonts w:ascii="Times New Roman" w:hAnsi="Times New Roman" w:cs="Times New Roman"/>
        </w:rPr>
      </w:pPr>
    </w:p>
    <w:p w14:paraId="0A7F3035" w14:textId="50074A7C" w:rsidR="00E8404A" w:rsidRDefault="00E8404A" w:rsidP="007575D7">
      <w:pPr>
        <w:jc w:val="both"/>
        <w:rPr>
          <w:rFonts w:ascii="Times New Roman" w:hAnsi="Times New Roman" w:cs="Times New Roman"/>
        </w:rPr>
      </w:pPr>
    </w:p>
    <w:p w14:paraId="0EF532DF" w14:textId="045FEE42" w:rsidR="00E8404A" w:rsidRPr="00E8404A" w:rsidRDefault="00E8404A" w:rsidP="00E8404A">
      <w:pPr>
        <w:pStyle w:val="ListParagraph"/>
        <w:numPr>
          <w:ilvl w:val="0"/>
          <w:numId w:val="71"/>
        </w:numPr>
        <w:ind w:left="0" w:firstLine="0"/>
        <w:jc w:val="both"/>
        <w:rPr>
          <w:rFonts w:ascii="Times New Roman" w:hAnsi="Times New Roman" w:cs="Times New Roman"/>
        </w:rPr>
      </w:pPr>
      <w:r w:rsidRPr="007575D7">
        <w:rPr>
          <w:rFonts w:ascii="Times New Roman" w:hAnsi="Times New Roman" w:cs="Times New Roman"/>
          <w:b/>
        </w:rPr>
        <w:t xml:space="preserve">OPS and other formal collectors for local processing perform important functions in the value </w:t>
      </w:r>
      <w:proofErr w:type="gramStart"/>
      <w:r w:rsidRPr="007575D7">
        <w:rPr>
          <w:rFonts w:ascii="Times New Roman" w:hAnsi="Times New Roman" w:cs="Times New Roman"/>
          <w:b/>
        </w:rPr>
        <w:t>chain, but</w:t>
      </w:r>
      <w:proofErr w:type="gramEnd"/>
      <w:r w:rsidRPr="007575D7">
        <w:rPr>
          <w:rFonts w:ascii="Times New Roman" w:hAnsi="Times New Roman" w:cs="Times New Roman"/>
          <w:b/>
        </w:rPr>
        <w:t xml:space="preserve"> are bound by the prices and market parameters determined in the forum of the CNIA.</w:t>
      </w:r>
      <w:r>
        <w:rPr>
          <w:rFonts w:ascii="Times New Roman" w:hAnsi="Times New Roman" w:cs="Times New Roman"/>
          <w:b/>
        </w:rPr>
        <w:t xml:space="preserve"> </w:t>
      </w:r>
      <w:r w:rsidRPr="007575D7">
        <w:rPr>
          <w:rFonts w:ascii="Times New Roman" w:hAnsi="Times New Roman" w:cs="Times New Roman"/>
        </w:rPr>
        <w:t xml:space="preserve">All purchases made by these collectors must be made at collection points determined by the CNIA at a price set in the CNIA forum (see </w:t>
      </w:r>
      <w:r w:rsidRPr="007575D7">
        <w:rPr>
          <w:rFonts w:ascii="Times New Roman" w:hAnsi="Times New Roman" w:cs="Times New Roman"/>
        </w:rPr>
        <w:fldChar w:fldCharType="begin"/>
      </w:r>
      <w:r w:rsidRPr="007575D7">
        <w:rPr>
          <w:rFonts w:ascii="Times New Roman" w:hAnsi="Times New Roman" w:cs="Times New Roman"/>
        </w:rPr>
        <w:instrText xml:space="preserve"> REF  _Ref497715824 \h  \* MERGEFORMAT </w:instrText>
      </w:r>
      <w:r w:rsidRPr="007575D7">
        <w:rPr>
          <w:rFonts w:ascii="Times New Roman" w:hAnsi="Times New Roman" w:cs="Times New Roman"/>
        </w:rPr>
      </w:r>
      <w:r w:rsidRPr="007575D7">
        <w:rPr>
          <w:rFonts w:ascii="Times New Roman" w:hAnsi="Times New Roman" w:cs="Times New Roman"/>
        </w:rPr>
        <w:fldChar w:fldCharType="separate"/>
      </w:r>
      <w:r w:rsidR="008261B2">
        <w:rPr>
          <w:rFonts w:ascii="Times New Roman" w:hAnsi="Times New Roman" w:cs="Times New Roman"/>
          <w:b/>
          <w:bCs/>
        </w:rPr>
        <w:t>Error! Reference source not found.</w:t>
      </w:r>
      <w:r w:rsidRPr="007575D7">
        <w:rPr>
          <w:rFonts w:ascii="Times New Roman" w:hAnsi="Times New Roman" w:cs="Times New Roman"/>
        </w:rPr>
        <w:fldChar w:fldCharType="end"/>
      </w:r>
      <w:r w:rsidRPr="007575D7">
        <w:rPr>
          <w:rFonts w:ascii="Times New Roman" w:hAnsi="Times New Roman" w:cs="Times New Roman"/>
        </w:rPr>
        <w:t xml:space="preserve"> Box 11)</w:t>
      </w:r>
      <w:r>
        <w:rPr>
          <w:rFonts w:ascii="Times New Roman" w:hAnsi="Times New Roman" w:cs="Times New Roman"/>
        </w:rPr>
        <w:t>.</w:t>
      </w:r>
      <w:r w:rsidRPr="00C91EA2">
        <w:rPr>
          <w:rStyle w:val="FootnoteReference"/>
          <w:rFonts w:ascii="Times New Roman" w:hAnsi="Times New Roman" w:cs="Times New Roman"/>
        </w:rPr>
        <w:footnoteReference w:id="144"/>
      </w:r>
      <w:r w:rsidRPr="00FE2A31">
        <w:rPr>
          <w:vertAlign w:val="superscript"/>
        </w:rPr>
        <w:t>,</w:t>
      </w:r>
      <w:r w:rsidRPr="00C91EA2">
        <w:rPr>
          <w:rStyle w:val="FootnoteReference"/>
          <w:rFonts w:ascii="Times New Roman" w:hAnsi="Times New Roman" w:cs="Times New Roman"/>
        </w:rPr>
        <w:footnoteReference w:id="145"/>
      </w:r>
      <w:r>
        <w:rPr>
          <w:vertAlign w:val="superscript"/>
        </w:rPr>
        <w:t xml:space="preserve"> </w:t>
      </w:r>
      <w:r w:rsidRPr="007575D7">
        <w:rPr>
          <w:rFonts w:ascii="Times New Roman" w:hAnsi="Times New Roman" w:cs="Times New Roman"/>
        </w:rPr>
        <w:t>In addition to purchasing groundnuts from farmers for millers, OPS and other collectors sometimes provide inputs and financing to farmers, handle transport and shell groundnuts.</w:t>
      </w:r>
      <w:r>
        <w:rPr>
          <w:rFonts w:ascii="Times New Roman" w:hAnsi="Times New Roman" w:cs="Times New Roman"/>
        </w:rPr>
        <w:t xml:space="preserve"> </w:t>
      </w:r>
      <w:r w:rsidRPr="00E8404A">
        <w:rPr>
          <w:rFonts w:ascii="Times New Roman" w:hAnsi="Times New Roman" w:cs="Times New Roman"/>
        </w:rPr>
        <w:t>I</w:t>
      </w:r>
      <w:r w:rsidRPr="007575D7">
        <w:rPr>
          <w:rFonts w:ascii="Times New Roman" w:hAnsi="Times New Roman" w:cs="Times New Roman"/>
        </w:rPr>
        <w:t>n addition to purchasing groundnuts from farmers for millers, OPS and other collectors sometimes provide inputs and financing to farmers, handle transport and shell groundnuts. They tend to have contracts with processors and/or farmers. The OPS typically charge millers for delivery of the produce at around 14 F CFA/kg or 7 percent of the purchase price.</w:t>
      </w:r>
      <w:r w:rsidRPr="00E8404A">
        <w:rPr>
          <w:rStyle w:val="FootnoteReference"/>
          <w:rFonts w:ascii="Times New Roman" w:hAnsi="Times New Roman" w:cs="Times New Roman"/>
        </w:rPr>
        <w:footnoteReference w:id="146"/>
      </w:r>
    </w:p>
    <w:p w14:paraId="546D3E1C" w14:textId="33B08E09" w:rsidR="002926ED" w:rsidRPr="00C91EA2" w:rsidRDefault="002926ED" w:rsidP="00377635">
      <w:pPr>
        <w:jc w:val="both"/>
        <w:rPr>
          <w:rFonts w:ascii="Times New Roman" w:hAnsi="Times New Roman" w:cs="Times New Roman"/>
          <w:b/>
          <w:sz w:val="20"/>
        </w:rPr>
      </w:pPr>
    </w:p>
    <w:p w14:paraId="411A4EBB" w14:textId="42E01FEF" w:rsidR="002926ED" w:rsidRPr="007575D7" w:rsidRDefault="002926ED" w:rsidP="007575D7">
      <w:pPr>
        <w:pStyle w:val="Caption"/>
        <w:keepNext/>
        <w:rPr>
          <w:rFonts w:ascii="Times New Roman" w:hAnsi="Times New Roman"/>
        </w:rPr>
      </w:pPr>
      <w:bookmarkStart w:id="230" w:name="_Toc520725799"/>
      <w:r w:rsidRPr="007575D7">
        <w:rPr>
          <w:rFonts w:ascii="Times New Roman" w:hAnsi="Times New Roman"/>
          <w:bCs w:val="0"/>
          <w:szCs w:val="24"/>
        </w:rPr>
        <w:t xml:space="preserve">Box </w:t>
      </w:r>
      <w:r w:rsidRPr="007575D7">
        <w:rPr>
          <w:rFonts w:ascii="Times New Roman" w:hAnsi="Times New Roman"/>
          <w:bCs w:val="0"/>
          <w:szCs w:val="24"/>
        </w:rPr>
        <w:fldChar w:fldCharType="begin"/>
      </w:r>
      <w:r w:rsidRPr="007575D7">
        <w:rPr>
          <w:rFonts w:ascii="Times New Roman" w:hAnsi="Times New Roman"/>
          <w:bCs w:val="0"/>
          <w:szCs w:val="24"/>
        </w:rPr>
        <w:instrText xml:space="preserve"> SEQ Box \* ARABIC </w:instrText>
      </w:r>
      <w:r w:rsidRPr="007575D7">
        <w:rPr>
          <w:rFonts w:ascii="Times New Roman" w:hAnsi="Times New Roman"/>
          <w:bCs w:val="0"/>
          <w:szCs w:val="24"/>
        </w:rPr>
        <w:fldChar w:fldCharType="separate"/>
      </w:r>
      <w:r w:rsidR="008261B2">
        <w:rPr>
          <w:rFonts w:ascii="Times New Roman" w:hAnsi="Times New Roman"/>
          <w:bCs w:val="0"/>
          <w:noProof/>
          <w:szCs w:val="24"/>
        </w:rPr>
        <w:t>11</w:t>
      </w:r>
      <w:r w:rsidRPr="007575D7">
        <w:rPr>
          <w:rFonts w:ascii="Times New Roman" w:hAnsi="Times New Roman"/>
          <w:bCs w:val="0"/>
          <w:szCs w:val="24"/>
        </w:rPr>
        <w:fldChar w:fldCharType="end"/>
      </w:r>
      <w:r w:rsidRPr="007575D7">
        <w:rPr>
          <w:rFonts w:ascii="Times New Roman" w:hAnsi="Times New Roman"/>
          <w:bCs w:val="0"/>
          <w:szCs w:val="24"/>
        </w:rPr>
        <w:t xml:space="preserve">: </w:t>
      </w:r>
      <w:r w:rsidRPr="002926ED">
        <w:rPr>
          <w:rFonts w:ascii="Times New Roman" w:hAnsi="Times New Roman"/>
          <w:bCs w:val="0"/>
          <w:szCs w:val="24"/>
        </w:rPr>
        <w:t>Groundnut value chain management by the CNIA</w:t>
      </w:r>
      <w:bookmarkEnd w:id="230"/>
    </w:p>
    <w:tbl>
      <w:tblPr>
        <w:tblStyle w:val="TableGrid"/>
        <w:tblW w:w="0" w:type="auto"/>
        <w:shd w:val="clear" w:color="auto" w:fill="F2F2F2" w:themeFill="background1" w:themeFillShade="F2"/>
        <w:tblLook w:val="04A0" w:firstRow="1" w:lastRow="0" w:firstColumn="1" w:lastColumn="0" w:noHBand="0" w:noVBand="1"/>
      </w:tblPr>
      <w:tblGrid>
        <w:gridCol w:w="8630"/>
      </w:tblGrid>
      <w:tr w:rsidR="00377635" w:rsidRPr="00C91EA2" w14:paraId="342B228E" w14:textId="77777777" w:rsidTr="007575D7">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C749C" w14:textId="1E5B8265" w:rsidR="00377635" w:rsidRPr="00D72C42" w:rsidRDefault="00377635">
            <w:pPr>
              <w:jc w:val="both"/>
              <w:rPr>
                <w:rFonts w:ascii="Times New Roman" w:hAnsi="Times New Roman" w:cs="Times New Roman"/>
                <w:sz w:val="20"/>
                <w:szCs w:val="24"/>
              </w:rPr>
            </w:pPr>
            <w:r w:rsidRPr="00D72C42">
              <w:rPr>
                <w:rFonts w:ascii="Times New Roman" w:hAnsi="Times New Roman" w:cs="Times New Roman"/>
                <w:sz w:val="20"/>
                <w:szCs w:val="24"/>
              </w:rPr>
              <w:t xml:space="preserve">The </w:t>
            </w:r>
            <w:proofErr w:type="spellStart"/>
            <w:r w:rsidRPr="00D72C42">
              <w:rPr>
                <w:rFonts w:ascii="Times New Roman" w:hAnsi="Times New Roman" w:cs="Times New Roman"/>
                <w:sz w:val="20"/>
                <w:szCs w:val="24"/>
              </w:rPr>
              <w:t>Comité</w:t>
            </w:r>
            <w:proofErr w:type="spellEnd"/>
            <w:r w:rsidRPr="00D72C42">
              <w:rPr>
                <w:rFonts w:ascii="Times New Roman" w:hAnsi="Times New Roman" w:cs="Times New Roman"/>
                <w:sz w:val="20"/>
                <w:szCs w:val="24"/>
              </w:rPr>
              <w:t xml:space="preserve"> National </w:t>
            </w:r>
            <w:proofErr w:type="spellStart"/>
            <w:r w:rsidRPr="00D72C42">
              <w:rPr>
                <w:rFonts w:ascii="Times New Roman" w:hAnsi="Times New Roman" w:cs="Times New Roman"/>
                <w:sz w:val="20"/>
                <w:szCs w:val="24"/>
              </w:rPr>
              <w:t>Interprofessionnel</w:t>
            </w:r>
            <w:proofErr w:type="spellEnd"/>
            <w:r w:rsidRPr="00D72C42">
              <w:rPr>
                <w:rFonts w:ascii="Times New Roman" w:hAnsi="Times New Roman" w:cs="Times New Roman"/>
                <w:sz w:val="20"/>
                <w:szCs w:val="24"/>
              </w:rPr>
              <w:t xml:space="preserve"> de </w:t>
            </w:r>
            <w:proofErr w:type="spellStart"/>
            <w:r w:rsidRPr="00D72C42">
              <w:rPr>
                <w:rFonts w:ascii="Times New Roman" w:hAnsi="Times New Roman" w:cs="Times New Roman"/>
                <w:sz w:val="20"/>
                <w:szCs w:val="24"/>
              </w:rPr>
              <w:t>l'Arachide</w:t>
            </w:r>
            <w:proofErr w:type="spellEnd"/>
            <w:r w:rsidRPr="00D72C42">
              <w:rPr>
                <w:rFonts w:ascii="Times New Roman" w:hAnsi="Times New Roman" w:cs="Times New Roman"/>
                <w:sz w:val="20"/>
                <w:szCs w:val="24"/>
              </w:rPr>
              <w:t xml:space="preserve"> (CNIA) performs a central and highly influential role in the value chain as a forum for the management of the sector. Members of the CNIA are groundnut producer organizations (3), seed producer organizations (2), OPS representatives (4), industrial millers (3), input provides (3) and one service provider. The </w:t>
            </w:r>
            <w:r w:rsidR="003B24ED">
              <w:rPr>
                <w:rFonts w:ascii="Times New Roman" w:hAnsi="Times New Roman" w:cs="Times New Roman"/>
                <w:sz w:val="20"/>
                <w:szCs w:val="24"/>
              </w:rPr>
              <w:t>Government</w:t>
            </w:r>
            <w:r w:rsidRPr="00D72C42">
              <w:rPr>
                <w:rFonts w:ascii="Times New Roman" w:hAnsi="Times New Roman" w:cs="Times New Roman"/>
                <w:sz w:val="20"/>
                <w:szCs w:val="24"/>
              </w:rPr>
              <w:t xml:space="preserve"> acts as a facilitator and an arbitrator for the CNIA. Three of the four OPS representatives are affiliated with the Fédération des </w:t>
            </w:r>
            <w:proofErr w:type="spellStart"/>
            <w:r w:rsidRPr="00D72C42">
              <w:rPr>
                <w:rFonts w:ascii="Times New Roman" w:hAnsi="Times New Roman" w:cs="Times New Roman"/>
                <w:sz w:val="20"/>
                <w:szCs w:val="24"/>
              </w:rPr>
              <w:t>Opérateurs</w:t>
            </w:r>
            <w:proofErr w:type="spellEnd"/>
            <w:r w:rsidRPr="00D72C42">
              <w:rPr>
                <w:rFonts w:ascii="Times New Roman" w:hAnsi="Times New Roman" w:cs="Times New Roman"/>
                <w:sz w:val="20"/>
                <w:szCs w:val="24"/>
              </w:rPr>
              <w:t xml:space="preserve"> </w:t>
            </w:r>
            <w:proofErr w:type="spellStart"/>
            <w:r w:rsidRPr="00D72C42">
              <w:rPr>
                <w:rFonts w:ascii="Times New Roman" w:hAnsi="Times New Roman" w:cs="Times New Roman"/>
                <w:sz w:val="20"/>
                <w:szCs w:val="24"/>
              </w:rPr>
              <w:t>Privés</w:t>
            </w:r>
            <w:proofErr w:type="spellEnd"/>
            <w:r w:rsidRPr="00D72C42">
              <w:rPr>
                <w:rFonts w:ascii="Times New Roman" w:hAnsi="Times New Roman" w:cs="Times New Roman"/>
                <w:sz w:val="20"/>
                <w:szCs w:val="24"/>
              </w:rPr>
              <w:t xml:space="preserve"> </w:t>
            </w:r>
            <w:proofErr w:type="spellStart"/>
            <w:r w:rsidRPr="00D72C42">
              <w:rPr>
                <w:rFonts w:ascii="Times New Roman" w:hAnsi="Times New Roman" w:cs="Times New Roman"/>
                <w:sz w:val="20"/>
                <w:szCs w:val="24"/>
              </w:rPr>
              <w:t>Stockeurs</w:t>
            </w:r>
            <w:proofErr w:type="spellEnd"/>
            <w:r w:rsidRPr="00D72C42">
              <w:rPr>
                <w:rFonts w:ascii="Times New Roman" w:hAnsi="Times New Roman" w:cs="Times New Roman"/>
                <w:sz w:val="20"/>
                <w:szCs w:val="24"/>
              </w:rPr>
              <w:t xml:space="preserve"> et </w:t>
            </w:r>
            <w:proofErr w:type="spellStart"/>
            <w:r w:rsidRPr="00D72C42">
              <w:rPr>
                <w:rFonts w:ascii="Times New Roman" w:hAnsi="Times New Roman" w:cs="Times New Roman"/>
                <w:sz w:val="20"/>
                <w:szCs w:val="24"/>
              </w:rPr>
              <w:t>Transporteurs</w:t>
            </w:r>
            <w:proofErr w:type="spellEnd"/>
            <w:r w:rsidRPr="00D72C42">
              <w:rPr>
                <w:rFonts w:ascii="Times New Roman" w:hAnsi="Times New Roman" w:cs="Times New Roman"/>
                <w:sz w:val="20"/>
                <w:szCs w:val="24"/>
              </w:rPr>
              <w:t xml:space="preserve"> (FNOPS/T).</w:t>
            </w:r>
            <w:r w:rsidRPr="00D72C42">
              <w:rPr>
                <w:rStyle w:val="FootnoteReference"/>
                <w:rFonts w:ascii="Times New Roman" w:hAnsi="Times New Roman" w:cs="Times New Roman"/>
                <w:sz w:val="20"/>
                <w:szCs w:val="24"/>
              </w:rPr>
              <w:footnoteReference w:id="147"/>
            </w:r>
          </w:p>
          <w:p w14:paraId="7D724B8D" w14:textId="77777777" w:rsidR="00377635" w:rsidRPr="00D72C42" w:rsidRDefault="00377635">
            <w:pPr>
              <w:jc w:val="both"/>
              <w:rPr>
                <w:rFonts w:ascii="Times New Roman" w:hAnsi="Times New Roman" w:cs="Times New Roman"/>
                <w:sz w:val="20"/>
                <w:szCs w:val="24"/>
              </w:rPr>
            </w:pPr>
          </w:p>
          <w:p w14:paraId="24C959FC" w14:textId="0DF92BD6" w:rsidR="00377635" w:rsidRPr="00D72C42" w:rsidRDefault="00377635">
            <w:pPr>
              <w:jc w:val="both"/>
              <w:rPr>
                <w:rFonts w:ascii="Times New Roman" w:hAnsi="Times New Roman" w:cs="Times New Roman"/>
                <w:sz w:val="20"/>
                <w:szCs w:val="24"/>
              </w:rPr>
            </w:pPr>
            <w:r w:rsidRPr="00D72C42">
              <w:rPr>
                <w:rFonts w:ascii="Times New Roman" w:hAnsi="Times New Roman" w:cs="Times New Roman"/>
                <w:sz w:val="20"/>
                <w:szCs w:val="24"/>
              </w:rPr>
              <w:t xml:space="preserve">The CNIA is responsible for determining </w:t>
            </w:r>
            <w:proofErr w:type="gramStart"/>
            <w:r w:rsidRPr="00D72C42">
              <w:rPr>
                <w:rFonts w:ascii="Times New Roman" w:hAnsi="Times New Roman" w:cs="Times New Roman"/>
                <w:sz w:val="20"/>
                <w:szCs w:val="24"/>
              </w:rPr>
              <w:t>a number of</w:t>
            </w:r>
            <w:proofErr w:type="gramEnd"/>
            <w:r w:rsidRPr="00D72C42">
              <w:rPr>
                <w:rFonts w:ascii="Times New Roman" w:hAnsi="Times New Roman" w:cs="Times New Roman"/>
                <w:sz w:val="20"/>
                <w:szCs w:val="24"/>
              </w:rPr>
              <w:t xml:space="preserve"> key market parameters. Most importantly, with the approval of the </w:t>
            </w:r>
            <w:r w:rsidR="003B24ED">
              <w:rPr>
                <w:rFonts w:ascii="Times New Roman" w:hAnsi="Times New Roman" w:cs="Times New Roman"/>
                <w:sz w:val="20"/>
                <w:szCs w:val="24"/>
              </w:rPr>
              <w:t>Government</w:t>
            </w:r>
            <w:r w:rsidRPr="00D72C42">
              <w:rPr>
                <w:rFonts w:ascii="Times New Roman" w:hAnsi="Times New Roman" w:cs="Times New Roman"/>
                <w:sz w:val="20"/>
                <w:szCs w:val="24"/>
              </w:rPr>
              <w:t xml:space="preserve">, the </w:t>
            </w:r>
            <w:r w:rsidRPr="00D72C42">
              <w:rPr>
                <w:rFonts w:ascii="Times New Roman" w:hAnsi="Times New Roman" w:cs="Times New Roman"/>
                <w:bCs/>
                <w:sz w:val="20"/>
                <w:szCs w:val="24"/>
              </w:rPr>
              <w:t>CNIA</w:t>
            </w:r>
            <w:r w:rsidRPr="00D72C42">
              <w:rPr>
                <w:rFonts w:ascii="Times New Roman" w:hAnsi="Times New Roman" w:cs="Times New Roman"/>
                <w:sz w:val="20"/>
                <w:szCs w:val="24"/>
              </w:rPr>
              <w:t xml:space="preserve"> decides on the season’s minimum price for groundnuts, which applies to all purchases made by OPS and other formal collectors</w:t>
            </w:r>
            <w:r w:rsidR="00DF1FE1">
              <w:rPr>
                <w:rFonts w:ascii="Times New Roman" w:hAnsi="Times New Roman" w:cs="Times New Roman"/>
                <w:sz w:val="20"/>
                <w:szCs w:val="24"/>
              </w:rPr>
              <w:t xml:space="preserve"> (excluding ex</w:t>
            </w:r>
            <w:r w:rsidR="00DF1FE1" w:rsidRPr="00D72C42">
              <w:rPr>
                <w:rFonts w:ascii="Times New Roman" w:hAnsi="Times New Roman" w:cs="Times New Roman"/>
                <w:sz w:val="20"/>
                <w:szCs w:val="24"/>
              </w:rPr>
              <w:t>p</w:t>
            </w:r>
            <w:r w:rsidR="00DF1FE1">
              <w:rPr>
                <w:rFonts w:ascii="Times New Roman" w:hAnsi="Times New Roman" w:cs="Times New Roman"/>
                <w:sz w:val="20"/>
                <w:szCs w:val="24"/>
              </w:rPr>
              <w:t>orters)</w:t>
            </w:r>
            <w:r w:rsidR="00631A8B">
              <w:rPr>
                <w:rFonts w:ascii="Times New Roman" w:hAnsi="Times New Roman" w:cs="Times New Roman"/>
                <w:sz w:val="20"/>
                <w:szCs w:val="24"/>
              </w:rPr>
              <w:t xml:space="preserve"> </w:t>
            </w:r>
            <w:r w:rsidR="00631A8B" w:rsidRPr="005A26C7">
              <w:rPr>
                <w:rFonts w:ascii="Times New Roman" w:hAnsi="Times New Roman" w:cs="Times New Roman"/>
                <w:sz w:val="20"/>
              </w:rPr>
              <w:t>for on-sale to oil processors</w:t>
            </w:r>
            <w:r w:rsidRPr="00C91E06">
              <w:rPr>
                <w:rFonts w:ascii="Times New Roman" w:hAnsi="Times New Roman" w:cs="Times New Roman"/>
                <w:sz w:val="20"/>
                <w:szCs w:val="24"/>
              </w:rPr>
              <w:t>. Furthermore, the CNIA decides on the length of the period in which purchases can be made. During the season, the CNIA convenes regularly to collect information on purchases, transports</w:t>
            </w:r>
            <w:r w:rsidRPr="00D72C42">
              <w:rPr>
                <w:rFonts w:ascii="Times New Roman" w:hAnsi="Times New Roman" w:cs="Times New Roman"/>
                <w:sz w:val="20"/>
                <w:szCs w:val="24"/>
              </w:rPr>
              <w:t xml:space="preserve"> and exports. Although formally independent from the Senegalese </w:t>
            </w:r>
            <w:r w:rsidR="003B24ED">
              <w:rPr>
                <w:rFonts w:ascii="Times New Roman" w:hAnsi="Times New Roman" w:cs="Times New Roman"/>
                <w:sz w:val="20"/>
                <w:szCs w:val="24"/>
              </w:rPr>
              <w:t>Government</w:t>
            </w:r>
            <w:r w:rsidRPr="00D72C42">
              <w:rPr>
                <w:rFonts w:ascii="Times New Roman" w:hAnsi="Times New Roman" w:cs="Times New Roman"/>
                <w:sz w:val="20"/>
                <w:szCs w:val="24"/>
              </w:rPr>
              <w:t xml:space="preserve">, the CNIA and the </w:t>
            </w:r>
            <w:r w:rsidR="003B24ED">
              <w:rPr>
                <w:rFonts w:ascii="Times New Roman" w:hAnsi="Times New Roman" w:cs="Times New Roman"/>
                <w:sz w:val="20"/>
                <w:szCs w:val="24"/>
              </w:rPr>
              <w:t>Government</w:t>
            </w:r>
            <w:r w:rsidRPr="00D72C42">
              <w:rPr>
                <w:rFonts w:ascii="Times New Roman" w:hAnsi="Times New Roman" w:cs="Times New Roman"/>
                <w:sz w:val="20"/>
                <w:szCs w:val="24"/>
              </w:rPr>
              <w:t xml:space="preserve"> consult with each other and the CNIA uses </w:t>
            </w:r>
            <w:r w:rsidR="003B24ED">
              <w:rPr>
                <w:rFonts w:ascii="Times New Roman" w:hAnsi="Times New Roman" w:cs="Times New Roman"/>
                <w:sz w:val="20"/>
                <w:szCs w:val="24"/>
              </w:rPr>
              <w:t>Government</w:t>
            </w:r>
            <w:r w:rsidRPr="00D72C42">
              <w:rPr>
                <w:rFonts w:ascii="Times New Roman" w:hAnsi="Times New Roman" w:cs="Times New Roman"/>
                <w:sz w:val="20"/>
                <w:szCs w:val="24"/>
              </w:rPr>
              <w:t xml:space="preserve"> communication channels to publicize information</w:t>
            </w:r>
            <w:r w:rsidR="00377CA5">
              <w:rPr>
                <w:rFonts w:ascii="Times New Roman" w:hAnsi="Times New Roman" w:cs="Times New Roman"/>
                <w:sz w:val="20"/>
                <w:szCs w:val="24"/>
              </w:rPr>
              <w:t>.</w:t>
            </w:r>
          </w:p>
          <w:p w14:paraId="5B8DD277" w14:textId="77777777" w:rsidR="00377635" w:rsidRPr="00D72C42" w:rsidRDefault="00377635">
            <w:pPr>
              <w:jc w:val="both"/>
              <w:rPr>
                <w:rFonts w:ascii="Times New Roman" w:hAnsi="Times New Roman" w:cs="Times New Roman"/>
                <w:sz w:val="20"/>
                <w:szCs w:val="24"/>
              </w:rPr>
            </w:pPr>
          </w:p>
          <w:p w14:paraId="6AD008BA" w14:textId="77777777" w:rsidR="00377635" w:rsidRPr="00D72C42" w:rsidRDefault="00377635">
            <w:pPr>
              <w:jc w:val="both"/>
              <w:rPr>
                <w:rFonts w:ascii="Times New Roman" w:hAnsi="Times New Roman" w:cs="Times New Roman"/>
                <w:sz w:val="20"/>
                <w:szCs w:val="24"/>
              </w:rPr>
            </w:pPr>
            <w:r w:rsidRPr="00D72C42">
              <w:rPr>
                <w:rFonts w:ascii="Times New Roman" w:hAnsi="Times New Roman" w:cs="Times New Roman"/>
                <w:sz w:val="20"/>
                <w:szCs w:val="24"/>
              </w:rPr>
              <w:t>Given its mandate, the representation of market players on the CNIA and their relative bargaining power is a key determinant of market outcomes. According to stakeholder interviews, bargaining power has tended to lie with local processors. In addition, the membership structure of the CNIA has not been reformed in recent years, meaning that it does not necessarily reflect the current realities of the value chain.</w:t>
            </w:r>
            <w:r w:rsidRPr="00D72C42">
              <w:rPr>
                <w:rStyle w:val="FootnoteReference"/>
                <w:rFonts w:ascii="Times New Roman" w:hAnsi="Times New Roman" w:cs="Times New Roman"/>
                <w:sz w:val="20"/>
                <w:szCs w:val="24"/>
              </w:rPr>
              <w:footnoteReference w:id="148"/>
            </w:r>
            <w:r w:rsidRPr="00D72C42">
              <w:rPr>
                <w:rFonts w:ascii="Times New Roman" w:hAnsi="Times New Roman" w:cs="Times New Roman"/>
                <w:sz w:val="20"/>
                <w:szCs w:val="24"/>
              </w:rPr>
              <w:t xml:space="preserve"> Moreover, there does not seem to be a formal mechanism to allow representation by new entrants or potential entrants, which may put these players at a disadvantage versus incumbents since members of CNIA have more ability to influence certain market parameters</w:t>
            </w:r>
            <w:r w:rsidR="00377CA5" w:rsidRPr="00D72C42">
              <w:rPr>
                <w:rFonts w:ascii="Times New Roman" w:hAnsi="Times New Roman" w:cs="Times New Roman"/>
                <w:sz w:val="20"/>
                <w:szCs w:val="24"/>
              </w:rPr>
              <w:t xml:space="preserve"> </w:t>
            </w:r>
            <w:r w:rsidRPr="00D72C42">
              <w:rPr>
                <w:rFonts w:ascii="Times New Roman" w:hAnsi="Times New Roman" w:cs="Times New Roman"/>
                <w:sz w:val="20"/>
                <w:szCs w:val="24"/>
              </w:rPr>
              <w:t>to the detriment of entrants.</w:t>
            </w:r>
          </w:p>
          <w:p w14:paraId="49EBBE2E" w14:textId="77777777" w:rsidR="00377635" w:rsidRPr="00D72C42" w:rsidRDefault="00377635">
            <w:pPr>
              <w:jc w:val="both"/>
              <w:rPr>
                <w:rFonts w:ascii="Times New Roman" w:hAnsi="Times New Roman" w:cs="Times New Roman"/>
                <w:sz w:val="20"/>
                <w:szCs w:val="24"/>
              </w:rPr>
            </w:pPr>
          </w:p>
          <w:p w14:paraId="73EBD93A" w14:textId="77777777" w:rsidR="00377635" w:rsidRPr="00D72C42" w:rsidRDefault="00377635">
            <w:pPr>
              <w:jc w:val="both"/>
              <w:rPr>
                <w:rFonts w:ascii="Times New Roman" w:hAnsi="Times New Roman" w:cs="Times New Roman"/>
                <w:sz w:val="20"/>
                <w:szCs w:val="24"/>
              </w:rPr>
            </w:pPr>
            <w:r w:rsidRPr="00D72C42">
              <w:rPr>
                <w:rFonts w:ascii="Times New Roman" w:hAnsi="Times New Roman" w:cs="Times New Roman"/>
                <w:sz w:val="20"/>
                <w:szCs w:val="24"/>
              </w:rPr>
              <w:t xml:space="preserve">In addition to issues relating to its representativeness, the CNIA risks unintentionally introducing </w:t>
            </w:r>
            <w:r w:rsidRPr="00D72C42">
              <w:rPr>
                <w:rFonts w:ascii="Times New Roman" w:hAnsi="Times New Roman" w:cs="Times New Roman"/>
                <w:bCs/>
                <w:sz w:val="20"/>
                <w:szCs w:val="24"/>
              </w:rPr>
              <w:t>market distortions to the market for raw groundnut</w:t>
            </w:r>
            <w:r w:rsidR="00377CA5">
              <w:rPr>
                <w:rFonts w:ascii="Times New Roman" w:hAnsi="Times New Roman" w:cs="Times New Roman"/>
                <w:bCs/>
                <w:sz w:val="20"/>
                <w:szCs w:val="24"/>
              </w:rPr>
              <w:t>s</w:t>
            </w:r>
            <w:r w:rsidRPr="00D72C42">
              <w:rPr>
                <w:rFonts w:ascii="Times New Roman" w:hAnsi="Times New Roman" w:cs="Times New Roman"/>
                <w:sz w:val="20"/>
                <w:szCs w:val="24"/>
              </w:rPr>
              <w:t>. By providing a forum for information exchange among sometimes competing value chain actors CNIA risks facilitating collusion. Furthermore, the setting of minimum prices and the definition of the purchasing periods restricts the choice of strategic variables for actors thereby limiting the dimensions in which actors compete with one another. The resulting knowledge of other value chain participants’ cost structures further enable</w:t>
            </w:r>
            <w:r w:rsidR="00377CA5">
              <w:rPr>
                <w:rFonts w:ascii="Times New Roman" w:hAnsi="Times New Roman" w:cs="Times New Roman"/>
                <w:sz w:val="20"/>
                <w:szCs w:val="24"/>
              </w:rPr>
              <w:t>s</w:t>
            </w:r>
            <w:r w:rsidRPr="00D72C42">
              <w:rPr>
                <w:rFonts w:ascii="Times New Roman" w:hAnsi="Times New Roman" w:cs="Times New Roman"/>
                <w:sz w:val="20"/>
                <w:szCs w:val="24"/>
              </w:rPr>
              <w:t xml:space="preserve"> reaching and sustaining agreements. </w:t>
            </w:r>
          </w:p>
          <w:p w14:paraId="39F98334" w14:textId="77777777" w:rsidR="00377635" w:rsidRPr="00C91EA2" w:rsidRDefault="00377635">
            <w:pPr>
              <w:jc w:val="both"/>
              <w:rPr>
                <w:rFonts w:ascii="Times New Roman" w:hAnsi="Times New Roman" w:cs="Times New Roman"/>
                <w:sz w:val="24"/>
                <w:szCs w:val="24"/>
              </w:rPr>
            </w:pPr>
          </w:p>
        </w:tc>
      </w:tr>
    </w:tbl>
    <w:p w14:paraId="75D9720E" w14:textId="77777777" w:rsidR="00377635" w:rsidRPr="00C91EA2" w:rsidRDefault="00377635" w:rsidP="00377635">
      <w:pPr>
        <w:jc w:val="both"/>
        <w:rPr>
          <w:rFonts w:ascii="Times New Roman" w:hAnsi="Times New Roman" w:cs="Times New Roman"/>
          <w:b/>
        </w:rPr>
      </w:pPr>
    </w:p>
    <w:p w14:paraId="31F98670" w14:textId="4A404198" w:rsidR="00A5496E" w:rsidRPr="00033CA3" w:rsidRDefault="00377635" w:rsidP="00D33A5E">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Exports of groundnuts were legalized in 2013, which led to the entry of exporters (mainly from China), increasing the choice of buyers for farmers and driving up farmgate prices. </w:t>
      </w:r>
      <w:r w:rsidR="00B76A39">
        <w:rPr>
          <w:rFonts w:ascii="Times New Roman" w:hAnsi="Times New Roman" w:cs="Times New Roman"/>
        </w:rPr>
        <w:t>During the 2015/16 season</w:t>
      </w:r>
      <w:r w:rsidRPr="00C91EA2">
        <w:rPr>
          <w:rFonts w:ascii="Times New Roman" w:hAnsi="Times New Roman" w:cs="Times New Roman"/>
        </w:rPr>
        <w:t xml:space="preserve">, exporters were able to pay between 250 F CFA and 300 F CFA per kg to farmers, exceeding the </w:t>
      </w:r>
      <w:r w:rsidR="003B24ED">
        <w:rPr>
          <w:rFonts w:ascii="Times New Roman" w:hAnsi="Times New Roman" w:cs="Times New Roman"/>
        </w:rPr>
        <w:t>Government</w:t>
      </w:r>
      <w:r w:rsidRPr="00C91EA2">
        <w:rPr>
          <w:rFonts w:ascii="Times New Roman" w:hAnsi="Times New Roman" w:cs="Times New Roman"/>
        </w:rPr>
        <w:t xml:space="preserve">-set </w:t>
      </w:r>
      <w:r w:rsidR="00631A8B" w:rsidRPr="0019428A">
        <w:rPr>
          <w:rFonts w:ascii="Times New Roman" w:hAnsi="Times New Roman" w:cs="Times New Roman"/>
        </w:rPr>
        <w:t xml:space="preserve">minimum </w:t>
      </w:r>
      <w:r w:rsidRPr="0019428A">
        <w:rPr>
          <w:rFonts w:ascii="Times New Roman" w:hAnsi="Times New Roman" w:cs="Times New Roman"/>
        </w:rPr>
        <w:t>price</w:t>
      </w:r>
      <w:r w:rsidRPr="00C91EA2">
        <w:rPr>
          <w:rFonts w:ascii="Times New Roman" w:hAnsi="Times New Roman" w:cs="Times New Roman"/>
        </w:rPr>
        <w:t xml:space="preserve"> by between 25 and 50 percent.</w:t>
      </w:r>
      <w:r w:rsidRPr="00C91EA2">
        <w:rPr>
          <w:rStyle w:val="FootnoteReference"/>
          <w:rFonts w:ascii="Times New Roman" w:hAnsi="Times New Roman" w:cs="Times New Roman"/>
        </w:rPr>
        <w:footnoteReference w:id="149"/>
      </w:r>
      <w:r w:rsidRPr="00C91EA2">
        <w:rPr>
          <w:rFonts w:ascii="Times New Roman" w:hAnsi="Times New Roman" w:cs="Times New Roman"/>
        </w:rPr>
        <w:t xml:space="preserve"> Despite paying higher prices, exporters </w:t>
      </w:r>
      <w:r w:rsidR="00B76A39">
        <w:rPr>
          <w:rFonts w:ascii="Times New Roman" w:hAnsi="Times New Roman" w:cs="Times New Roman"/>
        </w:rPr>
        <w:t>were</w:t>
      </w:r>
      <w:r w:rsidR="00B76A39" w:rsidRPr="00C91EA2">
        <w:rPr>
          <w:rFonts w:ascii="Times New Roman" w:hAnsi="Times New Roman" w:cs="Times New Roman"/>
        </w:rPr>
        <w:t xml:space="preserve"> </w:t>
      </w:r>
      <w:r w:rsidRPr="00C91EA2">
        <w:rPr>
          <w:rFonts w:ascii="Times New Roman" w:hAnsi="Times New Roman" w:cs="Times New Roman"/>
        </w:rPr>
        <w:t>still able to generate average profit margins of 121 F CFA between the years 2012 and 2015.</w:t>
      </w:r>
      <w:r w:rsidRPr="00C91EA2">
        <w:rPr>
          <w:rStyle w:val="FootnoteReference"/>
          <w:rFonts w:ascii="Times New Roman" w:hAnsi="Times New Roman" w:cs="Times New Roman"/>
        </w:rPr>
        <w:footnoteReference w:id="150"/>
      </w:r>
      <w:r w:rsidRPr="00C91EA2">
        <w:rPr>
          <w:rFonts w:ascii="Times New Roman" w:hAnsi="Times New Roman" w:cs="Times New Roman"/>
        </w:rPr>
        <w:t xml:space="preserve"> Exporters tend to carry out various steps of value addition such as shelling, for which they employ “thousands of women” for the season at daily salaries of between $2.60 and $3.20.</w:t>
      </w:r>
      <w:r w:rsidRPr="00C91EA2">
        <w:rPr>
          <w:rStyle w:val="FootnoteReference"/>
          <w:rFonts w:ascii="Times New Roman" w:hAnsi="Times New Roman" w:cs="Times New Roman"/>
        </w:rPr>
        <w:footnoteReference w:id="151"/>
      </w:r>
      <w:r w:rsidRPr="00C91EA2">
        <w:rPr>
          <w:rFonts w:ascii="Times New Roman" w:hAnsi="Times New Roman" w:cs="Times New Roman"/>
        </w:rPr>
        <w:t xml:space="preserve"> During the 2015/16 groundnut season, the fact that farmers were able to achieve higher prices by selling to exporters led to a decline in the ability of OPS to procure groundnut</w:t>
      </w:r>
      <w:r w:rsidR="003312F5">
        <w:rPr>
          <w:rFonts w:ascii="Times New Roman" w:hAnsi="Times New Roman" w:cs="Times New Roman"/>
        </w:rPr>
        <w:t>s</w:t>
      </w:r>
      <w:r w:rsidRPr="00C91EA2">
        <w:rPr>
          <w:rFonts w:ascii="Times New Roman" w:hAnsi="Times New Roman" w:cs="Times New Roman"/>
        </w:rPr>
        <w:t xml:space="preserve"> for delivery to local millers. </w:t>
      </w:r>
      <w:r w:rsidRPr="00C91EA2">
        <w:rPr>
          <w:rFonts w:ascii="Times New Roman" w:hAnsi="Times New Roman" w:cs="Times New Roman"/>
        </w:rPr>
        <w:fldChar w:fldCharType="begin"/>
      </w:r>
      <w:r w:rsidRPr="00C91EA2">
        <w:rPr>
          <w:rFonts w:ascii="Times New Roman" w:hAnsi="Times New Roman" w:cs="Times New Roman"/>
        </w:rPr>
        <w:instrText xml:space="preserve"> REF _Ref497719898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52</w:t>
      </w:r>
      <w:r w:rsidRPr="00C91EA2">
        <w:rPr>
          <w:rFonts w:ascii="Times New Roman" w:hAnsi="Times New Roman" w:cs="Times New Roman"/>
        </w:rPr>
        <w:fldChar w:fldCharType="end"/>
      </w:r>
      <w:r w:rsidRPr="00C91EA2">
        <w:rPr>
          <w:rFonts w:ascii="Times New Roman" w:hAnsi="Times New Roman" w:cs="Times New Roman"/>
        </w:rPr>
        <w:t xml:space="preserve"> shows the decline in groundnuts collected for industrial processors (in tons) in recent years, even while </w:t>
      </w:r>
      <w:r w:rsidR="003B24ED">
        <w:rPr>
          <w:rFonts w:ascii="Times New Roman" w:hAnsi="Times New Roman" w:cs="Times New Roman"/>
        </w:rPr>
        <w:t>Government</w:t>
      </w:r>
      <w:r w:rsidRPr="00C91EA2">
        <w:rPr>
          <w:rFonts w:ascii="Times New Roman" w:hAnsi="Times New Roman" w:cs="Times New Roman"/>
        </w:rPr>
        <w:t xml:space="preserve"> subsidies to processors were incre</w:t>
      </w:r>
      <w:r w:rsidR="00462CF4">
        <w:rPr>
          <w:rFonts w:ascii="Times New Roman" w:hAnsi="Times New Roman" w:cs="Times New Roman"/>
        </w:rPr>
        <w:t>asing to counteract this trend</w:t>
      </w:r>
      <w:r w:rsidRPr="00C91EA2">
        <w:rPr>
          <w:rFonts w:ascii="Times New Roman" w:hAnsi="Times New Roman" w:cs="Times New Roman"/>
        </w:rPr>
        <w:t>.</w:t>
      </w:r>
    </w:p>
    <w:p w14:paraId="4CA73A33" w14:textId="77777777" w:rsidR="00377635" w:rsidRPr="00C91EA2" w:rsidRDefault="00377635" w:rsidP="00AA15ED">
      <w:pPr>
        <w:jc w:val="both"/>
        <w:rPr>
          <w:rFonts w:ascii="Times New Roman" w:hAnsi="Times New Roman" w:cs="Times New Roman"/>
        </w:rPr>
      </w:pPr>
    </w:p>
    <w:p w14:paraId="46708341" w14:textId="37511E86" w:rsidR="00377635" w:rsidRDefault="00377635"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Although the collection of groundnuts for milling had been on a declining trend for some time</w:t>
      </w:r>
      <w:r w:rsidR="00462CF4">
        <w:rPr>
          <w:rFonts w:ascii="Times New Roman" w:hAnsi="Times New Roman" w:cs="Times New Roman"/>
          <w:b/>
        </w:rPr>
        <w:t xml:space="preserve"> before exports were permitted</w:t>
      </w:r>
      <w:r w:rsidRPr="00C91EA2">
        <w:rPr>
          <w:rFonts w:ascii="Times New Roman" w:hAnsi="Times New Roman" w:cs="Times New Roman"/>
          <w:b/>
        </w:rPr>
        <w:t xml:space="preserve">, in December 2016, the </w:t>
      </w:r>
      <w:proofErr w:type="spellStart"/>
      <w:r w:rsidRPr="00C91EA2">
        <w:rPr>
          <w:rFonts w:ascii="Times New Roman" w:hAnsi="Times New Roman" w:cs="Times New Roman"/>
          <w:b/>
        </w:rPr>
        <w:t>GoS</w:t>
      </w:r>
      <w:proofErr w:type="spellEnd"/>
      <w:r w:rsidRPr="00C91EA2">
        <w:rPr>
          <w:rFonts w:ascii="Times New Roman" w:hAnsi="Times New Roman" w:cs="Times New Roman"/>
          <w:b/>
        </w:rPr>
        <w:t xml:space="preserve"> introduced a</w:t>
      </w:r>
      <w:r w:rsidR="008A3F25">
        <w:rPr>
          <w:rFonts w:ascii="Times New Roman" w:hAnsi="Times New Roman" w:cs="Times New Roman"/>
          <w:b/>
        </w:rPr>
        <w:t xml:space="preserve"> high</w:t>
      </w:r>
      <w:r w:rsidRPr="00C91EA2">
        <w:rPr>
          <w:rFonts w:ascii="Times New Roman" w:hAnsi="Times New Roman" w:cs="Times New Roman"/>
          <w:b/>
        </w:rPr>
        <w:t xml:space="preserve"> export tax to support local processors </w:t>
      </w:r>
      <w:r w:rsidR="003312F5">
        <w:rPr>
          <w:rFonts w:ascii="Times New Roman" w:hAnsi="Times New Roman" w:cs="Times New Roman"/>
          <w:b/>
        </w:rPr>
        <w:t>in their competition</w:t>
      </w:r>
      <w:r w:rsidRPr="00C91EA2">
        <w:rPr>
          <w:rFonts w:ascii="Times New Roman" w:hAnsi="Times New Roman" w:cs="Times New Roman"/>
          <w:b/>
        </w:rPr>
        <w:t xml:space="preserve"> with exporters</w:t>
      </w:r>
      <w:r w:rsidR="00B76A39">
        <w:rPr>
          <w:rFonts w:ascii="Times New Roman" w:hAnsi="Times New Roman" w:cs="Times New Roman"/>
          <w:b/>
        </w:rPr>
        <w:t>. Following adverse effects on farmers, the Senegalese President suspended the tax in December 2017</w:t>
      </w:r>
      <w:r w:rsidRPr="00C91EA2">
        <w:rPr>
          <w:rFonts w:ascii="Times New Roman" w:hAnsi="Times New Roman" w:cs="Times New Roman"/>
          <w:b/>
        </w:rPr>
        <w:t>.</w:t>
      </w:r>
      <w:r w:rsidRPr="00C91EA2">
        <w:rPr>
          <w:rFonts w:ascii="Times New Roman" w:hAnsi="Times New Roman" w:cs="Times New Roman"/>
        </w:rPr>
        <w:t xml:space="preserve"> The tax was set at 40 F CFA per kg of shelled groundnuts (equivalent to the difference between the lower bound exporters’ price at the farmgate and the OPS price) and 15 F CFA per kg of nuts in shell (NIS).</w:t>
      </w:r>
      <w:r w:rsidRPr="00C91EA2">
        <w:rPr>
          <w:rStyle w:val="FootnoteReference"/>
          <w:rFonts w:ascii="Times New Roman" w:hAnsi="Times New Roman" w:cs="Times New Roman"/>
        </w:rPr>
        <w:footnoteReference w:id="152"/>
      </w:r>
      <w:r w:rsidRPr="00C91EA2">
        <w:rPr>
          <w:rFonts w:ascii="Times New Roman" w:hAnsi="Times New Roman" w:cs="Times New Roman"/>
        </w:rPr>
        <w:t xml:space="preserve"> As well as hindering the ability of exporters to compete with OPS, it should be noted that the incidence of the tax on shelled nuts explicitly disincentiv</w:t>
      </w:r>
      <w:r w:rsidR="003312F5">
        <w:rPr>
          <w:rFonts w:ascii="Times New Roman" w:hAnsi="Times New Roman" w:cs="Times New Roman"/>
        </w:rPr>
        <w:t>iz</w:t>
      </w:r>
      <w:r w:rsidRPr="00C91EA2">
        <w:rPr>
          <w:rFonts w:ascii="Times New Roman" w:hAnsi="Times New Roman" w:cs="Times New Roman"/>
        </w:rPr>
        <w:t>es shelling, a value added activity which</w:t>
      </w:r>
      <w:r w:rsidR="00861B0A">
        <w:rPr>
          <w:rFonts w:ascii="Times New Roman" w:hAnsi="Times New Roman" w:cs="Times New Roman"/>
        </w:rPr>
        <w:t>, in addition,</w:t>
      </w:r>
      <w:r w:rsidRPr="00C91EA2">
        <w:rPr>
          <w:rFonts w:ascii="Times New Roman" w:hAnsi="Times New Roman" w:cs="Times New Roman"/>
        </w:rPr>
        <w:t xml:space="preserve"> has been notable for the employment opportunities it has created particularly for low skilled women.</w:t>
      </w:r>
      <w:r w:rsidR="00B76A39">
        <w:rPr>
          <w:rFonts w:ascii="Times New Roman" w:hAnsi="Times New Roman" w:cs="Times New Roman"/>
        </w:rPr>
        <w:t xml:space="preserve"> Due to these adverse effects and a boycott by primarily Chinese traders, the </w:t>
      </w:r>
      <w:r w:rsidR="003B24ED">
        <w:rPr>
          <w:rFonts w:ascii="Times New Roman" w:hAnsi="Times New Roman" w:cs="Times New Roman"/>
        </w:rPr>
        <w:t>Government</w:t>
      </w:r>
      <w:r w:rsidR="00B76A39">
        <w:rPr>
          <w:rFonts w:ascii="Times New Roman" w:hAnsi="Times New Roman" w:cs="Times New Roman"/>
        </w:rPr>
        <w:t xml:space="preserve"> of Senegal suspended the tax in late 2017, only a year after it was introduced.</w:t>
      </w:r>
    </w:p>
    <w:tbl>
      <w:tblPr>
        <w:tblStyle w:val="TableGrid"/>
        <w:tblpPr w:leftFromText="180" w:rightFromText="180" w:vertAnchor="text" w:horzAnchor="margin" w:tblpY="350"/>
        <w:tblW w:w="0" w:type="auto"/>
        <w:tblLook w:val="04A0" w:firstRow="1" w:lastRow="0" w:firstColumn="1" w:lastColumn="0" w:noHBand="0" w:noVBand="1"/>
      </w:tblPr>
      <w:tblGrid>
        <w:gridCol w:w="8630"/>
      </w:tblGrid>
      <w:tr w:rsidR="00462CF4" w:rsidRPr="00C91EA2" w14:paraId="68CAE9CF" w14:textId="77777777" w:rsidTr="00462CF4">
        <w:tc>
          <w:tcPr>
            <w:tcW w:w="8630" w:type="dxa"/>
            <w:tcBorders>
              <w:top w:val="single" w:sz="4" w:space="0" w:color="auto"/>
              <w:left w:val="single" w:sz="4" w:space="0" w:color="auto"/>
              <w:bottom w:val="single" w:sz="4" w:space="0" w:color="auto"/>
              <w:right w:val="single" w:sz="4" w:space="0" w:color="auto"/>
            </w:tcBorders>
            <w:hideMark/>
          </w:tcPr>
          <w:p w14:paraId="65682E73" w14:textId="299A0771" w:rsidR="00462CF4" w:rsidRPr="00D33A5E" w:rsidRDefault="00462CF4" w:rsidP="00462CF4">
            <w:pPr>
              <w:pStyle w:val="Caption"/>
              <w:rPr>
                <w:rFonts w:ascii="Times New Roman" w:hAnsi="Times New Roman"/>
              </w:rPr>
            </w:pPr>
            <w:bookmarkStart w:id="231" w:name="_Ref497719898"/>
            <w:bookmarkStart w:id="232" w:name="_Toc520725608"/>
            <w:r w:rsidRPr="007575D7">
              <w:rPr>
                <w:rFonts w:ascii="Times New Roman" w:hAnsi="Times New Roman"/>
              </w:rPr>
              <w:t xml:space="preserve">Figure </w:t>
            </w:r>
            <w:r w:rsidR="00D91B27" w:rsidRPr="00D33A5E">
              <w:rPr>
                <w:rFonts w:ascii="Times New Roman" w:hAnsi="Times New Roman"/>
              </w:rPr>
              <w:fldChar w:fldCharType="begin"/>
            </w:r>
            <w:r w:rsidR="00D91B27" w:rsidRPr="007575D7">
              <w:rPr>
                <w:rFonts w:ascii="Times New Roman" w:hAnsi="Times New Roman"/>
              </w:rPr>
              <w:instrText xml:space="preserve"> SEQ Figure \* ARABIC </w:instrText>
            </w:r>
            <w:r w:rsidR="00D91B27" w:rsidRPr="00D33A5E">
              <w:rPr>
                <w:rFonts w:ascii="Times New Roman" w:hAnsi="Times New Roman"/>
              </w:rPr>
              <w:fldChar w:fldCharType="separate"/>
            </w:r>
            <w:r w:rsidR="008261B2">
              <w:rPr>
                <w:rFonts w:ascii="Times New Roman" w:hAnsi="Times New Roman"/>
                <w:noProof/>
              </w:rPr>
              <w:t>52</w:t>
            </w:r>
            <w:r w:rsidR="00D91B27" w:rsidRPr="00D33A5E">
              <w:rPr>
                <w:rFonts w:ascii="Times New Roman" w:hAnsi="Times New Roman"/>
              </w:rPr>
              <w:fldChar w:fldCharType="end"/>
            </w:r>
            <w:bookmarkEnd w:id="231"/>
            <w:r w:rsidRPr="007575D7">
              <w:rPr>
                <w:rFonts w:ascii="Times New Roman" w:hAnsi="Times New Roman"/>
              </w:rPr>
              <w:t xml:space="preserve">: Groundnuts collected by industrial processors (in tons) and </w:t>
            </w:r>
            <w:r w:rsidR="003B24ED" w:rsidRPr="007575D7">
              <w:rPr>
                <w:rFonts w:ascii="Times New Roman" w:hAnsi="Times New Roman"/>
              </w:rPr>
              <w:t>Government</w:t>
            </w:r>
            <w:r w:rsidRPr="007575D7">
              <w:rPr>
                <w:rFonts w:ascii="Times New Roman" w:hAnsi="Times New Roman"/>
              </w:rPr>
              <w:t xml:space="preserve"> subsidies (F CFA/kg)</w:t>
            </w:r>
            <w:bookmarkEnd w:id="232"/>
          </w:p>
        </w:tc>
      </w:tr>
      <w:tr w:rsidR="00462CF4" w:rsidRPr="00C91EA2" w14:paraId="6F1CC3DD" w14:textId="77777777" w:rsidTr="00462CF4">
        <w:tc>
          <w:tcPr>
            <w:tcW w:w="8630" w:type="dxa"/>
            <w:tcBorders>
              <w:top w:val="single" w:sz="4" w:space="0" w:color="auto"/>
              <w:left w:val="single" w:sz="4" w:space="0" w:color="auto"/>
              <w:bottom w:val="single" w:sz="4" w:space="0" w:color="auto"/>
              <w:right w:val="single" w:sz="4" w:space="0" w:color="auto"/>
            </w:tcBorders>
            <w:hideMark/>
          </w:tcPr>
          <w:p w14:paraId="4B78A9F4" w14:textId="77777777" w:rsidR="00462CF4" w:rsidRPr="00C91EA2" w:rsidRDefault="00462CF4" w:rsidP="00462CF4">
            <w:pPr>
              <w:jc w:val="both"/>
              <w:rPr>
                <w:rFonts w:ascii="Times New Roman" w:hAnsi="Times New Roman" w:cs="Times New Roman"/>
                <w:sz w:val="24"/>
                <w:szCs w:val="24"/>
              </w:rPr>
            </w:pPr>
            <w:r w:rsidRPr="00C91EA2">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59D88113" wp14:editId="61DC95A9">
                      <wp:simplePos x="0" y="0"/>
                      <wp:positionH relativeFrom="column">
                        <wp:posOffset>2575560</wp:posOffset>
                      </wp:positionH>
                      <wp:positionV relativeFrom="paragraph">
                        <wp:posOffset>144145</wp:posOffset>
                      </wp:positionV>
                      <wp:extent cx="1400175" cy="276225"/>
                      <wp:effectExtent l="0" t="0" r="352425" b="28575"/>
                      <wp:wrapNone/>
                      <wp:docPr id="753" name="Speech Bubble: Rectangle 753"/>
                      <wp:cNvGraphicFramePr/>
                      <a:graphic xmlns:a="http://schemas.openxmlformats.org/drawingml/2006/main">
                        <a:graphicData uri="http://schemas.microsoft.com/office/word/2010/wordprocessingShape">
                          <wps:wsp>
                            <wps:cNvSpPr/>
                            <wps:spPr>
                              <a:xfrm>
                                <a:off x="0" y="0"/>
                                <a:ext cx="1400175" cy="276225"/>
                              </a:xfrm>
                              <a:prstGeom prst="wedgeRectCallout">
                                <a:avLst>
                                  <a:gd name="adj1" fmla="val 71735"/>
                                  <a:gd name="adj2" fmla="val 34735"/>
                                </a:avLst>
                              </a:prstGeom>
                              <a:ln w="12700">
                                <a:prstDash val="solid"/>
                              </a:ln>
                            </wps:spPr>
                            <wps:style>
                              <a:lnRef idx="2">
                                <a:schemeClr val="dk1"/>
                              </a:lnRef>
                              <a:fillRef idx="1">
                                <a:schemeClr val="lt1"/>
                              </a:fillRef>
                              <a:effectRef idx="0">
                                <a:schemeClr val="dk1"/>
                              </a:effectRef>
                              <a:fontRef idx="minor">
                                <a:schemeClr val="dk1"/>
                              </a:fontRef>
                            </wps:style>
                            <wps:txbx>
                              <w:txbxContent>
                                <w:p w14:paraId="1DCE26B3" w14:textId="77777777" w:rsidR="00B42297" w:rsidRPr="003E29D5" w:rsidRDefault="00B42297" w:rsidP="00462CF4">
                                  <w:pPr>
                                    <w:jc w:val="center"/>
                                    <w:rPr>
                                      <w:rFonts w:ascii="Times New Roman" w:hAnsi="Times New Roman" w:cs="Times New Roman"/>
                                      <w:sz w:val="20"/>
                                    </w:rPr>
                                  </w:pPr>
                                  <w:r w:rsidRPr="003E29D5">
                                    <w:rPr>
                                      <w:rFonts w:ascii="Times New Roman" w:hAnsi="Times New Roman" w:cs="Times New Roman"/>
                                      <w:sz w:val="20"/>
                                    </w:rPr>
                                    <w:t>Removal of export 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88113" id="Speech Bubble: Rectangle 753" o:spid="_x0000_s1057" type="#_x0000_t61" style="position:absolute;left:0;text-align:left;margin-left:202.8pt;margin-top:11.35pt;width:110.2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" adj="26295,18303" fillcolor="white [3201]" strokecolor="black [3200]" strokeweight="1pt">
                      <v:textbox>
                        <w:txbxContent>
                          <w:p w14:paraId="1DCE26B3" w14:textId="77777777" w:rsidR="00B42297" w:rsidRPr="003E29D5" w:rsidRDefault="00B42297" w:rsidP="00462CF4">
                            <w:pPr>
                              <w:jc w:val="center"/>
                              <w:rPr>
                                <w:rFonts w:ascii="Times New Roman" w:hAnsi="Times New Roman" w:cs="Times New Roman"/>
                                <w:sz w:val="20"/>
                              </w:rPr>
                            </w:pPr>
                            <w:r w:rsidRPr="003E29D5">
                              <w:rPr>
                                <w:rFonts w:ascii="Times New Roman" w:hAnsi="Times New Roman" w:cs="Times New Roman"/>
                                <w:sz w:val="20"/>
                              </w:rPr>
                              <w:t>Removal of export ban</w:t>
                            </w:r>
                          </w:p>
                        </w:txbxContent>
                      </v:textbox>
                    </v:shape>
                  </w:pict>
                </mc:Fallback>
              </mc:AlternateContent>
            </w:r>
            <w:r w:rsidRPr="00C91EA2">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6666537A" wp14:editId="7E9D5C6A">
                      <wp:simplePos x="0" y="0"/>
                      <wp:positionH relativeFrom="column">
                        <wp:posOffset>4338320</wp:posOffset>
                      </wp:positionH>
                      <wp:positionV relativeFrom="paragraph">
                        <wp:posOffset>67945</wp:posOffset>
                      </wp:positionV>
                      <wp:extent cx="0" cy="2390775"/>
                      <wp:effectExtent l="0" t="0" r="19050" b="9525"/>
                      <wp:wrapNone/>
                      <wp:docPr id="752" name="Straight Connector 752"/>
                      <wp:cNvGraphicFramePr/>
                      <a:graphic xmlns:a="http://schemas.openxmlformats.org/drawingml/2006/main">
                        <a:graphicData uri="http://schemas.microsoft.com/office/word/2010/wordprocessingShape">
                          <wps:wsp>
                            <wps:cNvCnPr/>
                            <wps:spPr>
                              <a:xfrm flipV="1">
                                <a:off x="0" y="0"/>
                                <a:ext cx="0" cy="2390775"/>
                              </a:xfrm>
                              <a:prstGeom prst="line">
                                <a:avLst/>
                              </a:prstGeom>
                              <a:ln>
                                <a:prstDash val="dash"/>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432DBC7" id="Straight Connector 752"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341.6pt,5.35pt" to="341.6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" strokecolor="black [3200]" strokeweight="2pt">
                      <v:stroke dashstyle="dash"/>
                    </v:line>
                  </w:pict>
                </mc:Fallback>
              </mc:AlternateContent>
            </w:r>
            <w:r w:rsidRPr="00C91EA2">
              <w:rPr>
                <w:rFonts w:ascii="Times New Roman" w:hAnsi="Times New Roman" w:cs="Times New Roman"/>
                <w:noProof/>
              </w:rPr>
              <w:drawing>
                <wp:inline distT="0" distB="0" distL="0" distR="0" wp14:anchorId="75EF3A54" wp14:editId="759D910A">
                  <wp:extent cx="5343525" cy="3438525"/>
                  <wp:effectExtent l="0" t="0" r="0" b="0"/>
                  <wp:docPr id="736" name="Chart 736">
                    <a:extLst xmlns:a="http://schemas.openxmlformats.org/drawingml/2006/main">
                      <a:ext uri="{FF2B5EF4-FFF2-40B4-BE49-F238E27FC236}">
                        <a16:creationId xmlns:a16="http://schemas.microsoft.com/office/drawing/2014/main" id="{1EB85501-BD88-4D7C-9475-2DEF5403B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462CF4" w:rsidRPr="00C91EA2" w14:paraId="47C42678" w14:textId="77777777" w:rsidTr="00462CF4">
        <w:tc>
          <w:tcPr>
            <w:tcW w:w="8630" w:type="dxa"/>
            <w:tcBorders>
              <w:top w:val="single" w:sz="4" w:space="0" w:color="auto"/>
              <w:left w:val="single" w:sz="4" w:space="0" w:color="auto"/>
              <w:bottom w:val="single" w:sz="4" w:space="0" w:color="auto"/>
              <w:right w:val="single" w:sz="4" w:space="0" w:color="auto"/>
            </w:tcBorders>
            <w:hideMark/>
          </w:tcPr>
          <w:p w14:paraId="3D92E767" w14:textId="77777777" w:rsidR="00462CF4" w:rsidRPr="00D72C42" w:rsidRDefault="00462CF4" w:rsidP="00462CF4">
            <w:pPr>
              <w:keepNext/>
              <w:jc w:val="both"/>
              <w:rPr>
                <w:rFonts w:ascii="Times New Roman" w:hAnsi="Times New Roman" w:cs="Times New Roman"/>
                <w:sz w:val="20"/>
                <w:szCs w:val="24"/>
              </w:rPr>
            </w:pPr>
            <w:r w:rsidRPr="00D72C42">
              <w:rPr>
                <w:rFonts w:ascii="Times New Roman" w:hAnsi="Times New Roman" w:cs="Times New Roman"/>
                <w:sz w:val="20"/>
                <w:szCs w:val="24"/>
              </w:rPr>
              <w:t>Source: Authors’ visualization based on CNIA data</w:t>
            </w:r>
          </w:p>
        </w:tc>
      </w:tr>
    </w:tbl>
    <w:p w14:paraId="4B04B172" w14:textId="77777777" w:rsidR="00462CF4" w:rsidRPr="00C91EA2" w:rsidRDefault="00462CF4" w:rsidP="00462CF4">
      <w:pPr>
        <w:pStyle w:val="ListParagraph"/>
        <w:ind w:left="0"/>
        <w:jc w:val="both"/>
        <w:rPr>
          <w:rFonts w:ascii="Times New Roman" w:hAnsi="Times New Roman" w:cs="Times New Roman"/>
        </w:rPr>
      </w:pPr>
    </w:p>
    <w:p w14:paraId="0E1832D1" w14:textId="77777777" w:rsidR="00462CF4" w:rsidRDefault="00462CF4" w:rsidP="00AA15ED">
      <w:pPr>
        <w:jc w:val="both"/>
        <w:rPr>
          <w:rFonts w:ascii="Times New Roman" w:hAnsi="Times New Roman" w:cs="Times New Roman"/>
        </w:rPr>
      </w:pPr>
    </w:p>
    <w:p w14:paraId="51622B94" w14:textId="77777777" w:rsidR="00462CF4" w:rsidRPr="00C91EA2" w:rsidRDefault="00462CF4" w:rsidP="00AA15ED">
      <w:pPr>
        <w:jc w:val="both"/>
        <w:rPr>
          <w:rFonts w:ascii="Times New Roman" w:hAnsi="Times New Roman" w:cs="Times New Roman"/>
        </w:rPr>
      </w:pPr>
    </w:p>
    <w:p w14:paraId="3E2EBAB0" w14:textId="69127EFA" w:rsidR="00377635" w:rsidRPr="00C91EA2" w:rsidRDefault="00462CF4" w:rsidP="00AA15ED">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 </w:t>
      </w:r>
      <w:r w:rsidR="00377635" w:rsidRPr="00C91EA2">
        <w:rPr>
          <w:rFonts w:ascii="Times New Roman" w:hAnsi="Times New Roman" w:cs="Times New Roman"/>
          <w:b/>
        </w:rPr>
        <w:t xml:space="preserve">Export restrictions have in the past also included temporary de facto bans on exports, restricting Senegal’s entry into international markets and </w:t>
      </w:r>
      <w:proofErr w:type="spellStart"/>
      <w:r w:rsidR="001E395D">
        <w:rPr>
          <w:rFonts w:ascii="Times New Roman" w:hAnsi="Times New Roman" w:cs="Times New Roman"/>
          <w:b/>
        </w:rPr>
        <w:t>unleveling</w:t>
      </w:r>
      <w:proofErr w:type="spellEnd"/>
      <w:r w:rsidR="001E395D" w:rsidRPr="00C91EA2">
        <w:rPr>
          <w:rFonts w:ascii="Times New Roman" w:hAnsi="Times New Roman" w:cs="Times New Roman"/>
          <w:b/>
        </w:rPr>
        <w:t xml:space="preserve"> </w:t>
      </w:r>
      <w:r w:rsidR="00377635" w:rsidRPr="00C91EA2">
        <w:rPr>
          <w:rFonts w:ascii="Times New Roman" w:hAnsi="Times New Roman" w:cs="Times New Roman"/>
          <w:b/>
        </w:rPr>
        <w:t xml:space="preserve">the playing field between exporters and local processors. </w:t>
      </w:r>
      <w:r w:rsidR="00377635" w:rsidRPr="00C91EA2">
        <w:rPr>
          <w:rFonts w:ascii="Times New Roman" w:hAnsi="Times New Roman" w:cs="Times New Roman"/>
        </w:rPr>
        <w:t xml:space="preserve">For example, in December of 2016 the </w:t>
      </w:r>
      <w:proofErr w:type="spellStart"/>
      <w:r w:rsidR="00377635" w:rsidRPr="00C91EA2">
        <w:rPr>
          <w:rFonts w:ascii="Times New Roman" w:hAnsi="Times New Roman" w:cs="Times New Roman"/>
        </w:rPr>
        <w:t>GoS</w:t>
      </w:r>
      <w:proofErr w:type="spellEnd"/>
      <w:r w:rsidR="00377635" w:rsidRPr="00C91EA2">
        <w:rPr>
          <w:rFonts w:ascii="Times New Roman" w:hAnsi="Times New Roman" w:cs="Times New Roman"/>
        </w:rPr>
        <w:t xml:space="preserve"> ordered customs to block all exports of groundnut</w:t>
      </w:r>
      <w:r w:rsidR="00D6163F">
        <w:rPr>
          <w:rFonts w:ascii="Times New Roman" w:hAnsi="Times New Roman" w:cs="Times New Roman"/>
        </w:rPr>
        <w:t>s</w:t>
      </w:r>
      <w:r w:rsidR="00377635" w:rsidRPr="00C91EA2">
        <w:rPr>
          <w:rFonts w:ascii="Times New Roman" w:hAnsi="Times New Roman" w:cs="Times New Roman"/>
        </w:rPr>
        <w:t>,</w:t>
      </w:r>
      <w:r w:rsidR="00377635" w:rsidRPr="00C91EA2">
        <w:rPr>
          <w:rStyle w:val="FootnoteReference"/>
          <w:rFonts w:ascii="Times New Roman" w:hAnsi="Times New Roman" w:cs="Times New Roman"/>
        </w:rPr>
        <w:footnoteReference w:id="153"/>
      </w:r>
      <w:r w:rsidR="00377635" w:rsidRPr="00C91EA2">
        <w:rPr>
          <w:rFonts w:ascii="Times New Roman" w:hAnsi="Times New Roman" w:cs="Times New Roman"/>
        </w:rPr>
        <w:t xml:space="preserve"> hindering exporters from entering the global export market. Such episodes, along with the export tax that was put in place around the same time</w:t>
      </w:r>
      <w:r w:rsidR="00183D71">
        <w:rPr>
          <w:rFonts w:ascii="Times New Roman" w:hAnsi="Times New Roman" w:cs="Times New Roman"/>
        </w:rPr>
        <w:t>,</w:t>
      </w:r>
      <w:r w:rsidR="00377635" w:rsidRPr="00C91EA2">
        <w:rPr>
          <w:rFonts w:ascii="Times New Roman" w:hAnsi="Times New Roman" w:cs="Times New Roman"/>
        </w:rPr>
        <w:t xml:space="preserve"> create a disadvantage for exporters in their ability to compete on the market for buying from farmers. Since then, the groundnut oil processing industry has picked up, having collected 237 percent more </w:t>
      </w:r>
      <w:r w:rsidR="00183D71">
        <w:rPr>
          <w:rFonts w:ascii="Times New Roman" w:hAnsi="Times New Roman" w:cs="Times New Roman"/>
        </w:rPr>
        <w:t>by</w:t>
      </w:r>
      <w:r w:rsidR="00183D71" w:rsidRPr="00C91EA2">
        <w:rPr>
          <w:rFonts w:ascii="Times New Roman" w:hAnsi="Times New Roman" w:cs="Times New Roman"/>
        </w:rPr>
        <w:t xml:space="preserve"> </w:t>
      </w:r>
      <w:r w:rsidR="00377635" w:rsidRPr="00C91EA2">
        <w:rPr>
          <w:rFonts w:ascii="Times New Roman" w:hAnsi="Times New Roman" w:cs="Times New Roman"/>
        </w:rPr>
        <w:t>the second-to-last week of the 2016/17 season than in the entire 2015</w:t>
      </w:r>
      <w:r>
        <w:rPr>
          <w:rFonts w:ascii="Times New Roman" w:hAnsi="Times New Roman" w:cs="Times New Roman"/>
        </w:rPr>
        <w:t>/16 season,</w:t>
      </w:r>
      <w:r w:rsidR="00377635" w:rsidRPr="00C91EA2">
        <w:rPr>
          <w:rStyle w:val="FootnoteReference"/>
          <w:rFonts w:ascii="Times New Roman" w:hAnsi="Times New Roman" w:cs="Times New Roman"/>
        </w:rPr>
        <w:footnoteReference w:id="154"/>
      </w:r>
      <w:r w:rsidR="00377635" w:rsidRPr="00C91EA2">
        <w:rPr>
          <w:rFonts w:ascii="Times New Roman" w:hAnsi="Times New Roman" w:cs="Times New Roman"/>
        </w:rPr>
        <w:t xml:space="preserve"> </w:t>
      </w:r>
      <w:proofErr w:type="gramStart"/>
      <w:r>
        <w:rPr>
          <w:rFonts w:ascii="Times New Roman" w:hAnsi="Times New Roman" w:cs="Times New Roman"/>
        </w:rPr>
        <w:t>despite the fact that</w:t>
      </w:r>
      <w:proofErr w:type="gramEnd"/>
      <w:r>
        <w:rPr>
          <w:rFonts w:ascii="Times New Roman" w:hAnsi="Times New Roman" w:cs="Times New Roman"/>
        </w:rPr>
        <w:t xml:space="preserve"> i</w:t>
      </w:r>
      <w:r w:rsidR="00377635" w:rsidRPr="00C91EA2">
        <w:rPr>
          <w:rFonts w:ascii="Times New Roman" w:hAnsi="Times New Roman" w:cs="Times New Roman"/>
        </w:rPr>
        <w:t>n the 2016/17 season purchasing subsidies to processors were not paid.</w:t>
      </w:r>
    </w:p>
    <w:p w14:paraId="21BCB753" w14:textId="77777777" w:rsidR="00377635" w:rsidRPr="00C91EA2" w:rsidRDefault="00377635" w:rsidP="00377635">
      <w:pPr>
        <w:jc w:val="both"/>
        <w:rPr>
          <w:rFonts w:ascii="Times New Roman" w:hAnsi="Times New Roman" w:cs="Times New Roman"/>
        </w:rPr>
      </w:pPr>
    </w:p>
    <w:p w14:paraId="5FD1A645" w14:textId="059E1DB5"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In addition to explicit restrictions placed on exports, dynamics in the market for buying from farmers are shaped by a combination of market characteristics and policy-related distortions. </w:t>
      </w:r>
      <w:r w:rsidRPr="00C91EA2">
        <w:rPr>
          <w:rFonts w:ascii="Times New Roman" w:hAnsi="Times New Roman" w:cs="Times New Roman"/>
        </w:rPr>
        <w:t xml:space="preserve">While farmers are in theory able to sell to different intermediaries, the fact that farmers typically sell by bringing their produce to an OPS collection point or an exporter’s warehouse means that their choice of buyer is shaped by the prevalence and physical locations of these points. </w:t>
      </w:r>
      <w:proofErr w:type="gramStart"/>
      <w:r w:rsidRPr="00C91EA2">
        <w:rPr>
          <w:rFonts w:ascii="Times New Roman" w:hAnsi="Times New Roman" w:cs="Times New Roman"/>
        </w:rPr>
        <w:t>In particular, the</w:t>
      </w:r>
      <w:proofErr w:type="gramEnd"/>
      <w:r w:rsidRPr="00C91EA2">
        <w:rPr>
          <w:rFonts w:ascii="Times New Roman" w:hAnsi="Times New Roman" w:cs="Times New Roman"/>
        </w:rPr>
        <w:t xml:space="preserve"> OPS appear to benefit from a well-established infrastructure of collection points.</w:t>
      </w:r>
      <w:r w:rsidRPr="00C91EA2">
        <w:rPr>
          <w:rStyle w:val="FootnoteReference"/>
          <w:rFonts w:ascii="Times New Roman" w:hAnsi="Times New Roman" w:cs="Times New Roman"/>
        </w:rPr>
        <w:footnoteReference w:id="155"/>
      </w:r>
      <w:r w:rsidRPr="00C91EA2">
        <w:rPr>
          <w:rFonts w:ascii="Times New Roman" w:hAnsi="Times New Roman" w:cs="Times New Roman"/>
        </w:rPr>
        <w:t xml:space="preserve"> The CNIA oversees a process of allocating collection points between OPS contracted to certain processors,</w:t>
      </w:r>
      <w:r w:rsidRPr="00C91EA2">
        <w:rPr>
          <w:rStyle w:val="FootnoteReference"/>
          <w:rFonts w:ascii="Times New Roman" w:hAnsi="Times New Roman" w:cs="Times New Roman"/>
        </w:rPr>
        <w:footnoteReference w:id="156"/>
      </w:r>
      <w:r w:rsidRPr="00C91EA2">
        <w:rPr>
          <w:rFonts w:ascii="Times New Roman" w:hAnsi="Times New Roman" w:cs="Times New Roman"/>
        </w:rPr>
        <w:t xml:space="preserve"> and even where these may not be strictly adhered to</w:t>
      </w:r>
      <w:r w:rsidR="008E73C3">
        <w:rPr>
          <w:rFonts w:ascii="Times New Roman" w:hAnsi="Times New Roman" w:cs="Times New Roman"/>
        </w:rPr>
        <w:t>,</w:t>
      </w:r>
      <w:r w:rsidRPr="00C91EA2">
        <w:rPr>
          <w:rFonts w:ascii="Times New Roman" w:hAnsi="Times New Roman" w:cs="Times New Roman"/>
        </w:rPr>
        <w:t xml:space="preserve"> the fact that certain collectors have historically controlled certain points may provide them with an advantage over new market entrants, including exporters. </w:t>
      </w:r>
    </w:p>
    <w:p w14:paraId="08E48AF9" w14:textId="77777777" w:rsidR="00377635" w:rsidRPr="00C91EA2" w:rsidRDefault="00377635" w:rsidP="00E26E07">
      <w:pPr>
        <w:jc w:val="both"/>
        <w:rPr>
          <w:rFonts w:ascii="Times New Roman" w:hAnsi="Times New Roman" w:cs="Times New Roman"/>
        </w:rPr>
      </w:pPr>
    </w:p>
    <w:p w14:paraId="42B42722" w14:textId="434827F6"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This </w:t>
      </w:r>
      <w:r w:rsidR="00206072">
        <w:rPr>
          <w:rFonts w:ascii="Times New Roman" w:hAnsi="Times New Roman" w:cs="Times New Roman"/>
          <w:b/>
        </w:rPr>
        <w:t>advantage to OPS</w:t>
      </w:r>
      <w:r w:rsidR="00206072" w:rsidRPr="00C91EA2">
        <w:rPr>
          <w:rFonts w:ascii="Times New Roman" w:hAnsi="Times New Roman" w:cs="Times New Roman"/>
          <w:b/>
        </w:rPr>
        <w:t xml:space="preserve"> </w:t>
      </w:r>
      <w:r w:rsidR="00462CF4">
        <w:rPr>
          <w:rFonts w:ascii="Times New Roman" w:hAnsi="Times New Roman" w:cs="Times New Roman"/>
          <w:b/>
        </w:rPr>
        <w:t xml:space="preserve">is </w:t>
      </w:r>
      <w:r w:rsidRPr="00C91EA2">
        <w:rPr>
          <w:rFonts w:ascii="Times New Roman" w:hAnsi="Times New Roman" w:cs="Times New Roman"/>
          <w:b/>
        </w:rPr>
        <w:t>amplified by the fact that OPS have also often acted as input and credit providers for farmers and appear to benefit from favorable rates of credit.</w:t>
      </w:r>
      <w:r w:rsidRPr="00C91EA2">
        <w:rPr>
          <w:rFonts w:ascii="Times New Roman" w:hAnsi="Times New Roman" w:cs="Times New Roman"/>
        </w:rPr>
        <w:t xml:space="preserve"> This is partially a result of the fact that the </w:t>
      </w:r>
      <w:r w:rsidR="003B24ED">
        <w:rPr>
          <w:rFonts w:ascii="Times New Roman" w:hAnsi="Times New Roman" w:cs="Times New Roman"/>
        </w:rPr>
        <w:t>Government</w:t>
      </w:r>
      <w:r w:rsidRPr="00C91EA2">
        <w:rPr>
          <w:rFonts w:ascii="Times New Roman" w:hAnsi="Times New Roman" w:cs="Times New Roman"/>
        </w:rPr>
        <w:t xml:space="preserve"> subsidizes interest rates for OPS so that they enjoy lower rates than farmers. Whereas farmers’ interest rates for loans from the publicly owned </w:t>
      </w:r>
      <w:proofErr w:type="spellStart"/>
      <w:r w:rsidRPr="00C91EA2">
        <w:rPr>
          <w:rFonts w:ascii="Times New Roman" w:hAnsi="Times New Roman" w:cs="Times New Roman"/>
        </w:rPr>
        <w:t>Caisse</w:t>
      </w:r>
      <w:proofErr w:type="spellEnd"/>
      <w:r w:rsidRPr="00C91EA2">
        <w:rPr>
          <w:rFonts w:ascii="Times New Roman" w:hAnsi="Times New Roman" w:cs="Times New Roman"/>
        </w:rPr>
        <w:t xml:space="preserve"> </w:t>
      </w:r>
      <w:proofErr w:type="spellStart"/>
      <w:r w:rsidRPr="00C91EA2">
        <w:rPr>
          <w:rFonts w:ascii="Times New Roman" w:hAnsi="Times New Roman" w:cs="Times New Roman"/>
        </w:rPr>
        <w:t>Nationale</w:t>
      </w:r>
      <w:proofErr w:type="spellEnd"/>
      <w:r w:rsidRPr="00C91EA2">
        <w:rPr>
          <w:rFonts w:ascii="Times New Roman" w:hAnsi="Times New Roman" w:cs="Times New Roman"/>
        </w:rPr>
        <w:t xml:space="preserve"> de Crédit Agricole (CNCAS), the primary financier</w:t>
      </w:r>
      <w:r w:rsidR="008E73C3">
        <w:rPr>
          <w:rFonts w:ascii="Times New Roman" w:hAnsi="Times New Roman" w:cs="Times New Roman"/>
        </w:rPr>
        <w:t>,</w:t>
      </w:r>
      <w:r w:rsidRPr="00C91EA2">
        <w:rPr>
          <w:rFonts w:ascii="Times New Roman" w:hAnsi="Times New Roman" w:cs="Times New Roman"/>
        </w:rPr>
        <w:t xml:space="preserve"> are capped at 7.5 percent, those of OPS are capped at 6 percent.</w:t>
      </w:r>
      <w:r w:rsidRPr="00C91EA2">
        <w:rPr>
          <w:rStyle w:val="FootnoteReference"/>
          <w:rFonts w:ascii="Times New Roman" w:hAnsi="Times New Roman" w:cs="Times New Roman"/>
        </w:rPr>
        <w:footnoteReference w:id="157"/>
      </w:r>
      <w:r w:rsidRPr="00C91EA2">
        <w:rPr>
          <w:rFonts w:ascii="Times New Roman" w:hAnsi="Times New Roman" w:cs="Times New Roman"/>
        </w:rPr>
        <w:t xml:space="preserve"> </w:t>
      </w:r>
      <w:r w:rsidR="009A4AB3">
        <w:rPr>
          <w:rFonts w:ascii="Times New Roman" w:hAnsi="Times New Roman" w:cs="Times New Roman"/>
        </w:rPr>
        <w:t xml:space="preserve">This allows OPS to </w:t>
      </w:r>
      <w:proofErr w:type="spellStart"/>
      <w:r w:rsidR="009A4AB3">
        <w:rPr>
          <w:rFonts w:ascii="Times New Roman" w:hAnsi="Times New Roman" w:cs="Times New Roman"/>
        </w:rPr>
        <w:t>onlend</w:t>
      </w:r>
      <w:proofErr w:type="spellEnd"/>
      <w:r w:rsidR="009A4AB3">
        <w:rPr>
          <w:rFonts w:ascii="Times New Roman" w:hAnsi="Times New Roman" w:cs="Times New Roman"/>
        </w:rPr>
        <w:t xml:space="preserve"> to farmers at relatively favorable rates compared to those charged by CNCAS. It may be </w:t>
      </w:r>
      <w:r w:rsidR="007013B2">
        <w:rPr>
          <w:rFonts w:ascii="Times New Roman" w:hAnsi="Times New Roman" w:cs="Times New Roman"/>
        </w:rPr>
        <w:t xml:space="preserve">partly </w:t>
      </w:r>
      <w:r w:rsidRPr="00C91EA2">
        <w:rPr>
          <w:rFonts w:ascii="Times New Roman" w:hAnsi="Times New Roman" w:cs="Times New Roman"/>
        </w:rPr>
        <w:t>a result</w:t>
      </w:r>
      <w:r w:rsidR="00631A8B">
        <w:rPr>
          <w:rFonts w:ascii="Times New Roman" w:hAnsi="Times New Roman" w:cs="Times New Roman"/>
        </w:rPr>
        <w:t xml:space="preserve"> </w:t>
      </w:r>
      <w:r w:rsidR="00631A8B" w:rsidRPr="005A26C7">
        <w:rPr>
          <w:rFonts w:ascii="Times New Roman" w:hAnsi="Times New Roman" w:cs="Times New Roman"/>
        </w:rPr>
        <w:t xml:space="preserve">of the dependence of </w:t>
      </w:r>
      <w:r w:rsidR="00A16643">
        <w:rPr>
          <w:rFonts w:ascii="Times New Roman" w:hAnsi="Times New Roman" w:cs="Times New Roman"/>
        </w:rPr>
        <w:t xml:space="preserve">some </w:t>
      </w:r>
      <w:r w:rsidR="00631A8B" w:rsidRPr="00AA611C">
        <w:rPr>
          <w:rFonts w:ascii="Times New Roman" w:hAnsi="Times New Roman" w:cs="Times New Roman"/>
        </w:rPr>
        <w:t>farmers on OPS as input and credit providers</w:t>
      </w:r>
      <w:r w:rsidR="009A4AB3">
        <w:rPr>
          <w:rFonts w:ascii="Times New Roman" w:hAnsi="Times New Roman" w:cs="Times New Roman"/>
        </w:rPr>
        <w:t xml:space="preserve"> that</w:t>
      </w:r>
      <w:r w:rsidRPr="00C91EA2">
        <w:rPr>
          <w:rFonts w:ascii="Times New Roman" w:hAnsi="Times New Roman" w:cs="Times New Roman"/>
        </w:rPr>
        <w:t xml:space="preserve"> OPS have </w:t>
      </w:r>
      <w:r w:rsidR="00A16643">
        <w:rPr>
          <w:rFonts w:ascii="Times New Roman" w:hAnsi="Times New Roman" w:cs="Times New Roman"/>
        </w:rPr>
        <w:t xml:space="preserve">reportedly </w:t>
      </w:r>
      <w:r w:rsidRPr="00C91EA2">
        <w:rPr>
          <w:rFonts w:ascii="Times New Roman" w:hAnsi="Times New Roman" w:cs="Times New Roman"/>
        </w:rPr>
        <w:t xml:space="preserve">been able to </w:t>
      </w:r>
      <w:r w:rsidR="00D85AF1">
        <w:rPr>
          <w:rFonts w:ascii="Times New Roman" w:hAnsi="Times New Roman" w:cs="Times New Roman"/>
        </w:rPr>
        <w:t xml:space="preserve">informally </w:t>
      </w:r>
      <w:r w:rsidR="00A16643" w:rsidRPr="00C91EA2">
        <w:rPr>
          <w:rFonts w:ascii="Times New Roman" w:hAnsi="Times New Roman" w:cs="Times New Roman"/>
        </w:rPr>
        <w:t>p</w:t>
      </w:r>
      <w:r w:rsidR="00A16643">
        <w:rPr>
          <w:rFonts w:ascii="Times New Roman" w:hAnsi="Times New Roman" w:cs="Times New Roman"/>
        </w:rPr>
        <w:t>ay farmers below</w:t>
      </w:r>
      <w:r w:rsidRPr="00C91EA2">
        <w:rPr>
          <w:rFonts w:ascii="Times New Roman" w:hAnsi="Times New Roman" w:cs="Times New Roman"/>
        </w:rPr>
        <w:t xml:space="preserve"> the officially set</w:t>
      </w:r>
      <w:r w:rsidR="00A16643">
        <w:rPr>
          <w:rFonts w:ascii="Times New Roman" w:hAnsi="Times New Roman" w:cs="Times New Roman"/>
        </w:rPr>
        <w:t xml:space="preserve"> minimum</w:t>
      </w:r>
      <w:r w:rsidRPr="00C91EA2">
        <w:rPr>
          <w:rFonts w:ascii="Times New Roman" w:hAnsi="Times New Roman" w:cs="Times New Roman"/>
        </w:rPr>
        <w:t xml:space="preserve"> farmgate price </w:t>
      </w:r>
      <w:r w:rsidR="00A16643">
        <w:rPr>
          <w:rFonts w:ascii="Times New Roman" w:hAnsi="Times New Roman" w:cs="Times New Roman"/>
        </w:rPr>
        <w:t>in some cases</w:t>
      </w:r>
      <w:r w:rsidRPr="00C91EA2">
        <w:rPr>
          <w:rFonts w:ascii="Times New Roman" w:hAnsi="Times New Roman" w:cs="Times New Roman"/>
        </w:rPr>
        <w:t>.</w:t>
      </w:r>
      <w:r w:rsidRPr="00C91EA2">
        <w:rPr>
          <w:rStyle w:val="FootnoteReference"/>
          <w:rFonts w:ascii="Times New Roman" w:hAnsi="Times New Roman" w:cs="Times New Roman"/>
        </w:rPr>
        <w:footnoteReference w:id="158"/>
      </w:r>
      <w:r w:rsidRPr="00C91EA2">
        <w:rPr>
          <w:rFonts w:ascii="Times New Roman" w:hAnsi="Times New Roman" w:cs="Times New Roman"/>
        </w:rPr>
        <w:t xml:space="preserve"> Moreover, the risk of collusion between OPS is heightened by their presence on the CNIA, and their obligation to buy at designated collection points, which increase opportunities for information exchange. Given that the CNIA also defines the length of the collection season, farmers are not only limited in their choice of purchaser, but also in the timing of their sale to OPS or other formal collectors, which removes yet another strategic var</w:t>
      </w:r>
      <w:r w:rsidR="00462CF4">
        <w:rPr>
          <w:rFonts w:ascii="Times New Roman" w:hAnsi="Times New Roman" w:cs="Times New Roman"/>
        </w:rPr>
        <w:t>iable</w:t>
      </w:r>
      <w:r w:rsidRPr="00C91EA2">
        <w:rPr>
          <w:rFonts w:ascii="Times New Roman" w:hAnsi="Times New Roman" w:cs="Times New Roman"/>
        </w:rPr>
        <w:t xml:space="preserve"> over which buyers and sellers could compete. Lastly, although historically set quotas for collection by OPS have now been lifted, they could still serve as an informational anchor that may raise the risk of collusion between OPS in terms of quantity/market allocation.</w:t>
      </w:r>
    </w:p>
    <w:p w14:paraId="144E116E" w14:textId="77777777" w:rsidR="00377635" w:rsidRPr="00C91EA2" w:rsidRDefault="00377635" w:rsidP="00377635">
      <w:pPr>
        <w:jc w:val="both"/>
        <w:rPr>
          <w:rFonts w:ascii="Times New Roman" w:hAnsi="Times New Roman" w:cs="Times New Roman"/>
        </w:rPr>
      </w:pPr>
    </w:p>
    <w:p w14:paraId="11FF66C8" w14:textId="5A757099" w:rsidR="009A141C"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w:t>
      </w:r>
      <w:r w:rsidR="003B24ED">
        <w:rPr>
          <w:rFonts w:ascii="Times New Roman" w:hAnsi="Times New Roman" w:cs="Times New Roman"/>
          <w:b/>
        </w:rPr>
        <w:t>Government</w:t>
      </w:r>
      <w:r w:rsidRPr="00C91EA2">
        <w:rPr>
          <w:rFonts w:ascii="Times New Roman" w:hAnsi="Times New Roman" w:cs="Times New Roman"/>
          <w:b/>
        </w:rPr>
        <w:t xml:space="preserve"> of Senegal also directly shapes competition in the market for buying from farmer</w:t>
      </w:r>
      <w:r w:rsidR="00462CF4">
        <w:rPr>
          <w:rFonts w:ascii="Times New Roman" w:hAnsi="Times New Roman" w:cs="Times New Roman"/>
          <w:b/>
        </w:rPr>
        <w:t>s through its direct participation</w:t>
      </w:r>
      <w:r w:rsidRPr="00C91EA2">
        <w:rPr>
          <w:rFonts w:ascii="Times New Roman" w:hAnsi="Times New Roman" w:cs="Times New Roman"/>
          <w:b/>
        </w:rPr>
        <w:t xml:space="preserve"> in the value chain as the owner of the Société </w:t>
      </w:r>
      <w:proofErr w:type="spellStart"/>
      <w:r w:rsidRPr="00C91EA2">
        <w:rPr>
          <w:rFonts w:ascii="Times New Roman" w:hAnsi="Times New Roman" w:cs="Times New Roman"/>
          <w:b/>
        </w:rPr>
        <w:t>Nationale</w:t>
      </w:r>
      <w:proofErr w:type="spellEnd"/>
      <w:r w:rsidRPr="00C91EA2">
        <w:rPr>
          <w:rFonts w:ascii="Times New Roman" w:hAnsi="Times New Roman" w:cs="Times New Roman"/>
          <w:b/>
        </w:rPr>
        <w:t xml:space="preserve"> de </w:t>
      </w:r>
      <w:proofErr w:type="spellStart"/>
      <w:r w:rsidR="009C03A2">
        <w:rPr>
          <w:rFonts w:ascii="Times New Roman" w:hAnsi="Times New Roman" w:cs="Times New Roman"/>
          <w:b/>
        </w:rPr>
        <w:t>Commercialis</w:t>
      </w:r>
      <w:r w:rsidR="009C03A2" w:rsidRPr="00C91EA2">
        <w:rPr>
          <w:rFonts w:ascii="Times New Roman" w:hAnsi="Times New Roman" w:cs="Times New Roman"/>
          <w:b/>
        </w:rPr>
        <w:t>ation</w:t>
      </w:r>
      <w:proofErr w:type="spellEnd"/>
      <w:r w:rsidRPr="00C91EA2">
        <w:rPr>
          <w:rFonts w:ascii="Times New Roman" w:hAnsi="Times New Roman" w:cs="Times New Roman"/>
          <w:b/>
        </w:rPr>
        <w:t xml:space="preserve"> des </w:t>
      </w:r>
      <w:proofErr w:type="spellStart"/>
      <w:r w:rsidRPr="00C91EA2">
        <w:rPr>
          <w:rFonts w:ascii="Times New Roman" w:hAnsi="Times New Roman" w:cs="Times New Roman"/>
          <w:b/>
        </w:rPr>
        <w:t>Oléagineux</w:t>
      </w:r>
      <w:proofErr w:type="spellEnd"/>
      <w:r w:rsidRPr="00C91EA2">
        <w:rPr>
          <w:rFonts w:ascii="Times New Roman" w:hAnsi="Times New Roman" w:cs="Times New Roman"/>
          <w:b/>
        </w:rPr>
        <w:t xml:space="preserve"> du </w:t>
      </w:r>
      <w:proofErr w:type="spellStart"/>
      <w:r w:rsidRPr="00C91EA2">
        <w:rPr>
          <w:rFonts w:ascii="Times New Roman" w:hAnsi="Times New Roman" w:cs="Times New Roman"/>
          <w:b/>
        </w:rPr>
        <w:t>Sénégal</w:t>
      </w:r>
      <w:proofErr w:type="spellEnd"/>
      <w:r w:rsidRPr="00C91EA2">
        <w:rPr>
          <w:rFonts w:ascii="Times New Roman" w:hAnsi="Times New Roman" w:cs="Times New Roman"/>
          <w:b/>
        </w:rPr>
        <w:t xml:space="preserve"> (SONACOS), Senegal’s largest groundnut oil producer. </w:t>
      </w:r>
      <w:r w:rsidRPr="00C91EA2">
        <w:rPr>
          <w:rFonts w:ascii="Times New Roman" w:hAnsi="Times New Roman" w:cs="Times New Roman"/>
        </w:rPr>
        <w:t>In 2005,</w:t>
      </w:r>
      <w:r w:rsidRPr="00C91EA2">
        <w:rPr>
          <w:rFonts w:ascii="Times New Roman" w:hAnsi="Times New Roman" w:cs="Times New Roman"/>
          <w:b/>
        </w:rPr>
        <w:t xml:space="preserve"> </w:t>
      </w:r>
      <w:r w:rsidRPr="00C91EA2">
        <w:rPr>
          <w:rFonts w:ascii="Times New Roman" w:hAnsi="Times New Roman" w:cs="Times New Roman"/>
        </w:rPr>
        <w:t xml:space="preserve">after years of state ownership, SONACOS was partially privatized through a sale of 85 percent to the French company, </w:t>
      </w:r>
      <w:proofErr w:type="spellStart"/>
      <w:r w:rsidRPr="00C91EA2">
        <w:rPr>
          <w:rFonts w:ascii="Times New Roman" w:hAnsi="Times New Roman" w:cs="Times New Roman"/>
        </w:rPr>
        <w:t>Advens</w:t>
      </w:r>
      <w:proofErr w:type="spellEnd"/>
      <w:r w:rsidRPr="00C91EA2">
        <w:rPr>
          <w:rFonts w:ascii="Times New Roman" w:hAnsi="Times New Roman" w:cs="Times New Roman"/>
        </w:rPr>
        <w:t>.</w:t>
      </w:r>
      <w:r w:rsidRPr="00C91EA2">
        <w:rPr>
          <w:rStyle w:val="FootnoteReference"/>
          <w:rFonts w:ascii="Times New Roman" w:hAnsi="Times New Roman" w:cs="Times New Roman"/>
        </w:rPr>
        <w:footnoteReference w:id="159"/>
      </w:r>
      <w:r w:rsidRPr="00C91EA2">
        <w:rPr>
          <w:rFonts w:ascii="Times New Roman" w:hAnsi="Times New Roman" w:cs="Times New Roman"/>
        </w:rPr>
        <w:t xml:space="preserve"> The Senegalese </w:t>
      </w:r>
      <w:r w:rsidR="003B24ED">
        <w:rPr>
          <w:rFonts w:ascii="Times New Roman" w:hAnsi="Times New Roman" w:cs="Times New Roman"/>
        </w:rPr>
        <w:t>Government</w:t>
      </w:r>
      <w:r w:rsidRPr="00C91EA2">
        <w:rPr>
          <w:rFonts w:ascii="Times New Roman" w:hAnsi="Times New Roman" w:cs="Times New Roman"/>
        </w:rPr>
        <w:t xml:space="preserve"> retained the remaining market share of 15 percent of the company, which was renamed SUNEOR. However, in October 2015, following financial difficulties, the </w:t>
      </w:r>
      <w:r w:rsidR="003B24ED">
        <w:rPr>
          <w:rFonts w:ascii="Times New Roman" w:hAnsi="Times New Roman" w:cs="Times New Roman"/>
        </w:rPr>
        <w:t>Government</w:t>
      </w:r>
      <w:r w:rsidRPr="00C91EA2">
        <w:rPr>
          <w:rFonts w:ascii="Times New Roman" w:hAnsi="Times New Roman" w:cs="Times New Roman"/>
        </w:rPr>
        <w:t xml:space="preserve"> agreed to </w:t>
      </w:r>
      <w:r w:rsidR="00E0361C">
        <w:rPr>
          <w:rFonts w:ascii="Times New Roman" w:hAnsi="Times New Roman" w:cs="Times New Roman"/>
        </w:rPr>
        <w:t>take</w:t>
      </w:r>
      <w:r w:rsidR="00E0361C" w:rsidRPr="00C91EA2">
        <w:rPr>
          <w:rFonts w:ascii="Times New Roman" w:hAnsi="Times New Roman" w:cs="Times New Roman"/>
        </w:rPr>
        <w:t xml:space="preserve"> </w:t>
      </w:r>
      <w:r w:rsidRPr="00C91EA2">
        <w:rPr>
          <w:rFonts w:ascii="Times New Roman" w:hAnsi="Times New Roman" w:cs="Times New Roman"/>
        </w:rPr>
        <w:t>over SUNEOR again and currently owns 99.78 percent of the shares o</w:t>
      </w:r>
      <w:r w:rsidR="00462CF4">
        <w:rPr>
          <w:rFonts w:ascii="Times New Roman" w:hAnsi="Times New Roman" w:cs="Times New Roman"/>
        </w:rPr>
        <w:t xml:space="preserve">f the company, which has </w:t>
      </w:r>
      <w:r w:rsidR="00EE78E5">
        <w:rPr>
          <w:rFonts w:ascii="Times New Roman" w:hAnsi="Times New Roman" w:cs="Times New Roman"/>
        </w:rPr>
        <w:t>reverted</w:t>
      </w:r>
      <w:r w:rsidRPr="00C91EA2">
        <w:rPr>
          <w:rFonts w:ascii="Times New Roman" w:hAnsi="Times New Roman" w:cs="Times New Roman"/>
        </w:rPr>
        <w:t xml:space="preserve"> to</w:t>
      </w:r>
      <w:r w:rsidR="00EE78E5">
        <w:rPr>
          <w:rFonts w:ascii="Times New Roman" w:hAnsi="Times New Roman" w:cs="Times New Roman"/>
        </w:rPr>
        <w:t xml:space="preserve"> the name</w:t>
      </w:r>
      <w:r w:rsidRPr="00C91EA2">
        <w:rPr>
          <w:rFonts w:ascii="Times New Roman" w:hAnsi="Times New Roman" w:cs="Times New Roman"/>
        </w:rPr>
        <w:t xml:space="preserve"> SONACOS.</w:t>
      </w:r>
      <w:r w:rsidRPr="00C91EA2">
        <w:rPr>
          <w:rStyle w:val="FootnoteReference"/>
          <w:rFonts w:ascii="Times New Roman" w:hAnsi="Times New Roman" w:cs="Times New Roman"/>
        </w:rPr>
        <w:footnoteReference w:id="160"/>
      </w:r>
      <w:r w:rsidRPr="00C91EA2">
        <w:rPr>
          <w:rFonts w:ascii="Times New Roman" w:hAnsi="Times New Roman" w:cs="Times New Roman"/>
          <w:vertAlign w:val="superscript"/>
        </w:rPr>
        <w:t>,</w:t>
      </w:r>
      <w:r w:rsidRPr="00C91EA2">
        <w:rPr>
          <w:rStyle w:val="FootnoteReference"/>
          <w:rFonts w:ascii="Times New Roman" w:hAnsi="Times New Roman" w:cs="Times New Roman"/>
        </w:rPr>
        <w:footnoteReference w:id="161"/>
      </w:r>
      <w:r w:rsidRPr="00C91EA2">
        <w:rPr>
          <w:rFonts w:ascii="Times New Roman" w:hAnsi="Times New Roman" w:cs="Times New Roman"/>
        </w:rPr>
        <w:t xml:space="preserve"> SONACOS may benefit from certain advantages in the market for procuring groundnut</w:t>
      </w:r>
      <w:r w:rsidR="00EE78E5">
        <w:rPr>
          <w:rFonts w:ascii="Times New Roman" w:hAnsi="Times New Roman" w:cs="Times New Roman"/>
        </w:rPr>
        <w:t>s</w:t>
      </w:r>
      <w:r w:rsidRPr="00C91EA2">
        <w:rPr>
          <w:rFonts w:ascii="Times New Roman" w:hAnsi="Times New Roman" w:cs="Times New Roman"/>
        </w:rPr>
        <w:t xml:space="preserve"> over its private sector rival</w:t>
      </w:r>
      <w:r w:rsidR="00534A42">
        <w:rPr>
          <w:rFonts w:ascii="Times New Roman" w:hAnsi="Times New Roman" w:cs="Times New Roman"/>
        </w:rPr>
        <w:t>s</w:t>
      </w:r>
      <w:r w:rsidRPr="00C91EA2">
        <w:rPr>
          <w:rFonts w:ascii="Times New Roman" w:hAnsi="Times New Roman" w:cs="Times New Roman"/>
        </w:rPr>
        <w:t xml:space="preserve">, given the </w:t>
      </w:r>
      <w:r w:rsidR="003B24ED">
        <w:rPr>
          <w:rFonts w:ascii="Times New Roman" w:hAnsi="Times New Roman" w:cs="Times New Roman"/>
        </w:rPr>
        <w:t>Government</w:t>
      </w:r>
      <w:r w:rsidRPr="00C91EA2">
        <w:rPr>
          <w:rFonts w:ascii="Times New Roman" w:hAnsi="Times New Roman" w:cs="Times New Roman"/>
        </w:rPr>
        <w:t xml:space="preserve">’s explicit exclusive financial support to the company. For example, while purchasing subsidies for processors have been phased out in the latest growing season, the </w:t>
      </w:r>
      <w:r w:rsidR="003B24ED">
        <w:rPr>
          <w:rFonts w:ascii="Times New Roman" w:hAnsi="Times New Roman" w:cs="Times New Roman"/>
        </w:rPr>
        <w:t>Government</w:t>
      </w:r>
      <w:r w:rsidRPr="00C91EA2">
        <w:rPr>
          <w:rFonts w:ascii="Times New Roman" w:hAnsi="Times New Roman" w:cs="Times New Roman"/>
        </w:rPr>
        <w:t xml:space="preserve"> procured a $75 million loan from the Islamic Trade Finance Corporation (ITFC; member of the Islamic Development Bank (IDB)), to ensure that SONACO</w:t>
      </w:r>
      <w:r w:rsidR="00462CF4">
        <w:rPr>
          <w:rFonts w:ascii="Times New Roman" w:hAnsi="Times New Roman" w:cs="Times New Roman"/>
        </w:rPr>
        <w:t>S</w:t>
      </w:r>
      <w:r w:rsidRPr="00C91EA2">
        <w:rPr>
          <w:rFonts w:ascii="Times New Roman" w:hAnsi="Times New Roman" w:cs="Times New Roman"/>
        </w:rPr>
        <w:t xml:space="preserve"> would be able to purchase throughput during the 2016/17 growing season.</w:t>
      </w:r>
      <w:r w:rsidRPr="00C91EA2">
        <w:rPr>
          <w:rStyle w:val="FootnoteReference"/>
          <w:rFonts w:ascii="Times New Roman" w:hAnsi="Times New Roman" w:cs="Times New Roman"/>
        </w:rPr>
        <w:footnoteReference w:id="162"/>
      </w:r>
      <w:r w:rsidRPr="00C91EA2">
        <w:rPr>
          <w:rFonts w:ascii="Times New Roman" w:hAnsi="Times New Roman" w:cs="Times New Roman"/>
        </w:rPr>
        <w:t xml:space="preserve"> Despite this capital injection, the company has still missed the declared target of 200-300,000 tons of groundnuts,</w:t>
      </w:r>
      <w:r w:rsidRPr="00C91EA2">
        <w:rPr>
          <w:rStyle w:val="FootnoteReference"/>
          <w:rFonts w:ascii="Times New Roman" w:hAnsi="Times New Roman" w:cs="Times New Roman"/>
        </w:rPr>
        <w:footnoteReference w:id="163"/>
      </w:r>
      <w:r w:rsidRPr="00C91EA2">
        <w:rPr>
          <w:rFonts w:ascii="Times New Roman" w:hAnsi="Times New Roman" w:cs="Times New Roman"/>
        </w:rPr>
        <w:t xml:space="preserve"> having collected only 93,314 tons towards the end of the season.</w:t>
      </w:r>
      <w:r w:rsidRPr="00C91EA2">
        <w:rPr>
          <w:rStyle w:val="FootnoteReference"/>
          <w:rFonts w:ascii="Times New Roman" w:hAnsi="Times New Roman" w:cs="Times New Roman"/>
        </w:rPr>
        <w:footnoteReference w:id="164"/>
      </w:r>
      <w:r w:rsidRPr="00C91EA2">
        <w:rPr>
          <w:rFonts w:ascii="Times New Roman" w:hAnsi="Times New Roman" w:cs="Times New Roman"/>
        </w:rPr>
        <w:t xml:space="preserve"> Further advantageous subsidies available to SONACOS are discussed in the following section.</w:t>
      </w:r>
      <w:r w:rsidR="000E491D">
        <w:rPr>
          <w:rFonts w:ascii="Times New Roman" w:hAnsi="Times New Roman" w:cs="Times New Roman"/>
        </w:rPr>
        <w:t xml:space="preserve"> </w:t>
      </w:r>
      <w:r w:rsidR="000E491D">
        <w:rPr>
          <w:rFonts w:ascii="Times New Roman" w:hAnsi="Times New Roman" w:cs="Times New Roman"/>
          <w:lang w:val="en-GB"/>
        </w:rPr>
        <w:t xml:space="preserve">The </w:t>
      </w:r>
      <w:r w:rsidR="000E491D">
        <w:rPr>
          <w:rFonts w:ascii="Times New Roman" w:hAnsi="Times New Roman" w:cs="Times New Roman"/>
        </w:rPr>
        <w:t xml:space="preserve">Government should ensure that both public and private actors have equal opportunity in access to finance and resources, to guarantee competitive neutrality </w:t>
      </w:r>
      <w:r w:rsidR="009A141C">
        <w:rPr>
          <w:rFonts w:ascii="Times New Roman" w:hAnsi="Times New Roman" w:cs="Times New Roman"/>
        </w:rPr>
        <w:t>along</w:t>
      </w:r>
      <w:r w:rsidR="000E491D">
        <w:rPr>
          <w:rFonts w:ascii="Times New Roman" w:hAnsi="Times New Roman" w:cs="Times New Roman"/>
        </w:rPr>
        <w:t xml:space="preserve"> the value chain. </w:t>
      </w:r>
    </w:p>
    <w:p w14:paraId="1817E5BA" w14:textId="77777777" w:rsidR="00377635" w:rsidRPr="00C91EA2" w:rsidRDefault="00377635" w:rsidP="00377635">
      <w:pPr>
        <w:jc w:val="both"/>
        <w:rPr>
          <w:rFonts w:ascii="Times New Roman" w:hAnsi="Times New Roman" w:cs="Times New Roman"/>
        </w:rPr>
      </w:pPr>
    </w:p>
    <w:p w14:paraId="67D4C5C4" w14:textId="1387D982" w:rsidR="00377635" w:rsidRPr="00C91EA2" w:rsidRDefault="00377635" w:rsidP="00E26E07">
      <w:pPr>
        <w:pStyle w:val="ListParagraph"/>
        <w:numPr>
          <w:ilvl w:val="0"/>
          <w:numId w:val="71"/>
        </w:numPr>
        <w:spacing w:line="256" w:lineRule="auto"/>
        <w:ind w:left="0" w:firstLine="0"/>
        <w:jc w:val="both"/>
        <w:rPr>
          <w:rFonts w:ascii="Times New Roman" w:hAnsi="Times New Roman" w:cs="Times New Roman"/>
          <w:b/>
        </w:rPr>
      </w:pPr>
      <w:r w:rsidRPr="00C91EA2">
        <w:rPr>
          <w:rFonts w:ascii="Times New Roman" w:hAnsi="Times New Roman" w:cs="Times New Roman"/>
          <w:b/>
        </w:rPr>
        <w:t xml:space="preserve">Some rules may also create an unlevel playing field between farmers in the sale of their produce. </w:t>
      </w:r>
      <w:r w:rsidRPr="00C91EA2">
        <w:rPr>
          <w:rFonts w:ascii="Times New Roman" w:hAnsi="Times New Roman" w:cs="Times New Roman"/>
        </w:rPr>
        <w:t xml:space="preserve">For example, a lack of transparency and clear rules in the allocation of inputs among farmers, and the </w:t>
      </w:r>
      <w:r w:rsidR="00462CF4" w:rsidRPr="00C91EA2">
        <w:rPr>
          <w:rFonts w:ascii="Times New Roman" w:hAnsi="Times New Roman" w:cs="Times New Roman"/>
          <w:lang w:val="en-GB"/>
        </w:rPr>
        <w:t>involvement</w:t>
      </w:r>
      <w:r w:rsidRPr="00C91EA2">
        <w:rPr>
          <w:rFonts w:ascii="Times New Roman" w:hAnsi="Times New Roman" w:cs="Times New Roman"/>
          <w:lang w:val="en-GB"/>
        </w:rPr>
        <w:t xml:space="preserve"> of village heads and representatives of the Ministry of Commerce in determining the allocation of inputs might provide informal advantages to better-connected (typically larger) producers. In addition, CNIA rules state that farmers may only sell to an OPS at a designated collection point unless there is an exporter collection point within a 5km radius of the farmer </w:t>
      </w:r>
      <w:r w:rsidR="00832439">
        <w:rPr>
          <w:rFonts w:ascii="Times New Roman" w:hAnsi="Times New Roman" w:cs="Times New Roman"/>
          <w:lang w:val="en-GB"/>
        </w:rPr>
        <w:t>(</w:t>
      </w:r>
      <w:r w:rsidRPr="00C91EA2">
        <w:rPr>
          <w:rFonts w:ascii="Times New Roman" w:hAnsi="Times New Roman" w:cs="Times New Roman"/>
          <w:lang w:val="en-GB"/>
        </w:rPr>
        <w:t>in which case the farmer may sell to the OPS at the export collection point</w:t>
      </w:r>
      <w:r w:rsidR="00832439">
        <w:rPr>
          <w:rFonts w:ascii="Times New Roman" w:hAnsi="Times New Roman" w:cs="Times New Roman"/>
          <w:lang w:val="en-GB"/>
        </w:rPr>
        <w:t>)</w:t>
      </w:r>
      <w:r w:rsidRPr="00C91EA2">
        <w:rPr>
          <w:rFonts w:ascii="Times New Roman" w:hAnsi="Times New Roman" w:cs="Times New Roman"/>
          <w:lang w:val="en-GB"/>
        </w:rPr>
        <w:t xml:space="preserve">. The number of potential OPS buyers </w:t>
      </w:r>
      <w:r w:rsidR="004644CC">
        <w:rPr>
          <w:rFonts w:ascii="Times New Roman" w:hAnsi="Times New Roman" w:cs="Times New Roman"/>
          <w:lang w:val="en-GB"/>
        </w:rPr>
        <w:t>available to</w:t>
      </w:r>
      <w:r w:rsidRPr="00C91EA2">
        <w:rPr>
          <w:rFonts w:ascii="Times New Roman" w:hAnsi="Times New Roman" w:cs="Times New Roman"/>
          <w:lang w:val="en-GB"/>
        </w:rPr>
        <w:t xml:space="preserve"> a </w:t>
      </w:r>
      <w:proofErr w:type="gramStart"/>
      <w:r w:rsidRPr="00C91EA2">
        <w:rPr>
          <w:rFonts w:ascii="Times New Roman" w:hAnsi="Times New Roman" w:cs="Times New Roman"/>
          <w:lang w:val="en-GB"/>
        </w:rPr>
        <w:t>particular farmer</w:t>
      </w:r>
      <w:proofErr w:type="gramEnd"/>
      <w:r w:rsidRPr="00C91EA2">
        <w:rPr>
          <w:rFonts w:ascii="Times New Roman" w:hAnsi="Times New Roman" w:cs="Times New Roman"/>
          <w:lang w:val="en-GB"/>
        </w:rPr>
        <w:t xml:space="preserve"> thus depends on his geographic location and whether there is an export collection point within 5km. Finally, a </w:t>
      </w:r>
      <w:r w:rsidR="003B24ED">
        <w:rPr>
          <w:rFonts w:ascii="Times New Roman" w:hAnsi="Times New Roman" w:cs="Times New Roman"/>
          <w:lang w:val="en-GB"/>
        </w:rPr>
        <w:t>Government</w:t>
      </w:r>
      <w:r w:rsidRPr="00C91EA2">
        <w:rPr>
          <w:rFonts w:ascii="Times New Roman" w:hAnsi="Times New Roman" w:cs="Times New Roman"/>
          <w:lang w:val="en-GB"/>
        </w:rPr>
        <w:t xml:space="preserve"> directive provides priority access to OPS collection to seed multipliers</w:t>
      </w:r>
      <w:r w:rsidR="004644CC">
        <w:rPr>
          <w:rFonts w:ascii="Times New Roman" w:hAnsi="Times New Roman" w:cs="Times New Roman"/>
          <w:lang w:val="en-GB"/>
        </w:rPr>
        <w:t>;</w:t>
      </w:r>
      <w:r w:rsidRPr="00C91EA2">
        <w:rPr>
          <w:rStyle w:val="FootnoteReference"/>
          <w:rFonts w:ascii="Times New Roman" w:hAnsi="Times New Roman" w:cs="Times New Roman"/>
          <w:lang w:val="en-GB"/>
        </w:rPr>
        <w:footnoteReference w:id="165"/>
      </w:r>
      <w:r w:rsidRPr="00C91EA2">
        <w:rPr>
          <w:rFonts w:ascii="Times New Roman" w:hAnsi="Times New Roman" w:cs="Times New Roman"/>
          <w:lang w:val="en-GB"/>
        </w:rPr>
        <w:t xml:space="preserve"> this might limit access to markets for agricultural producers </w:t>
      </w:r>
      <w:r w:rsidR="00906E79">
        <w:rPr>
          <w:rFonts w:ascii="Times New Roman" w:hAnsi="Times New Roman" w:cs="Times New Roman"/>
          <w:lang w:val="en-GB"/>
        </w:rPr>
        <w:t xml:space="preserve">(likely smaller farmers) </w:t>
      </w:r>
      <w:r w:rsidRPr="00C91EA2">
        <w:rPr>
          <w:rFonts w:ascii="Times New Roman" w:hAnsi="Times New Roman" w:cs="Times New Roman"/>
          <w:lang w:val="en-GB"/>
        </w:rPr>
        <w:t xml:space="preserve">who </w:t>
      </w:r>
      <w:r w:rsidR="004644CC">
        <w:rPr>
          <w:rFonts w:ascii="Times New Roman" w:hAnsi="Times New Roman" w:cs="Times New Roman"/>
          <w:lang w:val="en-GB"/>
        </w:rPr>
        <w:t xml:space="preserve">are </w:t>
      </w:r>
      <w:r w:rsidRPr="00C91EA2">
        <w:rPr>
          <w:rFonts w:ascii="Times New Roman" w:hAnsi="Times New Roman" w:cs="Times New Roman"/>
          <w:lang w:val="en-GB"/>
        </w:rPr>
        <w:t>not also involved in seed multiplication.</w:t>
      </w:r>
      <w:r w:rsidR="000E491D">
        <w:rPr>
          <w:rFonts w:ascii="Times New Roman" w:hAnsi="Times New Roman" w:cs="Times New Roman"/>
          <w:lang w:val="en-GB"/>
        </w:rPr>
        <w:t xml:space="preserve"> </w:t>
      </w:r>
    </w:p>
    <w:p w14:paraId="68B3EF0E" w14:textId="77777777" w:rsidR="00377635" w:rsidRPr="00C91EA2" w:rsidRDefault="00377635" w:rsidP="00E26E07">
      <w:pPr>
        <w:spacing w:line="256" w:lineRule="auto"/>
        <w:rPr>
          <w:rFonts w:ascii="Times New Roman" w:hAnsi="Times New Roman" w:cs="Times New Roman"/>
        </w:rPr>
      </w:pPr>
    </w:p>
    <w:p w14:paraId="59E6D9C8" w14:textId="05E85CCB"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rPr>
        <w:fldChar w:fldCharType="begin"/>
      </w:r>
      <w:r w:rsidRPr="00C91EA2">
        <w:rPr>
          <w:rFonts w:ascii="Times New Roman" w:hAnsi="Times New Roman" w:cs="Times New Roman"/>
        </w:rPr>
        <w:instrText xml:space="preserve"> REF _Ref497906094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10</w:t>
      </w:r>
      <w:r w:rsidRPr="00C91EA2">
        <w:rPr>
          <w:rFonts w:ascii="Times New Roman" w:hAnsi="Times New Roman" w:cs="Times New Roman"/>
        </w:rPr>
        <w:fldChar w:fldCharType="end"/>
      </w:r>
      <w:r w:rsidRPr="00C91EA2">
        <w:rPr>
          <w:rFonts w:ascii="Times New Roman" w:hAnsi="Times New Roman" w:cs="Times New Roman"/>
        </w:rPr>
        <w:t xml:space="preserve"> outlines in detail the restrictions in the following sub-segments which shape directly or indirectly the market for buying from farmers: agricultural production, aggregation/ intermediation for local processing, </w:t>
      </w:r>
      <w:r w:rsidRPr="00C91EA2">
        <w:rPr>
          <w:rFonts w:ascii="Times New Roman" w:eastAsia="Arial" w:hAnsi="Times New Roman" w:cs="Times New Roman"/>
          <w:bCs/>
          <w:kern w:val="24"/>
          <w:lang w:val="en-GB"/>
        </w:rPr>
        <w:t xml:space="preserve">processing, </w:t>
      </w:r>
      <w:r w:rsidRPr="00C91EA2">
        <w:rPr>
          <w:rFonts w:ascii="Times New Roman" w:eastAsia="Arial" w:hAnsi="Times New Roman" w:cs="Times New Roman"/>
          <w:color w:val="000000" w:themeColor="dark1"/>
          <w:kern w:val="24"/>
        </w:rPr>
        <w:t>intermediation for export.</w:t>
      </w:r>
    </w:p>
    <w:p w14:paraId="083DA480" w14:textId="77777777" w:rsidR="00377635" w:rsidRPr="00C91EA2" w:rsidRDefault="00377635" w:rsidP="00377635">
      <w:pPr>
        <w:rPr>
          <w:rFonts w:ascii="Times New Roman" w:hAnsi="Times New Roman" w:cs="Times New Roman"/>
        </w:rPr>
      </w:pPr>
    </w:p>
    <w:p w14:paraId="3FDC89FB" w14:textId="3D2B4A56" w:rsidR="00377635" w:rsidRPr="00C91EA2" w:rsidRDefault="00377635" w:rsidP="00377635">
      <w:pPr>
        <w:pStyle w:val="Caption"/>
        <w:keepNext/>
        <w:rPr>
          <w:rFonts w:ascii="Times New Roman" w:hAnsi="Times New Roman"/>
        </w:rPr>
      </w:pPr>
      <w:bookmarkStart w:id="233" w:name="_Ref497906094"/>
      <w:bookmarkStart w:id="234" w:name="_Toc520725697"/>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10</w:t>
      </w:r>
      <w:r w:rsidRPr="00C91EA2">
        <w:rPr>
          <w:rFonts w:ascii="Times New Roman" w:hAnsi="Times New Roman"/>
        </w:rPr>
        <w:fldChar w:fldCharType="end"/>
      </w:r>
      <w:bookmarkEnd w:id="233"/>
      <w:r w:rsidRPr="00C91EA2">
        <w:rPr>
          <w:rFonts w:ascii="Times New Roman" w:hAnsi="Times New Roman"/>
        </w:rPr>
        <w:t>: Rules that may hinder competition in the market for buying from farmers</w:t>
      </w:r>
      <w:bookmarkEnd w:id="234"/>
    </w:p>
    <w:tbl>
      <w:tblPr>
        <w:tblStyle w:val="ListTable3-Accent1"/>
        <w:tblW w:w="0" w:type="auto"/>
        <w:tblLook w:val="0420" w:firstRow="1" w:lastRow="0" w:firstColumn="0" w:lastColumn="0" w:noHBand="0" w:noVBand="1"/>
      </w:tblPr>
      <w:tblGrid>
        <w:gridCol w:w="715"/>
        <w:gridCol w:w="1951"/>
        <w:gridCol w:w="3339"/>
        <w:gridCol w:w="2625"/>
      </w:tblGrid>
      <w:tr w:rsidR="00377635" w:rsidRPr="00C91EA2" w14:paraId="0FAC8D79" w14:textId="77777777" w:rsidTr="00377635">
        <w:trPr>
          <w:cnfStyle w:val="100000000000" w:firstRow="1" w:lastRow="0" w:firstColumn="0" w:lastColumn="0" w:oddVBand="0" w:evenVBand="0" w:oddHBand="0" w:evenHBand="0" w:firstRowFirstColumn="0" w:firstRowLastColumn="0" w:lastRowFirstColumn="0" w:lastRowLastColumn="0"/>
          <w:trHeight w:val="802"/>
        </w:trPr>
        <w:tc>
          <w:tcPr>
            <w:tcW w:w="715" w:type="dxa"/>
            <w:tcBorders>
              <w:top w:val="single" w:sz="4" w:space="0" w:color="4F81BD" w:themeColor="accent1"/>
              <w:left w:val="single" w:sz="4" w:space="0" w:color="4F81BD" w:themeColor="accent1"/>
              <w:bottom w:val="nil"/>
              <w:right w:val="nil"/>
            </w:tcBorders>
            <w:hideMark/>
          </w:tcPr>
          <w:p w14:paraId="0AA646F7"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val="0"/>
                <w:bCs w:val="0"/>
                <w:sz w:val="20"/>
                <w:szCs w:val="22"/>
              </w:rPr>
              <w:t> </w:t>
            </w:r>
          </w:p>
        </w:tc>
        <w:tc>
          <w:tcPr>
            <w:tcW w:w="1951" w:type="dxa"/>
            <w:tcBorders>
              <w:top w:val="single" w:sz="4" w:space="0" w:color="4F81BD" w:themeColor="accent1"/>
              <w:left w:val="nil"/>
              <w:bottom w:val="nil"/>
              <w:right w:val="nil"/>
            </w:tcBorders>
            <w:hideMark/>
          </w:tcPr>
          <w:p w14:paraId="27FD30F9"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val="0"/>
                <w:bCs w:val="0"/>
                <w:sz w:val="20"/>
                <w:szCs w:val="22"/>
              </w:rPr>
              <w:t>Rules that reinforce dominance or limit entry</w:t>
            </w:r>
          </w:p>
        </w:tc>
        <w:tc>
          <w:tcPr>
            <w:tcW w:w="0" w:type="auto"/>
            <w:tcBorders>
              <w:top w:val="single" w:sz="4" w:space="0" w:color="4F81BD" w:themeColor="accent1"/>
              <w:left w:val="nil"/>
              <w:bottom w:val="nil"/>
              <w:right w:val="nil"/>
            </w:tcBorders>
            <w:hideMark/>
          </w:tcPr>
          <w:p w14:paraId="374C7F9F"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val="0"/>
                <w:bCs w:val="0"/>
                <w:sz w:val="20"/>
                <w:szCs w:val="22"/>
              </w:rPr>
              <w:t>Rules that facilitate collusion or restrict firms' choice of strategic variables</w:t>
            </w:r>
          </w:p>
        </w:tc>
        <w:tc>
          <w:tcPr>
            <w:tcW w:w="0" w:type="auto"/>
            <w:tcBorders>
              <w:top w:val="single" w:sz="4" w:space="0" w:color="4F81BD" w:themeColor="accent1"/>
              <w:left w:val="nil"/>
              <w:bottom w:val="nil"/>
              <w:right w:val="single" w:sz="4" w:space="0" w:color="4F81BD" w:themeColor="accent1"/>
            </w:tcBorders>
            <w:hideMark/>
          </w:tcPr>
          <w:p w14:paraId="0CC8D553"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val="0"/>
                <w:bCs w:val="0"/>
                <w:sz w:val="20"/>
                <w:szCs w:val="22"/>
              </w:rPr>
              <w:t>Rules that discriminate and provide an undue advantage to certain players</w:t>
            </w:r>
          </w:p>
        </w:tc>
      </w:tr>
      <w:tr w:rsidR="00377635" w:rsidRPr="00C91EA2" w14:paraId="0FFC940F" w14:textId="77777777" w:rsidTr="00377635">
        <w:trPr>
          <w:cnfStyle w:val="000000100000" w:firstRow="0" w:lastRow="0" w:firstColumn="0" w:lastColumn="0" w:oddVBand="0" w:evenVBand="0" w:oddHBand="1" w:evenHBand="0" w:firstRowFirstColumn="0" w:firstRowLastColumn="0" w:lastRowFirstColumn="0" w:lastRowLastColumn="0"/>
          <w:trHeight w:val="790"/>
        </w:trPr>
        <w:tc>
          <w:tcPr>
            <w:tcW w:w="715" w:type="dxa"/>
            <w:tcBorders>
              <w:left w:val="single" w:sz="4" w:space="0" w:color="4F81BD" w:themeColor="accent1"/>
              <w:right w:val="nil"/>
            </w:tcBorders>
            <w:textDirection w:val="btLr"/>
            <w:hideMark/>
          </w:tcPr>
          <w:p w14:paraId="69BC16E6" w14:textId="77777777" w:rsidR="00377635" w:rsidRPr="00C91EA2" w:rsidRDefault="00377635">
            <w:pPr>
              <w:jc w:val="center"/>
              <w:rPr>
                <w:rFonts w:ascii="Times New Roman" w:hAnsi="Times New Roman" w:cs="Times New Roman"/>
                <w:sz w:val="20"/>
                <w:szCs w:val="22"/>
              </w:rPr>
            </w:pPr>
            <w:r w:rsidRPr="00C91EA2">
              <w:rPr>
                <w:rFonts w:ascii="Times New Roman" w:hAnsi="Times New Roman" w:cs="Times New Roman"/>
                <w:sz w:val="20"/>
                <w:szCs w:val="22"/>
              </w:rPr>
              <w:t>Agricultural Production</w:t>
            </w:r>
          </w:p>
        </w:tc>
        <w:tc>
          <w:tcPr>
            <w:tcW w:w="1951" w:type="dxa"/>
            <w:tcBorders>
              <w:left w:val="nil"/>
              <w:right w:val="nil"/>
            </w:tcBorders>
            <w:hideMark/>
          </w:tcPr>
          <w:p w14:paraId="6FC75B61" w14:textId="77777777" w:rsidR="00377635" w:rsidRPr="00C91EA2" w:rsidRDefault="00377635">
            <w:pPr>
              <w:rPr>
                <w:rFonts w:ascii="Times New Roman" w:hAnsi="Times New Roman" w:cs="Times New Roman"/>
                <w:sz w:val="20"/>
                <w:szCs w:val="22"/>
              </w:rPr>
            </w:pPr>
          </w:p>
        </w:tc>
        <w:tc>
          <w:tcPr>
            <w:tcW w:w="0" w:type="auto"/>
            <w:tcBorders>
              <w:left w:val="nil"/>
              <w:right w:val="nil"/>
            </w:tcBorders>
          </w:tcPr>
          <w:p w14:paraId="4E0992AC"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Rules that facilitate agreements among competitors</w:t>
            </w:r>
          </w:p>
          <w:p w14:paraId="604CA2D4"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Existence of producer organizations (cooperatives) that encourage agreement on price/standards between members</w:t>
            </w:r>
          </w:p>
          <w:p w14:paraId="770F90C1" w14:textId="77777777" w:rsidR="00377635" w:rsidRPr="00C91EA2" w:rsidRDefault="00377635" w:rsidP="007575D7">
            <w:pPr>
              <w:numPr>
                <w:ilvl w:val="0"/>
                <w:numId w:val="108"/>
              </w:numPr>
              <w:tabs>
                <w:tab w:val="clear" w:pos="360"/>
                <w:tab w:val="num" w:pos="54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Producer organizations are involved in formal price setting procedures at the CNIA</w:t>
            </w:r>
          </w:p>
          <w:p w14:paraId="2B3131FA"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Existence of minimum price can prevent producers from competing on price and provides a focal point for collusion.</w:t>
            </w:r>
          </w:p>
          <w:p w14:paraId="19571306" w14:textId="77777777" w:rsidR="00377635" w:rsidRPr="00C91EA2" w:rsidRDefault="00377635">
            <w:pPr>
              <w:tabs>
                <w:tab w:val="num" w:pos="720"/>
              </w:tabs>
              <w:spacing w:line="256" w:lineRule="auto"/>
              <w:rPr>
                <w:rFonts w:ascii="Times New Roman" w:hAnsi="Times New Roman" w:cs="Times New Roman"/>
                <w:sz w:val="20"/>
                <w:szCs w:val="22"/>
                <w:lang w:val="en-GB"/>
              </w:rPr>
            </w:pPr>
          </w:p>
          <w:p w14:paraId="3C81806E" w14:textId="77777777" w:rsidR="00377635" w:rsidRPr="00C91EA2" w:rsidRDefault="00377635">
            <w:pPr>
              <w:spacing w:line="256" w:lineRule="auto"/>
              <w:rPr>
                <w:rFonts w:ascii="Times New Roman" w:hAnsi="Times New Roman" w:cs="Times New Roman"/>
                <w:b/>
                <w:sz w:val="20"/>
                <w:szCs w:val="22"/>
                <w:lang w:val="en-GB"/>
              </w:rPr>
            </w:pPr>
            <w:r w:rsidRPr="00C91EA2">
              <w:rPr>
                <w:rFonts w:ascii="Times New Roman" w:hAnsi="Times New Roman" w:cs="Times New Roman"/>
                <w:b/>
                <w:sz w:val="20"/>
                <w:szCs w:val="22"/>
                <w:lang w:val="en-GB"/>
              </w:rPr>
              <w:t>Restrictions on choice of buyers for some farmers due to geographic location (see also rules that unlevel the playing field):</w:t>
            </w:r>
          </w:p>
          <w:p w14:paraId="4F28DF17" w14:textId="77777777" w:rsidR="00377635" w:rsidRPr="00C91EA2" w:rsidRDefault="00377635" w:rsidP="007575D7">
            <w:pPr>
              <w:spacing w:line="256" w:lineRule="auto"/>
              <w:jc w:val="both"/>
              <w:rPr>
                <w:rFonts w:ascii="Times New Roman" w:hAnsi="Times New Roman" w:cs="Times New Roman"/>
                <w:sz w:val="20"/>
                <w:szCs w:val="22"/>
              </w:rPr>
            </w:pPr>
            <w:r w:rsidRPr="00C91EA2">
              <w:rPr>
                <w:rFonts w:ascii="Times New Roman" w:hAnsi="Times New Roman" w:cs="Times New Roman"/>
                <w:sz w:val="20"/>
                <w:szCs w:val="22"/>
                <w:lang w:val="en-GB"/>
              </w:rPr>
              <w:t xml:space="preserve">Farmers limited to sell to an OPS at a designated OPS collection point unless there is an exporter collection point within a 5km radius of the farmer </w:t>
            </w:r>
            <w:r w:rsidR="00F85004">
              <w:rPr>
                <w:rFonts w:ascii="Times New Roman" w:hAnsi="Times New Roman" w:cs="Times New Roman"/>
                <w:sz w:val="20"/>
                <w:szCs w:val="22"/>
                <w:lang w:val="en-GB"/>
              </w:rPr>
              <w:t>(</w:t>
            </w:r>
            <w:r w:rsidRPr="00C91EA2">
              <w:rPr>
                <w:rFonts w:ascii="Times New Roman" w:hAnsi="Times New Roman" w:cs="Times New Roman"/>
                <w:sz w:val="20"/>
                <w:szCs w:val="22"/>
                <w:lang w:val="en-GB"/>
              </w:rPr>
              <w:t>in which case the farmer may sell to the OPS at the export collection point</w:t>
            </w:r>
            <w:r w:rsidR="00F85004">
              <w:rPr>
                <w:rFonts w:ascii="Times New Roman" w:hAnsi="Times New Roman" w:cs="Times New Roman"/>
                <w:sz w:val="20"/>
                <w:szCs w:val="22"/>
                <w:lang w:val="en-GB"/>
              </w:rPr>
              <w:t>)</w:t>
            </w:r>
            <w:r w:rsidRPr="00C91EA2">
              <w:rPr>
                <w:rFonts w:ascii="Times New Roman" w:hAnsi="Times New Roman" w:cs="Times New Roman"/>
                <w:sz w:val="20"/>
                <w:szCs w:val="22"/>
                <w:lang w:val="en-GB"/>
              </w:rPr>
              <w:t xml:space="preserve">. The number of potential buyers faced by a </w:t>
            </w:r>
            <w:proofErr w:type="gramStart"/>
            <w:r w:rsidRPr="00C91EA2">
              <w:rPr>
                <w:rFonts w:ascii="Times New Roman" w:hAnsi="Times New Roman" w:cs="Times New Roman"/>
                <w:sz w:val="20"/>
                <w:szCs w:val="22"/>
                <w:lang w:val="en-GB"/>
              </w:rPr>
              <w:t>particular farmer</w:t>
            </w:r>
            <w:proofErr w:type="gramEnd"/>
            <w:r w:rsidRPr="00C91EA2">
              <w:rPr>
                <w:rFonts w:ascii="Times New Roman" w:hAnsi="Times New Roman" w:cs="Times New Roman"/>
                <w:sz w:val="20"/>
                <w:szCs w:val="22"/>
                <w:lang w:val="en-GB"/>
              </w:rPr>
              <w:t xml:space="preserve"> depends on his geographic location and whether there is an export collection point within 5km. </w:t>
            </w:r>
          </w:p>
        </w:tc>
        <w:tc>
          <w:tcPr>
            <w:tcW w:w="0" w:type="auto"/>
            <w:tcBorders>
              <w:left w:val="nil"/>
              <w:right w:val="single" w:sz="4" w:space="0" w:color="4F81BD" w:themeColor="accent1"/>
            </w:tcBorders>
          </w:tcPr>
          <w:p w14:paraId="6E035B1B"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Discretionary application of rules</w:t>
            </w:r>
          </w:p>
          <w:p w14:paraId="11CB0E47"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Involvement of village heads and representatives of the Ministry of Commerce in the allocation of inputs might provide informal advantages to better-connected players</w:t>
            </w:r>
          </w:p>
          <w:p w14:paraId="35EF69D3"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rPr>
            </w:pPr>
            <w:r w:rsidRPr="00C91EA2">
              <w:rPr>
                <w:rFonts w:ascii="Times New Roman" w:hAnsi="Times New Roman" w:cs="Times New Roman"/>
                <w:sz w:val="20"/>
                <w:szCs w:val="22"/>
                <w:lang w:val="en-GB"/>
              </w:rPr>
              <w:t>Lack of transparency in targeting of subsidies (said to benefit large connected farmers)</w:t>
            </w:r>
          </w:p>
          <w:p w14:paraId="3CBB87B0" w14:textId="77777777" w:rsidR="00377635" w:rsidRPr="00C91EA2" w:rsidRDefault="00377635">
            <w:pPr>
              <w:rPr>
                <w:rFonts w:ascii="Times New Roman" w:hAnsi="Times New Roman" w:cs="Times New Roman"/>
                <w:b/>
                <w:bCs/>
                <w:sz w:val="20"/>
                <w:szCs w:val="22"/>
                <w:lang w:val="en-GB"/>
              </w:rPr>
            </w:pPr>
          </w:p>
          <w:p w14:paraId="01514215"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Rules that distort the level playing field</w:t>
            </w:r>
            <w:r w:rsidRPr="00C91EA2">
              <w:rPr>
                <w:rFonts w:ascii="Times New Roman" w:hAnsi="Times New Roman" w:cs="Times New Roman"/>
                <w:sz w:val="20"/>
                <w:szCs w:val="22"/>
                <w:lang w:val="en-GB"/>
              </w:rPr>
              <w:t>:</w:t>
            </w:r>
          </w:p>
          <w:p w14:paraId="2560DC9F" w14:textId="715F0A05"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 xml:space="preserve">Priority access to OPS collection points is given to seed multipliers which might limit access to markets for agricultural producers </w:t>
            </w:r>
            <w:r w:rsidR="00F85004">
              <w:rPr>
                <w:rFonts w:ascii="Times New Roman" w:hAnsi="Times New Roman" w:cs="Times New Roman"/>
                <w:sz w:val="20"/>
                <w:szCs w:val="22"/>
                <w:lang w:val="en-GB"/>
              </w:rPr>
              <w:t xml:space="preserve">(likely smaller farmers) </w:t>
            </w:r>
            <w:r w:rsidRPr="00C91EA2">
              <w:rPr>
                <w:rFonts w:ascii="Times New Roman" w:hAnsi="Times New Roman" w:cs="Times New Roman"/>
                <w:sz w:val="20"/>
                <w:szCs w:val="22"/>
                <w:lang w:val="en-GB"/>
              </w:rPr>
              <w:t>who not also involved in seed multiplication.</w:t>
            </w:r>
          </w:p>
        </w:tc>
      </w:tr>
      <w:tr w:rsidR="00377635" w:rsidRPr="00C91EA2" w14:paraId="4A423EEF" w14:textId="77777777" w:rsidTr="00377635">
        <w:trPr>
          <w:trHeight w:val="650"/>
        </w:trPr>
        <w:tc>
          <w:tcPr>
            <w:tcW w:w="715" w:type="dxa"/>
            <w:tcBorders>
              <w:top w:val="nil"/>
              <w:left w:val="single" w:sz="4" w:space="0" w:color="4F81BD" w:themeColor="accent1"/>
              <w:bottom w:val="nil"/>
              <w:right w:val="nil"/>
            </w:tcBorders>
            <w:textDirection w:val="btLr"/>
            <w:hideMark/>
          </w:tcPr>
          <w:p w14:paraId="67C8CFB0" w14:textId="77777777" w:rsidR="00377635" w:rsidRPr="00C91EA2" w:rsidRDefault="00377635">
            <w:pPr>
              <w:jc w:val="center"/>
              <w:rPr>
                <w:rFonts w:ascii="Times New Roman" w:hAnsi="Times New Roman" w:cs="Times New Roman"/>
                <w:sz w:val="20"/>
                <w:szCs w:val="22"/>
              </w:rPr>
            </w:pPr>
            <w:r w:rsidRPr="00C91EA2">
              <w:rPr>
                <w:rFonts w:ascii="Times New Roman" w:hAnsi="Times New Roman" w:cs="Times New Roman"/>
                <w:sz w:val="20"/>
                <w:szCs w:val="22"/>
              </w:rPr>
              <w:t>Aggregation/ Intermediation for local processing</w:t>
            </w:r>
          </w:p>
        </w:tc>
        <w:tc>
          <w:tcPr>
            <w:tcW w:w="1951" w:type="dxa"/>
            <w:tcBorders>
              <w:top w:val="nil"/>
              <w:left w:val="nil"/>
              <w:bottom w:val="nil"/>
              <w:right w:val="nil"/>
            </w:tcBorders>
            <w:hideMark/>
          </w:tcPr>
          <w:p w14:paraId="1DD47908"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 xml:space="preserve">Relative ban on entry and expansion of activities: </w:t>
            </w:r>
            <w:r w:rsidRPr="00C91EA2">
              <w:rPr>
                <w:rFonts w:ascii="Times New Roman" w:hAnsi="Times New Roman" w:cs="Times New Roman"/>
                <w:sz w:val="20"/>
                <w:szCs w:val="22"/>
                <w:lang w:val="en-GB"/>
              </w:rPr>
              <w:t>Allocation of OPS to collection points restricts possibility for other buyers to use collection points</w:t>
            </w:r>
          </w:p>
        </w:tc>
        <w:tc>
          <w:tcPr>
            <w:tcW w:w="0" w:type="auto"/>
            <w:tcBorders>
              <w:top w:val="nil"/>
              <w:left w:val="nil"/>
              <w:bottom w:val="nil"/>
              <w:right w:val="nil"/>
            </w:tcBorders>
          </w:tcPr>
          <w:p w14:paraId="7B33DADB"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Rules that facilitate agreements among competitors</w:t>
            </w:r>
          </w:p>
          <w:p w14:paraId="0F5FF12F"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Existence of minimum price set with input from OPS/local processors at the CNIA appears to act as a set price among OPS/local processors.</w:t>
            </w:r>
          </w:p>
          <w:p w14:paraId="6EB441A8"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Obligation to buy at specific points of collection facilitates exchange of information and may increase symmetry of players</w:t>
            </w:r>
          </w:p>
          <w:p w14:paraId="1447C2F8"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 xml:space="preserve">OPS/Transporters participate in </w:t>
            </w:r>
            <w:proofErr w:type="gramStart"/>
            <w:r w:rsidRPr="00C91EA2">
              <w:rPr>
                <w:rFonts w:ascii="Times New Roman" w:hAnsi="Times New Roman" w:cs="Times New Roman"/>
                <w:sz w:val="20"/>
                <w:szCs w:val="22"/>
                <w:lang w:val="en-GB"/>
              </w:rPr>
              <w:t>an information exchange fora</w:t>
            </w:r>
            <w:proofErr w:type="gramEnd"/>
            <w:r w:rsidRPr="00C91EA2">
              <w:rPr>
                <w:rFonts w:ascii="Times New Roman" w:hAnsi="Times New Roman" w:cs="Times New Roman"/>
                <w:sz w:val="20"/>
                <w:szCs w:val="22"/>
                <w:lang w:val="en-GB"/>
              </w:rPr>
              <w:t xml:space="preserve"> (the FNOPS/T and the CNIA) where details on capacity and prices can be shared</w:t>
            </w:r>
          </w:p>
          <w:p w14:paraId="200F5E2A" w14:textId="77777777" w:rsidR="00377635" w:rsidRPr="00C91EA2" w:rsidRDefault="00377635">
            <w:pPr>
              <w:rPr>
                <w:rFonts w:ascii="Times New Roman" w:hAnsi="Times New Roman" w:cs="Times New Roman"/>
                <w:b/>
                <w:bCs/>
                <w:sz w:val="20"/>
                <w:szCs w:val="22"/>
                <w:lang w:val="en-GB"/>
              </w:rPr>
            </w:pPr>
          </w:p>
          <w:p w14:paraId="089C4255"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Limits on choice of strategic variable</w:t>
            </w:r>
          </w:p>
          <w:p w14:paraId="6DA97EE2"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rPr>
            </w:pPr>
            <w:r w:rsidRPr="00C91EA2">
              <w:rPr>
                <w:rFonts w:ascii="Times New Roman" w:hAnsi="Times New Roman" w:cs="Times New Roman"/>
                <w:sz w:val="20"/>
                <w:szCs w:val="22"/>
                <w:lang w:val="en-GB"/>
              </w:rPr>
              <w:t>Limit on purchasing season limits the ability for producers and other sellers to choose their time of sale</w:t>
            </w:r>
          </w:p>
        </w:tc>
        <w:tc>
          <w:tcPr>
            <w:tcW w:w="0" w:type="auto"/>
            <w:tcBorders>
              <w:top w:val="nil"/>
              <w:left w:val="nil"/>
              <w:bottom w:val="nil"/>
              <w:right w:val="single" w:sz="4" w:space="0" w:color="4F81BD" w:themeColor="accent1"/>
            </w:tcBorders>
            <w:hideMark/>
          </w:tcPr>
          <w:p w14:paraId="1A75934C" w14:textId="77777777" w:rsidR="00377635" w:rsidRPr="00C91EA2" w:rsidRDefault="00377635">
            <w:pPr>
              <w:rPr>
                <w:rFonts w:ascii="Times New Roman" w:hAnsi="Times New Roman" w:cs="Times New Roman"/>
                <w:sz w:val="20"/>
                <w:szCs w:val="22"/>
              </w:rPr>
            </w:pPr>
            <w:r w:rsidRPr="00C91EA2">
              <w:rPr>
                <w:rFonts w:ascii="Times New Roman" w:hAnsi="Times New Roman" w:cs="Times New Roman"/>
                <w:b/>
                <w:bCs/>
                <w:sz w:val="20"/>
                <w:szCs w:val="22"/>
                <w:lang w:val="en-GB"/>
              </w:rPr>
              <w:t>Rules that distort the level playing field</w:t>
            </w:r>
            <w:r w:rsidRPr="00C91EA2">
              <w:rPr>
                <w:rFonts w:ascii="Times New Roman" w:hAnsi="Times New Roman" w:cs="Times New Roman"/>
                <w:sz w:val="20"/>
                <w:szCs w:val="22"/>
                <w:lang w:val="en-GB"/>
              </w:rPr>
              <w:t>:</w:t>
            </w:r>
          </w:p>
          <w:p w14:paraId="2BA0935E" w14:textId="77777777" w:rsidR="00377635" w:rsidRPr="00C91EA2" w:rsidRDefault="00377635" w:rsidP="007575D7">
            <w:pPr>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OPS being represented in overall value chain planning have formal and informal capacity to influence decisions/outcomes, unlike exporters and potential entrant types of intermediaries</w:t>
            </w:r>
          </w:p>
        </w:tc>
      </w:tr>
      <w:tr w:rsidR="00377635" w:rsidRPr="00C91EA2" w14:paraId="0658C9A0" w14:textId="77777777" w:rsidTr="00377635">
        <w:trPr>
          <w:cnfStyle w:val="000000100000" w:firstRow="0" w:lastRow="0" w:firstColumn="0" w:lastColumn="0" w:oddVBand="0" w:evenVBand="0" w:oddHBand="1" w:evenHBand="0" w:firstRowFirstColumn="0" w:firstRowLastColumn="0" w:lastRowFirstColumn="0" w:lastRowLastColumn="0"/>
          <w:trHeight w:val="1730"/>
        </w:trPr>
        <w:tc>
          <w:tcPr>
            <w:tcW w:w="715" w:type="dxa"/>
            <w:tcBorders>
              <w:left w:val="single" w:sz="4" w:space="0" w:color="4F81BD" w:themeColor="accent1"/>
              <w:right w:val="nil"/>
            </w:tcBorders>
            <w:textDirection w:val="btLr"/>
            <w:hideMark/>
          </w:tcPr>
          <w:p w14:paraId="6A754318" w14:textId="77777777" w:rsidR="00377635" w:rsidRPr="00C91EA2" w:rsidRDefault="00377635">
            <w:pPr>
              <w:jc w:val="center"/>
              <w:rPr>
                <w:rFonts w:ascii="Times New Roman" w:hAnsi="Times New Roman" w:cs="Times New Roman"/>
                <w:sz w:val="20"/>
                <w:szCs w:val="22"/>
              </w:rPr>
            </w:pPr>
            <w:r w:rsidRPr="00C91EA2">
              <w:rPr>
                <w:rFonts w:ascii="Times New Roman" w:eastAsia="Arial" w:hAnsi="Times New Roman" w:cs="Times New Roman"/>
                <w:bCs/>
                <w:kern w:val="24"/>
                <w:sz w:val="20"/>
                <w:szCs w:val="22"/>
                <w:lang w:val="en-GB"/>
              </w:rPr>
              <w:t>Processing</w:t>
            </w:r>
          </w:p>
        </w:tc>
        <w:tc>
          <w:tcPr>
            <w:tcW w:w="1951" w:type="dxa"/>
            <w:tcBorders>
              <w:left w:val="nil"/>
              <w:right w:val="nil"/>
            </w:tcBorders>
            <w:hideMark/>
          </w:tcPr>
          <w:p w14:paraId="2F9BDB9E" w14:textId="77777777" w:rsidR="00377635" w:rsidRPr="00C91EA2" w:rsidRDefault="00377635">
            <w:pPr>
              <w:tabs>
                <w:tab w:val="num" w:pos="720"/>
              </w:tabs>
              <w:spacing w:line="256" w:lineRule="auto"/>
              <w:rPr>
                <w:rFonts w:ascii="Times New Roman" w:hAnsi="Times New Roman" w:cs="Times New Roman"/>
                <w:b/>
                <w:sz w:val="20"/>
                <w:szCs w:val="22"/>
                <w:lang w:val="en-GB"/>
              </w:rPr>
            </w:pPr>
            <w:r w:rsidRPr="00C91EA2">
              <w:rPr>
                <w:rFonts w:ascii="Times New Roman" w:hAnsi="Times New Roman" w:cs="Times New Roman"/>
                <w:b/>
                <w:sz w:val="20"/>
                <w:szCs w:val="22"/>
                <w:lang w:val="en-GB"/>
              </w:rPr>
              <w:t>Relative ban on entry and expansion of activities</w:t>
            </w:r>
          </w:p>
          <w:p w14:paraId="09450575" w14:textId="6610591A"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 xml:space="preserve">Allocation of collection points and collection areas to processors benefits incumbents and increases the (transaction) cost of </w:t>
            </w:r>
            <w:r w:rsidR="00CC0D28">
              <w:rPr>
                <w:rFonts w:ascii="Times New Roman" w:hAnsi="Times New Roman" w:cs="Times New Roman"/>
                <w:sz w:val="20"/>
                <w:szCs w:val="22"/>
                <w:lang w:val="en-GB"/>
              </w:rPr>
              <w:t xml:space="preserve">entrants </w:t>
            </w:r>
          </w:p>
          <w:p w14:paraId="37EF10CD"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Incumbent processors are represented in CNIA which allocates collection points among processors which may lead to conflict of interest in allocating collection points to new entrants.</w:t>
            </w:r>
          </w:p>
        </w:tc>
        <w:tc>
          <w:tcPr>
            <w:tcW w:w="0" w:type="auto"/>
            <w:tcBorders>
              <w:left w:val="nil"/>
              <w:right w:val="nil"/>
            </w:tcBorders>
          </w:tcPr>
          <w:p w14:paraId="69646442" w14:textId="77777777" w:rsidR="00377635" w:rsidRPr="00C91EA2" w:rsidRDefault="00377635">
            <w:pPr>
              <w:pStyle w:val="NormalWeb"/>
              <w:spacing w:before="0" w:beforeAutospacing="0" w:after="0" w:afterAutospacing="0"/>
              <w:jc w:val="both"/>
              <w:rPr>
                <w:rFonts w:ascii="Times New Roman" w:hAnsi="Times New Roman"/>
                <w:b/>
                <w:szCs w:val="22"/>
              </w:rPr>
            </w:pPr>
            <w:r w:rsidRPr="00C91EA2">
              <w:rPr>
                <w:rFonts w:ascii="Times New Roman" w:eastAsia="Arial" w:hAnsi="Times New Roman"/>
                <w:b/>
                <w:bCs/>
                <w:kern w:val="24"/>
                <w:szCs w:val="22"/>
                <w:lang w:val="en-GB"/>
              </w:rPr>
              <w:t>Rules that facilitate agreements among competitors</w:t>
            </w:r>
          </w:p>
          <w:p w14:paraId="4B67255F"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The three processors represented in CNIA have access to and can actively share information on prices and other strategic variables</w:t>
            </w:r>
          </w:p>
          <w:p w14:paraId="4F118ED8"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Historical quotas / allocation of produce among processors provides a potential focal point for collusion.</w:t>
            </w:r>
          </w:p>
          <w:p w14:paraId="6FA1CC6F" w14:textId="77777777" w:rsidR="00377635" w:rsidRPr="00C91EA2" w:rsidRDefault="00377635">
            <w:pPr>
              <w:pStyle w:val="NormalWeb"/>
              <w:spacing w:before="0" w:beforeAutospacing="0" w:after="0" w:afterAutospacing="0"/>
              <w:jc w:val="both"/>
              <w:rPr>
                <w:rFonts w:ascii="Times New Roman" w:eastAsia="Arial" w:hAnsi="Times New Roman"/>
                <w:b/>
                <w:bCs/>
                <w:kern w:val="24"/>
                <w:szCs w:val="22"/>
                <w:lang w:val="en-GB"/>
              </w:rPr>
            </w:pPr>
          </w:p>
          <w:p w14:paraId="2D2CA19B" w14:textId="77777777" w:rsidR="00377635" w:rsidRPr="00C91EA2" w:rsidRDefault="00377635">
            <w:pPr>
              <w:pStyle w:val="NormalWeb"/>
              <w:spacing w:before="0" w:beforeAutospacing="0" w:after="0" w:afterAutospacing="0"/>
              <w:jc w:val="both"/>
              <w:rPr>
                <w:rFonts w:ascii="Times New Roman" w:hAnsi="Times New Roman"/>
                <w:b/>
                <w:szCs w:val="22"/>
              </w:rPr>
            </w:pPr>
            <w:r w:rsidRPr="00C91EA2">
              <w:rPr>
                <w:rFonts w:ascii="Times New Roman" w:eastAsia="Arial" w:hAnsi="Times New Roman"/>
                <w:b/>
                <w:bCs/>
                <w:kern w:val="24"/>
                <w:szCs w:val="22"/>
                <w:lang w:val="en-GB"/>
              </w:rPr>
              <w:t>Limits on choice of strategic variable</w:t>
            </w:r>
          </w:p>
          <w:p w14:paraId="244084B6" w14:textId="77777777" w:rsidR="00377635" w:rsidRPr="00C91EA2" w:rsidRDefault="00377635" w:rsidP="007575D7">
            <w:pPr>
              <w:jc w:val="both"/>
              <w:rPr>
                <w:rFonts w:ascii="Times New Roman" w:hAnsi="Times New Roman" w:cs="Times New Roman"/>
                <w:bCs/>
                <w:sz w:val="20"/>
                <w:szCs w:val="22"/>
                <w:lang w:val="en-GB"/>
              </w:rPr>
            </w:pPr>
            <w:r w:rsidRPr="00C91EA2">
              <w:rPr>
                <w:rFonts w:ascii="Times New Roman" w:eastAsia="Arial" w:hAnsi="Times New Roman" w:cs="Times New Roman"/>
                <w:bCs/>
                <w:kern w:val="24"/>
                <w:sz w:val="20"/>
                <w:szCs w:val="22"/>
                <w:lang w:val="en-GB"/>
              </w:rPr>
              <w:t xml:space="preserve">If binding, zone allocation between processors through the CNIA can restrict the area from which they are able to procure produce. If not binding, then allocation of zones can provide a focal point for market allocation. </w:t>
            </w:r>
          </w:p>
        </w:tc>
        <w:tc>
          <w:tcPr>
            <w:tcW w:w="0" w:type="auto"/>
            <w:tcBorders>
              <w:left w:val="nil"/>
              <w:right w:val="single" w:sz="4" w:space="0" w:color="4F81BD" w:themeColor="accent1"/>
            </w:tcBorders>
          </w:tcPr>
          <w:p w14:paraId="5A3005F1" w14:textId="77777777" w:rsidR="00377635" w:rsidRPr="00C91EA2" w:rsidRDefault="00377635">
            <w:pPr>
              <w:pStyle w:val="NormalWeb"/>
              <w:spacing w:before="0" w:beforeAutospacing="0" w:after="0" w:afterAutospacing="0"/>
              <w:jc w:val="both"/>
              <w:rPr>
                <w:rFonts w:ascii="Times New Roman" w:hAnsi="Times New Roman"/>
                <w:szCs w:val="22"/>
              </w:rPr>
            </w:pPr>
            <w:r w:rsidRPr="00C91EA2">
              <w:rPr>
                <w:rFonts w:ascii="Times New Roman" w:eastAsia="Arial" w:hAnsi="Times New Roman"/>
                <w:b/>
                <w:bCs/>
                <w:kern w:val="24"/>
                <w:szCs w:val="22"/>
                <w:lang w:val="en-GB"/>
              </w:rPr>
              <w:t>Discretionary application of rules</w:t>
            </w:r>
          </w:p>
          <w:p w14:paraId="7F60E7DB" w14:textId="77777777" w:rsidR="00377635" w:rsidRPr="00C91EA2" w:rsidRDefault="00377635" w:rsidP="00377635">
            <w:pPr>
              <w:pStyle w:val="ListParagraph"/>
              <w:numPr>
                <w:ilvl w:val="0"/>
                <w:numId w:val="109"/>
              </w:numPr>
              <w:jc w:val="both"/>
              <w:rPr>
                <w:rFonts w:ascii="Times New Roman" w:hAnsi="Times New Roman" w:cs="Times New Roman"/>
                <w:sz w:val="20"/>
                <w:szCs w:val="22"/>
              </w:rPr>
            </w:pPr>
            <w:r w:rsidRPr="00C91EA2">
              <w:rPr>
                <w:rFonts w:ascii="Times New Roman" w:eastAsia="Arial" w:hAnsi="Times New Roman" w:cs="Times New Roman"/>
                <w:bCs/>
                <w:kern w:val="24"/>
                <w:sz w:val="20"/>
                <w:szCs w:val="22"/>
                <w:lang w:val="en-GB"/>
              </w:rPr>
              <w:t>The three processors represented in CNIA may have preferential access to the policy making process compared to unrepresented processors.</w:t>
            </w:r>
          </w:p>
          <w:p w14:paraId="43ABBFAF" w14:textId="77777777" w:rsidR="00377635" w:rsidRPr="00C91EA2" w:rsidRDefault="00377635">
            <w:pPr>
              <w:pStyle w:val="NormalWeb"/>
              <w:spacing w:before="0" w:beforeAutospacing="0" w:after="0" w:afterAutospacing="0"/>
              <w:jc w:val="both"/>
              <w:rPr>
                <w:rFonts w:ascii="Times New Roman" w:eastAsia="Arial" w:hAnsi="Times New Roman"/>
                <w:bCs/>
                <w:kern w:val="24"/>
                <w:szCs w:val="22"/>
              </w:rPr>
            </w:pPr>
          </w:p>
          <w:p w14:paraId="2EE5719F" w14:textId="77777777" w:rsidR="00377635" w:rsidRPr="00C91EA2" w:rsidRDefault="00377635">
            <w:pPr>
              <w:pStyle w:val="NormalWeb"/>
              <w:spacing w:before="0" w:beforeAutospacing="0" w:after="0" w:afterAutospacing="0"/>
              <w:jc w:val="both"/>
              <w:rPr>
                <w:rFonts w:ascii="Times New Roman" w:hAnsi="Times New Roman"/>
                <w:b/>
                <w:szCs w:val="22"/>
              </w:rPr>
            </w:pPr>
            <w:r w:rsidRPr="00C91EA2">
              <w:rPr>
                <w:rFonts w:ascii="Times New Roman" w:eastAsia="Arial" w:hAnsi="Times New Roman"/>
                <w:b/>
                <w:bCs/>
                <w:kern w:val="24"/>
                <w:szCs w:val="22"/>
              </w:rPr>
              <w:t>Rules that distort the level playing field</w:t>
            </w:r>
          </w:p>
          <w:p w14:paraId="33449A75" w14:textId="1C371AE1"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 xml:space="preserve">Preferential access to finance for SONACOS for purchase of groundnut: Islamic Development Bank (IDB) loan to the </w:t>
            </w:r>
            <w:r w:rsidR="003B24ED">
              <w:rPr>
                <w:rFonts w:ascii="Times New Roman" w:hAnsi="Times New Roman" w:cs="Times New Roman"/>
                <w:sz w:val="20"/>
                <w:szCs w:val="22"/>
                <w:lang w:val="en-GB"/>
              </w:rPr>
              <w:t>Government</w:t>
            </w:r>
            <w:r w:rsidRPr="00C91EA2">
              <w:rPr>
                <w:rFonts w:ascii="Times New Roman" w:hAnsi="Times New Roman" w:cs="Times New Roman"/>
                <w:sz w:val="20"/>
                <w:szCs w:val="22"/>
                <w:lang w:val="en-GB"/>
              </w:rPr>
              <w:t xml:space="preserve"> and passed on to SONACOS for purchase of input in 2016/2017</w:t>
            </w:r>
          </w:p>
          <w:p w14:paraId="69E64F19"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sz w:val="20"/>
                <w:szCs w:val="22"/>
                <w:lang w:val="en-GB"/>
              </w:rPr>
            </w:pPr>
            <w:r w:rsidRPr="00C91EA2">
              <w:rPr>
                <w:rFonts w:ascii="Times New Roman" w:hAnsi="Times New Roman" w:cs="Times New Roman"/>
                <w:sz w:val="20"/>
                <w:szCs w:val="22"/>
                <w:lang w:val="en-GB"/>
              </w:rPr>
              <w:t>Operational subsidies appear to be targeted solely at SONACOS creating unlevel playing field</w:t>
            </w:r>
          </w:p>
          <w:p w14:paraId="43754EB2" w14:textId="77777777" w:rsidR="00377635" w:rsidRPr="00C91EA2" w:rsidRDefault="00377635" w:rsidP="007575D7">
            <w:pPr>
              <w:numPr>
                <w:ilvl w:val="0"/>
                <w:numId w:val="108"/>
              </w:numPr>
              <w:tabs>
                <w:tab w:val="clear" w:pos="360"/>
                <w:tab w:val="num" w:pos="540"/>
                <w:tab w:val="num" w:pos="720"/>
              </w:tabs>
              <w:spacing w:line="256" w:lineRule="auto"/>
              <w:ind w:left="106" w:hanging="90"/>
              <w:jc w:val="both"/>
              <w:rPr>
                <w:rFonts w:ascii="Times New Roman" w:hAnsi="Times New Roman" w:cs="Times New Roman"/>
                <w:bCs/>
                <w:sz w:val="20"/>
                <w:szCs w:val="22"/>
                <w:lang w:val="en-GB"/>
              </w:rPr>
            </w:pPr>
            <w:r w:rsidRPr="00C91EA2">
              <w:rPr>
                <w:rFonts w:ascii="Times New Roman" w:hAnsi="Times New Roman" w:cs="Times New Roman"/>
                <w:sz w:val="20"/>
                <w:szCs w:val="22"/>
                <w:lang w:val="en-GB"/>
              </w:rPr>
              <w:t>SONACOS appears to be the only miller who was reimbursed forgone revenue from price ceilings on soy bean oil put in place by the Ministry of Commerce.</w:t>
            </w:r>
          </w:p>
        </w:tc>
      </w:tr>
      <w:tr w:rsidR="00377635" w:rsidRPr="00C91EA2" w14:paraId="5B92F815" w14:textId="77777777" w:rsidTr="00377635">
        <w:trPr>
          <w:trHeight w:val="2234"/>
        </w:trPr>
        <w:tc>
          <w:tcPr>
            <w:tcW w:w="715" w:type="dxa"/>
            <w:tcBorders>
              <w:top w:val="nil"/>
              <w:left w:val="single" w:sz="4" w:space="0" w:color="4F81BD" w:themeColor="accent1"/>
              <w:bottom w:val="single" w:sz="4" w:space="0" w:color="4F81BD" w:themeColor="accent1"/>
              <w:right w:val="nil"/>
            </w:tcBorders>
            <w:textDirection w:val="btLr"/>
            <w:hideMark/>
          </w:tcPr>
          <w:p w14:paraId="173BB321" w14:textId="77777777" w:rsidR="00377635" w:rsidRPr="00C91EA2" w:rsidRDefault="00377635">
            <w:pPr>
              <w:jc w:val="center"/>
              <w:rPr>
                <w:rFonts w:ascii="Times New Roman" w:hAnsi="Times New Roman" w:cs="Times New Roman"/>
                <w:sz w:val="20"/>
                <w:szCs w:val="22"/>
              </w:rPr>
            </w:pPr>
            <w:r w:rsidRPr="00C91EA2">
              <w:rPr>
                <w:rFonts w:ascii="Times New Roman" w:eastAsia="Arial" w:hAnsi="Times New Roman" w:cs="Times New Roman"/>
                <w:color w:val="000000" w:themeColor="dark1"/>
                <w:kern w:val="24"/>
                <w:sz w:val="20"/>
                <w:szCs w:val="22"/>
              </w:rPr>
              <w:t>Intermediation for export</w:t>
            </w:r>
          </w:p>
        </w:tc>
        <w:tc>
          <w:tcPr>
            <w:tcW w:w="1951" w:type="dxa"/>
            <w:tcBorders>
              <w:top w:val="nil"/>
              <w:left w:val="nil"/>
              <w:bottom w:val="single" w:sz="4" w:space="0" w:color="4F81BD" w:themeColor="accent1"/>
              <w:right w:val="nil"/>
            </w:tcBorders>
            <w:hideMark/>
          </w:tcPr>
          <w:p w14:paraId="6853AEB6" w14:textId="77777777" w:rsidR="00377635" w:rsidRPr="00C91EA2" w:rsidRDefault="00377635" w:rsidP="007575D7">
            <w:pPr>
              <w:jc w:val="both"/>
              <w:rPr>
                <w:rFonts w:ascii="Times New Roman" w:hAnsi="Times New Roman" w:cs="Times New Roman"/>
                <w:bCs/>
                <w:sz w:val="20"/>
                <w:szCs w:val="22"/>
                <w:lang w:val="en-GB"/>
              </w:rPr>
            </w:pPr>
            <w:r w:rsidRPr="00C91EA2">
              <w:rPr>
                <w:rFonts w:ascii="Times New Roman" w:eastAsia="Arial" w:hAnsi="Times New Roman" w:cs="Times New Roman"/>
                <w:b/>
                <w:bCs/>
                <w:kern w:val="24"/>
                <w:sz w:val="20"/>
                <w:szCs w:val="22"/>
                <w:lang w:val="en-GB"/>
              </w:rPr>
              <w:t>Absolute ban on entry</w:t>
            </w:r>
            <w:r w:rsidRPr="00C91EA2">
              <w:rPr>
                <w:rFonts w:ascii="Times New Roman" w:eastAsia="Arial" w:hAnsi="Times New Roman" w:cs="Times New Roman"/>
                <w:kern w:val="24"/>
                <w:sz w:val="20"/>
                <w:szCs w:val="22"/>
                <w:lang w:val="en-GB"/>
              </w:rPr>
              <w:t>: Temporary ban of exports by customs blocks entry into export markets.</w:t>
            </w:r>
          </w:p>
        </w:tc>
        <w:tc>
          <w:tcPr>
            <w:tcW w:w="0" w:type="auto"/>
            <w:tcBorders>
              <w:top w:val="nil"/>
              <w:left w:val="nil"/>
              <w:bottom w:val="single" w:sz="4" w:space="0" w:color="4F81BD" w:themeColor="accent1"/>
              <w:right w:val="nil"/>
            </w:tcBorders>
            <w:hideMark/>
          </w:tcPr>
          <w:p w14:paraId="6D625F05" w14:textId="77777777" w:rsidR="00377635" w:rsidRPr="00C91EA2" w:rsidRDefault="00377635" w:rsidP="007575D7">
            <w:pPr>
              <w:jc w:val="both"/>
              <w:rPr>
                <w:rFonts w:ascii="Times New Roman" w:hAnsi="Times New Roman" w:cs="Times New Roman"/>
                <w:bCs/>
                <w:sz w:val="20"/>
                <w:szCs w:val="22"/>
                <w:lang w:val="en-GB"/>
              </w:rPr>
            </w:pPr>
            <w:r w:rsidRPr="00C91EA2">
              <w:rPr>
                <w:rFonts w:ascii="Times New Roman" w:eastAsia="Arial" w:hAnsi="Times New Roman" w:cs="Times New Roman"/>
                <w:b/>
                <w:bCs/>
                <w:kern w:val="24"/>
                <w:sz w:val="20"/>
                <w:szCs w:val="22"/>
                <w:lang w:val="en-GB"/>
              </w:rPr>
              <w:t>Rules that facilitate agreements among competitors</w:t>
            </w:r>
            <w:r w:rsidRPr="00C91EA2">
              <w:rPr>
                <w:rFonts w:ascii="Times New Roman" w:eastAsia="Arial" w:hAnsi="Times New Roman" w:cs="Times New Roman"/>
                <w:bCs/>
                <w:kern w:val="24"/>
                <w:sz w:val="20"/>
                <w:szCs w:val="22"/>
                <w:lang w:val="en-GB"/>
              </w:rPr>
              <w:t xml:space="preserve">: </w:t>
            </w:r>
            <w:r w:rsidRPr="00C91EA2">
              <w:rPr>
                <w:rFonts w:ascii="Times New Roman" w:eastAsia="Arial" w:hAnsi="Times New Roman" w:cs="Times New Roman"/>
                <w:kern w:val="24"/>
                <w:sz w:val="20"/>
                <w:szCs w:val="22"/>
                <w:lang w:val="en-GB"/>
              </w:rPr>
              <w:t>Obligation to buy at specific points of collection facilitates exchange of information and may increase symmetry of players.</w:t>
            </w:r>
          </w:p>
        </w:tc>
        <w:tc>
          <w:tcPr>
            <w:tcW w:w="0" w:type="auto"/>
            <w:tcBorders>
              <w:top w:val="nil"/>
              <w:left w:val="nil"/>
              <w:bottom w:val="single" w:sz="4" w:space="0" w:color="4F81BD" w:themeColor="accent1"/>
              <w:right w:val="single" w:sz="4" w:space="0" w:color="4F81BD" w:themeColor="accent1"/>
            </w:tcBorders>
            <w:hideMark/>
          </w:tcPr>
          <w:p w14:paraId="71E43A06" w14:textId="090EFAD0" w:rsidR="00377635" w:rsidRPr="00C91EA2" w:rsidRDefault="00377635" w:rsidP="007575D7">
            <w:pPr>
              <w:jc w:val="both"/>
              <w:rPr>
                <w:rFonts w:ascii="Times New Roman" w:hAnsi="Times New Roman" w:cs="Times New Roman"/>
                <w:bCs/>
                <w:sz w:val="20"/>
                <w:szCs w:val="22"/>
                <w:lang w:val="en-GB"/>
              </w:rPr>
            </w:pPr>
            <w:r w:rsidRPr="00C91EA2">
              <w:rPr>
                <w:rFonts w:ascii="Times New Roman" w:eastAsia="Arial" w:hAnsi="Times New Roman" w:cs="Times New Roman"/>
                <w:b/>
                <w:bCs/>
                <w:kern w:val="24"/>
                <w:sz w:val="20"/>
                <w:szCs w:val="22"/>
                <w:lang w:val="en-GB"/>
              </w:rPr>
              <w:t>Rules that distort level playing field</w:t>
            </w:r>
            <w:r w:rsidRPr="00C91EA2">
              <w:rPr>
                <w:rFonts w:ascii="Times New Roman" w:eastAsia="Arial" w:hAnsi="Times New Roman" w:cs="Times New Roman"/>
                <w:kern w:val="24"/>
                <w:sz w:val="20"/>
                <w:szCs w:val="22"/>
                <w:lang w:val="en-GB"/>
              </w:rPr>
              <w:t xml:space="preserve">: </w:t>
            </w:r>
            <w:r w:rsidR="00183D71">
              <w:rPr>
                <w:rFonts w:ascii="Times New Roman" w:eastAsia="Arial" w:hAnsi="Times New Roman" w:cs="Times New Roman"/>
                <w:kern w:val="24"/>
                <w:sz w:val="20"/>
                <w:szCs w:val="22"/>
                <w:lang w:val="en-GB"/>
              </w:rPr>
              <w:t>Currently suspended e</w:t>
            </w:r>
            <w:r w:rsidRPr="00C91EA2">
              <w:rPr>
                <w:rFonts w:ascii="Times New Roman" w:eastAsia="Arial" w:hAnsi="Times New Roman" w:cs="Times New Roman"/>
                <w:kern w:val="24"/>
                <w:sz w:val="20"/>
                <w:szCs w:val="22"/>
                <w:lang w:val="en-GB"/>
              </w:rPr>
              <w:t>xport tax constrains the ability of exporters to compete with domestic processors in the purchase of groundnut</w:t>
            </w:r>
            <w:r w:rsidR="00CE47F9">
              <w:rPr>
                <w:rFonts w:ascii="Times New Roman" w:eastAsia="Arial" w:hAnsi="Times New Roman" w:cs="Times New Roman"/>
                <w:kern w:val="24"/>
                <w:sz w:val="20"/>
                <w:szCs w:val="22"/>
                <w:lang w:val="en-GB"/>
              </w:rPr>
              <w:t>s</w:t>
            </w:r>
          </w:p>
        </w:tc>
      </w:tr>
    </w:tbl>
    <w:p w14:paraId="304419DE" w14:textId="39B8399F" w:rsidR="00377635" w:rsidRDefault="00377635" w:rsidP="00377635">
      <w:pPr>
        <w:rPr>
          <w:rFonts w:ascii="Times New Roman" w:hAnsi="Times New Roman" w:cs="Times New Roman"/>
        </w:rPr>
      </w:pPr>
    </w:p>
    <w:p w14:paraId="6B875DA7" w14:textId="25555013" w:rsidR="00960DD3" w:rsidRDefault="00960DD3" w:rsidP="00377635">
      <w:pPr>
        <w:rPr>
          <w:rFonts w:ascii="Times New Roman" w:hAnsi="Times New Roman" w:cs="Times New Roman"/>
        </w:rPr>
      </w:pPr>
    </w:p>
    <w:p w14:paraId="54EDAB37" w14:textId="77777777" w:rsidR="00960DD3" w:rsidRPr="00C91EA2" w:rsidRDefault="00960DD3" w:rsidP="00377635">
      <w:pPr>
        <w:rPr>
          <w:rFonts w:ascii="Times New Roman" w:hAnsi="Times New Roman" w:cs="Times New Roman"/>
        </w:rPr>
      </w:pPr>
    </w:p>
    <w:p w14:paraId="3FA12421" w14:textId="77777777" w:rsidR="00377635" w:rsidRPr="00C91EA2" w:rsidRDefault="00C4575E" w:rsidP="00034A8A">
      <w:pPr>
        <w:pStyle w:val="Heading4"/>
        <w:rPr>
          <w:rFonts w:ascii="Times New Roman" w:hAnsi="Times New Roman" w:cs="Times New Roman"/>
        </w:rPr>
      </w:pPr>
      <w:bookmarkStart w:id="235" w:name="_Toc494097779"/>
      <w:r>
        <w:rPr>
          <w:rFonts w:ascii="Times New Roman" w:hAnsi="Times New Roman" w:cs="Times New Roman"/>
        </w:rPr>
        <w:t>The M</w:t>
      </w:r>
      <w:r w:rsidR="00377635" w:rsidRPr="00C91EA2">
        <w:rPr>
          <w:rFonts w:ascii="Times New Roman" w:hAnsi="Times New Roman" w:cs="Times New Roman"/>
        </w:rPr>
        <w:t xml:space="preserve">arket for </w:t>
      </w:r>
      <w:r w:rsidR="00B37FE4">
        <w:rPr>
          <w:rFonts w:ascii="Times New Roman" w:hAnsi="Times New Roman" w:cs="Times New Roman"/>
        </w:rPr>
        <w:t>V</w:t>
      </w:r>
      <w:r w:rsidR="00377635" w:rsidRPr="00C91EA2">
        <w:rPr>
          <w:rFonts w:ascii="Times New Roman" w:hAnsi="Times New Roman" w:cs="Times New Roman"/>
        </w:rPr>
        <w:t xml:space="preserve">egetable </w:t>
      </w:r>
      <w:r w:rsidR="00B37FE4">
        <w:rPr>
          <w:rFonts w:ascii="Times New Roman" w:hAnsi="Times New Roman" w:cs="Times New Roman"/>
        </w:rPr>
        <w:t>O</w:t>
      </w:r>
      <w:r w:rsidR="00377635" w:rsidRPr="00C91EA2">
        <w:rPr>
          <w:rFonts w:ascii="Times New Roman" w:hAnsi="Times New Roman" w:cs="Times New Roman"/>
        </w:rPr>
        <w:t>ils</w:t>
      </w:r>
      <w:bookmarkEnd w:id="235"/>
    </w:p>
    <w:p w14:paraId="23F3CE99" w14:textId="77777777" w:rsidR="00377635" w:rsidRPr="00C91EA2" w:rsidRDefault="00377635" w:rsidP="00377635">
      <w:pPr>
        <w:rPr>
          <w:rFonts w:ascii="Times New Roman" w:hAnsi="Times New Roman" w:cs="Times New Roman"/>
        </w:rPr>
      </w:pPr>
    </w:p>
    <w:p w14:paraId="5B49776E" w14:textId="037C8591"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The</w:t>
      </w:r>
      <w:r w:rsidR="00FA09FE">
        <w:rPr>
          <w:rFonts w:ascii="Times New Roman" w:hAnsi="Times New Roman" w:cs="Times New Roman"/>
          <w:b/>
        </w:rPr>
        <w:t xml:space="preserve"> state-owned</w:t>
      </w:r>
      <w:r w:rsidRPr="00C91EA2">
        <w:rPr>
          <w:rFonts w:ascii="Times New Roman" w:hAnsi="Times New Roman" w:cs="Times New Roman"/>
          <w:b/>
        </w:rPr>
        <w:t xml:space="preserve"> oil processor SONACOS dominates the market for crude groundnut oil</w:t>
      </w:r>
      <w:r w:rsidRPr="00C91EA2">
        <w:rPr>
          <w:rFonts w:ascii="Times New Roman" w:hAnsi="Times New Roman" w:cs="Times New Roman"/>
        </w:rPr>
        <w:t xml:space="preserve">, in terms of </w:t>
      </w:r>
      <w:r w:rsidR="008C6010">
        <w:rPr>
          <w:rFonts w:ascii="Times New Roman" w:hAnsi="Times New Roman" w:cs="Times New Roman"/>
        </w:rPr>
        <w:t xml:space="preserve">both </w:t>
      </w:r>
      <w:r w:rsidRPr="00C91EA2">
        <w:rPr>
          <w:rFonts w:ascii="Times New Roman" w:hAnsi="Times New Roman" w:cs="Times New Roman"/>
        </w:rPr>
        <w:t xml:space="preserve">processing capacity and actual purchases made in the 2016/17 season (for an overview of the value chain for domestically produced vegetable oils see </w:t>
      </w:r>
      <w:r w:rsidRPr="00C91EA2">
        <w:rPr>
          <w:rFonts w:ascii="Times New Roman" w:hAnsi="Times New Roman" w:cs="Times New Roman"/>
        </w:rPr>
        <w:fldChar w:fldCharType="begin"/>
      </w:r>
      <w:r w:rsidRPr="00C91EA2">
        <w:rPr>
          <w:rFonts w:ascii="Times New Roman" w:hAnsi="Times New Roman" w:cs="Times New Roman"/>
        </w:rPr>
        <w:instrText xml:space="preserve"> REF _Ref497906398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53</w:t>
      </w:r>
      <w:r w:rsidRPr="00C91EA2">
        <w:rPr>
          <w:rFonts w:ascii="Times New Roman" w:hAnsi="Times New Roman" w:cs="Times New Roman"/>
        </w:rPr>
        <w:fldChar w:fldCharType="end"/>
      </w:r>
      <w:r w:rsidRPr="00C91EA2">
        <w:rPr>
          <w:rFonts w:ascii="Times New Roman" w:hAnsi="Times New Roman" w:cs="Times New Roman"/>
        </w:rPr>
        <w:t xml:space="preserve">). SONACOS has the capacity to process 300,000 tons of groundnuts or around 58 percent of overall installed capacity in the country, the Compagnie </w:t>
      </w:r>
      <w:proofErr w:type="spellStart"/>
      <w:r w:rsidRPr="00C91EA2">
        <w:rPr>
          <w:rFonts w:ascii="Times New Roman" w:hAnsi="Times New Roman" w:cs="Times New Roman"/>
        </w:rPr>
        <w:t>d’Exploitation</w:t>
      </w:r>
      <w:proofErr w:type="spellEnd"/>
      <w:r w:rsidRPr="00C91EA2">
        <w:rPr>
          <w:rFonts w:ascii="Times New Roman" w:hAnsi="Times New Roman" w:cs="Times New Roman"/>
        </w:rPr>
        <w:t xml:space="preserve"> des </w:t>
      </w:r>
      <w:proofErr w:type="spellStart"/>
      <w:r w:rsidRPr="00C91EA2">
        <w:rPr>
          <w:rFonts w:ascii="Times New Roman" w:hAnsi="Times New Roman" w:cs="Times New Roman"/>
        </w:rPr>
        <w:t>Oléagineux</w:t>
      </w:r>
      <w:proofErr w:type="spellEnd"/>
      <w:r w:rsidRPr="00C91EA2">
        <w:rPr>
          <w:rFonts w:ascii="Times New Roman" w:hAnsi="Times New Roman" w:cs="Times New Roman"/>
        </w:rPr>
        <w:t xml:space="preserve"> (COPEOL) can process 100,000 tons (19 percent), West African Oils (WAO) has a capacity of 80,000 tons (~15 percent), while the capacity of the </w:t>
      </w:r>
      <w:proofErr w:type="spellStart"/>
      <w:r w:rsidRPr="00C91EA2">
        <w:rPr>
          <w:rFonts w:ascii="Times New Roman" w:hAnsi="Times New Roman" w:cs="Times New Roman"/>
        </w:rPr>
        <w:t>Complexe</w:t>
      </w:r>
      <w:proofErr w:type="spellEnd"/>
      <w:r w:rsidRPr="00C91EA2">
        <w:rPr>
          <w:rFonts w:ascii="Times New Roman" w:hAnsi="Times New Roman" w:cs="Times New Roman"/>
        </w:rPr>
        <w:t xml:space="preserve"> </w:t>
      </w:r>
      <w:proofErr w:type="spellStart"/>
      <w:r w:rsidRPr="00C91EA2">
        <w:rPr>
          <w:rFonts w:ascii="Times New Roman" w:hAnsi="Times New Roman" w:cs="Times New Roman"/>
        </w:rPr>
        <w:t>Agro-Industriel</w:t>
      </w:r>
      <w:proofErr w:type="spellEnd"/>
      <w:r w:rsidRPr="00C91EA2">
        <w:rPr>
          <w:rFonts w:ascii="Times New Roman" w:hAnsi="Times New Roman" w:cs="Times New Roman"/>
        </w:rPr>
        <w:t xml:space="preserve"> de </w:t>
      </w:r>
      <w:proofErr w:type="spellStart"/>
      <w:r w:rsidRPr="00C91EA2">
        <w:rPr>
          <w:rFonts w:ascii="Times New Roman" w:hAnsi="Times New Roman" w:cs="Times New Roman"/>
        </w:rPr>
        <w:t>Touba</w:t>
      </w:r>
      <w:proofErr w:type="spellEnd"/>
      <w:r w:rsidRPr="00C91EA2">
        <w:rPr>
          <w:rFonts w:ascii="Times New Roman" w:hAnsi="Times New Roman" w:cs="Times New Roman"/>
        </w:rPr>
        <w:t xml:space="preserve"> (CAIT) is 35,000 tons (</w:t>
      </w:r>
      <w:r w:rsidR="00E92905" w:rsidRPr="00C91EA2">
        <w:rPr>
          <w:rFonts w:ascii="Times New Roman" w:hAnsi="Times New Roman" w:cs="Times New Roman"/>
        </w:rPr>
        <w:t>~</w:t>
      </w:r>
      <w:r w:rsidRPr="00C91EA2">
        <w:rPr>
          <w:rFonts w:ascii="Times New Roman" w:hAnsi="Times New Roman" w:cs="Times New Roman"/>
        </w:rPr>
        <w:t>7 percent).</w:t>
      </w:r>
      <w:r w:rsidRPr="00C91EA2">
        <w:rPr>
          <w:rStyle w:val="FootnoteReference"/>
          <w:rFonts w:ascii="Times New Roman" w:hAnsi="Times New Roman" w:cs="Times New Roman"/>
        </w:rPr>
        <w:footnoteReference w:id="166"/>
      </w:r>
      <w:r w:rsidRPr="00C91EA2">
        <w:rPr>
          <w:rFonts w:ascii="Times New Roman" w:hAnsi="Times New Roman" w:cs="Times New Roman"/>
        </w:rPr>
        <w:t xml:space="preserve"> However, all Senegalese oil producers have consistently been producing under capacity (see </w:t>
      </w:r>
      <w:r w:rsidRPr="00C91EA2">
        <w:rPr>
          <w:rFonts w:ascii="Times New Roman" w:hAnsi="Times New Roman" w:cs="Times New Roman"/>
        </w:rPr>
        <w:fldChar w:fldCharType="begin"/>
      </w:r>
      <w:r w:rsidRPr="00C91EA2">
        <w:rPr>
          <w:rFonts w:ascii="Times New Roman" w:hAnsi="Times New Roman" w:cs="Times New Roman"/>
        </w:rPr>
        <w:instrText xml:space="preserve"> REF _Ref497844769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7</w:t>
      </w:r>
      <w:r w:rsidRPr="00C91EA2">
        <w:rPr>
          <w:rFonts w:ascii="Times New Roman" w:hAnsi="Times New Roman" w:cs="Times New Roman"/>
        </w:rPr>
        <w:fldChar w:fldCharType="end"/>
      </w:r>
      <w:r w:rsidRPr="00C91EA2">
        <w:rPr>
          <w:rFonts w:ascii="Times New Roman" w:hAnsi="Times New Roman" w:cs="Times New Roman"/>
        </w:rPr>
        <w:t xml:space="preserve"> </w:t>
      </w:r>
      <w:r w:rsidRPr="00C91EA2">
        <w:rPr>
          <w:rFonts w:ascii="Times New Roman" w:hAnsi="Times New Roman" w:cs="Times New Roman"/>
        </w:rPr>
        <w:fldChar w:fldCharType="begin"/>
      </w:r>
      <w:r w:rsidRPr="00C91EA2">
        <w:rPr>
          <w:rFonts w:ascii="Times New Roman" w:hAnsi="Times New Roman" w:cs="Times New Roman"/>
        </w:rPr>
        <w:instrText xml:space="preserve"> REF _Ref497906460 \p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Pr>
          <w:rFonts w:ascii="Times New Roman" w:hAnsi="Times New Roman" w:cs="Times New Roman"/>
        </w:rPr>
        <w:t>above</w:t>
      </w:r>
      <w:r w:rsidRPr="00C91EA2">
        <w:rPr>
          <w:rFonts w:ascii="Times New Roman" w:hAnsi="Times New Roman" w:cs="Times New Roman"/>
        </w:rPr>
        <w:fldChar w:fldCharType="end"/>
      </w:r>
      <w:r w:rsidRPr="00C91EA2">
        <w:rPr>
          <w:rFonts w:ascii="Times New Roman" w:hAnsi="Times New Roman" w:cs="Times New Roman"/>
        </w:rPr>
        <w:t>). In the 2015/16 season, SONACOS only purchased 7,000 tons, of which nothing was processed, COPEOL 25,000 and CAIT only 280 tons. West African Oils (WAO) purchased 13,600 tons.</w:t>
      </w:r>
      <w:r w:rsidRPr="00C91EA2">
        <w:rPr>
          <w:rStyle w:val="FootnoteReference"/>
          <w:rFonts w:ascii="Times New Roman" w:hAnsi="Times New Roman" w:cs="Times New Roman"/>
        </w:rPr>
        <w:footnoteReference w:id="167"/>
      </w:r>
      <w:r w:rsidRPr="00C91EA2">
        <w:rPr>
          <w:rFonts w:ascii="Times New Roman" w:hAnsi="Times New Roman" w:cs="Times New Roman"/>
        </w:rPr>
        <w:t xml:space="preserve"> In the 2016/17 season volumes increased slightly (likely due to the export tax that was described above</w:t>
      </w:r>
      <w:proofErr w:type="gramStart"/>
      <w:r w:rsidRPr="00C91EA2">
        <w:rPr>
          <w:rFonts w:ascii="Times New Roman" w:hAnsi="Times New Roman" w:cs="Times New Roman"/>
        </w:rPr>
        <w:t>), but</w:t>
      </w:r>
      <w:proofErr w:type="gramEnd"/>
      <w:r w:rsidRPr="00C91EA2">
        <w:rPr>
          <w:rFonts w:ascii="Times New Roman" w:hAnsi="Times New Roman" w:cs="Times New Roman"/>
        </w:rPr>
        <w:t xml:space="preserve"> are still far short of capacity. By the second-to-last week of the season, SONACOS had purchased 93,000 tons, COPEOL 50,000 tons, CAIT 28 tons and WAO 13,000.</w:t>
      </w:r>
      <w:r w:rsidRPr="00C91EA2">
        <w:rPr>
          <w:rStyle w:val="FootnoteReference"/>
          <w:rFonts w:ascii="Times New Roman" w:hAnsi="Times New Roman" w:cs="Times New Roman"/>
        </w:rPr>
        <w:footnoteReference w:id="168"/>
      </w:r>
    </w:p>
    <w:p w14:paraId="2C77AB7A" w14:textId="77777777" w:rsidR="00377635" w:rsidRPr="00C91EA2" w:rsidRDefault="00377635" w:rsidP="00377635">
      <w:pPr>
        <w:jc w:val="both"/>
        <w:rPr>
          <w:rFonts w:ascii="Times New Roman" w:hAnsi="Times New Roman" w:cs="Times New Roman"/>
        </w:rPr>
      </w:pPr>
    </w:p>
    <w:p w14:paraId="05FA2C1C" w14:textId="77777777" w:rsidR="00377635"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Most of the locally produced crude groundnut oil is exported</w:t>
      </w:r>
      <w:r w:rsidRPr="00C91EA2">
        <w:rPr>
          <w:rFonts w:ascii="Times New Roman" w:hAnsi="Times New Roman" w:cs="Times New Roman"/>
        </w:rPr>
        <w:t>. SONACOS held roughly 75 percent of the export market share between 2009 and 2012, while COPEOL (formerly NOVASEN) exported the remaining 25 percent.</w:t>
      </w:r>
      <w:r w:rsidRPr="00C91EA2">
        <w:rPr>
          <w:rStyle w:val="FootnoteReference"/>
          <w:rFonts w:ascii="Times New Roman" w:hAnsi="Times New Roman" w:cs="Times New Roman"/>
        </w:rPr>
        <w:footnoteReference w:id="169"/>
      </w:r>
      <w:r w:rsidRPr="00C91EA2">
        <w:rPr>
          <w:rFonts w:ascii="Times New Roman" w:hAnsi="Times New Roman" w:cs="Times New Roman"/>
        </w:rPr>
        <w:t xml:space="preserve"> COPEOL focuses on the Chinese market, where Senegalese oil enjoys a good reputation.</w:t>
      </w:r>
      <w:r w:rsidRPr="00C91EA2">
        <w:rPr>
          <w:rStyle w:val="FootnoteReference"/>
          <w:rFonts w:ascii="Times New Roman" w:hAnsi="Times New Roman" w:cs="Times New Roman"/>
        </w:rPr>
        <w:footnoteReference w:id="170"/>
      </w:r>
    </w:p>
    <w:p w14:paraId="7CEE997B" w14:textId="77777777" w:rsidR="005D6BDC" w:rsidRDefault="005D6BDC" w:rsidP="00377635">
      <w:pPr>
        <w:jc w:val="both"/>
        <w:rPr>
          <w:rFonts w:ascii="Times New Roman" w:hAnsi="Times New Roman" w:cs="Times New Roman"/>
        </w:rPr>
      </w:pPr>
    </w:p>
    <w:p w14:paraId="6882F366" w14:textId="333DCC19" w:rsidR="005D6BDC" w:rsidRDefault="005D6BDC" w:rsidP="00377635">
      <w:pPr>
        <w:jc w:val="both"/>
        <w:rPr>
          <w:rFonts w:ascii="Times New Roman" w:hAnsi="Times New Roman" w:cs="Times New Roman"/>
        </w:rPr>
      </w:pPr>
    </w:p>
    <w:p w14:paraId="64CBAF86" w14:textId="0D3E7157" w:rsidR="00960DD3" w:rsidRDefault="00960DD3" w:rsidP="00377635">
      <w:pPr>
        <w:jc w:val="both"/>
        <w:rPr>
          <w:rFonts w:ascii="Times New Roman" w:hAnsi="Times New Roman" w:cs="Times New Roman"/>
        </w:rPr>
      </w:pPr>
    </w:p>
    <w:p w14:paraId="2F8EDB2B" w14:textId="159D3C1B" w:rsidR="00960DD3" w:rsidRDefault="00960DD3" w:rsidP="00377635">
      <w:pPr>
        <w:jc w:val="both"/>
        <w:rPr>
          <w:rFonts w:ascii="Times New Roman" w:hAnsi="Times New Roman" w:cs="Times New Roman"/>
        </w:rPr>
      </w:pPr>
    </w:p>
    <w:p w14:paraId="4C179A7F" w14:textId="737ED3D3" w:rsidR="00960DD3" w:rsidRDefault="00960DD3" w:rsidP="00377635">
      <w:pPr>
        <w:jc w:val="both"/>
        <w:rPr>
          <w:rFonts w:ascii="Times New Roman" w:hAnsi="Times New Roman" w:cs="Times New Roman"/>
        </w:rPr>
      </w:pPr>
    </w:p>
    <w:p w14:paraId="63914B06" w14:textId="224B2EB3" w:rsidR="00960DD3" w:rsidRDefault="00960DD3" w:rsidP="00377635">
      <w:pPr>
        <w:jc w:val="both"/>
        <w:rPr>
          <w:rFonts w:ascii="Times New Roman" w:hAnsi="Times New Roman" w:cs="Times New Roman"/>
        </w:rPr>
      </w:pPr>
    </w:p>
    <w:p w14:paraId="394B4C8A" w14:textId="00CF657B" w:rsidR="00960DD3" w:rsidRDefault="00960DD3" w:rsidP="00377635">
      <w:pPr>
        <w:jc w:val="both"/>
        <w:rPr>
          <w:rFonts w:ascii="Times New Roman" w:hAnsi="Times New Roman" w:cs="Times New Roman"/>
        </w:rPr>
      </w:pPr>
    </w:p>
    <w:p w14:paraId="2F74D602" w14:textId="68849482" w:rsidR="00960DD3" w:rsidRDefault="00960DD3" w:rsidP="00377635">
      <w:pPr>
        <w:jc w:val="both"/>
        <w:rPr>
          <w:rFonts w:ascii="Times New Roman" w:hAnsi="Times New Roman" w:cs="Times New Roman"/>
        </w:rPr>
      </w:pPr>
    </w:p>
    <w:p w14:paraId="41423637" w14:textId="46961B19" w:rsidR="00960DD3" w:rsidRDefault="00960DD3" w:rsidP="00377635">
      <w:pPr>
        <w:jc w:val="both"/>
        <w:rPr>
          <w:rFonts w:ascii="Times New Roman" w:hAnsi="Times New Roman" w:cs="Times New Roman"/>
        </w:rPr>
      </w:pPr>
    </w:p>
    <w:p w14:paraId="079A61A1" w14:textId="423C1AFA" w:rsidR="00960DD3" w:rsidRDefault="00960DD3" w:rsidP="00377635">
      <w:pPr>
        <w:jc w:val="both"/>
        <w:rPr>
          <w:rFonts w:ascii="Times New Roman" w:hAnsi="Times New Roman" w:cs="Times New Roman"/>
        </w:rPr>
      </w:pPr>
    </w:p>
    <w:p w14:paraId="16E3BA1F" w14:textId="474FCE4E" w:rsidR="00960DD3" w:rsidRDefault="00960DD3" w:rsidP="00377635">
      <w:pPr>
        <w:jc w:val="both"/>
        <w:rPr>
          <w:rFonts w:ascii="Times New Roman" w:hAnsi="Times New Roman" w:cs="Times New Roman"/>
        </w:rPr>
      </w:pPr>
    </w:p>
    <w:p w14:paraId="5BAA6EC9" w14:textId="562258A0" w:rsidR="00960DD3" w:rsidRDefault="00960DD3" w:rsidP="00377635">
      <w:pPr>
        <w:jc w:val="both"/>
        <w:rPr>
          <w:rFonts w:ascii="Times New Roman" w:hAnsi="Times New Roman" w:cs="Times New Roman"/>
        </w:rPr>
      </w:pPr>
    </w:p>
    <w:p w14:paraId="7EAECB5C" w14:textId="0C5161B2" w:rsidR="00960DD3" w:rsidRDefault="00960DD3" w:rsidP="00377635">
      <w:pPr>
        <w:jc w:val="both"/>
        <w:rPr>
          <w:rFonts w:ascii="Times New Roman" w:hAnsi="Times New Roman" w:cs="Times New Roman"/>
        </w:rPr>
      </w:pPr>
    </w:p>
    <w:p w14:paraId="291DAE9A" w14:textId="77777777" w:rsidR="00960DD3" w:rsidRPr="00C91EA2" w:rsidRDefault="00960DD3" w:rsidP="00377635">
      <w:pPr>
        <w:jc w:val="both"/>
        <w:rPr>
          <w:rFonts w:ascii="Times New Roman" w:hAnsi="Times New Roman" w:cs="Times New Roman"/>
        </w:rPr>
      </w:pPr>
    </w:p>
    <w:tbl>
      <w:tblPr>
        <w:tblStyle w:val="TableGrid"/>
        <w:tblpPr w:leftFromText="180" w:rightFromText="180" w:vertAnchor="text" w:horzAnchor="margin" w:tblpY="43"/>
        <w:tblW w:w="0" w:type="auto"/>
        <w:tblLook w:val="04A0" w:firstRow="1" w:lastRow="0" w:firstColumn="1" w:lastColumn="0" w:noHBand="0" w:noVBand="1"/>
      </w:tblPr>
      <w:tblGrid>
        <w:gridCol w:w="8630"/>
      </w:tblGrid>
      <w:tr w:rsidR="00377635" w:rsidRPr="00C91EA2" w14:paraId="2F6E1108" w14:textId="77777777" w:rsidTr="00377635">
        <w:tc>
          <w:tcPr>
            <w:tcW w:w="9350" w:type="dxa"/>
            <w:tcBorders>
              <w:top w:val="single" w:sz="4" w:space="0" w:color="auto"/>
              <w:left w:val="single" w:sz="4" w:space="0" w:color="auto"/>
              <w:bottom w:val="single" w:sz="4" w:space="0" w:color="auto"/>
              <w:right w:val="single" w:sz="4" w:space="0" w:color="auto"/>
            </w:tcBorders>
            <w:hideMark/>
          </w:tcPr>
          <w:p w14:paraId="02C089AB" w14:textId="35C9235D" w:rsidR="00377635" w:rsidRPr="00C91EA2" w:rsidRDefault="00377635">
            <w:pPr>
              <w:pStyle w:val="Caption"/>
              <w:keepNext/>
              <w:rPr>
                <w:rFonts w:ascii="Times New Roman" w:hAnsi="Times New Roman"/>
              </w:rPr>
            </w:pPr>
            <w:bookmarkStart w:id="236" w:name="_Ref497906398"/>
            <w:bookmarkStart w:id="237" w:name="_Toc520725609"/>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53</w:t>
            </w:r>
            <w:r w:rsidR="00D91B27">
              <w:rPr>
                <w:rFonts w:ascii="Times New Roman" w:hAnsi="Times New Roman"/>
              </w:rPr>
              <w:fldChar w:fldCharType="end"/>
            </w:r>
            <w:bookmarkEnd w:id="236"/>
            <w:r w:rsidRPr="00C91EA2">
              <w:rPr>
                <w:rFonts w:ascii="Times New Roman" w:hAnsi="Times New Roman"/>
              </w:rPr>
              <w:t>: The vegetable oil value chain</w:t>
            </w:r>
            <w:bookmarkEnd w:id="237"/>
          </w:p>
        </w:tc>
      </w:tr>
      <w:tr w:rsidR="00377635" w:rsidRPr="00C91EA2" w14:paraId="30CE220D" w14:textId="77777777" w:rsidTr="00377635">
        <w:tc>
          <w:tcPr>
            <w:tcW w:w="9350" w:type="dxa"/>
            <w:tcBorders>
              <w:top w:val="single" w:sz="4" w:space="0" w:color="auto"/>
              <w:left w:val="single" w:sz="4" w:space="0" w:color="auto"/>
              <w:bottom w:val="single" w:sz="4" w:space="0" w:color="auto"/>
              <w:right w:val="single" w:sz="4" w:space="0" w:color="auto"/>
            </w:tcBorders>
            <w:hideMark/>
          </w:tcPr>
          <w:p w14:paraId="2C902452" w14:textId="77777777" w:rsidR="00377635" w:rsidRPr="00C91EA2" w:rsidRDefault="00377635">
            <w:pPr>
              <w:rPr>
                <w:rFonts w:ascii="Times New Roman" w:hAnsi="Times New Roman" w:cs="Times New Roman"/>
                <w:sz w:val="24"/>
                <w:szCs w:val="24"/>
              </w:rPr>
            </w:pPr>
            <w:r w:rsidRPr="00C91EA2">
              <w:rPr>
                <w:rFonts w:ascii="Times New Roman" w:hAnsi="Times New Roman" w:cs="Times New Roman"/>
                <w:noProof/>
              </w:rPr>
              <w:drawing>
                <wp:inline distT="0" distB="0" distL="0" distR="0" wp14:anchorId="38D21575" wp14:editId="6E8E07D6">
                  <wp:extent cx="5400675" cy="3200400"/>
                  <wp:effectExtent l="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675" cy="3200400"/>
                          </a:xfrm>
                          <a:prstGeom prst="rect">
                            <a:avLst/>
                          </a:prstGeom>
                          <a:noFill/>
                          <a:ln>
                            <a:noFill/>
                          </a:ln>
                        </pic:spPr>
                      </pic:pic>
                    </a:graphicData>
                  </a:graphic>
                </wp:inline>
              </w:drawing>
            </w:r>
          </w:p>
        </w:tc>
      </w:tr>
      <w:tr w:rsidR="00377635" w:rsidRPr="00C91EA2" w14:paraId="1582DF6D" w14:textId="77777777" w:rsidTr="00377635">
        <w:tc>
          <w:tcPr>
            <w:tcW w:w="9350" w:type="dxa"/>
            <w:tcBorders>
              <w:top w:val="single" w:sz="4" w:space="0" w:color="auto"/>
              <w:left w:val="single" w:sz="4" w:space="0" w:color="auto"/>
              <w:bottom w:val="single" w:sz="4" w:space="0" w:color="auto"/>
              <w:right w:val="single" w:sz="4" w:space="0" w:color="auto"/>
            </w:tcBorders>
            <w:hideMark/>
          </w:tcPr>
          <w:p w14:paraId="6EFD1267" w14:textId="77777777" w:rsidR="00377635" w:rsidRPr="00C91EA2" w:rsidRDefault="00377635">
            <w:pPr>
              <w:rPr>
                <w:rFonts w:ascii="Times New Roman" w:hAnsi="Times New Roman" w:cs="Times New Roman"/>
                <w:sz w:val="20"/>
                <w:szCs w:val="24"/>
              </w:rPr>
            </w:pPr>
            <w:r w:rsidRPr="00C91EA2">
              <w:rPr>
                <w:rFonts w:ascii="Times New Roman" w:hAnsi="Times New Roman" w:cs="Times New Roman"/>
                <w:sz w:val="20"/>
                <w:szCs w:val="24"/>
              </w:rPr>
              <w:t>Source: Authors’ visualization</w:t>
            </w:r>
          </w:p>
          <w:p w14:paraId="7DB7F6C5" w14:textId="77777777" w:rsidR="00377635" w:rsidRPr="00C91EA2" w:rsidRDefault="00377635">
            <w:pPr>
              <w:rPr>
                <w:rFonts w:ascii="Times New Roman" w:hAnsi="Times New Roman" w:cs="Times New Roman"/>
                <w:sz w:val="24"/>
                <w:szCs w:val="24"/>
              </w:rPr>
            </w:pPr>
            <w:r w:rsidRPr="00C91EA2">
              <w:rPr>
                <w:rFonts w:ascii="Times New Roman" w:hAnsi="Times New Roman" w:cs="Times New Roman"/>
                <w:sz w:val="20"/>
                <w:szCs w:val="24"/>
              </w:rPr>
              <w:t>Note: Percentages in the local crude oil production column refer to company shares of</w:t>
            </w:r>
            <w:r w:rsidR="002258AF">
              <w:rPr>
                <w:rFonts w:ascii="Times New Roman" w:hAnsi="Times New Roman" w:cs="Times New Roman"/>
                <w:sz w:val="20"/>
                <w:szCs w:val="24"/>
              </w:rPr>
              <w:t xml:space="preserve"> known</w:t>
            </w:r>
            <w:r w:rsidRPr="00C91EA2">
              <w:rPr>
                <w:rFonts w:ascii="Times New Roman" w:hAnsi="Times New Roman" w:cs="Times New Roman"/>
                <w:sz w:val="20"/>
                <w:szCs w:val="24"/>
              </w:rPr>
              <w:t xml:space="preserve"> installed processing capacity</w:t>
            </w:r>
            <w:r w:rsidR="001C601E">
              <w:rPr>
                <w:rFonts w:ascii="Times New Roman" w:hAnsi="Times New Roman" w:cs="Times New Roman"/>
                <w:sz w:val="20"/>
                <w:szCs w:val="24"/>
              </w:rPr>
              <w:t xml:space="preserve"> (which may represent an overestimation)</w:t>
            </w:r>
            <w:r w:rsidRPr="00C91EA2">
              <w:rPr>
                <w:rFonts w:ascii="Times New Roman" w:hAnsi="Times New Roman" w:cs="Times New Roman"/>
                <w:sz w:val="20"/>
                <w:szCs w:val="24"/>
              </w:rPr>
              <w:t xml:space="preserve">; percentages in the local production </w:t>
            </w:r>
            <w:r w:rsidR="00AA611C">
              <w:rPr>
                <w:rFonts w:ascii="Times New Roman" w:hAnsi="Times New Roman" w:cs="Times New Roman"/>
                <w:sz w:val="20"/>
                <w:szCs w:val="24"/>
              </w:rPr>
              <w:t xml:space="preserve">of oil </w:t>
            </w:r>
            <w:r w:rsidRPr="00C91EA2">
              <w:rPr>
                <w:rFonts w:ascii="Times New Roman" w:hAnsi="Times New Roman" w:cs="Times New Roman"/>
                <w:sz w:val="20"/>
                <w:szCs w:val="24"/>
              </w:rPr>
              <w:t>for final consumption column refer to company shares of installed refining capacity.</w:t>
            </w:r>
          </w:p>
        </w:tc>
      </w:tr>
    </w:tbl>
    <w:p w14:paraId="58C215D0" w14:textId="77777777" w:rsidR="00377635" w:rsidRDefault="00377635" w:rsidP="00377635">
      <w:pPr>
        <w:jc w:val="both"/>
        <w:rPr>
          <w:rFonts w:ascii="Times New Roman" w:hAnsi="Times New Roman" w:cs="Times New Roman"/>
        </w:rPr>
      </w:pPr>
    </w:p>
    <w:p w14:paraId="28CBB5C3" w14:textId="77777777" w:rsidR="00711D1F" w:rsidRPr="00C91EA2" w:rsidRDefault="00711D1F" w:rsidP="00377635">
      <w:pPr>
        <w:jc w:val="both"/>
        <w:rPr>
          <w:rFonts w:ascii="Times New Roman" w:hAnsi="Times New Roman" w:cs="Times New Roman"/>
        </w:rPr>
      </w:pPr>
    </w:p>
    <w:p w14:paraId="2A08D494" w14:textId="48CA2AB9"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The refining of crude groundnut oil for domestic sale is dominated by</w:t>
      </w:r>
      <w:r w:rsidR="00FA09FE">
        <w:rPr>
          <w:rFonts w:ascii="Times New Roman" w:hAnsi="Times New Roman" w:cs="Times New Roman"/>
          <w:b/>
        </w:rPr>
        <w:t xml:space="preserve"> state-owned</w:t>
      </w:r>
      <w:r w:rsidRPr="00C91EA2">
        <w:rPr>
          <w:rFonts w:ascii="Times New Roman" w:hAnsi="Times New Roman" w:cs="Times New Roman"/>
          <w:b/>
        </w:rPr>
        <w:t xml:space="preserve"> SONACOS.</w:t>
      </w:r>
      <w:r w:rsidRPr="00C91EA2">
        <w:rPr>
          <w:rFonts w:ascii="Times New Roman" w:hAnsi="Times New Roman" w:cs="Times New Roman"/>
        </w:rPr>
        <w:t xml:space="preserve"> Most of the crude oil producers are also active in the refining of groundnut oil. The refiner OLEOSEN is </w:t>
      </w:r>
      <w:r w:rsidR="006903AF" w:rsidRPr="00C91EA2">
        <w:rPr>
          <w:rFonts w:ascii="Times New Roman" w:hAnsi="Times New Roman" w:cs="Times New Roman"/>
        </w:rPr>
        <w:t xml:space="preserve">part of the same group as </w:t>
      </w:r>
      <w:r w:rsidRPr="00C91EA2">
        <w:rPr>
          <w:rFonts w:ascii="Times New Roman" w:hAnsi="Times New Roman" w:cs="Times New Roman"/>
        </w:rPr>
        <w:t xml:space="preserve">COPEOL and functions as COPEOL’s domestic-facing producer. CAIT produces refined oil exclusively for the domestic market. Refined groundnut oil competes on the domestic market with other imported refined vegetable oils, refined imported crude vegetable oils and the artisanal groundnut oil </w:t>
      </w:r>
      <w:proofErr w:type="spellStart"/>
      <w:r w:rsidRPr="00C91EA2">
        <w:rPr>
          <w:rFonts w:ascii="Times New Roman" w:hAnsi="Times New Roman" w:cs="Times New Roman"/>
        </w:rPr>
        <w:t>Seggal</w:t>
      </w:r>
      <w:proofErr w:type="spellEnd"/>
      <w:r w:rsidRPr="00C91EA2">
        <w:rPr>
          <w:rFonts w:ascii="Times New Roman" w:hAnsi="Times New Roman" w:cs="Times New Roman"/>
        </w:rPr>
        <w:t>. Small quantities of refined groundnut oil are also exported, although most Senegalese oil exports are in crude form.</w:t>
      </w:r>
    </w:p>
    <w:p w14:paraId="2FD00A55" w14:textId="77777777" w:rsidR="00377635" w:rsidRPr="00C91EA2" w:rsidRDefault="00377635" w:rsidP="00E26E07">
      <w:pPr>
        <w:jc w:val="both"/>
        <w:rPr>
          <w:rFonts w:ascii="Times New Roman" w:hAnsi="Times New Roman" w:cs="Times New Roman"/>
          <w:b/>
        </w:rPr>
      </w:pPr>
    </w:p>
    <w:p w14:paraId="5B292D2D" w14:textId="5B85F856"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Some processors complement their production of refined groundnut oil with the refining of imported crude oils</w:t>
      </w:r>
      <w:r w:rsidRPr="00C91EA2">
        <w:rPr>
          <w:rFonts w:ascii="Times New Roman" w:hAnsi="Times New Roman" w:cs="Times New Roman"/>
        </w:rPr>
        <w:t>. SONACOS</w:t>
      </w:r>
      <w:proofErr w:type="gramStart"/>
      <w:r w:rsidRPr="00C91EA2">
        <w:rPr>
          <w:rFonts w:ascii="Times New Roman" w:hAnsi="Times New Roman" w:cs="Times New Roman"/>
        </w:rPr>
        <w:t>, in particular, has</w:t>
      </w:r>
      <w:proofErr w:type="gramEnd"/>
      <w:r w:rsidRPr="00C91EA2">
        <w:rPr>
          <w:rFonts w:ascii="Times New Roman" w:hAnsi="Times New Roman" w:cs="Times New Roman"/>
        </w:rPr>
        <w:t xml:space="preserve"> in the past imported crude soy bean oil for refining for the Senegalese market. Prior to the entry of COPEOL to the market for imported crude soy bean </w:t>
      </w:r>
      <w:r w:rsidRPr="00C91E06">
        <w:rPr>
          <w:rFonts w:ascii="Times New Roman" w:hAnsi="Times New Roman" w:cs="Times New Roman"/>
        </w:rPr>
        <w:t xml:space="preserve">oil, it </w:t>
      </w:r>
      <w:r w:rsidR="00534A42" w:rsidRPr="005A26C7">
        <w:rPr>
          <w:rFonts w:ascii="Times New Roman" w:hAnsi="Times New Roman" w:cs="Times New Roman"/>
        </w:rPr>
        <w:t>was the only importer of unrefined vegetable oils</w:t>
      </w:r>
      <w:r w:rsidRPr="00C91EA2">
        <w:rPr>
          <w:rFonts w:ascii="Times New Roman" w:hAnsi="Times New Roman" w:cs="Times New Roman"/>
        </w:rPr>
        <w:t>.</w:t>
      </w:r>
      <w:r w:rsidRPr="00C91EA2">
        <w:rPr>
          <w:rStyle w:val="FootnoteReference"/>
          <w:rFonts w:ascii="Times New Roman" w:hAnsi="Times New Roman" w:cs="Times New Roman"/>
        </w:rPr>
        <w:footnoteReference w:id="171"/>
      </w:r>
      <w:r w:rsidRPr="00C91EA2">
        <w:rPr>
          <w:rFonts w:ascii="Times New Roman" w:hAnsi="Times New Roman" w:cs="Times New Roman"/>
        </w:rPr>
        <w:t xml:space="preserve"> However,</w:t>
      </w:r>
      <w:r w:rsidRPr="00C91EA2">
        <w:rPr>
          <w:rFonts w:ascii="Times New Roman" w:hAnsi="Times New Roman" w:cs="Times New Roman"/>
          <w:b/>
        </w:rPr>
        <w:t xml:space="preserve"> </w:t>
      </w:r>
      <w:r w:rsidRPr="00C91EA2">
        <w:rPr>
          <w:rFonts w:ascii="Times New Roman" w:hAnsi="Times New Roman" w:cs="Times New Roman"/>
        </w:rPr>
        <w:t>due to the influx of cheap Ivorian palm oil, the refinement of soy bean oil in Senegal has lost its viability.</w:t>
      </w:r>
      <w:r w:rsidRPr="00C91EA2">
        <w:rPr>
          <w:rStyle w:val="FootnoteReference"/>
          <w:rFonts w:ascii="Times New Roman" w:hAnsi="Times New Roman" w:cs="Times New Roman"/>
        </w:rPr>
        <w:footnoteReference w:id="172"/>
      </w:r>
      <w:r w:rsidRPr="00C91EA2">
        <w:rPr>
          <w:rFonts w:ascii="Times New Roman" w:hAnsi="Times New Roman" w:cs="Times New Roman"/>
        </w:rPr>
        <w:t xml:space="preserve"> This has prompted the </w:t>
      </w:r>
      <w:r w:rsidR="003B24ED">
        <w:rPr>
          <w:rFonts w:ascii="Times New Roman" w:hAnsi="Times New Roman" w:cs="Times New Roman"/>
        </w:rPr>
        <w:t>Government</w:t>
      </w:r>
      <w:r w:rsidRPr="00C91EA2">
        <w:rPr>
          <w:rFonts w:ascii="Times New Roman" w:hAnsi="Times New Roman" w:cs="Times New Roman"/>
        </w:rPr>
        <w:t xml:space="preserve"> to put policies in </w:t>
      </w:r>
      <w:r w:rsidRPr="00FB3401">
        <w:rPr>
          <w:rFonts w:ascii="Times New Roman" w:hAnsi="Times New Roman" w:cs="Times New Roman"/>
        </w:rPr>
        <w:t xml:space="preserve">place restricting </w:t>
      </w:r>
      <w:r w:rsidR="00534A42" w:rsidRPr="00FB3401">
        <w:rPr>
          <w:rFonts w:ascii="Times New Roman" w:hAnsi="Times New Roman" w:cs="Times New Roman"/>
        </w:rPr>
        <w:t xml:space="preserve">refined </w:t>
      </w:r>
      <w:r w:rsidRPr="00FB3401">
        <w:rPr>
          <w:rFonts w:ascii="Times New Roman" w:hAnsi="Times New Roman" w:cs="Times New Roman"/>
        </w:rPr>
        <w:t>palm</w:t>
      </w:r>
      <w:r w:rsidRPr="00C91EA2">
        <w:rPr>
          <w:rFonts w:ascii="Times New Roman" w:hAnsi="Times New Roman" w:cs="Times New Roman"/>
        </w:rPr>
        <w:t xml:space="preserve"> oil imports. For example, an import ban on vegetable oils with a content of saturated fats of more than 30 percent (under the guise </w:t>
      </w:r>
      <w:r w:rsidR="00D85D37">
        <w:rPr>
          <w:rFonts w:ascii="Times New Roman" w:hAnsi="Times New Roman" w:cs="Times New Roman"/>
        </w:rPr>
        <w:t>of</w:t>
      </w:r>
      <w:r w:rsidRPr="00C91EA2">
        <w:rPr>
          <w:rFonts w:ascii="Times New Roman" w:hAnsi="Times New Roman" w:cs="Times New Roman"/>
        </w:rPr>
        <w:t xml:space="preserve"> </w:t>
      </w:r>
      <w:r w:rsidR="00D02EA2">
        <w:rPr>
          <w:rFonts w:ascii="Times New Roman" w:hAnsi="Times New Roman" w:cs="Times New Roman"/>
        </w:rPr>
        <w:t>preventing</w:t>
      </w:r>
      <w:r w:rsidR="00D02EA2" w:rsidRPr="00C91EA2">
        <w:rPr>
          <w:rFonts w:ascii="Times New Roman" w:hAnsi="Times New Roman" w:cs="Times New Roman"/>
        </w:rPr>
        <w:t xml:space="preserve"> </w:t>
      </w:r>
      <w:r w:rsidRPr="00C91EA2">
        <w:rPr>
          <w:rFonts w:ascii="Times New Roman" w:hAnsi="Times New Roman" w:cs="Times New Roman"/>
        </w:rPr>
        <w:t xml:space="preserve">health risks) was imposed until 2010, restricting imports of Ivorian palm oil, when the WAEMU commission forced the </w:t>
      </w:r>
      <w:r w:rsidR="003B24ED">
        <w:rPr>
          <w:rFonts w:ascii="Times New Roman" w:hAnsi="Times New Roman" w:cs="Times New Roman"/>
        </w:rPr>
        <w:t>Government</w:t>
      </w:r>
      <w:r w:rsidRPr="00C91EA2">
        <w:rPr>
          <w:rFonts w:ascii="Times New Roman" w:hAnsi="Times New Roman" w:cs="Times New Roman"/>
        </w:rPr>
        <w:t xml:space="preserve"> to retract the measure.</w:t>
      </w:r>
      <w:r w:rsidRPr="00C91EA2">
        <w:rPr>
          <w:rStyle w:val="FootnoteReference"/>
          <w:rFonts w:ascii="Times New Roman" w:hAnsi="Times New Roman" w:cs="Times New Roman"/>
        </w:rPr>
        <w:footnoteReference w:id="173"/>
      </w:r>
    </w:p>
    <w:p w14:paraId="55B7106E" w14:textId="77777777" w:rsidR="00377635" w:rsidRPr="00C91EA2" w:rsidRDefault="00377635" w:rsidP="00E26E07">
      <w:pPr>
        <w:jc w:val="both"/>
        <w:rPr>
          <w:rFonts w:ascii="Times New Roman" w:hAnsi="Times New Roman" w:cs="Times New Roman"/>
        </w:rPr>
      </w:pPr>
    </w:p>
    <w:p w14:paraId="6AFE3A2E" w14:textId="77777777"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Although refined vegetable oil imports have faced tariff and non-tariff barriers, various companies are involved in importing them for sale on the domestic markets. </w:t>
      </w:r>
      <w:r w:rsidRPr="00C91EA2">
        <w:rPr>
          <w:rFonts w:ascii="Times New Roman" w:hAnsi="Times New Roman" w:cs="Times New Roman"/>
        </w:rPr>
        <w:t xml:space="preserve">These companies tend not to be involved in the local production of vegetable oils. Import </w:t>
      </w:r>
      <w:r w:rsidRPr="00FB3401">
        <w:rPr>
          <w:rFonts w:ascii="Times New Roman" w:hAnsi="Times New Roman" w:cs="Times New Roman"/>
        </w:rPr>
        <w:t>restrictions faced by the market include high tariffs (e.g. ECOWAS tariff of 35 percent on specific good</w:t>
      </w:r>
      <w:r w:rsidR="00534A42" w:rsidRPr="00FB3401">
        <w:rPr>
          <w:rFonts w:ascii="Times New Roman" w:hAnsi="Times New Roman" w:cs="Times New Roman"/>
        </w:rPr>
        <w:t xml:space="preserve">s that “contribute to the promotion of the </w:t>
      </w:r>
      <w:proofErr w:type="spellStart"/>
      <w:r w:rsidR="00534A42" w:rsidRPr="00FB3401">
        <w:rPr>
          <w:rFonts w:ascii="Times New Roman" w:hAnsi="Times New Roman" w:cs="Times New Roman"/>
        </w:rPr>
        <w:t>region’s</w:t>
      </w:r>
      <w:r w:rsidRPr="00FB3401">
        <w:rPr>
          <w:rFonts w:ascii="Times New Roman" w:hAnsi="Times New Roman" w:cs="Times New Roman"/>
        </w:rPr>
        <w:t>economic</w:t>
      </w:r>
      <w:proofErr w:type="spellEnd"/>
      <w:r w:rsidRPr="00FB3401">
        <w:rPr>
          <w:rFonts w:ascii="Times New Roman" w:hAnsi="Times New Roman" w:cs="Times New Roman"/>
        </w:rPr>
        <w:t xml:space="preserve"> development” applied since 2015), occasional taxes on imports (e.g. “</w:t>
      </w:r>
      <w:proofErr w:type="spellStart"/>
      <w:r w:rsidRPr="00FB3401">
        <w:rPr>
          <w:rFonts w:ascii="Times New Roman" w:hAnsi="Times New Roman" w:cs="Times New Roman"/>
        </w:rPr>
        <w:t>Taxe</w:t>
      </w:r>
      <w:proofErr w:type="spellEnd"/>
      <w:r w:rsidRPr="00FB3401">
        <w:rPr>
          <w:rFonts w:ascii="Times New Roman" w:hAnsi="Times New Roman" w:cs="Times New Roman"/>
        </w:rPr>
        <w:t xml:space="preserve"> </w:t>
      </w:r>
      <w:proofErr w:type="spellStart"/>
      <w:r w:rsidRPr="00FB3401">
        <w:rPr>
          <w:rFonts w:ascii="Times New Roman" w:hAnsi="Times New Roman" w:cs="Times New Roman"/>
        </w:rPr>
        <w:t>Conjoncturelle</w:t>
      </w:r>
      <w:proofErr w:type="spellEnd"/>
      <w:r w:rsidRPr="00FB3401">
        <w:rPr>
          <w:rFonts w:ascii="Times New Roman" w:hAnsi="Times New Roman" w:cs="Times New Roman"/>
        </w:rPr>
        <w:t xml:space="preserve"> à </w:t>
      </w:r>
      <w:proofErr w:type="spellStart"/>
      <w:r w:rsidRPr="00FB3401">
        <w:rPr>
          <w:rFonts w:ascii="Times New Roman" w:hAnsi="Times New Roman" w:cs="Times New Roman"/>
        </w:rPr>
        <w:t>l’Importation</w:t>
      </w:r>
      <w:proofErr w:type="spellEnd"/>
      <w:r w:rsidRPr="00FB3401">
        <w:rPr>
          <w:rFonts w:ascii="Times New Roman" w:hAnsi="Times New Roman" w:cs="Times New Roman"/>
        </w:rPr>
        <w:t>” until 2004, and then safeguards until 2008)</w:t>
      </w:r>
      <w:r w:rsidRPr="00FB3401">
        <w:rPr>
          <w:rFonts w:ascii="Times New Roman" w:hAnsi="Times New Roman" w:cs="Times New Roman"/>
          <w:vertAlign w:val="superscript"/>
        </w:rPr>
        <w:footnoteReference w:id="174"/>
      </w:r>
      <w:r w:rsidRPr="00FB3401">
        <w:rPr>
          <w:rFonts w:ascii="Times New Roman" w:hAnsi="Times New Roman" w:cs="Times New Roman"/>
        </w:rPr>
        <w:t xml:space="preserve"> and non-tariff</w:t>
      </w:r>
      <w:r w:rsidRPr="00C91EA2">
        <w:rPr>
          <w:rFonts w:ascii="Times New Roman" w:hAnsi="Times New Roman" w:cs="Times New Roman"/>
        </w:rPr>
        <w:t xml:space="preserve"> measures, such as </w:t>
      </w:r>
      <w:r w:rsidR="008F1B32">
        <w:rPr>
          <w:rFonts w:ascii="Times New Roman" w:hAnsi="Times New Roman" w:cs="Times New Roman"/>
        </w:rPr>
        <w:t xml:space="preserve">the </w:t>
      </w:r>
      <w:r w:rsidR="008F1B32" w:rsidRPr="00C91EA2">
        <w:rPr>
          <w:rFonts w:ascii="Times New Roman" w:hAnsi="Times New Roman" w:cs="Times New Roman"/>
        </w:rPr>
        <w:t xml:space="preserve">above-described </w:t>
      </w:r>
      <w:r w:rsidR="008F1B32">
        <w:rPr>
          <w:rFonts w:ascii="Times New Roman" w:hAnsi="Times New Roman" w:cs="Times New Roman"/>
        </w:rPr>
        <w:t>import ban</w:t>
      </w:r>
      <w:r w:rsidR="008F1B32" w:rsidRPr="00C91EA2">
        <w:rPr>
          <w:rFonts w:ascii="Times New Roman" w:hAnsi="Times New Roman" w:cs="Times New Roman"/>
        </w:rPr>
        <w:t xml:space="preserve"> </w:t>
      </w:r>
      <w:r w:rsidRPr="00C91EA2">
        <w:rPr>
          <w:rFonts w:ascii="Times New Roman" w:hAnsi="Times New Roman" w:cs="Times New Roman"/>
        </w:rPr>
        <w:t xml:space="preserve">related to fat content </w:t>
      </w:r>
      <w:r w:rsidR="008F1B32">
        <w:rPr>
          <w:rFonts w:ascii="Times New Roman" w:hAnsi="Times New Roman" w:cs="Times New Roman"/>
        </w:rPr>
        <w:t>(</w:t>
      </w:r>
      <w:r w:rsidRPr="00C91EA2">
        <w:rPr>
          <w:rFonts w:ascii="Times New Roman" w:hAnsi="Times New Roman" w:cs="Times New Roman"/>
        </w:rPr>
        <w:t>retracted in 2010</w:t>
      </w:r>
      <w:r w:rsidR="008F1B32">
        <w:rPr>
          <w:rFonts w:ascii="Times New Roman" w:hAnsi="Times New Roman" w:cs="Times New Roman"/>
        </w:rPr>
        <w:t>)</w:t>
      </w:r>
      <w:r w:rsidRPr="00C91EA2">
        <w:rPr>
          <w:rFonts w:ascii="Times New Roman" w:hAnsi="Times New Roman" w:cs="Times New Roman"/>
        </w:rPr>
        <w:t>.</w:t>
      </w:r>
    </w:p>
    <w:p w14:paraId="360AD7F8" w14:textId="77777777" w:rsidR="00377635" w:rsidRPr="00C91EA2" w:rsidRDefault="00377635" w:rsidP="00E26E07">
      <w:pPr>
        <w:jc w:val="both"/>
        <w:rPr>
          <w:rFonts w:ascii="Times New Roman" w:hAnsi="Times New Roman" w:cs="Times New Roman"/>
        </w:rPr>
      </w:pPr>
    </w:p>
    <w:p w14:paraId="590C163D" w14:textId="6781ABE0"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Sectoral policies explicitly or implicitly aim </w:t>
      </w:r>
      <w:r w:rsidR="00B72019">
        <w:rPr>
          <w:rFonts w:ascii="Times New Roman" w:hAnsi="Times New Roman" w:cs="Times New Roman"/>
          <w:b/>
        </w:rPr>
        <w:t>to protect</w:t>
      </w:r>
      <w:r w:rsidRPr="00C91EA2">
        <w:rPr>
          <w:rFonts w:ascii="Times New Roman" w:hAnsi="Times New Roman" w:cs="Times New Roman"/>
          <w:b/>
        </w:rPr>
        <w:t xml:space="preserve"> domestic processors and </w:t>
      </w:r>
      <w:r w:rsidR="00B72019">
        <w:rPr>
          <w:rFonts w:ascii="Times New Roman" w:hAnsi="Times New Roman" w:cs="Times New Roman"/>
          <w:b/>
        </w:rPr>
        <w:t>to ensure</w:t>
      </w:r>
      <w:r w:rsidR="00B72019" w:rsidRPr="00C91EA2">
        <w:rPr>
          <w:rFonts w:ascii="Times New Roman" w:hAnsi="Times New Roman" w:cs="Times New Roman"/>
          <w:b/>
        </w:rPr>
        <w:t xml:space="preserve"> </w:t>
      </w:r>
      <w:r w:rsidRPr="00C91EA2">
        <w:rPr>
          <w:rFonts w:ascii="Times New Roman" w:hAnsi="Times New Roman" w:cs="Times New Roman"/>
          <w:b/>
        </w:rPr>
        <w:t xml:space="preserve">their viability. </w:t>
      </w:r>
      <w:r w:rsidRPr="00C91EA2">
        <w:rPr>
          <w:rFonts w:ascii="Times New Roman" w:hAnsi="Times New Roman" w:cs="Times New Roman"/>
        </w:rPr>
        <w:t xml:space="preserve">The historical allocation of collection points and zones through the CNIA to individual processors for groundnut procurement, although seemingly not binding, may provide a focal point for the division of the market between processors and may inhibit entry of new firms </w:t>
      </w:r>
      <w:r w:rsidR="00B72019">
        <w:rPr>
          <w:rFonts w:ascii="Times New Roman" w:hAnsi="Times New Roman" w:cs="Times New Roman"/>
        </w:rPr>
        <w:t>that</w:t>
      </w:r>
      <w:r w:rsidR="00B72019" w:rsidRPr="00C91EA2">
        <w:rPr>
          <w:rFonts w:ascii="Times New Roman" w:hAnsi="Times New Roman" w:cs="Times New Roman"/>
        </w:rPr>
        <w:t xml:space="preserve"> </w:t>
      </w:r>
      <w:r w:rsidRPr="00C91EA2">
        <w:rPr>
          <w:rFonts w:ascii="Times New Roman" w:hAnsi="Times New Roman" w:cs="Times New Roman"/>
        </w:rPr>
        <w:t xml:space="preserve">may not be able </w:t>
      </w:r>
      <w:r w:rsidR="00CC0D28">
        <w:rPr>
          <w:rFonts w:ascii="Times New Roman" w:hAnsi="Times New Roman" w:cs="Times New Roman"/>
        </w:rPr>
        <w:t xml:space="preserve">to </w:t>
      </w:r>
      <w:r w:rsidRPr="00C91EA2">
        <w:rPr>
          <w:rFonts w:ascii="Times New Roman" w:hAnsi="Times New Roman" w:cs="Times New Roman"/>
        </w:rPr>
        <w:t>access established collection point</w:t>
      </w:r>
      <w:r w:rsidR="007E316A">
        <w:rPr>
          <w:rFonts w:ascii="Times New Roman" w:hAnsi="Times New Roman" w:cs="Times New Roman"/>
        </w:rPr>
        <w:t>s</w:t>
      </w:r>
      <w:r w:rsidRPr="00C91EA2">
        <w:rPr>
          <w:rFonts w:ascii="Times New Roman" w:hAnsi="Times New Roman" w:cs="Times New Roman"/>
        </w:rPr>
        <w:t>. The legacy of quotas that allocated produce to processors prior to the sector’s liberalization can also act as a focal point for market division. Th</w:t>
      </w:r>
      <w:r w:rsidR="00CC0D28">
        <w:rPr>
          <w:rFonts w:ascii="Times New Roman" w:hAnsi="Times New Roman" w:cs="Times New Roman"/>
        </w:rPr>
        <w:t xml:space="preserve">e potential for market division </w:t>
      </w:r>
      <w:r w:rsidRPr="00C91EA2">
        <w:rPr>
          <w:rFonts w:ascii="Times New Roman" w:hAnsi="Times New Roman" w:cs="Times New Roman"/>
        </w:rPr>
        <w:t xml:space="preserve">is amplified by the fact that the largest processors are represented on the CNIA, which makes crucial decisions about the collection of produce and its price. As a result, processors </w:t>
      </w:r>
      <w:proofErr w:type="gramStart"/>
      <w:r w:rsidRPr="00C91EA2">
        <w:rPr>
          <w:rFonts w:ascii="Times New Roman" w:hAnsi="Times New Roman" w:cs="Times New Roman"/>
        </w:rPr>
        <w:t>are able to</w:t>
      </w:r>
      <w:proofErr w:type="gramEnd"/>
      <w:r w:rsidRPr="00C91EA2">
        <w:rPr>
          <w:rFonts w:ascii="Times New Roman" w:hAnsi="Times New Roman" w:cs="Times New Roman"/>
        </w:rPr>
        <w:t xml:space="preserve"> influence decisions to the disadvantage of new entrants or players not represented in the CNIA. The CNIA forum also facilitates the development and sustenance of agreements between processors.</w:t>
      </w:r>
    </w:p>
    <w:p w14:paraId="3FBE1780" w14:textId="77777777" w:rsidR="00377635" w:rsidRPr="00C91EA2" w:rsidRDefault="00377635" w:rsidP="00377635">
      <w:pPr>
        <w:jc w:val="both"/>
        <w:rPr>
          <w:rFonts w:ascii="Times New Roman" w:hAnsi="Times New Roman" w:cs="Times New Roman"/>
        </w:rPr>
      </w:pPr>
    </w:p>
    <w:p w14:paraId="7A984E35" w14:textId="2011EF13"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Of the processors, SONACOS enjoys particularly favorable treatment. </w:t>
      </w:r>
      <w:r w:rsidRPr="00C91EA2">
        <w:rPr>
          <w:rFonts w:ascii="Times New Roman" w:hAnsi="Times New Roman" w:cs="Times New Roman"/>
        </w:rPr>
        <w:t>In addition to subsidies that were previously available for all processors</w:t>
      </w:r>
      <w:r w:rsidR="00577A4E" w:rsidRPr="00577A4E">
        <w:rPr>
          <w:rFonts w:ascii="Times New Roman" w:hAnsi="Times New Roman" w:cs="Times New Roman"/>
        </w:rPr>
        <w:t xml:space="preserve"> </w:t>
      </w:r>
      <w:r w:rsidR="00577A4E" w:rsidRPr="00C91EA2">
        <w:rPr>
          <w:rFonts w:ascii="Times New Roman" w:hAnsi="Times New Roman" w:cs="Times New Roman"/>
        </w:rPr>
        <w:t>for the purchase of raw groundnuts</w:t>
      </w:r>
      <w:r w:rsidRPr="00C91EA2">
        <w:rPr>
          <w:rFonts w:ascii="Times New Roman" w:hAnsi="Times New Roman" w:cs="Times New Roman"/>
        </w:rPr>
        <w:t>, operational subsidies have been available only to SONACOS.</w:t>
      </w:r>
      <w:r w:rsidRPr="00C91EA2">
        <w:rPr>
          <w:rStyle w:val="FootnoteReference"/>
          <w:rFonts w:ascii="Times New Roman" w:hAnsi="Times New Roman" w:cs="Times New Roman"/>
        </w:rPr>
        <w:footnoteReference w:id="175"/>
      </w:r>
      <w:r w:rsidRPr="00C91EA2">
        <w:rPr>
          <w:rFonts w:ascii="Times New Roman" w:hAnsi="Times New Roman" w:cs="Times New Roman"/>
        </w:rPr>
        <w:t xml:space="preserve"> The company further benefited from the $75 million concessional loan obtained by the </w:t>
      </w:r>
      <w:r w:rsidR="003B24ED">
        <w:rPr>
          <w:rFonts w:ascii="Times New Roman" w:hAnsi="Times New Roman" w:cs="Times New Roman"/>
        </w:rPr>
        <w:t>Government</w:t>
      </w:r>
      <w:r w:rsidRPr="00C91EA2">
        <w:rPr>
          <w:rFonts w:ascii="Times New Roman" w:hAnsi="Times New Roman" w:cs="Times New Roman"/>
        </w:rPr>
        <w:t xml:space="preserve"> discussed above.</w:t>
      </w:r>
      <w:r w:rsidRPr="00C91EA2">
        <w:rPr>
          <w:rStyle w:val="FootnoteReference"/>
          <w:rFonts w:ascii="Times New Roman" w:hAnsi="Times New Roman" w:cs="Times New Roman"/>
        </w:rPr>
        <w:footnoteReference w:id="176"/>
      </w:r>
      <w:r w:rsidRPr="00C91EA2">
        <w:rPr>
          <w:rFonts w:ascii="Times New Roman" w:hAnsi="Times New Roman" w:cs="Times New Roman"/>
        </w:rPr>
        <w:t xml:space="preserve"> Lastly, SONACOS appears to be the only processor </w:t>
      </w:r>
      <w:r w:rsidR="006B43B1">
        <w:rPr>
          <w:rFonts w:ascii="Times New Roman" w:hAnsi="Times New Roman" w:cs="Times New Roman"/>
        </w:rPr>
        <w:t>that</w:t>
      </w:r>
      <w:r w:rsidR="006B43B1" w:rsidRPr="00C91EA2">
        <w:rPr>
          <w:rFonts w:ascii="Times New Roman" w:hAnsi="Times New Roman" w:cs="Times New Roman"/>
        </w:rPr>
        <w:t xml:space="preserve"> </w:t>
      </w:r>
      <w:r w:rsidRPr="00C91EA2">
        <w:rPr>
          <w:rFonts w:ascii="Times New Roman" w:hAnsi="Times New Roman" w:cs="Times New Roman"/>
        </w:rPr>
        <w:t xml:space="preserve">was reimbursed for losses due to a </w:t>
      </w:r>
      <w:r w:rsidR="003B24ED">
        <w:rPr>
          <w:rFonts w:ascii="Times New Roman" w:hAnsi="Times New Roman" w:cs="Times New Roman"/>
        </w:rPr>
        <w:t>Government</w:t>
      </w:r>
      <w:r w:rsidRPr="00C91EA2">
        <w:rPr>
          <w:rFonts w:ascii="Times New Roman" w:hAnsi="Times New Roman" w:cs="Times New Roman"/>
        </w:rPr>
        <w:t>-imposed price ceiling for refined soy bean oil.</w:t>
      </w:r>
      <w:r w:rsidRPr="00C91EA2">
        <w:rPr>
          <w:rStyle w:val="FootnoteReference"/>
          <w:rFonts w:ascii="Times New Roman" w:hAnsi="Times New Roman" w:cs="Times New Roman"/>
        </w:rPr>
        <w:footnoteReference w:id="177"/>
      </w:r>
    </w:p>
    <w:p w14:paraId="3FFD36BF" w14:textId="77777777" w:rsidR="00377635" w:rsidRPr="00C91EA2" w:rsidRDefault="00377635" w:rsidP="00E26E07">
      <w:pPr>
        <w:jc w:val="both"/>
        <w:rPr>
          <w:rFonts w:ascii="Times New Roman" w:hAnsi="Times New Roman" w:cs="Times New Roman"/>
        </w:rPr>
      </w:pPr>
    </w:p>
    <w:p w14:paraId="702A2203" w14:textId="2A2665EB"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Restrictions on the market for buying from farmers spill over into the vegetable oil market.</w:t>
      </w:r>
      <w:r w:rsidRPr="00C91EA2">
        <w:rPr>
          <w:rFonts w:ascii="Times New Roman" w:hAnsi="Times New Roman" w:cs="Times New Roman"/>
        </w:rPr>
        <w:t xml:space="preserve"> As processors rely almost exclusively on OPS and other formal collectors for their input, their market position is crucial for the processors. As described in the previous section, the collectors’ dominant market position, geographic separation, and their participation in the CNIA information exchange have the potential to facilitate collusion and to unlevel the playing field against new entrants or other competitors. </w:t>
      </w:r>
      <w:r w:rsidR="00670937">
        <w:rPr>
          <w:rFonts w:ascii="Times New Roman" w:hAnsi="Times New Roman" w:cs="Times New Roman"/>
        </w:rPr>
        <w:t>Furthermore, t</w:t>
      </w:r>
      <w:r w:rsidRPr="00C91EA2">
        <w:rPr>
          <w:rFonts w:ascii="Times New Roman" w:hAnsi="Times New Roman" w:cs="Times New Roman"/>
        </w:rPr>
        <w:t>he price</w:t>
      </w:r>
      <w:r w:rsidR="005318F9">
        <w:rPr>
          <w:rFonts w:ascii="Times New Roman" w:hAnsi="Times New Roman" w:cs="Times New Roman"/>
        </w:rPr>
        <w:t>-</w:t>
      </w:r>
      <w:r w:rsidRPr="00C91EA2">
        <w:rPr>
          <w:rFonts w:ascii="Times New Roman" w:hAnsi="Times New Roman" w:cs="Times New Roman"/>
        </w:rPr>
        <w:t xml:space="preserve">setting process of the CNIA and the restrictions on the length of the purchasing season restrict actors’ choices of strategic variables </w:t>
      </w:r>
      <w:r w:rsidR="008650CD">
        <w:rPr>
          <w:rFonts w:ascii="Times New Roman" w:hAnsi="Times New Roman" w:cs="Times New Roman"/>
        </w:rPr>
        <w:t>(</w:t>
      </w:r>
      <w:r w:rsidR="008650CD" w:rsidRPr="00C91EA2">
        <w:rPr>
          <w:rFonts w:ascii="Times New Roman" w:hAnsi="Times New Roman" w:cs="Times New Roman"/>
        </w:rPr>
        <w:t>limiting the dimensions of competition</w:t>
      </w:r>
      <w:r w:rsidR="008650CD">
        <w:rPr>
          <w:rFonts w:ascii="Times New Roman" w:hAnsi="Times New Roman" w:cs="Times New Roman"/>
        </w:rPr>
        <w:t>)</w:t>
      </w:r>
      <w:r w:rsidR="008650CD" w:rsidRPr="00C91EA2">
        <w:rPr>
          <w:rFonts w:ascii="Times New Roman" w:hAnsi="Times New Roman" w:cs="Times New Roman"/>
        </w:rPr>
        <w:t xml:space="preserve"> </w:t>
      </w:r>
      <w:r w:rsidRPr="00C91EA2">
        <w:rPr>
          <w:rFonts w:ascii="Times New Roman" w:hAnsi="Times New Roman" w:cs="Times New Roman"/>
        </w:rPr>
        <w:t xml:space="preserve">and provide them insights into their competitors’ cost structures. </w:t>
      </w:r>
    </w:p>
    <w:p w14:paraId="1B67CB1F" w14:textId="77777777" w:rsidR="00377635" w:rsidRPr="00C91EA2" w:rsidRDefault="00377635" w:rsidP="00E26E07">
      <w:pPr>
        <w:jc w:val="both"/>
        <w:rPr>
          <w:rFonts w:ascii="Times New Roman" w:hAnsi="Times New Roman" w:cs="Times New Roman"/>
        </w:rPr>
      </w:pPr>
    </w:p>
    <w:p w14:paraId="77E82BD1" w14:textId="11C38C8D"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Restrictions targeting the export of whole nuts benefit</w:t>
      </w:r>
      <w:r w:rsidR="00F12DC2">
        <w:rPr>
          <w:rFonts w:ascii="Times New Roman" w:hAnsi="Times New Roman" w:cs="Times New Roman"/>
          <w:b/>
        </w:rPr>
        <w:t>ed</w:t>
      </w:r>
      <w:r w:rsidRPr="00C91EA2">
        <w:rPr>
          <w:rFonts w:ascii="Times New Roman" w:hAnsi="Times New Roman" w:cs="Times New Roman"/>
          <w:b/>
        </w:rPr>
        <w:t xml:space="preserve"> the local groundnut oil processing industry. </w:t>
      </w:r>
      <w:r w:rsidRPr="00C91EA2">
        <w:rPr>
          <w:rFonts w:ascii="Times New Roman" w:hAnsi="Times New Roman" w:cs="Times New Roman"/>
        </w:rPr>
        <w:t>Temporary export bans like the one instated in December of 2016 limit</w:t>
      </w:r>
      <w:r w:rsidR="00F12DC2">
        <w:rPr>
          <w:rFonts w:ascii="Times New Roman" w:hAnsi="Times New Roman" w:cs="Times New Roman"/>
        </w:rPr>
        <w:t>ed</w:t>
      </w:r>
      <w:r w:rsidRPr="00C91EA2">
        <w:rPr>
          <w:rFonts w:ascii="Times New Roman" w:hAnsi="Times New Roman" w:cs="Times New Roman"/>
        </w:rPr>
        <w:t xml:space="preserve"> entry of Senegalese groundnuts </w:t>
      </w:r>
      <w:r w:rsidR="007214EC">
        <w:rPr>
          <w:rFonts w:ascii="Times New Roman" w:hAnsi="Times New Roman" w:cs="Times New Roman"/>
        </w:rPr>
        <w:t>in</w:t>
      </w:r>
      <w:r w:rsidRPr="00C91EA2">
        <w:rPr>
          <w:rFonts w:ascii="Times New Roman" w:hAnsi="Times New Roman" w:cs="Times New Roman"/>
        </w:rPr>
        <w:t>to the international market.</w:t>
      </w:r>
      <w:r w:rsidRPr="00C91EA2">
        <w:rPr>
          <w:rStyle w:val="FootnoteReference"/>
          <w:rFonts w:ascii="Times New Roman" w:hAnsi="Times New Roman" w:cs="Times New Roman"/>
        </w:rPr>
        <w:footnoteReference w:id="178"/>
      </w:r>
      <w:r w:rsidRPr="00C91EA2">
        <w:rPr>
          <w:rFonts w:ascii="Times New Roman" w:hAnsi="Times New Roman" w:cs="Times New Roman"/>
        </w:rPr>
        <w:t xml:space="preserve"> The export tax </w:t>
      </w:r>
      <w:r w:rsidR="00183D71">
        <w:rPr>
          <w:rFonts w:ascii="Times New Roman" w:hAnsi="Times New Roman" w:cs="Times New Roman"/>
        </w:rPr>
        <w:t xml:space="preserve">in place from December 2016 and suspended since December 2017 </w:t>
      </w:r>
      <w:r w:rsidR="004137F9">
        <w:rPr>
          <w:rFonts w:ascii="Times New Roman" w:hAnsi="Times New Roman" w:cs="Times New Roman"/>
        </w:rPr>
        <w:t>unleveled</w:t>
      </w:r>
      <w:r w:rsidR="004137F9" w:rsidRPr="00C91EA2">
        <w:rPr>
          <w:rFonts w:ascii="Times New Roman" w:hAnsi="Times New Roman" w:cs="Times New Roman"/>
        </w:rPr>
        <w:t xml:space="preserve"> </w:t>
      </w:r>
      <w:r w:rsidRPr="00C91EA2">
        <w:rPr>
          <w:rFonts w:ascii="Times New Roman" w:hAnsi="Times New Roman" w:cs="Times New Roman"/>
        </w:rPr>
        <w:t>the playing field against exporters and in favor of the OPS and collectors that supply domestic processors.</w:t>
      </w:r>
    </w:p>
    <w:p w14:paraId="20E5DCAD" w14:textId="77777777" w:rsidR="00377635" w:rsidRPr="00C91EA2" w:rsidRDefault="00377635" w:rsidP="00E26E07">
      <w:pPr>
        <w:jc w:val="both"/>
        <w:rPr>
          <w:rFonts w:ascii="Times New Roman" w:hAnsi="Times New Roman" w:cs="Times New Roman"/>
        </w:rPr>
      </w:pPr>
    </w:p>
    <w:p w14:paraId="2D4F941E" w14:textId="77777777"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Regulations in favor of the local processing industry are apparently intended to ensure domestic value added and protect employment in the processing industry, even though employment in the industry is limited. </w:t>
      </w:r>
      <w:r w:rsidRPr="00C91EA2">
        <w:rPr>
          <w:rFonts w:ascii="Times New Roman" w:hAnsi="Times New Roman" w:cs="Times New Roman"/>
        </w:rPr>
        <w:t>In 2013, the entire industry was estimated to employ about 2,000 people, plus some 3,000 seasonal workers.</w:t>
      </w:r>
      <w:r w:rsidRPr="00C91EA2">
        <w:rPr>
          <w:rStyle w:val="FootnoteReference"/>
          <w:rFonts w:ascii="Times New Roman" w:hAnsi="Times New Roman" w:cs="Times New Roman"/>
        </w:rPr>
        <w:footnoteReference w:id="179"/>
      </w:r>
      <w:r w:rsidRPr="00C91EA2">
        <w:rPr>
          <w:rFonts w:ascii="Times New Roman" w:hAnsi="Times New Roman" w:cs="Times New Roman"/>
        </w:rPr>
        <w:t xml:space="preserve"> SONACOS appears to employ just over 1,000 workers directly,</w:t>
      </w:r>
      <w:r w:rsidRPr="00C91EA2">
        <w:rPr>
          <w:rStyle w:val="FootnoteReference"/>
          <w:rFonts w:ascii="Times New Roman" w:hAnsi="Times New Roman" w:cs="Times New Roman"/>
        </w:rPr>
        <w:footnoteReference w:id="180"/>
      </w:r>
      <w:r w:rsidRPr="00C91EA2">
        <w:rPr>
          <w:rFonts w:ascii="Times New Roman" w:hAnsi="Times New Roman" w:cs="Times New Roman"/>
        </w:rPr>
        <w:t xml:space="preserve"> although other estimates put the number of SONACOS full time staff at 387, plus roughly 500 seasonal staff.</w:t>
      </w:r>
      <w:r w:rsidRPr="00C91EA2">
        <w:rPr>
          <w:rStyle w:val="FootnoteReference"/>
          <w:rFonts w:ascii="Times New Roman" w:hAnsi="Times New Roman" w:cs="Times New Roman"/>
        </w:rPr>
        <w:footnoteReference w:id="181"/>
      </w:r>
      <w:r w:rsidRPr="00C91EA2">
        <w:rPr>
          <w:rFonts w:ascii="Times New Roman" w:hAnsi="Times New Roman" w:cs="Times New Roman"/>
        </w:rPr>
        <w:t xml:space="preserve"> This appears limited compared to the almost 500,000 farmers who stand to benefit from greater competition between processors and exporters, as well as the 1.6 million households that stand to gain from more affordable vegetable oils.</w:t>
      </w:r>
    </w:p>
    <w:p w14:paraId="60F2105F" w14:textId="77777777" w:rsidR="00377635" w:rsidRPr="00C91EA2" w:rsidRDefault="00377635" w:rsidP="00377635">
      <w:pPr>
        <w:jc w:val="both"/>
        <w:rPr>
          <w:rFonts w:ascii="Times New Roman" w:hAnsi="Times New Roman" w:cs="Times New Roman"/>
        </w:rPr>
      </w:pPr>
    </w:p>
    <w:p w14:paraId="416B05AC" w14:textId="780773A0"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Apart from restrictions on the import of crude and refined vegetable oils (noted in </w:t>
      </w:r>
      <w:r w:rsidRPr="00C91EA2">
        <w:rPr>
          <w:rFonts w:ascii="Times New Roman" w:hAnsi="Times New Roman" w:cs="Times New Roman"/>
          <w:b/>
        </w:rPr>
        <w:fldChar w:fldCharType="begin"/>
      </w:r>
      <w:r w:rsidRPr="00C91EA2">
        <w:rPr>
          <w:rFonts w:ascii="Times New Roman" w:hAnsi="Times New Roman" w:cs="Times New Roman"/>
          <w:b/>
        </w:rPr>
        <w:instrText xml:space="preserve"> REF _Ref497906398 \h  \* MERGEFORMAT </w:instrText>
      </w:r>
      <w:r w:rsidRPr="00C91EA2">
        <w:rPr>
          <w:rFonts w:ascii="Times New Roman" w:hAnsi="Times New Roman" w:cs="Times New Roman"/>
          <w:b/>
        </w:rPr>
      </w:r>
      <w:r w:rsidRPr="00C91EA2">
        <w:rPr>
          <w:rFonts w:ascii="Times New Roman" w:hAnsi="Times New Roman" w:cs="Times New Roman"/>
          <w:b/>
        </w:rPr>
        <w:fldChar w:fldCharType="separate"/>
      </w:r>
      <w:r w:rsidR="008261B2" w:rsidRPr="008261B2">
        <w:rPr>
          <w:rFonts w:ascii="Times New Roman" w:hAnsi="Times New Roman" w:cs="Times New Roman"/>
          <w:b/>
        </w:rPr>
        <w:t xml:space="preserve">Figure </w:t>
      </w:r>
      <w:r w:rsidR="008261B2" w:rsidRPr="008261B2">
        <w:rPr>
          <w:rFonts w:ascii="Times New Roman" w:hAnsi="Times New Roman" w:cs="Times New Roman"/>
          <w:b/>
          <w:noProof/>
        </w:rPr>
        <w:t>53</w:t>
      </w:r>
      <w:r w:rsidRPr="00C91EA2">
        <w:rPr>
          <w:rFonts w:ascii="Times New Roman" w:hAnsi="Times New Roman" w:cs="Times New Roman"/>
          <w:b/>
        </w:rPr>
        <w:fldChar w:fldCharType="end"/>
      </w:r>
      <w:r w:rsidRPr="00C91EA2">
        <w:rPr>
          <w:rFonts w:ascii="Times New Roman" w:hAnsi="Times New Roman" w:cs="Times New Roman"/>
          <w:b/>
        </w:rPr>
        <w:t>), competition in the market for vegetable oil production is driven by competition from and between local groundnut oil producers</w:t>
      </w:r>
      <w:r w:rsidRPr="00C91EA2">
        <w:rPr>
          <w:rFonts w:ascii="Times New Roman" w:hAnsi="Times New Roman" w:cs="Times New Roman"/>
        </w:rPr>
        <w:t>, which in turn is</w:t>
      </w:r>
      <w:r w:rsidR="0051439D">
        <w:rPr>
          <w:rFonts w:ascii="Times New Roman" w:hAnsi="Times New Roman" w:cs="Times New Roman"/>
        </w:rPr>
        <w:t xml:space="preserve"> </w:t>
      </w:r>
      <w:r w:rsidR="0051439D" w:rsidRPr="00DB3136">
        <w:rPr>
          <w:rFonts w:ascii="Times New Roman" w:hAnsi="Times New Roman" w:cs="Times New Roman"/>
        </w:rPr>
        <w:t>affected</w:t>
      </w:r>
      <w:r w:rsidRPr="00C91EA2">
        <w:rPr>
          <w:rFonts w:ascii="Times New Roman" w:hAnsi="Times New Roman" w:cs="Times New Roman"/>
        </w:rPr>
        <w:t xml:space="preserve"> by competition in intermediation for local processing and intermediation for export – since these markets affect the ability of groundnut processors to access inputs. These rules have previously been discussed in </w:t>
      </w:r>
      <w:r w:rsidRPr="00C91EA2">
        <w:rPr>
          <w:rFonts w:ascii="Times New Roman" w:hAnsi="Times New Roman" w:cs="Times New Roman"/>
        </w:rPr>
        <w:fldChar w:fldCharType="begin"/>
      </w:r>
      <w:r w:rsidRPr="00C91EA2">
        <w:rPr>
          <w:rFonts w:ascii="Times New Roman" w:hAnsi="Times New Roman" w:cs="Times New Roman"/>
        </w:rPr>
        <w:instrText xml:space="preserve"> REF _Ref497906094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10</w:t>
      </w:r>
      <w:r w:rsidRPr="00C91EA2">
        <w:rPr>
          <w:rFonts w:ascii="Times New Roman" w:hAnsi="Times New Roman" w:cs="Times New Roman"/>
        </w:rPr>
        <w:fldChar w:fldCharType="end"/>
      </w:r>
      <w:r w:rsidRPr="00C91EA2">
        <w:rPr>
          <w:rFonts w:ascii="Times New Roman" w:hAnsi="Times New Roman" w:cs="Times New Roman"/>
        </w:rPr>
        <w:t>, but are also relevant for market dynamics in the market for vegetable oil production and import.</w:t>
      </w:r>
    </w:p>
    <w:p w14:paraId="41C5664F" w14:textId="77777777" w:rsidR="00377635" w:rsidRDefault="00377635" w:rsidP="00377635">
      <w:pPr>
        <w:rPr>
          <w:rFonts w:ascii="Times New Roman" w:hAnsi="Times New Roman" w:cs="Times New Roman"/>
        </w:rPr>
      </w:pPr>
    </w:p>
    <w:p w14:paraId="1803001E" w14:textId="77777777" w:rsidR="00925CA9" w:rsidRPr="00C91EA2" w:rsidRDefault="00925CA9" w:rsidP="00377635">
      <w:pPr>
        <w:rPr>
          <w:rFonts w:ascii="Times New Roman" w:hAnsi="Times New Roman" w:cs="Times New Roman"/>
        </w:rPr>
      </w:pPr>
    </w:p>
    <w:p w14:paraId="46283C6A" w14:textId="77777777" w:rsidR="00377635" w:rsidRPr="00C91EA2" w:rsidRDefault="00B824E5" w:rsidP="00B824E5">
      <w:pPr>
        <w:pStyle w:val="Heading3"/>
        <w:rPr>
          <w:rFonts w:ascii="Times New Roman" w:hAnsi="Times New Roman" w:cs="Times New Roman"/>
        </w:rPr>
      </w:pPr>
      <w:bookmarkStart w:id="238" w:name="_Toc494097780"/>
      <w:bookmarkStart w:id="239" w:name="_Toc520724113"/>
      <w:r w:rsidRPr="00C91EA2">
        <w:rPr>
          <w:rFonts w:ascii="Times New Roman" w:hAnsi="Times New Roman" w:cs="Times New Roman"/>
        </w:rPr>
        <w:t>5.1.</w:t>
      </w:r>
      <w:r w:rsidR="00E95720">
        <w:rPr>
          <w:rFonts w:ascii="Times New Roman" w:hAnsi="Times New Roman" w:cs="Times New Roman"/>
        </w:rPr>
        <w:t>4</w:t>
      </w:r>
      <w:r w:rsidRPr="00C91EA2">
        <w:rPr>
          <w:rFonts w:ascii="Times New Roman" w:hAnsi="Times New Roman" w:cs="Times New Roman"/>
        </w:rPr>
        <w:t xml:space="preserve"> </w:t>
      </w:r>
      <w:bookmarkStart w:id="240" w:name="_Hlk516708616"/>
      <w:r w:rsidR="00377635" w:rsidRPr="00C91EA2">
        <w:rPr>
          <w:rFonts w:ascii="Times New Roman" w:hAnsi="Times New Roman" w:cs="Times New Roman"/>
        </w:rPr>
        <w:t>Implications</w:t>
      </w:r>
      <w:bookmarkEnd w:id="238"/>
      <w:r w:rsidR="00B37FE4">
        <w:rPr>
          <w:rFonts w:ascii="Times New Roman" w:hAnsi="Times New Roman" w:cs="Times New Roman"/>
        </w:rPr>
        <w:t xml:space="preserve"> of R</w:t>
      </w:r>
      <w:r w:rsidR="00377635" w:rsidRPr="00C91EA2">
        <w:rPr>
          <w:rFonts w:ascii="Times New Roman" w:hAnsi="Times New Roman" w:cs="Times New Roman"/>
        </w:rPr>
        <w:t xml:space="preserve">ules that </w:t>
      </w:r>
      <w:r w:rsidR="00B37FE4">
        <w:rPr>
          <w:rFonts w:ascii="Times New Roman" w:hAnsi="Times New Roman" w:cs="Times New Roman"/>
        </w:rPr>
        <w:t>R</w:t>
      </w:r>
      <w:r w:rsidR="00377635" w:rsidRPr="00C91EA2">
        <w:rPr>
          <w:rFonts w:ascii="Times New Roman" w:hAnsi="Times New Roman" w:cs="Times New Roman"/>
        </w:rPr>
        <w:t xml:space="preserve">estrict </w:t>
      </w:r>
      <w:r w:rsidR="00B37FE4">
        <w:rPr>
          <w:rFonts w:ascii="Times New Roman" w:hAnsi="Times New Roman" w:cs="Times New Roman"/>
        </w:rPr>
        <w:t>C</w:t>
      </w:r>
      <w:r w:rsidR="00377635" w:rsidRPr="00C91EA2">
        <w:rPr>
          <w:rFonts w:ascii="Times New Roman" w:hAnsi="Times New Roman" w:cs="Times New Roman"/>
        </w:rPr>
        <w:t>ompetition</w:t>
      </w:r>
      <w:bookmarkEnd w:id="239"/>
      <w:r w:rsidR="00377635" w:rsidRPr="00C91EA2">
        <w:rPr>
          <w:rFonts w:ascii="Times New Roman" w:hAnsi="Times New Roman" w:cs="Times New Roman"/>
        </w:rPr>
        <w:t xml:space="preserve"> </w:t>
      </w:r>
      <w:bookmarkEnd w:id="240"/>
    </w:p>
    <w:p w14:paraId="10A28D38" w14:textId="77777777" w:rsidR="00377635" w:rsidRPr="00C91EA2" w:rsidRDefault="00377635" w:rsidP="00377635">
      <w:pPr>
        <w:rPr>
          <w:rFonts w:ascii="Times New Roman" w:hAnsi="Times New Roman" w:cs="Times New Roman"/>
        </w:rPr>
      </w:pPr>
    </w:p>
    <w:p w14:paraId="47106799" w14:textId="6176E690" w:rsidR="00377635" w:rsidRPr="00C91EA2" w:rsidRDefault="003B24ED" w:rsidP="00E26E07">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Government</w:t>
      </w:r>
      <w:r w:rsidR="00377635" w:rsidRPr="00C91EA2">
        <w:rPr>
          <w:rFonts w:ascii="Times New Roman" w:hAnsi="Times New Roman" w:cs="Times New Roman"/>
          <w:b/>
        </w:rPr>
        <w:t xml:space="preserve"> interventions that restrict competition in the groundnut value chain threaten to unintentionally undermine the </w:t>
      </w:r>
      <w:r>
        <w:rPr>
          <w:rFonts w:ascii="Times New Roman" w:hAnsi="Times New Roman" w:cs="Times New Roman"/>
          <w:b/>
        </w:rPr>
        <w:t>Government</w:t>
      </w:r>
      <w:r w:rsidR="00377635" w:rsidRPr="00C91EA2">
        <w:rPr>
          <w:rFonts w:ascii="Times New Roman" w:hAnsi="Times New Roman" w:cs="Times New Roman"/>
          <w:b/>
        </w:rPr>
        <w:t>’s objective to increase yields and production.</w:t>
      </w:r>
      <w:r w:rsidR="00377635" w:rsidRPr="00C91EA2">
        <w:rPr>
          <w:rFonts w:ascii="Times New Roman" w:hAnsi="Times New Roman" w:cs="Times New Roman"/>
        </w:rPr>
        <w:t xml:space="preserve"> </w:t>
      </w:r>
      <w:r w:rsidR="00377635" w:rsidRPr="00C91EA2">
        <w:rPr>
          <w:rFonts w:ascii="Times New Roman" w:hAnsi="Times New Roman" w:cs="Times New Roman"/>
        </w:rPr>
        <w:fldChar w:fldCharType="begin"/>
      </w:r>
      <w:r w:rsidR="00377635" w:rsidRPr="00C91EA2">
        <w:rPr>
          <w:rFonts w:ascii="Times New Roman" w:hAnsi="Times New Roman" w:cs="Times New Roman"/>
        </w:rPr>
        <w:instrText xml:space="preserve"> REF _Ref497907929 \h  \* MERGEFORMAT </w:instrText>
      </w:r>
      <w:r w:rsidR="00377635" w:rsidRPr="00C91EA2">
        <w:rPr>
          <w:rFonts w:ascii="Times New Roman" w:hAnsi="Times New Roman" w:cs="Times New Roman"/>
        </w:rPr>
      </w:r>
      <w:r w:rsidR="00377635" w:rsidRPr="00C91EA2">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11</w:t>
      </w:r>
      <w:r w:rsidR="00377635" w:rsidRPr="00C91EA2">
        <w:rPr>
          <w:rFonts w:ascii="Times New Roman" w:hAnsi="Times New Roman" w:cs="Times New Roman"/>
        </w:rPr>
        <w:fldChar w:fldCharType="end"/>
      </w:r>
      <w:r w:rsidR="00377635" w:rsidRPr="00C91EA2">
        <w:rPr>
          <w:rFonts w:ascii="Times New Roman" w:hAnsi="Times New Roman" w:cs="Times New Roman"/>
        </w:rPr>
        <w:t xml:space="preserve"> provides a summary of the unintended consequences of the </w:t>
      </w:r>
      <w:r>
        <w:rPr>
          <w:rFonts w:ascii="Times New Roman" w:hAnsi="Times New Roman" w:cs="Times New Roman"/>
        </w:rPr>
        <w:t>Government</w:t>
      </w:r>
      <w:r w:rsidR="00377635" w:rsidRPr="00C91EA2">
        <w:rPr>
          <w:rFonts w:ascii="Times New Roman" w:hAnsi="Times New Roman" w:cs="Times New Roman"/>
        </w:rPr>
        <w:t xml:space="preserve"> interventions</w:t>
      </w:r>
      <w:r w:rsidR="00377635" w:rsidRPr="00C91EA2">
        <w:rPr>
          <w:rFonts w:ascii="Times New Roman" w:hAnsi="Times New Roman" w:cs="Times New Roman"/>
          <w:b/>
        </w:rPr>
        <w:t xml:space="preserve">. </w:t>
      </w:r>
      <w:r w:rsidR="00377635" w:rsidRPr="00C91EA2">
        <w:rPr>
          <w:rFonts w:ascii="Times New Roman" w:hAnsi="Times New Roman" w:cs="Times New Roman"/>
        </w:rPr>
        <w:t xml:space="preserve">The distortions introduced to the input markets directly contribute to the lack of quality seed and the inefficient allocation of much-needed inputs. As a result, yields remain low. The </w:t>
      </w:r>
      <w:r>
        <w:rPr>
          <w:rFonts w:ascii="Times New Roman" w:hAnsi="Times New Roman" w:cs="Times New Roman"/>
        </w:rPr>
        <w:t>Government</w:t>
      </w:r>
      <w:r w:rsidR="00377635" w:rsidRPr="00C91EA2">
        <w:rPr>
          <w:rFonts w:ascii="Times New Roman" w:hAnsi="Times New Roman" w:cs="Times New Roman"/>
        </w:rPr>
        <w:t xml:space="preserve">’s policies therefore directly contradict its stated policy objective. Furthermore, they carry large fiscal implications. The </w:t>
      </w:r>
      <w:r>
        <w:rPr>
          <w:rFonts w:ascii="Times New Roman" w:hAnsi="Times New Roman" w:cs="Times New Roman"/>
        </w:rPr>
        <w:t>Government</w:t>
      </w:r>
      <w:r w:rsidR="00377635" w:rsidRPr="00C91EA2">
        <w:rPr>
          <w:rFonts w:ascii="Times New Roman" w:hAnsi="Times New Roman" w:cs="Times New Roman"/>
        </w:rPr>
        <w:t xml:space="preserve">’s input subsidies for seed cost 10.5 </w:t>
      </w:r>
      <w:proofErr w:type="spellStart"/>
      <w:r w:rsidR="00377635" w:rsidRPr="00C91EA2">
        <w:rPr>
          <w:rFonts w:ascii="Times New Roman" w:hAnsi="Times New Roman" w:cs="Times New Roman"/>
        </w:rPr>
        <w:t>bn</w:t>
      </w:r>
      <w:proofErr w:type="spellEnd"/>
      <w:r w:rsidR="00377635" w:rsidRPr="00C91EA2">
        <w:rPr>
          <w:rFonts w:ascii="Times New Roman" w:hAnsi="Times New Roman" w:cs="Times New Roman"/>
        </w:rPr>
        <w:t xml:space="preserve"> F CFA in 2013/14 (US$ 21.2 million),</w:t>
      </w:r>
      <w:r w:rsidR="00377635" w:rsidRPr="00C91EA2">
        <w:rPr>
          <w:rStyle w:val="FootnoteReference"/>
          <w:rFonts w:ascii="Times New Roman" w:hAnsi="Times New Roman" w:cs="Times New Roman"/>
        </w:rPr>
        <w:footnoteReference w:id="182"/>
      </w:r>
      <w:r w:rsidR="00377635" w:rsidRPr="00C91EA2">
        <w:rPr>
          <w:rFonts w:ascii="Times New Roman" w:hAnsi="Times New Roman" w:cs="Times New Roman"/>
        </w:rPr>
        <w:t xml:space="preserve"> while the subsidies for fertilizer totaled 18.1 </w:t>
      </w:r>
      <w:proofErr w:type="spellStart"/>
      <w:r w:rsidR="00377635" w:rsidRPr="00C91EA2">
        <w:rPr>
          <w:rFonts w:ascii="Times New Roman" w:hAnsi="Times New Roman" w:cs="Times New Roman"/>
        </w:rPr>
        <w:t>bn</w:t>
      </w:r>
      <w:proofErr w:type="spellEnd"/>
      <w:r w:rsidR="00377635" w:rsidRPr="00C91EA2">
        <w:rPr>
          <w:rFonts w:ascii="Times New Roman" w:hAnsi="Times New Roman" w:cs="Times New Roman"/>
        </w:rPr>
        <w:t xml:space="preserve"> in 2012/13 (US$ 36.2m).</w:t>
      </w:r>
      <w:r w:rsidR="00377635" w:rsidRPr="00C91EA2">
        <w:rPr>
          <w:rStyle w:val="FootnoteReference"/>
          <w:rFonts w:ascii="Times New Roman" w:hAnsi="Times New Roman" w:cs="Times New Roman"/>
        </w:rPr>
        <w:footnoteReference w:id="183"/>
      </w:r>
      <w:r w:rsidR="00377635" w:rsidRPr="00C91EA2">
        <w:rPr>
          <w:rFonts w:ascii="Times New Roman" w:hAnsi="Times New Roman" w:cs="Times New Roman"/>
          <w:vertAlign w:val="superscript"/>
        </w:rPr>
        <w:t>,</w:t>
      </w:r>
      <w:r w:rsidR="00377635" w:rsidRPr="00C91EA2">
        <w:rPr>
          <w:rStyle w:val="FootnoteReference"/>
          <w:rFonts w:ascii="Times New Roman" w:hAnsi="Times New Roman" w:cs="Times New Roman"/>
        </w:rPr>
        <w:footnoteReference w:id="184"/>
      </w:r>
      <w:r w:rsidR="00377635" w:rsidRPr="00C91EA2">
        <w:rPr>
          <w:rFonts w:ascii="Times New Roman" w:hAnsi="Times New Roman" w:cs="Times New Roman"/>
        </w:rPr>
        <w:t xml:space="preserve"> The total cost of roughly 28.6 </w:t>
      </w:r>
      <w:proofErr w:type="spellStart"/>
      <w:r w:rsidR="00377635" w:rsidRPr="00C91EA2">
        <w:rPr>
          <w:rFonts w:ascii="Times New Roman" w:hAnsi="Times New Roman" w:cs="Times New Roman"/>
        </w:rPr>
        <w:t>bn</w:t>
      </w:r>
      <w:proofErr w:type="spellEnd"/>
      <w:r w:rsidR="00377635" w:rsidRPr="00C91EA2">
        <w:rPr>
          <w:rFonts w:ascii="Times New Roman" w:hAnsi="Times New Roman" w:cs="Times New Roman"/>
        </w:rPr>
        <w:t xml:space="preserve"> F CFA represented 1.2% of the 2013 budget.</w:t>
      </w:r>
      <w:r w:rsidR="00377635" w:rsidRPr="00C91EA2">
        <w:rPr>
          <w:rStyle w:val="FootnoteReference"/>
          <w:rFonts w:ascii="Times New Roman" w:hAnsi="Times New Roman" w:cs="Times New Roman"/>
        </w:rPr>
        <w:footnoteReference w:id="185"/>
      </w:r>
    </w:p>
    <w:p w14:paraId="5B6332A5" w14:textId="77777777" w:rsidR="00377635" w:rsidRPr="00C91EA2" w:rsidRDefault="00377635" w:rsidP="00E26E07">
      <w:pPr>
        <w:jc w:val="both"/>
        <w:rPr>
          <w:rFonts w:ascii="Times New Roman" w:hAnsi="Times New Roman" w:cs="Times New Roman"/>
        </w:rPr>
      </w:pPr>
    </w:p>
    <w:p w14:paraId="079ACA86" w14:textId="185D9245"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w:t>
      </w:r>
      <w:r w:rsidR="003B24ED">
        <w:rPr>
          <w:rFonts w:ascii="Times New Roman" w:hAnsi="Times New Roman" w:cs="Times New Roman"/>
          <w:b/>
        </w:rPr>
        <w:t>Government</w:t>
      </w:r>
      <w:r w:rsidRPr="00C91EA2">
        <w:rPr>
          <w:rFonts w:ascii="Times New Roman" w:hAnsi="Times New Roman" w:cs="Times New Roman"/>
          <w:b/>
        </w:rPr>
        <w:t xml:space="preserve">’s measures to protect farmer incomes hamper competition for their produce, negatively affecting farmer incomes in the long run. </w:t>
      </w:r>
      <w:r w:rsidRPr="00C91EA2">
        <w:rPr>
          <w:rFonts w:ascii="Times New Roman" w:hAnsi="Times New Roman" w:cs="Times New Roman"/>
        </w:rPr>
        <w:t xml:space="preserve">The lack of and inefficient allocation of inputs reduces farmers’ yields and therefore the quantities they can sell. Furthermore, the regulations put in place governing the market for buying from farmers have contributed to restricting farmers’ ability to sell their produce most profitably to the highest bidder. Instead they can find themselves dependent on selling to OPS or other collectors at a price that has been pre-agreed </w:t>
      </w:r>
      <w:r w:rsidR="00773EC2">
        <w:rPr>
          <w:rFonts w:ascii="Times New Roman" w:hAnsi="Times New Roman" w:cs="Times New Roman"/>
        </w:rPr>
        <w:t>among</w:t>
      </w:r>
      <w:r w:rsidR="00773EC2" w:rsidRPr="00C91EA2">
        <w:rPr>
          <w:rFonts w:ascii="Times New Roman" w:hAnsi="Times New Roman" w:cs="Times New Roman"/>
        </w:rPr>
        <w:t xml:space="preserve"> </w:t>
      </w:r>
      <w:r w:rsidRPr="00C91EA2">
        <w:rPr>
          <w:rFonts w:ascii="Times New Roman" w:hAnsi="Times New Roman" w:cs="Times New Roman"/>
        </w:rPr>
        <w:t>buyers</w:t>
      </w:r>
      <w:r w:rsidR="00A16643">
        <w:rPr>
          <w:rFonts w:ascii="Times New Roman" w:hAnsi="Times New Roman" w:cs="Times New Roman"/>
        </w:rPr>
        <w:t xml:space="preserve"> through the minimum</w:t>
      </w:r>
      <w:r w:rsidR="000E4250">
        <w:rPr>
          <w:rFonts w:ascii="Times New Roman" w:hAnsi="Times New Roman" w:cs="Times New Roman"/>
        </w:rPr>
        <w:t xml:space="preserve"> </w:t>
      </w:r>
      <w:r w:rsidR="000E4250" w:rsidRPr="00C91EA2">
        <w:rPr>
          <w:rFonts w:ascii="Times New Roman" w:hAnsi="Times New Roman" w:cs="Times New Roman"/>
        </w:rPr>
        <w:t>p</w:t>
      </w:r>
      <w:r w:rsidR="000E4250">
        <w:rPr>
          <w:rFonts w:ascii="Times New Roman" w:hAnsi="Times New Roman" w:cs="Times New Roman"/>
        </w:rPr>
        <w:t>rice</w:t>
      </w:r>
      <w:r w:rsidR="00A16643">
        <w:rPr>
          <w:rFonts w:ascii="Times New Roman" w:hAnsi="Times New Roman" w:cs="Times New Roman"/>
        </w:rPr>
        <w:t xml:space="preserve"> setting process of the CNIA</w:t>
      </w:r>
      <w:r w:rsidRPr="00C91EA2">
        <w:rPr>
          <w:rFonts w:ascii="Times New Roman" w:hAnsi="Times New Roman" w:cs="Times New Roman"/>
        </w:rPr>
        <w:t>.</w:t>
      </w:r>
      <w:r w:rsidR="00321ADC">
        <w:rPr>
          <w:rStyle w:val="FootnoteReference"/>
          <w:rFonts w:ascii="Times New Roman" w:hAnsi="Times New Roman" w:cs="Times New Roman"/>
        </w:rPr>
        <w:footnoteReference w:id="186"/>
      </w:r>
    </w:p>
    <w:p w14:paraId="58581D57" w14:textId="77777777" w:rsidR="00377635" w:rsidRPr="00C91EA2" w:rsidRDefault="00321ADC" w:rsidP="005A26C7">
      <w:pPr>
        <w:tabs>
          <w:tab w:val="left" w:pos="6826"/>
        </w:tabs>
        <w:jc w:val="both"/>
        <w:rPr>
          <w:rFonts w:ascii="Times New Roman" w:hAnsi="Times New Roman" w:cs="Times New Roman"/>
        </w:rPr>
      </w:pPr>
      <w:r>
        <w:rPr>
          <w:rFonts w:ascii="Times New Roman" w:hAnsi="Times New Roman" w:cs="Times New Roman"/>
        </w:rPr>
        <w:tab/>
      </w:r>
    </w:p>
    <w:p w14:paraId="476A8851" w14:textId="7ED919B2"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processing industry receives the most explicit protections, but these come at the </w:t>
      </w:r>
      <w:r w:rsidR="008A3D64">
        <w:rPr>
          <w:rFonts w:ascii="Times New Roman" w:hAnsi="Times New Roman" w:cs="Times New Roman"/>
          <w:b/>
        </w:rPr>
        <w:t>expense</w:t>
      </w:r>
      <w:r w:rsidR="008A3D64" w:rsidRPr="00C91EA2">
        <w:rPr>
          <w:rFonts w:ascii="Times New Roman" w:hAnsi="Times New Roman" w:cs="Times New Roman"/>
          <w:b/>
        </w:rPr>
        <w:t xml:space="preserve"> </w:t>
      </w:r>
      <w:r w:rsidRPr="00C91EA2">
        <w:rPr>
          <w:rFonts w:ascii="Times New Roman" w:hAnsi="Times New Roman" w:cs="Times New Roman"/>
          <w:b/>
        </w:rPr>
        <w:t>of farmers and consumers.</w:t>
      </w:r>
      <w:r w:rsidRPr="00C91EA2">
        <w:rPr>
          <w:rFonts w:ascii="Times New Roman" w:hAnsi="Times New Roman" w:cs="Times New Roman"/>
        </w:rPr>
        <w:t xml:space="preserve"> Purchasing subsidies, direct financial support to SONACOS, export restrictions on raw nuts and import restrictions on competing oil products are intended to ensure the viability of the domestic oil processing industry. However, the support to this industry comes at a cost to farmers and consumers.</w:t>
      </w:r>
      <w:r w:rsidR="00F12DC2">
        <w:rPr>
          <w:rFonts w:ascii="Times New Roman" w:hAnsi="Times New Roman" w:cs="Times New Roman"/>
        </w:rPr>
        <w:t xml:space="preserve"> Generally, e</w:t>
      </w:r>
      <w:r w:rsidRPr="00C91EA2">
        <w:rPr>
          <w:rFonts w:ascii="Times New Roman" w:hAnsi="Times New Roman" w:cs="Times New Roman"/>
        </w:rPr>
        <w:t xml:space="preserve">xport taxes and bans, for example, lower the prices farmers achieve with their produce, lowering their income overall. This </w:t>
      </w:r>
      <w:r w:rsidR="00F12DC2">
        <w:rPr>
          <w:rFonts w:ascii="Times New Roman" w:hAnsi="Times New Roman" w:cs="Times New Roman"/>
        </w:rPr>
        <w:t>was</w:t>
      </w:r>
      <w:r w:rsidR="00F12DC2" w:rsidRPr="00C91EA2">
        <w:rPr>
          <w:rFonts w:ascii="Times New Roman" w:hAnsi="Times New Roman" w:cs="Times New Roman"/>
        </w:rPr>
        <w:t xml:space="preserve"> </w:t>
      </w:r>
      <w:r w:rsidRPr="00C91EA2">
        <w:rPr>
          <w:rFonts w:ascii="Times New Roman" w:hAnsi="Times New Roman" w:cs="Times New Roman"/>
        </w:rPr>
        <w:t>reflected in the nominal rate of protection for groundnuts in Senegal, a measure of the incidence of subsidies calculated by a consortium of international organizations like the FAO, the OECD and the World Bank and facilitated by the International Food Policy Research Institute (IFPRI). The measure compares the actual farmgate price with an undistorted reference price and expresses the difference of the two as a percentage.</w:t>
      </w:r>
      <w:r w:rsidRPr="00C91EA2">
        <w:rPr>
          <w:rStyle w:val="FootnoteReference"/>
          <w:rFonts w:ascii="Times New Roman" w:hAnsi="Times New Roman" w:cs="Times New Roman"/>
        </w:rPr>
        <w:footnoteReference w:id="187"/>
      </w:r>
      <w:r w:rsidRPr="00C91EA2">
        <w:rPr>
          <w:rFonts w:ascii="Times New Roman" w:hAnsi="Times New Roman" w:cs="Times New Roman"/>
        </w:rPr>
        <w:t xml:space="preserve"> </w:t>
      </w:r>
      <w:r w:rsidR="006903AF" w:rsidRPr="00C91EA2">
        <w:rPr>
          <w:rFonts w:ascii="Times New Roman" w:hAnsi="Times New Roman" w:cs="Times New Roman"/>
        </w:rPr>
        <w:t xml:space="preserve">As </w:t>
      </w:r>
      <w:r w:rsidR="006903AF" w:rsidRPr="00C91EA2">
        <w:rPr>
          <w:rFonts w:ascii="Times New Roman" w:hAnsi="Times New Roman" w:cs="Times New Roman"/>
        </w:rPr>
        <w:fldChar w:fldCharType="begin"/>
      </w:r>
      <w:r w:rsidR="006903AF" w:rsidRPr="00C91EA2">
        <w:rPr>
          <w:rFonts w:ascii="Times New Roman" w:hAnsi="Times New Roman" w:cs="Times New Roman"/>
        </w:rPr>
        <w:instrText xml:space="preserve"> REF _Ref497908028 \h  \* MERGEFORMAT </w:instrText>
      </w:r>
      <w:r w:rsidR="006903AF" w:rsidRPr="00C91EA2">
        <w:rPr>
          <w:rFonts w:ascii="Times New Roman" w:hAnsi="Times New Roman" w:cs="Times New Roman"/>
        </w:rPr>
      </w:r>
      <w:r w:rsidR="006903AF"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54</w:t>
      </w:r>
      <w:r w:rsidR="006903AF" w:rsidRPr="00C91EA2">
        <w:rPr>
          <w:rFonts w:ascii="Times New Roman" w:hAnsi="Times New Roman" w:cs="Times New Roman"/>
        </w:rPr>
        <w:fldChar w:fldCharType="end"/>
      </w:r>
      <w:r w:rsidR="006903AF" w:rsidRPr="00C91EA2">
        <w:rPr>
          <w:rFonts w:ascii="Times New Roman" w:hAnsi="Times New Roman" w:cs="Times New Roman"/>
        </w:rPr>
        <w:t xml:space="preserve"> shows, t</w:t>
      </w:r>
      <w:r w:rsidRPr="00C91EA2">
        <w:rPr>
          <w:rFonts w:ascii="Times New Roman" w:hAnsi="Times New Roman" w:cs="Times New Roman"/>
        </w:rPr>
        <w:t xml:space="preserve">he nominal rate of protection for groundnuts has been consistently </w:t>
      </w:r>
      <w:r w:rsidR="006903AF" w:rsidRPr="00C91EA2">
        <w:rPr>
          <w:rFonts w:ascii="Times New Roman" w:hAnsi="Times New Roman" w:cs="Times New Roman"/>
        </w:rPr>
        <w:t>negative over the past years also below that of all available African comparators</w:t>
      </w:r>
      <w:r w:rsidRPr="00C91EA2">
        <w:rPr>
          <w:rFonts w:ascii="Times New Roman" w:hAnsi="Times New Roman" w:cs="Times New Roman"/>
        </w:rPr>
        <w:t>, showing that farmgate prices for groundnuts in Senegal are below the undistorted reference price. This suggests that the 48</w:t>
      </w:r>
      <w:r w:rsidR="004E444C">
        <w:rPr>
          <w:rFonts w:ascii="Times New Roman" w:hAnsi="Times New Roman" w:cs="Times New Roman"/>
        </w:rPr>
        <w:t>2</w:t>
      </w:r>
      <w:r w:rsidRPr="00C91EA2">
        <w:rPr>
          <w:rFonts w:ascii="Times New Roman" w:hAnsi="Times New Roman" w:cs="Times New Roman"/>
        </w:rPr>
        <w:t>,000 Senegalese groundnut farmers have been subsidizing Senegalese groundnut oil production, which remains uncompetitive regardless.</w:t>
      </w:r>
    </w:p>
    <w:p w14:paraId="5CFC72FA" w14:textId="77777777" w:rsidR="00377635" w:rsidRPr="00C91EA2" w:rsidRDefault="00377635" w:rsidP="00377635">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377635" w:rsidRPr="00C91EA2" w14:paraId="64D4F541"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5BD3BBB5" w14:textId="52E11392" w:rsidR="00377635" w:rsidRPr="00C91EA2" w:rsidRDefault="00377635">
            <w:pPr>
              <w:pStyle w:val="Caption"/>
              <w:keepNext/>
              <w:jc w:val="both"/>
              <w:rPr>
                <w:rFonts w:ascii="Times New Roman" w:hAnsi="Times New Roman"/>
              </w:rPr>
            </w:pPr>
            <w:bookmarkStart w:id="241" w:name="_Ref497908028"/>
            <w:bookmarkStart w:id="242" w:name="_Toc520725610"/>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54</w:t>
            </w:r>
            <w:r w:rsidR="00D91B27">
              <w:rPr>
                <w:rFonts w:ascii="Times New Roman" w:hAnsi="Times New Roman"/>
              </w:rPr>
              <w:fldChar w:fldCharType="end"/>
            </w:r>
            <w:bookmarkEnd w:id="241"/>
            <w:r w:rsidRPr="00C91EA2">
              <w:rPr>
                <w:rFonts w:ascii="Times New Roman" w:hAnsi="Times New Roman"/>
              </w:rPr>
              <w:t>: Nominal Rate of Protection for Senegalese Groundnuts (2006-2014)</w:t>
            </w:r>
            <w:bookmarkEnd w:id="242"/>
          </w:p>
        </w:tc>
      </w:tr>
      <w:tr w:rsidR="00377635" w:rsidRPr="00C91EA2" w14:paraId="7E9B4BBC"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58D1AB09" w14:textId="77777777" w:rsidR="00377635" w:rsidRPr="00C91EA2" w:rsidRDefault="00377635">
            <w:pPr>
              <w:jc w:val="both"/>
              <w:rPr>
                <w:rFonts w:ascii="Times New Roman" w:hAnsi="Times New Roman" w:cs="Times New Roman"/>
                <w:sz w:val="20"/>
              </w:rPr>
            </w:pPr>
            <w:r w:rsidRPr="00C91EA2">
              <w:rPr>
                <w:rFonts w:ascii="Times New Roman" w:hAnsi="Times New Roman" w:cs="Times New Roman"/>
                <w:noProof/>
              </w:rPr>
              <w:drawing>
                <wp:inline distT="0" distB="0" distL="0" distR="0" wp14:anchorId="59CF90E1" wp14:editId="0AF5F690">
                  <wp:extent cx="5381625" cy="2962275"/>
                  <wp:effectExtent l="0" t="0" r="3175" b="9525"/>
                  <wp:docPr id="733" name="Chart 733">
                    <a:extLst xmlns:a="http://schemas.openxmlformats.org/drawingml/2006/main">
                      <a:ext uri="{FF2B5EF4-FFF2-40B4-BE49-F238E27FC236}">
                        <a16:creationId xmlns:a16="http://schemas.microsoft.com/office/drawing/2014/main" id="{45D55C7E-9C39-416F-8974-E4D6B804A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377635" w:rsidRPr="00C91EA2" w14:paraId="1AE9883B" w14:textId="77777777" w:rsidTr="00377635">
        <w:tc>
          <w:tcPr>
            <w:tcW w:w="8630" w:type="dxa"/>
            <w:tcBorders>
              <w:top w:val="single" w:sz="4" w:space="0" w:color="auto"/>
              <w:left w:val="single" w:sz="4" w:space="0" w:color="auto"/>
              <w:bottom w:val="single" w:sz="4" w:space="0" w:color="auto"/>
              <w:right w:val="single" w:sz="4" w:space="0" w:color="auto"/>
            </w:tcBorders>
            <w:hideMark/>
          </w:tcPr>
          <w:p w14:paraId="26B578D7" w14:textId="77777777" w:rsidR="00377635" w:rsidRPr="00C91EA2" w:rsidRDefault="00377635">
            <w:pPr>
              <w:jc w:val="both"/>
              <w:rPr>
                <w:rFonts w:ascii="Times New Roman" w:hAnsi="Times New Roman" w:cs="Times New Roman"/>
              </w:rPr>
            </w:pPr>
            <w:r w:rsidRPr="00C91EA2">
              <w:rPr>
                <w:rFonts w:ascii="Times New Roman" w:hAnsi="Times New Roman" w:cs="Times New Roman"/>
                <w:sz w:val="20"/>
              </w:rPr>
              <w:t xml:space="preserve">Source: International </w:t>
            </w:r>
            <w:proofErr w:type="spellStart"/>
            <w:r w:rsidRPr="00C91EA2">
              <w:rPr>
                <w:rFonts w:ascii="Times New Roman" w:hAnsi="Times New Roman" w:cs="Times New Roman"/>
                <w:sz w:val="20"/>
              </w:rPr>
              <w:t>Organisations</w:t>
            </w:r>
            <w:proofErr w:type="spellEnd"/>
            <w:r w:rsidRPr="00C91EA2">
              <w:rPr>
                <w:rFonts w:ascii="Times New Roman" w:hAnsi="Times New Roman" w:cs="Times New Roman"/>
                <w:sz w:val="20"/>
              </w:rPr>
              <w:t xml:space="preserve"> Consortium for Measuring the Policy Environment for Agriculture (2017)</w:t>
            </w:r>
          </w:p>
        </w:tc>
      </w:tr>
    </w:tbl>
    <w:p w14:paraId="0C1BF4C9" w14:textId="77777777" w:rsidR="00377635" w:rsidRDefault="00377635" w:rsidP="00377635">
      <w:pPr>
        <w:jc w:val="both"/>
        <w:rPr>
          <w:rFonts w:ascii="Times New Roman" w:hAnsi="Times New Roman" w:cs="Times New Roman"/>
        </w:rPr>
      </w:pPr>
    </w:p>
    <w:p w14:paraId="278A8316" w14:textId="77777777" w:rsidR="00711D1F" w:rsidRPr="00C91EA2" w:rsidRDefault="00711D1F" w:rsidP="00377635">
      <w:pPr>
        <w:jc w:val="both"/>
        <w:rPr>
          <w:rFonts w:ascii="Times New Roman" w:hAnsi="Times New Roman" w:cs="Times New Roman"/>
        </w:rPr>
      </w:pPr>
    </w:p>
    <w:p w14:paraId="07D3A216" w14:textId="52BC5DE0"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Consumers suffer from high prices for vegetable oils. </w:t>
      </w:r>
      <w:r w:rsidRPr="00C91EA2">
        <w:rPr>
          <w:rFonts w:ascii="Times New Roman" w:hAnsi="Times New Roman" w:cs="Times New Roman"/>
        </w:rPr>
        <w:t>Import restrictions on vegetable oils drive up consumer prices, negatively affecting the welfare of the 14 million consumers in Senegal. Between 2011 and 2013, the price of vegetable oils in Senegal was estimated to be about 60 percent above world prices.</w:t>
      </w:r>
      <w:r w:rsidRPr="00C91EA2">
        <w:rPr>
          <w:rStyle w:val="FootnoteReference"/>
          <w:rFonts w:ascii="Times New Roman" w:hAnsi="Times New Roman" w:cs="Times New Roman"/>
        </w:rPr>
        <w:footnoteReference w:id="188"/>
      </w:r>
      <w:r w:rsidRPr="00C91EA2">
        <w:rPr>
          <w:rFonts w:ascii="Times New Roman" w:hAnsi="Times New Roman" w:cs="Times New Roman"/>
        </w:rPr>
        <w:t xml:space="preserve"> In 2015, the World Bank estimated that between 2000 and 2010 the various protections for the processors cost consumers 50 </w:t>
      </w:r>
      <w:proofErr w:type="spellStart"/>
      <w:r w:rsidRPr="00C91EA2">
        <w:rPr>
          <w:rFonts w:ascii="Times New Roman" w:hAnsi="Times New Roman" w:cs="Times New Roman"/>
        </w:rPr>
        <w:t>bn</w:t>
      </w:r>
      <w:proofErr w:type="spellEnd"/>
      <w:r w:rsidRPr="00C91EA2">
        <w:rPr>
          <w:rFonts w:ascii="Times New Roman" w:hAnsi="Times New Roman" w:cs="Times New Roman"/>
        </w:rPr>
        <w:t xml:space="preserve"> F CFA annually or between 5 to 9 times the industry’s wage bill. This cost rose to 60 </w:t>
      </w:r>
      <w:proofErr w:type="spellStart"/>
      <w:r w:rsidRPr="00C91EA2">
        <w:rPr>
          <w:rFonts w:ascii="Times New Roman" w:hAnsi="Times New Roman" w:cs="Times New Roman"/>
        </w:rPr>
        <w:t>bn</w:t>
      </w:r>
      <w:proofErr w:type="spellEnd"/>
      <w:r w:rsidRPr="00C91EA2">
        <w:rPr>
          <w:rFonts w:ascii="Times New Roman" w:hAnsi="Times New Roman" w:cs="Times New Roman"/>
        </w:rPr>
        <w:t xml:space="preserve"> F CFA per year in the period between 2011 and 2013 or 10 times the industry’s wage bill.</w:t>
      </w:r>
      <w:r w:rsidRPr="00C91EA2">
        <w:rPr>
          <w:rStyle w:val="FootnoteReference"/>
          <w:rFonts w:ascii="Times New Roman" w:hAnsi="Times New Roman" w:cs="Times New Roman"/>
        </w:rPr>
        <w:footnoteReference w:id="189"/>
      </w:r>
      <w:r w:rsidRPr="00C91EA2">
        <w:rPr>
          <w:rFonts w:ascii="Times New Roman" w:hAnsi="Times New Roman" w:cs="Times New Roman"/>
        </w:rPr>
        <w:t xml:space="preserve"> Overall, the various </w:t>
      </w:r>
      <w:r w:rsidR="003B24ED">
        <w:rPr>
          <w:rFonts w:ascii="Times New Roman" w:hAnsi="Times New Roman" w:cs="Times New Roman"/>
        </w:rPr>
        <w:t>Government</w:t>
      </w:r>
      <w:r w:rsidRPr="00C91EA2">
        <w:rPr>
          <w:rFonts w:ascii="Times New Roman" w:hAnsi="Times New Roman" w:cs="Times New Roman"/>
        </w:rPr>
        <w:t xml:space="preserve"> policies protecting the processing industry represent an implicit subsidy to millers paid for by farmers and consumers.</w:t>
      </w:r>
    </w:p>
    <w:p w14:paraId="5CFDD738" w14:textId="77777777" w:rsidR="00377635" w:rsidRPr="00C91EA2" w:rsidRDefault="00377635" w:rsidP="00E26E07">
      <w:pPr>
        <w:jc w:val="both"/>
        <w:rPr>
          <w:rFonts w:ascii="Times New Roman" w:hAnsi="Times New Roman" w:cs="Times New Roman"/>
        </w:rPr>
      </w:pPr>
    </w:p>
    <w:p w14:paraId="11366626" w14:textId="4C569CA3" w:rsidR="00377635" w:rsidRPr="00C91EA2" w:rsidRDefault="00377635" w:rsidP="00E26E0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Despite the protections they enjoy, domestic processors are struggling, largely because they lack domestic competitive pressures to operate more efficiently</w:t>
      </w:r>
      <w:r w:rsidRPr="00C91EA2">
        <w:rPr>
          <w:rFonts w:ascii="Times New Roman" w:hAnsi="Times New Roman" w:cs="Times New Roman"/>
        </w:rPr>
        <w:t>. As shown by</w:t>
      </w:r>
      <w:r w:rsidR="00183D71">
        <w:rPr>
          <w:rFonts w:ascii="Times New Roman" w:hAnsi="Times New Roman" w:cs="Times New Roman"/>
        </w:rPr>
        <w:t xml:space="preserve"> </w:t>
      </w:r>
      <w:r w:rsidR="00183D71">
        <w:rPr>
          <w:rFonts w:ascii="Times New Roman" w:hAnsi="Times New Roman" w:cs="Times New Roman"/>
        </w:rPr>
        <w:fldChar w:fldCharType="begin"/>
      </w:r>
      <w:r w:rsidR="00183D71">
        <w:rPr>
          <w:rFonts w:ascii="Times New Roman" w:hAnsi="Times New Roman" w:cs="Times New Roman"/>
        </w:rPr>
        <w:instrText xml:space="preserve"> REF _Ref497919527 \h </w:instrText>
      </w:r>
      <w:r w:rsidR="00183D71">
        <w:rPr>
          <w:rFonts w:ascii="Times New Roman" w:hAnsi="Times New Roman" w:cs="Times New Roman"/>
        </w:rPr>
      </w:r>
      <w:r w:rsidR="00183D71">
        <w:rPr>
          <w:rFonts w:ascii="Times New Roman" w:hAnsi="Times New Roman" w:cs="Times New Roman"/>
        </w:rPr>
        <w:fldChar w:fldCharType="separate"/>
      </w:r>
      <w:r w:rsidR="008261B2" w:rsidRPr="00C91EA2">
        <w:rPr>
          <w:rFonts w:ascii="Times New Roman" w:hAnsi="Times New Roman"/>
        </w:rPr>
        <w:t xml:space="preserve">Box </w:t>
      </w:r>
      <w:r w:rsidR="008261B2">
        <w:rPr>
          <w:rFonts w:ascii="Times New Roman" w:hAnsi="Times New Roman"/>
          <w:noProof/>
        </w:rPr>
        <w:t>12</w:t>
      </w:r>
      <w:r w:rsidR="00183D71">
        <w:rPr>
          <w:rFonts w:ascii="Times New Roman" w:hAnsi="Times New Roman" w:cs="Times New Roman"/>
        </w:rPr>
        <w:fldChar w:fldCharType="end"/>
      </w:r>
      <w:r w:rsidRPr="00C91EA2">
        <w:rPr>
          <w:rFonts w:ascii="Times New Roman" w:hAnsi="Times New Roman" w:cs="Times New Roman"/>
        </w:rPr>
        <w:t xml:space="preserve">, domestic competitive pressures contribute to an industry’s competitiveness and ability to export. Instead, the various policies in place in the Senegalese groundnut sector interrupt the “virtuous circle” summarized in </w:t>
      </w:r>
      <w:r w:rsidRPr="00C91EA2">
        <w:rPr>
          <w:rFonts w:ascii="Times New Roman" w:hAnsi="Times New Roman" w:cs="Times New Roman"/>
        </w:rPr>
        <w:fldChar w:fldCharType="begin"/>
      </w:r>
      <w:r w:rsidRPr="00C91EA2">
        <w:rPr>
          <w:rFonts w:ascii="Times New Roman" w:hAnsi="Times New Roman" w:cs="Times New Roman"/>
        </w:rPr>
        <w:instrText xml:space="preserve"> REF _Ref497663084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46</w:t>
      </w:r>
      <w:r w:rsidRPr="00C91EA2">
        <w:rPr>
          <w:rFonts w:ascii="Times New Roman" w:hAnsi="Times New Roman" w:cs="Times New Roman"/>
        </w:rPr>
        <w:fldChar w:fldCharType="end"/>
      </w:r>
      <w:r w:rsidRPr="00C91EA2">
        <w:rPr>
          <w:rFonts w:ascii="Times New Roman" w:hAnsi="Times New Roman" w:cs="Times New Roman"/>
        </w:rPr>
        <w:t xml:space="preserve"> and create an industry that lacks efficiency, productivity and competitiveness. Indeed, international experience provides examples of where, while costly </w:t>
      </w:r>
      <w:r w:rsidR="003B24ED">
        <w:rPr>
          <w:rFonts w:ascii="Times New Roman" w:hAnsi="Times New Roman" w:cs="Times New Roman"/>
        </w:rPr>
        <w:t>Government</w:t>
      </w:r>
      <w:r w:rsidRPr="00C91EA2">
        <w:rPr>
          <w:rFonts w:ascii="Times New Roman" w:hAnsi="Times New Roman" w:cs="Times New Roman"/>
        </w:rPr>
        <w:t xml:space="preserve"> protection have achieved stated objective in certain value chain segments in the short term, adverse effects have been created for the value chain overall. </w:t>
      </w:r>
      <w:r w:rsidRPr="00C91EA2">
        <w:rPr>
          <w:rFonts w:ascii="Times New Roman" w:hAnsi="Times New Roman" w:cs="Times New Roman"/>
        </w:rPr>
        <w:fldChar w:fldCharType="begin"/>
      </w:r>
      <w:r w:rsidRPr="00C91EA2">
        <w:rPr>
          <w:rFonts w:ascii="Times New Roman" w:hAnsi="Times New Roman" w:cs="Times New Roman"/>
        </w:rPr>
        <w:instrText xml:space="preserve"> REF _Ref497919527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Box </w:t>
      </w:r>
      <w:r w:rsidR="008261B2" w:rsidRPr="008261B2">
        <w:rPr>
          <w:rFonts w:ascii="Times New Roman" w:hAnsi="Times New Roman" w:cs="Times New Roman"/>
          <w:noProof/>
        </w:rPr>
        <w:t>12</w:t>
      </w:r>
      <w:r w:rsidRPr="00C91EA2">
        <w:rPr>
          <w:rFonts w:ascii="Times New Roman" w:hAnsi="Times New Roman" w:cs="Times New Roman"/>
        </w:rPr>
        <w:fldChar w:fldCharType="end"/>
      </w:r>
      <w:r w:rsidRPr="00C91EA2">
        <w:rPr>
          <w:rFonts w:ascii="Times New Roman" w:hAnsi="Times New Roman" w:cs="Times New Roman"/>
        </w:rPr>
        <w:t xml:space="preserve"> explores the example of Gabon, where the </w:t>
      </w:r>
      <w:r w:rsidR="003B24ED">
        <w:rPr>
          <w:rFonts w:ascii="Times New Roman" w:hAnsi="Times New Roman" w:cs="Times New Roman"/>
        </w:rPr>
        <w:t>Government</w:t>
      </w:r>
      <w:r w:rsidRPr="00C91EA2">
        <w:rPr>
          <w:rFonts w:ascii="Times New Roman" w:hAnsi="Times New Roman" w:cs="Times New Roman"/>
        </w:rPr>
        <w:t xml:space="preserve"> instated protective measures for its wood processing industry, which increased processing activity in the short term, but led to a decrease of output along the entire value chain.</w:t>
      </w:r>
    </w:p>
    <w:p w14:paraId="6EF97B5F" w14:textId="77777777" w:rsidR="00377635" w:rsidRPr="00C91EA2" w:rsidRDefault="00377635" w:rsidP="00377635">
      <w:pPr>
        <w:pStyle w:val="PlainText"/>
        <w:rPr>
          <w:rFonts w:ascii="Times New Roman" w:hAnsi="Times New Roman" w:cs="Times New Roman"/>
          <w:b/>
          <w:sz w:val="24"/>
          <w:szCs w:val="24"/>
        </w:rPr>
      </w:pPr>
    </w:p>
    <w:p w14:paraId="73FED4DC" w14:textId="19AA7D93" w:rsidR="00377635" w:rsidRPr="00C91EA2" w:rsidRDefault="00377635" w:rsidP="00377635">
      <w:pPr>
        <w:pStyle w:val="Caption"/>
        <w:keepNext/>
        <w:rPr>
          <w:rFonts w:ascii="Times New Roman" w:hAnsi="Times New Roman"/>
          <w:szCs w:val="24"/>
        </w:rPr>
      </w:pPr>
      <w:bookmarkStart w:id="243" w:name="_Ref497919527"/>
      <w:bookmarkStart w:id="244" w:name="_Ref497910686"/>
      <w:bookmarkStart w:id="245" w:name="_Toc520725800"/>
      <w:r w:rsidRPr="00C91EA2">
        <w:rPr>
          <w:rFonts w:ascii="Times New Roman" w:hAnsi="Times New Roman"/>
          <w:szCs w:val="24"/>
        </w:rPr>
        <w:t xml:space="preserve">Box </w:t>
      </w:r>
      <w:r w:rsidR="009547FF">
        <w:rPr>
          <w:rFonts w:ascii="Times New Roman" w:hAnsi="Times New Roman"/>
          <w:szCs w:val="24"/>
        </w:rPr>
        <w:fldChar w:fldCharType="begin"/>
      </w:r>
      <w:r w:rsidR="009547FF">
        <w:rPr>
          <w:rFonts w:ascii="Times New Roman" w:hAnsi="Times New Roman"/>
          <w:szCs w:val="24"/>
        </w:rPr>
        <w:instrText xml:space="preserve"> SEQ Box \* ARABIC </w:instrText>
      </w:r>
      <w:r w:rsidR="009547FF">
        <w:rPr>
          <w:rFonts w:ascii="Times New Roman" w:hAnsi="Times New Roman"/>
          <w:szCs w:val="24"/>
        </w:rPr>
        <w:fldChar w:fldCharType="separate"/>
      </w:r>
      <w:r w:rsidR="008261B2">
        <w:rPr>
          <w:rFonts w:ascii="Times New Roman" w:hAnsi="Times New Roman"/>
          <w:noProof/>
          <w:szCs w:val="24"/>
        </w:rPr>
        <w:t>12</w:t>
      </w:r>
      <w:r w:rsidR="009547FF">
        <w:rPr>
          <w:rFonts w:ascii="Times New Roman" w:hAnsi="Times New Roman"/>
          <w:szCs w:val="24"/>
        </w:rPr>
        <w:fldChar w:fldCharType="end"/>
      </w:r>
      <w:bookmarkEnd w:id="243"/>
      <w:r w:rsidRPr="00C91EA2">
        <w:rPr>
          <w:rFonts w:ascii="Times New Roman" w:hAnsi="Times New Roman"/>
          <w:szCs w:val="24"/>
        </w:rPr>
        <w:t>: Designing industry support programs: lessons from the Gabon export ban on timber</w:t>
      </w:r>
      <w:bookmarkEnd w:id="244"/>
      <w:bookmarkEnd w:id="245"/>
    </w:p>
    <w:tbl>
      <w:tblPr>
        <w:tblStyle w:val="TableGrid"/>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630"/>
      </w:tblGrid>
      <w:tr w:rsidR="00377635" w:rsidRPr="00C91EA2" w14:paraId="1E679C0D" w14:textId="77777777" w:rsidTr="000E15A2">
        <w:tc>
          <w:tcPr>
            <w:tcW w:w="8640" w:type="dxa"/>
            <w:shd w:val="clear" w:color="auto" w:fill="F2F2F2" w:themeFill="background1" w:themeFillShade="F2"/>
          </w:tcPr>
          <w:p w14:paraId="1238E4C0" w14:textId="0A03CB33" w:rsidR="00377635" w:rsidRPr="008B5EA1" w:rsidRDefault="00377635">
            <w:pPr>
              <w:pStyle w:val="PlainText"/>
              <w:jc w:val="both"/>
              <w:rPr>
                <w:rFonts w:ascii="Times New Roman" w:hAnsi="Times New Roman" w:cs="Times New Roman"/>
                <w:szCs w:val="24"/>
              </w:rPr>
            </w:pPr>
            <w:r w:rsidRPr="008B5EA1">
              <w:rPr>
                <w:rFonts w:ascii="Times New Roman" w:hAnsi="Times New Roman" w:cs="Times New Roman"/>
                <w:szCs w:val="24"/>
              </w:rPr>
              <w:t xml:space="preserve">In Gabon, following a shift in demand for wood from sawn and plywood to unprocessed logs, the local wood transformation industry struggled. As a result, the </w:t>
            </w:r>
            <w:r w:rsidR="003B24ED">
              <w:rPr>
                <w:rFonts w:ascii="Times New Roman" w:hAnsi="Times New Roman" w:cs="Times New Roman"/>
                <w:szCs w:val="24"/>
              </w:rPr>
              <w:t>Government</w:t>
            </w:r>
            <w:r w:rsidRPr="008B5EA1">
              <w:rPr>
                <w:rFonts w:ascii="Times New Roman" w:hAnsi="Times New Roman" w:cs="Times New Roman"/>
                <w:szCs w:val="24"/>
              </w:rPr>
              <w:t xml:space="preserve"> banned all exports of logs and put in place a capacity building program for the wood transformation industry with the assistance of donors. Two recent World Bank reports (2014a and 2016b) have analyzed the impact of these restrictions on trade and competition.</w:t>
            </w:r>
            <w:r w:rsidRPr="008B5EA1">
              <w:rPr>
                <w:rStyle w:val="FootnoteReference"/>
                <w:rFonts w:ascii="Times New Roman" w:hAnsi="Times New Roman" w:cs="Times New Roman"/>
                <w:szCs w:val="24"/>
              </w:rPr>
              <w:footnoteReference w:id="190"/>
            </w:r>
            <w:r w:rsidRPr="008B5EA1">
              <w:rPr>
                <w:rFonts w:ascii="Times New Roman" w:hAnsi="Times New Roman" w:cs="Times New Roman"/>
                <w:szCs w:val="24"/>
                <w:vertAlign w:val="superscript"/>
              </w:rPr>
              <w:t>,</w:t>
            </w:r>
            <w:r w:rsidRPr="008B5EA1">
              <w:rPr>
                <w:rStyle w:val="FootnoteReference"/>
                <w:rFonts w:ascii="Times New Roman" w:hAnsi="Times New Roman" w:cs="Times New Roman"/>
                <w:szCs w:val="24"/>
              </w:rPr>
              <w:footnoteReference w:id="191"/>
            </w:r>
            <w:r w:rsidRPr="008B5EA1">
              <w:rPr>
                <w:rFonts w:ascii="Times New Roman" w:hAnsi="Times New Roman" w:cs="Times New Roman"/>
                <w:szCs w:val="24"/>
              </w:rPr>
              <w:t xml:space="preserve"> </w:t>
            </w:r>
          </w:p>
          <w:p w14:paraId="2BAC51B9" w14:textId="77777777" w:rsidR="00377635" w:rsidRPr="008B5EA1" w:rsidRDefault="00377635">
            <w:pPr>
              <w:pStyle w:val="PlainText"/>
              <w:jc w:val="both"/>
              <w:rPr>
                <w:rFonts w:ascii="Times New Roman" w:hAnsi="Times New Roman" w:cs="Times New Roman"/>
                <w:szCs w:val="24"/>
              </w:rPr>
            </w:pPr>
          </w:p>
          <w:p w14:paraId="0CC7F3FC" w14:textId="77777777" w:rsidR="00377635" w:rsidRPr="008B5EA1" w:rsidRDefault="00377635">
            <w:pPr>
              <w:pStyle w:val="PlainText"/>
              <w:jc w:val="both"/>
              <w:rPr>
                <w:rFonts w:ascii="Times New Roman" w:hAnsi="Times New Roman" w:cs="Times New Roman"/>
                <w:szCs w:val="24"/>
              </w:rPr>
            </w:pPr>
            <w:proofErr w:type="gramStart"/>
            <w:r w:rsidRPr="008B5EA1">
              <w:rPr>
                <w:rFonts w:ascii="Times New Roman" w:hAnsi="Times New Roman" w:cs="Times New Roman"/>
                <w:szCs w:val="24"/>
              </w:rPr>
              <w:t>As a result of</w:t>
            </w:r>
            <w:proofErr w:type="gramEnd"/>
            <w:r w:rsidRPr="008B5EA1">
              <w:rPr>
                <w:rFonts w:ascii="Times New Roman" w:hAnsi="Times New Roman" w:cs="Times New Roman"/>
                <w:szCs w:val="24"/>
              </w:rPr>
              <w:t xml:space="preserve"> the industry support programs put in place, the </w:t>
            </w:r>
            <w:r w:rsidRPr="008B5EA1">
              <w:rPr>
                <w:rFonts w:ascii="Times New Roman" w:hAnsi="Times New Roman" w:cs="Times New Roman"/>
                <w:i/>
                <w:szCs w:val="24"/>
              </w:rPr>
              <w:t>downstream</w:t>
            </w:r>
            <w:r w:rsidRPr="008B5EA1">
              <w:rPr>
                <w:rFonts w:ascii="Times New Roman" w:hAnsi="Times New Roman" w:cs="Times New Roman"/>
                <w:szCs w:val="24"/>
              </w:rPr>
              <w:t xml:space="preserve"> wood transformation industry did develop: employment in the industry doubled between 2010 and 2016 and exports grew from USD 128.6 million in 2010 to 143.2 million in 2014. However, partially because international demand had moved away from transformed wood, there was an absence of high immediate returns for investment in forestry, which resulted in a halving of the number of jobs in the </w:t>
            </w:r>
            <w:r w:rsidRPr="008B5EA1">
              <w:rPr>
                <w:rFonts w:ascii="Times New Roman" w:hAnsi="Times New Roman" w:cs="Times New Roman"/>
                <w:i/>
                <w:szCs w:val="24"/>
              </w:rPr>
              <w:t>upstream</w:t>
            </w:r>
            <w:r w:rsidRPr="008B5EA1">
              <w:rPr>
                <w:rFonts w:ascii="Times New Roman" w:hAnsi="Times New Roman" w:cs="Times New Roman"/>
                <w:szCs w:val="24"/>
              </w:rPr>
              <w:t xml:space="preserve"> activity, and export receipts from logs dropped to zero </w:t>
            </w:r>
            <w:proofErr w:type="gramStart"/>
            <w:r w:rsidRPr="008B5EA1">
              <w:rPr>
                <w:rFonts w:ascii="Times New Roman" w:hAnsi="Times New Roman" w:cs="Times New Roman"/>
                <w:szCs w:val="24"/>
              </w:rPr>
              <w:t>as a result of</w:t>
            </w:r>
            <w:proofErr w:type="gramEnd"/>
            <w:r w:rsidRPr="008B5EA1">
              <w:rPr>
                <w:rFonts w:ascii="Times New Roman" w:hAnsi="Times New Roman" w:cs="Times New Roman"/>
                <w:szCs w:val="24"/>
              </w:rPr>
              <w:t xml:space="preserve"> the ban. </w:t>
            </w:r>
          </w:p>
          <w:p w14:paraId="6DE7D2DA" w14:textId="77777777" w:rsidR="00377635" w:rsidRPr="008B5EA1" w:rsidRDefault="00377635">
            <w:pPr>
              <w:pStyle w:val="PlainText"/>
              <w:jc w:val="both"/>
              <w:rPr>
                <w:rFonts w:ascii="Times New Roman" w:hAnsi="Times New Roman" w:cs="Times New Roman"/>
                <w:szCs w:val="24"/>
              </w:rPr>
            </w:pPr>
          </w:p>
          <w:p w14:paraId="7190D9E5" w14:textId="77777777" w:rsidR="00377635" w:rsidRPr="008B5EA1" w:rsidRDefault="00377635">
            <w:pPr>
              <w:pStyle w:val="PlainText"/>
              <w:jc w:val="both"/>
              <w:rPr>
                <w:rFonts w:ascii="Times New Roman" w:hAnsi="Times New Roman" w:cs="Times New Roman"/>
                <w:szCs w:val="24"/>
              </w:rPr>
            </w:pPr>
            <w:proofErr w:type="gramStart"/>
            <w:r w:rsidRPr="008B5EA1">
              <w:rPr>
                <w:rFonts w:ascii="Times New Roman" w:hAnsi="Times New Roman" w:cs="Times New Roman"/>
                <w:szCs w:val="24"/>
              </w:rPr>
              <w:t>Taking into account</w:t>
            </w:r>
            <w:proofErr w:type="gramEnd"/>
            <w:r w:rsidRPr="008B5EA1">
              <w:rPr>
                <w:rFonts w:ascii="Times New Roman" w:hAnsi="Times New Roman" w:cs="Times New Roman"/>
                <w:szCs w:val="24"/>
              </w:rPr>
              <w:t xml:space="preserve"> both upstream and downstream activities, </w:t>
            </w:r>
            <w:r w:rsidRPr="008B5EA1">
              <w:rPr>
                <w:rFonts w:ascii="Times New Roman" w:hAnsi="Times New Roman" w:cs="Times New Roman"/>
                <w:i/>
                <w:szCs w:val="24"/>
              </w:rPr>
              <w:t>total exports</w:t>
            </w:r>
            <w:r w:rsidRPr="008B5EA1">
              <w:rPr>
                <w:rFonts w:ascii="Times New Roman" w:hAnsi="Times New Roman" w:cs="Times New Roman"/>
                <w:szCs w:val="24"/>
              </w:rPr>
              <w:t xml:space="preserve"> for the whole value chain are half of what they were before the ban. Excess supply of logs on the domestic market resulted in a </w:t>
            </w:r>
            <w:proofErr w:type="gramStart"/>
            <w:r w:rsidRPr="008B5EA1">
              <w:rPr>
                <w:rFonts w:ascii="Times New Roman" w:hAnsi="Times New Roman" w:cs="Times New Roman"/>
                <w:szCs w:val="24"/>
              </w:rPr>
              <w:t>drop in</w:t>
            </w:r>
            <w:proofErr w:type="gramEnd"/>
            <w:r w:rsidRPr="008B5EA1">
              <w:rPr>
                <w:rFonts w:ascii="Times New Roman" w:hAnsi="Times New Roman" w:cs="Times New Roman"/>
                <w:szCs w:val="24"/>
              </w:rPr>
              <w:t xml:space="preserve"> prices and further dampened activity in the upstream forestry sector. Overall production of logs in Gabon ultimately halved as a result.</w:t>
            </w:r>
            <w:r w:rsidRPr="008B5EA1">
              <w:rPr>
                <w:rStyle w:val="FootnoteReference"/>
                <w:rFonts w:ascii="Times New Roman" w:hAnsi="Times New Roman" w:cs="Times New Roman"/>
                <w:szCs w:val="24"/>
              </w:rPr>
              <w:footnoteReference w:id="192"/>
            </w:r>
          </w:p>
          <w:p w14:paraId="5D042B30" w14:textId="77777777" w:rsidR="00377635" w:rsidRPr="008B5EA1" w:rsidRDefault="00377635">
            <w:pPr>
              <w:pStyle w:val="PlainText"/>
              <w:jc w:val="both"/>
              <w:rPr>
                <w:rFonts w:ascii="Times New Roman" w:hAnsi="Times New Roman" w:cs="Times New Roman"/>
                <w:szCs w:val="24"/>
              </w:rPr>
            </w:pPr>
          </w:p>
          <w:p w14:paraId="03F9BA2A" w14:textId="77777777" w:rsidR="00377635" w:rsidRPr="00C91EA2" w:rsidRDefault="00377635">
            <w:pPr>
              <w:pStyle w:val="PlainText"/>
              <w:jc w:val="both"/>
              <w:rPr>
                <w:rFonts w:ascii="Times New Roman" w:hAnsi="Times New Roman" w:cs="Times New Roman"/>
                <w:sz w:val="24"/>
                <w:szCs w:val="24"/>
              </w:rPr>
            </w:pPr>
            <w:r w:rsidRPr="008B5EA1">
              <w:rPr>
                <w:rFonts w:ascii="Times New Roman" w:hAnsi="Times New Roman" w:cs="Times New Roman"/>
                <w:szCs w:val="24"/>
              </w:rPr>
              <w:t xml:space="preserve">In sum, a key lesson from this example is that industry supply programs need to i) </w:t>
            </w:r>
            <w:proofErr w:type="gramStart"/>
            <w:r w:rsidRPr="008B5EA1">
              <w:rPr>
                <w:rFonts w:ascii="Times New Roman" w:hAnsi="Times New Roman" w:cs="Times New Roman"/>
                <w:szCs w:val="24"/>
              </w:rPr>
              <w:t>take into account</w:t>
            </w:r>
            <w:proofErr w:type="gramEnd"/>
            <w:r w:rsidRPr="008B5EA1">
              <w:rPr>
                <w:rFonts w:ascii="Times New Roman" w:hAnsi="Times New Roman" w:cs="Times New Roman"/>
                <w:szCs w:val="24"/>
              </w:rPr>
              <w:t xml:space="preserve"> the entire value chain and the impact that restrictions will have on the incentives for players to invest, for example to produce sufficient inputs for downstream transformation; and ii) take into account international trends in demand. </w:t>
            </w:r>
          </w:p>
        </w:tc>
      </w:tr>
    </w:tbl>
    <w:p w14:paraId="07DA5A72" w14:textId="77777777" w:rsidR="00377635" w:rsidRPr="00C91EA2" w:rsidRDefault="00377635" w:rsidP="00377635">
      <w:pPr>
        <w:jc w:val="both"/>
        <w:rPr>
          <w:rFonts w:ascii="Times New Roman" w:hAnsi="Times New Roman" w:cs="Times New Roman"/>
        </w:rPr>
      </w:pPr>
    </w:p>
    <w:p w14:paraId="5ECC71F9" w14:textId="77777777" w:rsidR="0049603D" w:rsidRDefault="00377635" w:rsidP="007575D7">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various market interventions in Senegal’s groundnut sector carry negative effects for employment in the value chain. </w:t>
      </w:r>
      <w:r w:rsidRPr="00C91EA2">
        <w:rPr>
          <w:rFonts w:ascii="Times New Roman" w:hAnsi="Times New Roman" w:cs="Times New Roman"/>
        </w:rPr>
        <w:t xml:space="preserve">Most employment in the groundnut value chain is found in production. 482,000 farmers produce the crop. Only a few thousand Senegalese are directly or indirectly employed by the large industrial processors. Yet, the current policies provide a challenge to farmers to the benefit of the employees of SONACOS and other processors. Furthermore, exporters tend to shell groundnuts, for which they employ thousands of vulnerable rural workers, particularly women. However, the </w:t>
      </w:r>
      <w:r w:rsidR="00183D71">
        <w:rPr>
          <w:rFonts w:ascii="Times New Roman" w:hAnsi="Times New Roman" w:cs="Times New Roman"/>
        </w:rPr>
        <w:t xml:space="preserve">currently suspended </w:t>
      </w:r>
      <w:r w:rsidRPr="00C91EA2">
        <w:rPr>
          <w:rFonts w:ascii="Times New Roman" w:hAnsi="Times New Roman" w:cs="Times New Roman"/>
        </w:rPr>
        <w:t>export tax put in place in December 2016 disproportionately affect</w:t>
      </w:r>
      <w:r w:rsidR="00183D71">
        <w:rPr>
          <w:rFonts w:ascii="Times New Roman" w:hAnsi="Times New Roman" w:cs="Times New Roman"/>
        </w:rPr>
        <w:t>ed</w:t>
      </w:r>
      <w:r w:rsidRPr="00C91EA2">
        <w:rPr>
          <w:rFonts w:ascii="Times New Roman" w:hAnsi="Times New Roman" w:cs="Times New Roman"/>
        </w:rPr>
        <w:t xml:space="preserve"> shelled groundnuts, creating an incentive for exporters to export nuts in shell and to eliminate the intermediate shelling process, which would create employment and value added. </w:t>
      </w:r>
      <w:r w:rsidR="002751F2">
        <w:rPr>
          <w:rFonts w:ascii="Times New Roman" w:hAnsi="Times New Roman" w:cs="Times New Roman"/>
        </w:rPr>
        <w:t>T</w:t>
      </w:r>
      <w:r w:rsidRPr="00C91EA2">
        <w:rPr>
          <w:rFonts w:ascii="Times New Roman" w:hAnsi="Times New Roman" w:cs="Times New Roman"/>
        </w:rPr>
        <w:t>he overall employment effects of the current policies are likely negative</w:t>
      </w:r>
      <w:r w:rsidR="0031765F">
        <w:rPr>
          <w:rFonts w:ascii="Times New Roman" w:hAnsi="Times New Roman" w:cs="Times New Roman"/>
        </w:rPr>
        <w:t>.</w:t>
      </w:r>
    </w:p>
    <w:p w14:paraId="643D3DE3" w14:textId="77777777" w:rsidR="0049603D" w:rsidRDefault="0049603D" w:rsidP="0049603D">
      <w:pPr>
        <w:pStyle w:val="ListParagraph"/>
        <w:ind w:left="0"/>
        <w:jc w:val="both"/>
        <w:rPr>
          <w:rFonts w:ascii="Times New Roman" w:hAnsi="Times New Roman" w:cs="Times New Roman"/>
        </w:rPr>
      </w:pPr>
    </w:p>
    <w:p w14:paraId="647241ED" w14:textId="2CDEB1E9" w:rsidR="00F82DDC" w:rsidRPr="007575D7" w:rsidRDefault="00377635" w:rsidP="007575D7">
      <w:pPr>
        <w:pStyle w:val="ListParagraph"/>
        <w:numPr>
          <w:ilvl w:val="0"/>
          <w:numId w:val="71"/>
        </w:numPr>
        <w:ind w:left="0" w:firstLine="0"/>
        <w:jc w:val="both"/>
        <w:rPr>
          <w:rFonts w:ascii="Times New Roman" w:hAnsi="Times New Roman" w:cs="Times New Roman"/>
        </w:rPr>
      </w:pPr>
      <w:r w:rsidRPr="005318F9">
        <w:rPr>
          <w:rFonts w:ascii="Times New Roman" w:hAnsi="Times New Roman" w:cs="Times New Roman"/>
          <w:b/>
        </w:rPr>
        <w:t xml:space="preserve">Less distortive policies are available that would enable the </w:t>
      </w:r>
      <w:r w:rsidR="003B24ED" w:rsidRPr="005318F9">
        <w:rPr>
          <w:rFonts w:ascii="Times New Roman" w:hAnsi="Times New Roman" w:cs="Times New Roman"/>
          <w:b/>
        </w:rPr>
        <w:t>Government</w:t>
      </w:r>
      <w:r w:rsidRPr="005318F9">
        <w:rPr>
          <w:rFonts w:ascii="Times New Roman" w:hAnsi="Times New Roman" w:cs="Times New Roman"/>
          <w:b/>
        </w:rPr>
        <w:t xml:space="preserve"> to achieve its policy objectives. </w:t>
      </w:r>
      <w:r w:rsidRPr="005318F9">
        <w:rPr>
          <w:rFonts w:ascii="Times New Roman" w:hAnsi="Times New Roman" w:cs="Times New Roman"/>
        </w:rPr>
        <w:fldChar w:fldCharType="begin"/>
      </w:r>
      <w:r w:rsidRPr="005318F9">
        <w:rPr>
          <w:rFonts w:ascii="Times New Roman" w:hAnsi="Times New Roman" w:cs="Times New Roman"/>
          <w:b/>
        </w:rPr>
        <w:instrText xml:space="preserve"> REF _Ref497907929 \h </w:instrText>
      </w:r>
      <w:r w:rsidRPr="005318F9">
        <w:rPr>
          <w:rFonts w:ascii="Times New Roman" w:hAnsi="Times New Roman" w:cs="Times New Roman"/>
        </w:rPr>
        <w:instrText xml:space="preserve"> \* MERGEFORMAT </w:instrText>
      </w:r>
      <w:r w:rsidRPr="005318F9">
        <w:rPr>
          <w:rFonts w:ascii="Times New Roman" w:hAnsi="Times New Roman" w:cs="Times New Roman"/>
        </w:rPr>
      </w:r>
      <w:r w:rsidRPr="005318F9">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11</w:t>
      </w:r>
      <w:r w:rsidRPr="005318F9">
        <w:rPr>
          <w:rFonts w:ascii="Times New Roman" w:hAnsi="Times New Roman" w:cs="Times New Roman"/>
        </w:rPr>
        <w:fldChar w:fldCharType="end"/>
      </w:r>
      <w:r w:rsidRPr="005318F9">
        <w:rPr>
          <w:rFonts w:ascii="Times New Roman" w:hAnsi="Times New Roman" w:cs="Times New Roman"/>
        </w:rPr>
        <w:t xml:space="preserve"> summarizes the unintended consequences of </w:t>
      </w:r>
      <w:r w:rsidR="003B24ED" w:rsidRPr="005318F9">
        <w:rPr>
          <w:rFonts w:ascii="Times New Roman" w:hAnsi="Times New Roman" w:cs="Times New Roman"/>
        </w:rPr>
        <w:t>Government</w:t>
      </w:r>
      <w:r w:rsidRPr="005318F9">
        <w:rPr>
          <w:rFonts w:ascii="Times New Roman" w:hAnsi="Times New Roman" w:cs="Times New Roman"/>
        </w:rPr>
        <w:t xml:space="preserve"> interventions used to achieve various policy </w:t>
      </w:r>
      <w:proofErr w:type="gramStart"/>
      <w:r w:rsidRPr="005318F9">
        <w:rPr>
          <w:rFonts w:ascii="Times New Roman" w:hAnsi="Times New Roman" w:cs="Times New Roman"/>
        </w:rPr>
        <w:t>objectives, and</w:t>
      </w:r>
      <w:proofErr w:type="gramEnd"/>
      <w:r w:rsidRPr="005318F9">
        <w:rPr>
          <w:rFonts w:ascii="Times New Roman" w:hAnsi="Times New Roman" w:cs="Times New Roman"/>
        </w:rPr>
        <w:t xml:space="preserve"> suggests less distortive measures available to the </w:t>
      </w:r>
      <w:r w:rsidR="003B24ED" w:rsidRPr="005318F9">
        <w:rPr>
          <w:rFonts w:ascii="Times New Roman" w:hAnsi="Times New Roman" w:cs="Times New Roman"/>
        </w:rPr>
        <w:t>Government</w:t>
      </w:r>
      <w:r w:rsidRPr="005318F9">
        <w:rPr>
          <w:rFonts w:ascii="Times New Roman" w:hAnsi="Times New Roman" w:cs="Times New Roman"/>
        </w:rPr>
        <w:t xml:space="preserve"> of Senegal to achieve the same policy objectives. Following these policies would not only relieve the </w:t>
      </w:r>
      <w:r w:rsidR="003B24ED" w:rsidRPr="005318F9">
        <w:rPr>
          <w:rFonts w:ascii="Times New Roman" w:hAnsi="Times New Roman" w:cs="Times New Roman"/>
        </w:rPr>
        <w:t>Government</w:t>
      </w:r>
      <w:r w:rsidRPr="005318F9">
        <w:rPr>
          <w:rFonts w:ascii="Times New Roman" w:hAnsi="Times New Roman" w:cs="Times New Roman"/>
        </w:rPr>
        <w:t xml:space="preserve"> of fiscal pressures, unlock employment potentials and increase consumer welfare, but would also create the competitive pressure on the groundnut processors the industry needs if it wants to become profitable in the face of international competition in the long</w:t>
      </w:r>
      <w:r w:rsidR="00C066DE" w:rsidRPr="005318F9">
        <w:rPr>
          <w:rFonts w:ascii="Times New Roman" w:hAnsi="Times New Roman" w:cs="Times New Roman"/>
        </w:rPr>
        <w:t xml:space="preserve"> term</w:t>
      </w:r>
      <w:r w:rsidR="001E4CE1" w:rsidRPr="005318F9">
        <w:rPr>
          <w:rFonts w:ascii="Times New Roman" w:hAnsi="Times New Roman" w:cs="Times New Roman"/>
        </w:rPr>
        <w:t>.</w:t>
      </w:r>
      <w:r w:rsidRPr="005318F9">
        <w:rPr>
          <w:rFonts w:ascii="Times New Roman" w:hAnsi="Times New Roman" w:cs="Times New Roman"/>
        </w:rPr>
        <w:t xml:space="preserve"> </w:t>
      </w:r>
      <w:r w:rsidR="002004FA" w:rsidRPr="005318F9">
        <w:rPr>
          <w:rFonts w:ascii="Times New Roman" w:hAnsi="Times New Roman" w:cs="Times New Roman"/>
        </w:rPr>
        <w:t>In</w:t>
      </w:r>
      <w:r w:rsidR="00F82DDC" w:rsidRPr="007575D7">
        <w:rPr>
          <w:rFonts w:ascii="Times New Roman" w:hAnsi="Times New Roman" w:cs="Times New Roman"/>
        </w:rPr>
        <w:t xml:space="preserve"> addition to these less distortive policies, the Government can benefit from technological applications to help facilitate transactions and become more competitive in global markets</w:t>
      </w:r>
      <w:r w:rsidR="001E4CE1" w:rsidRPr="005318F9">
        <w:rPr>
          <w:rFonts w:ascii="Times New Roman" w:hAnsi="Times New Roman" w:cs="Times New Roman"/>
        </w:rPr>
        <w:t xml:space="preserve"> (see Box </w:t>
      </w:r>
      <w:r w:rsidR="005538DD" w:rsidRPr="005318F9">
        <w:rPr>
          <w:rFonts w:ascii="Times New Roman" w:hAnsi="Times New Roman" w:cs="Times New Roman"/>
        </w:rPr>
        <w:t>13</w:t>
      </w:r>
      <w:r w:rsidR="001E4CE1" w:rsidRPr="005318F9">
        <w:rPr>
          <w:rFonts w:ascii="Times New Roman" w:hAnsi="Times New Roman" w:cs="Times New Roman"/>
        </w:rPr>
        <w:t>)</w:t>
      </w:r>
      <w:r w:rsidR="00F82DDC" w:rsidRPr="007575D7">
        <w:rPr>
          <w:rFonts w:ascii="Times New Roman" w:hAnsi="Times New Roman" w:cs="Times New Roman"/>
        </w:rPr>
        <w:t>.</w:t>
      </w:r>
    </w:p>
    <w:p w14:paraId="0E581038" w14:textId="77777777" w:rsidR="00F82DDC" w:rsidRDefault="00F82DDC" w:rsidP="00F82DDC">
      <w:pPr>
        <w:jc w:val="both"/>
        <w:rPr>
          <w:rFonts w:ascii="Times New Roman" w:hAnsi="Times New Roman" w:cs="Times New Roman"/>
        </w:rPr>
      </w:pPr>
    </w:p>
    <w:p w14:paraId="162E12A0" w14:textId="35EE5A23" w:rsidR="005538DD" w:rsidRDefault="005538DD" w:rsidP="007575D7">
      <w:pPr>
        <w:pStyle w:val="Caption"/>
        <w:keepNext/>
      </w:pPr>
      <w:bookmarkStart w:id="246" w:name="_Toc520725801"/>
      <w:r w:rsidRPr="007575D7">
        <w:rPr>
          <w:rFonts w:ascii="Times New Roman" w:hAnsi="Times New Roman"/>
        </w:rPr>
        <w:t xml:space="preserve">Box </w:t>
      </w:r>
      <w:r w:rsidRPr="007575D7">
        <w:rPr>
          <w:rFonts w:ascii="Times New Roman" w:hAnsi="Times New Roman"/>
        </w:rPr>
        <w:fldChar w:fldCharType="begin"/>
      </w:r>
      <w:r w:rsidRPr="007575D7">
        <w:rPr>
          <w:rFonts w:ascii="Times New Roman" w:hAnsi="Times New Roman"/>
        </w:rPr>
        <w:instrText xml:space="preserve"> SEQ Box \* ARABIC </w:instrText>
      </w:r>
      <w:r w:rsidRPr="007575D7">
        <w:rPr>
          <w:rFonts w:ascii="Times New Roman" w:hAnsi="Times New Roman"/>
        </w:rPr>
        <w:fldChar w:fldCharType="separate"/>
      </w:r>
      <w:r w:rsidR="008261B2">
        <w:rPr>
          <w:rFonts w:ascii="Times New Roman" w:hAnsi="Times New Roman"/>
          <w:noProof/>
        </w:rPr>
        <w:t>13</w:t>
      </w:r>
      <w:r w:rsidRPr="007575D7">
        <w:rPr>
          <w:rFonts w:ascii="Times New Roman" w:hAnsi="Times New Roman"/>
        </w:rPr>
        <w:fldChar w:fldCharType="end"/>
      </w:r>
      <w:r>
        <w:t xml:space="preserve">: </w:t>
      </w:r>
      <w:r w:rsidRPr="00C7592D">
        <w:rPr>
          <w:rFonts w:ascii="Times New Roman" w:hAnsi="Times New Roman"/>
        </w:rPr>
        <w:t>International experience: Digital economy in Agriculture</w:t>
      </w:r>
      <w:bookmarkEnd w:id="246"/>
    </w:p>
    <w:tbl>
      <w:tblPr>
        <w:tblStyle w:val="TableGrid"/>
        <w:tblW w:w="0" w:type="auto"/>
        <w:shd w:val="clear" w:color="auto" w:fill="F2F2F2" w:themeFill="background1" w:themeFillShade="F2"/>
        <w:tblLook w:val="04A0" w:firstRow="1" w:lastRow="0" w:firstColumn="1" w:lastColumn="0" w:noHBand="0" w:noVBand="1"/>
      </w:tblPr>
      <w:tblGrid>
        <w:gridCol w:w="8630"/>
      </w:tblGrid>
      <w:tr w:rsidR="00F82DDC" w:rsidRPr="00A23773" w14:paraId="744C58E2" w14:textId="77777777" w:rsidTr="007575D7">
        <w:trPr>
          <w:trHeight w:val="710"/>
        </w:trPr>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93C42" w14:textId="77777777" w:rsidR="00F82DDC" w:rsidRDefault="00F82DDC" w:rsidP="00093A9A">
            <w:pPr>
              <w:jc w:val="both"/>
              <w:rPr>
                <w:rFonts w:ascii="Times New Roman" w:hAnsi="Times New Roman" w:cs="Times New Roman"/>
                <w:sz w:val="20"/>
                <w:szCs w:val="20"/>
              </w:rPr>
            </w:pPr>
            <w:r>
              <w:rPr>
                <w:rFonts w:ascii="Times New Roman" w:hAnsi="Times New Roman" w:cs="Times New Roman"/>
                <w:sz w:val="20"/>
                <w:szCs w:val="20"/>
              </w:rPr>
              <w:t xml:space="preserve">Technology for agriculture is developing at a fast pace, and not only at large scale but also for small-scale farmers. While innovative large-scale technologies such as the “blue river technology” </w:t>
            </w:r>
            <w:proofErr w:type="gramStart"/>
            <w:r>
              <w:rPr>
                <w:rFonts w:ascii="Times New Roman" w:hAnsi="Times New Roman" w:cs="Times New Roman"/>
                <w:sz w:val="20"/>
                <w:szCs w:val="20"/>
              </w:rPr>
              <w:t>are able to</w:t>
            </w:r>
            <w:proofErr w:type="gramEnd"/>
            <w:r>
              <w:rPr>
                <w:rFonts w:ascii="Times New Roman" w:hAnsi="Times New Roman" w:cs="Times New Roman"/>
                <w:sz w:val="20"/>
                <w:szCs w:val="20"/>
              </w:rPr>
              <w:t xml:space="preserve"> bring AI to agriculture and automatize the process of focusing on and eliminating weeds affecting productivity, scale neutral robots are also being developed for smaller plots and, what is more, at relatively affordable prices. </w:t>
            </w:r>
            <w:proofErr w:type="gramStart"/>
            <w:r>
              <w:rPr>
                <w:rFonts w:ascii="Times New Roman" w:hAnsi="Times New Roman" w:cs="Times New Roman"/>
                <w:sz w:val="20"/>
                <w:szCs w:val="20"/>
              </w:rPr>
              <w:t>Actually, innovative</w:t>
            </w:r>
            <w:proofErr w:type="gramEnd"/>
            <w:r>
              <w:rPr>
                <w:rFonts w:ascii="Times New Roman" w:hAnsi="Times New Roman" w:cs="Times New Roman"/>
                <w:sz w:val="20"/>
                <w:szCs w:val="20"/>
              </w:rPr>
              <w:t xml:space="preserve"> technologies can help reduce budget constraints, for instance, substituting subsidies by robots that can detect macronutrients. Some groundnut producing countries have already incorporated innovative technologies into their processes.</w:t>
            </w:r>
          </w:p>
          <w:p w14:paraId="16699BE0" w14:textId="77777777" w:rsidR="00F82DDC" w:rsidRDefault="00F82DDC" w:rsidP="00093A9A">
            <w:pPr>
              <w:jc w:val="both"/>
              <w:rPr>
                <w:rFonts w:ascii="Times New Roman" w:hAnsi="Times New Roman" w:cs="Times New Roman"/>
                <w:sz w:val="20"/>
                <w:szCs w:val="20"/>
              </w:rPr>
            </w:pPr>
          </w:p>
          <w:p w14:paraId="6C8DA96D" w14:textId="77777777" w:rsidR="00F82DDC" w:rsidRPr="0003349D" w:rsidRDefault="00F82DDC" w:rsidP="00093A9A">
            <w:pPr>
              <w:pStyle w:val="ListParagraph"/>
              <w:numPr>
                <w:ilvl w:val="0"/>
                <w:numId w:val="154"/>
              </w:numPr>
              <w:jc w:val="both"/>
              <w:rPr>
                <w:rFonts w:ascii="Times New Roman" w:hAnsi="Times New Roman" w:cs="Times New Roman"/>
                <w:b/>
                <w:sz w:val="20"/>
                <w:szCs w:val="20"/>
              </w:rPr>
            </w:pPr>
            <w:r w:rsidRPr="00FE4C7A">
              <w:rPr>
                <w:rFonts w:ascii="Times New Roman" w:hAnsi="Times New Roman" w:cs="Times New Roman"/>
                <w:b/>
                <w:sz w:val="20"/>
                <w:szCs w:val="20"/>
              </w:rPr>
              <w:t xml:space="preserve">India: </w:t>
            </w:r>
            <w:r>
              <w:rPr>
                <w:rFonts w:ascii="Times New Roman" w:hAnsi="Times New Roman" w:cs="Times New Roman"/>
                <w:b/>
                <w:sz w:val="20"/>
                <w:szCs w:val="20"/>
              </w:rPr>
              <w:t xml:space="preserve"> </w:t>
            </w:r>
            <w:r w:rsidRPr="0003349D">
              <w:rPr>
                <w:rFonts w:ascii="Times New Roman" w:hAnsi="Times New Roman" w:cs="Times New Roman"/>
                <w:sz w:val="20"/>
                <w:szCs w:val="20"/>
              </w:rPr>
              <w:t>The International Crops Research Institute for the Semi-Arid Tropics (ICRISAT)</w:t>
            </w:r>
            <w:r>
              <w:rPr>
                <w:rFonts w:ascii="Times New Roman" w:hAnsi="Times New Roman" w:cs="Times New Roman"/>
                <w:sz w:val="20"/>
                <w:szCs w:val="20"/>
              </w:rPr>
              <w:t xml:space="preserve"> and Microsoft partnered in 2016 to implement a digital technology pilot project in a groundnut producing district. ICRISAT adopted a cloud technology and business intelligence system that has allowed it to disseminate information about sowing and harvesting (i.e. fertilizer recommendations, weather forecasts, </w:t>
            </w:r>
            <w:proofErr w:type="spellStart"/>
            <w:r>
              <w:rPr>
                <w:rFonts w:ascii="Times New Roman" w:hAnsi="Times New Roman" w:cs="Times New Roman"/>
                <w:sz w:val="20"/>
                <w:szCs w:val="20"/>
              </w:rPr>
              <w:t>etc</w:t>
            </w:r>
            <w:proofErr w:type="spellEnd"/>
            <w:r>
              <w:rPr>
                <w:rFonts w:ascii="Times New Roman" w:hAnsi="Times New Roman" w:cs="Times New Roman"/>
                <w:sz w:val="20"/>
                <w:szCs w:val="20"/>
              </w:rPr>
              <w:t>) to farmers and government officials via SMS. The pilot project has allowed to increase groundnut yield by a reported 30 percent.</w:t>
            </w:r>
          </w:p>
          <w:p w14:paraId="11A9BEA0" w14:textId="77777777" w:rsidR="00F82DDC" w:rsidRPr="008C1AE9" w:rsidRDefault="00F82DDC" w:rsidP="00093A9A">
            <w:pPr>
              <w:pStyle w:val="ListParagraph"/>
              <w:numPr>
                <w:ilvl w:val="0"/>
                <w:numId w:val="154"/>
              </w:numPr>
              <w:jc w:val="both"/>
              <w:rPr>
                <w:rFonts w:ascii="Times New Roman" w:hAnsi="Times New Roman" w:cs="Times New Roman"/>
                <w:b/>
                <w:sz w:val="20"/>
                <w:szCs w:val="20"/>
              </w:rPr>
            </w:pPr>
            <w:r w:rsidRPr="00B37B7D">
              <w:rPr>
                <w:rFonts w:ascii="Times New Roman" w:hAnsi="Times New Roman" w:cs="Times New Roman"/>
                <w:b/>
                <w:sz w:val="20"/>
                <w:szCs w:val="20"/>
              </w:rPr>
              <w:t xml:space="preserve">Nigeria:  </w:t>
            </w:r>
            <w:r w:rsidRPr="00B37B7D">
              <w:rPr>
                <w:rFonts w:ascii="Times New Roman" w:hAnsi="Times New Roman" w:cs="Times New Roman"/>
                <w:sz w:val="20"/>
                <w:szCs w:val="20"/>
              </w:rPr>
              <w:t xml:space="preserve">A technological solution has allowed Nigerian farmers to address lack of farm machinery and improve productivity. </w:t>
            </w:r>
            <w:r>
              <w:rPr>
                <w:rFonts w:ascii="Times New Roman" w:hAnsi="Times New Roman" w:cs="Times New Roman"/>
                <w:sz w:val="20"/>
                <w:szCs w:val="20"/>
              </w:rPr>
              <w:t>“Hello Tractor”, a type of “</w:t>
            </w:r>
            <w:proofErr w:type="spellStart"/>
            <w:r>
              <w:rPr>
                <w:rFonts w:ascii="Times New Roman" w:hAnsi="Times New Roman" w:cs="Times New Roman"/>
                <w:sz w:val="20"/>
                <w:szCs w:val="20"/>
              </w:rPr>
              <w:t>uber</w:t>
            </w:r>
            <w:proofErr w:type="spellEnd"/>
            <w:r>
              <w:rPr>
                <w:rFonts w:ascii="Times New Roman" w:hAnsi="Times New Roman" w:cs="Times New Roman"/>
                <w:sz w:val="20"/>
                <w:szCs w:val="20"/>
              </w:rPr>
              <w:t xml:space="preserve">” tractor technology, has enabled small-scale farmers to request and pay tractor services via SMS and mobile money”, connecting them to a network of tractor owners. Since it takes </w:t>
            </w:r>
            <w:proofErr w:type="gramStart"/>
            <w:r>
              <w:rPr>
                <w:rFonts w:ascii="Times New Roman" w:hAnsi="Times New Roman" w:cs="Times New Roman"/>
                <w:sz w:val="20"/>
                <w:szCs w:val="20"/>
              </w:rPr>
              <w:t>a small tractor eight hours</w:t>
            </w:r>
            <w:proofErr w:type="gramEnd"/>
            <w:r>
              <w:rPr>
                <w:rFonts w:ascii="Times New Roman" w:hAnsi="Times New Roman" w:cs="Times New Roman"/>
                <w:sz w:val="20"/>
                <w:szCs w:val="20"/>
              </w:rPr>
              <w:t xml:space="preserve"> to prepare the land for planting versus forty days to a farmer, increase in farmers’ yields are estimated at 200 percent.</w:t>
            </w:r>
          </w:p>
          <w:p w14:paraId="3802B5B3" w14:textId="5AF7DB2F" w:rsidR="00F82DDC" w:rsidRPr="008C1AE9" w:rsidRDefault="00F82DDC" w:rsidP="00093A9A">
            <w:pPr>
              <w:pStyle w:val="ListParagraph"/>
              <w:numPr>
                <w:ilvl w:val="0"/>
                <w:numId w:val="154"/>
              </w:numPr>
              <w:jc w:val="both"/>
              <w:rPr>
                <w:rFonts w:ascii="Times New Roman" w:hAnsi="Times New Roman" w:cs="Times New Roman"/>
                <w:b/>
                <w:sz w:val="20"/>
                <w:szCs w:val="20"/>
              </w:rPr>
            </w:pPr>
            <w:r w:rsidRPr="008C1AE9">
              <w:rPr>
                <w:rFonts w:ascii="Times New Roman" w:hAnsi="Times New Roman" w:cs="Times New Roman"/>
                <w:b/>
                <w:sz w:val="20"/>
                <w:szCs w:val="20"/>
              </w:rPr>
              <w:t xml:space="preserve">Uganda: </w:t>
            </w:r>
            <w:r w:rsidRPr="008C1AE9">
              <w:rPr>
                <w:rFonts w:ascii="Times New Roman" w:hAnsi="Times New Roman" w:cs="Times New Roman"/>
                <w:sz w:val="20"/>
                <w:szCs w:val="20"/>
              </w:rPr>
              <w:t>a study carried out using baseline survey data in three districts in Uganda (</w:t>
            </w:r>
            <w:proofErr w:type="spellStart"/>
            <w:r w:rsidRPr="008C1AE9">
              <w:rPr>
                <w:rFonts w:ascii="Times New Roman" w:hAnsi="Times New Roman" w:cs="Times New Roman"/>
                <w:sz w:val="20"/>
                <w:szCs w:val="20"/>
              </w:rPr>
              <w:t>Bonabana-Wabbi</w:t>
            </w:r>
            <w:proofErr w:type="spellEnd"/>
            <w:r w:rsidRPr="008C1AE9">
              <w:rPr>
                <w:rFonts w:ascii="Times New Roman" w:hAnsi="Times New Roman" w:cs="Times New Roman"/>
                <w:sz w:val="20"/>
                <w:szCs w:val="20"/>
              </w:rPr>
              <w:t xml:space="preserve">, J et al., 2015) to disseminate technology, such as motorized shelling machines, grinding machines, to farmers showed that, despite some of these technologies were affordable to small-scale farmers, some of the biggest challenges besides unaffordability in some cases, were “lack of technical knowledge regarding use of the technology and unavailability of fertilizers”. In this sense, the World Bank has recently carried out a randomized control trial (RCT) to address the significant technological divide between large and small-scale farmers, rural and urban, old and young, as well as high and low-income households, with similar findings: access (cost), adaptability to location (scale), </w:t>
            </w:r>
            <w:r>
              <w:rPr>
                <w:rFonts w:ascii="Times New Roman" w:hAnsi="Times New Roman" w:cs="Times New Roman"/>
                <w:sz w:val="20"/>
                <w:szCs w:val="20"/>
              </w:rPr>
              <w:t xml:space="preserve">and </w:t>
            </w:r>
            <w:r w:rsidRPr="008C1AE9">
              <w:rPr>
                <w:rFonts w:ascii="Times New Roman" w:hAnsi="Times New Roman" w:cs="Times New Roman"/>
                <w:sz w:val="20"/>
                <w:szCs w:val="20"/>
              </w:rPr>
              <w:t>appropriability (know-how transfer) are the three key elements that hamper digital inclusion</w:t>
            </w:r>
            <w:r>
              <w:rPr>
                <w:rFonts w:ascii="Times New Roman" w:hAnsi="Times New Roman" w:cs="Times New Roman"/>
                <w:sz w:val="20"/>
                <w:szCs w:val="20"/>
              </w:rPr>
              <w:t xml:space="preserve"> in farmer households</w:t>
            </w:r>
            <w:r w:rsidRPr="008C1AE9">
              <w:rPr>
                <w:rFonts w:ascii="Times New Roman" w:hAnsi="Times New Roman" w:cs="Times New Roman"/>
                <w:sz w:val="20"/>
                <w:szCs w:val="20"/>
              </w:rPr>
              <w:t>. The RCT also proved, among other facts, that kids can act as “bridges” between technology and older people, and that by easing ICT know</w:t>
            </w:r>
            <w:r w:rsidR="001E4CE1">
              <w:rPr>
                <w:rFonts w:ascii="Times New Roman" w:hAnsi="Times New Roman" w:cs="Times New Roman"/>
                <w:sz w:val="20"/>
                <w:szCs w:val="20"/>
              </w:rPr>
              <w:t>-</w:t>
            </w:r>
            <w:r w:rsidRPr="008C1AE9">
              <w:rPr>
                <w:rFonts w:ascii="Times New Roman" w:hAnsi="Times New Roman" w:cs="Times New Roman"/>
                <w:sz w:val="20"/>
                <w:szCs w:val="20"/>
              </w:rPr>
              <w:t xml:space="preserve">how transfer they can </w:t>
            </w:r>
            <w:proofErr w:type="gramStart"/>
            <w:r w:rsidRPr="008C1AE9">
              <w:rPr>
                <w:rFonts w:ascii="Times New Roman" w:hAnsi="Times New Roman" w:cs="Times New Roman"/>
                <w:sz w:val="20"/>
                <w:szCs w:val="20"/>
              </w:rPr>
              <w:t>actually help</w:t>
            </w:r>
            <w:proofErr w:type="gramEnd"/>
            <w:r w:rsidRPr="008C1AE9">
              <w:rPr>
                <w:rFonts w:ascii="Times New Roman" w:hAnsi="Times New Roman" w:cs="Times New Roman"/>
                <w:sz w:val="20"/>
                <w:szCs w:val="20"/>
              </w:rPr>
              <w:t xml:space="preserve"> to change behaviors in adults, i.e. their parents. </w:t>
            </w:r>
          </w:p>
          <w:p w14:paraId="5B0168FF" w14:textId="77777777" w:rsidR="00F82DDC" w:rsidRPr="000D31EB" w:rsidRDefault="00F82DDC" w:rsidP="00093A9A">
            <w:pPr>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F82DDC" w:rsidRPr="00A23773" w14:paraId="26D1D34A" w14:textId="77777777" w:rsidTr="00093A9A">
              <w:tc>
                <w:tcPr>
                  <w:tcW w:w="8414" w:type="dxa"/>
                  <w:hideMark/>
                </w:tcPr>
                <w:p w14:paraId="6025D7BA" w14:textId="6BD2F949" w:rsidR="00F82DDC" w:rsidRPr="000D31EB" w:rsidRDefault="00F82DDC" w:rsidP="00093A9A">
                  <w:pPr>
                    <w:pStyle w:val="Default"/>
                    <w:rPr>
                      <w:rFonts w:ascii="Arial" w:hAnsi="Arial" w:cs="Arial"/>
                    </w:rPr>
                  </w:pPr>
                  <w:r w:rsidRPr="007575D7">
                    <w:rPr>
                      <w:rFonts w:ascii="Times New Roman" w:hAnsi="Times New Roman" w:cs="Times New Roman"/>
                      <w:i/>
                      <w:sz w:val="18"/>
                      <w:szCs w:val="18"/>
                    </w:rPr>
                    <w:t>Source:</w:t>
                  </w:r>
                  <w:r w:rsidRPr="0003349D">
                    <w:rPr>
                      <w:rFonts w:ascii="Times New Roman" w:hAnsi="Times New Roman" w:cs="Times New Roman"/>
                      <w:sz w:val="18"/>
                      <w:szCs w:val="18"/>
                    </w:rPr>
                    <w:t xml:space="preserve"> </w:t>
                  </w:r>
                  <w:r>
                    <w:rPr>
                      <w:rFonts w:ascii="Times New Roman" w:hAnsi="Times New Roman" w:cs="Times New Roman"/>
                      <w:sz w:val="18"/>
                      <w:szCs w:val="18"/>
                    </w:rPr>
                    <w:t xml:space="preserve">ICABR Conference on </w:t>
                  </w:r>
                  <w:r w:rsidRPr="002C49D0">
                    <w:rPr>
                      <w:rFonts w:ascii="Times New Roman" w:hAnsi="Times New Roman" w:cs="Times New Roman"/>
                      <w:color w:val="auto"/>
                      <w:sz w:val="18"/>
                      <w:szCs w:val="18"/>
                    </w:rPr>
                    <w:t>Disruptive Innovations, Valu</w:t>
                  </w:r>
                  <w:r>
                    <w:rPr>
                      <w:rFonts w:ascii="Times New Roman" w:hAnsi="Times New Roman" w:cs="Times New Roman"/>
                      <w:sz w:val="18"/>
                      <w:szCs w:val="18"/>
                    </w:rPr>
                    <w:t>e Chains, and Rural Development</w:t>
                  </w:r>
                  <w:r w:rsidRPr="002C49D0">
                    <w:rPr>
                      <w:rFonts w:ascii="Times New Roman" w:hAnsi="Times New Roman" w:cs="Times New Roman"/>
                      <w:color w:val="auto"/>
                      <w:sz w:val="18"/>
                      <w:szCs w:val="18"/>
                    </w:rPr>
                    <w:t xml:space="preserve">: </w:t>
                  </w:r>
                  <w:r w:rsidRPr="002C49D0">
                    <w:rPr>
                      <w:rFonts w:ascii="Times New Roman" w:hAnsi="Times New Roman" w:cs="Times New Roman"/>
                      <w:i/>
                      <w:color w:val="auto"/>
                      <w:sz w:val="18"/>
                      <w:szCs w:val="18"/>
                    </w:rPr>
                    <w:t>Disruptive Innovations in the Agriculture Value</w:t>
                  </w:r>
                  <w:r>
                    <w:rPr>
                      <w:rFonts w:ascii="Times New Roman" w:hAnsi="Times New Roman" w:cs="Times New Roman"/>
                      <w:sz w:val="18"/>
                      <w:szCs w:val="18"/>
                    </w:rPr>
                    <w:t xml:space="preserve"> </w:t>
                  </w:r>
                  <w:r w:rsidRPr="002C49D0">
                    <w:rPr>
                      <w:rFonts w:ascii="Times New Roman" w:hAnsi="Times New Roman" w:cs="Times New Roman"/>
                      <w:i/>
                      <w:color w:val="auto"/>
                      <w:sz w:val="18"/>
                      <w:szCs w:val="18"/>
                    </w:rPr>
                    <w:t>Chain</w:t>
                  </w:r>
                  <w:r>
                    <w:rPr>
                      <w:rFonts w:ascii="Times New Roman" w:hAnsi="Times New Roman" w:cs="Times New Roman"/>
                      <w:i/>
                      <w:sz w:val="18"/>
                      <w:szCs w:val="18"/>
                    </w:rPr>
                    <w:t xml:space="preserve">. </w:t>
                  </w:r>
                  <w:r w:rsidRPr="0003349D">
                    <w:rPr>
                      <w:rFonts w:ascii="Times New Roman" w:hAnsi="Times New Roman" w:cs="Times New Roman"/>
                      <w:sz w:val="18"/>
                      <w:szCs w:val="18"/>
                    </w:rPr>
                    <w:t>Presentation by Maximo Torero,</w:t>
                  </w:r>
                  <w:r>
                    <w:rPr>
                      <w:rFonts w:ascii="Times New Roman" w:hAnsi="Times New Roman" w:cs="Times New Roman"/>
                      <w:sz w:val="18"/>
                      <w:szCs w:val="18"/>
                    </w:rPr>
                    <w:t xml:space="preserve"> Executive Director, </w:t>
                  </w:r>
                  <w:r w:rsidRPr="002C49D0">
                    <w:rPr>
                      <w:rFonts w:ascii="Times New Roman" w:hAnsi="Times New Roman" w:cs="Times New Roman"/>
                      <w:color w:val="auto"/>
                      <w:sz w:val="18"/>
                      <w:szCs w:val="18"/>
                    </w:rPr>
                    <w:t>World Bank Group</w:t>
                  </w:r>
                  <w:r>
                    <w:rPr>
                      <w:rFonts w:ascii="Times New Roman" w:hAnsi="Times New Roman" w:cs="Times New Roman"/>
                      <w:sz w:val="18"/>
                      <w:szCs w:val="18"/>
                    </w:rPr>
                    <w:t xml:space="preserve">, June </w:t>
                  </w:r>
                  <w:r w:rsidR="00DC79E7">
                    <w:rPr>
                      <w:rFonts w:ascii="Times New Roman" w:hAnsi="Times New Roman" w:cs="Times New Roman"/>
                      <w:sz w:val="18"/>
                      <w:szCs w:val="18"/>
                    </w:rPr>
                    <w:t>2018</w:t>
                  </w:r>
                </w:p>
              </w:tc>
            </w:tr>
            <w:tr w:rsidR="00F82DDC" w:rsidRPr="00A23773" w14:paraId="4B9CA3F4" w14:textId="77777777" w:rsidTr="00093A9A">
              <w:tc>
                <w:tcPr>
                  <w:tcW w:w="8414" w:type="dxa"/>
                </w:tcPr>
                <w:p w14:paraId="5AA373C1" w14:textId="77777777" w:rsidR="00F82DDC" w:rsidRPr="00A23773" w:rsidRDefault="00F82DDC" w:rsidP="00093A9A">
                  <w:pPr>
                    <w:autoSpaceDE w:val="0"/>
                    <w:autoSpaceDN w:val="0"/>
                    <w:adjustRightInd w:val="0"/>
                    <w:rPr>
                      <w:rFonts w:ascii="Times New Roman" w:hAnsi="Times New Roman" w:cs="Times New Roman"/>
                      <w:sz w:val="20"/>
                      <w:szCs w:val="20"/>
                    </w:rPr>
                  </w:pPr>
                </w:p>
              </w:tc>
            </w:tr>
          </w:tbl>
          <w:p w14:paraId="534AB69C" w14:textId="77777777" w:rsidR="00F82DDC" w:rsidRPr="00A23773" w:rsidRDefault="00F82DDC" w:rsidP="00093A9A">
            <w:pPr>
              <w:jc w:val="both"/>
              <w:rPr>
                <w:rFonts w:ascii="Times New Roman" w:hAnsi="Times New Roman" w:cs="Times New Roman"/>
                <w:sz w:val="20"/>
                <w:szCs w:val="20"/>
              </w:rPr>
            </w:pPr>
          </w:p>
        </w:tc>
      </w:tr>
    </w:tbl>
    <w:p w14:paraId="2FFACA9E" w14:textId="77777777" w:rsidR="00377635" w:rsidRPr="00C91EA2" w:rsidRDefault="00377635" w:rsidP="00377635">
      <w:pPr>
        <w:rPr>
          <w:rFonts w:ascii="Times New Roman" w:hAnsi="Times New Roman" w:cs="Times New Roman"/>
        </w:rPr>
        <w:sectPr w:rsidR="00377635" w:rsidRPr="00C91EA2" w:rsidSect="00B41724">
          <w:pgSz w:w="12240" w:h="15840"/>
          <w:pgMar w:top="1440" w:right="1800" w:bottom="1440" w:left="1800" w:header="720" w:footer="720" w:gutter="0"/>
          <w:cols w:space="720"/>
        </w:sectPr>
      </w:pPr>
    </w:p>
    <w:p w14:paraId="433BD442" w14:textId="40470FA5" w:rsidR="00377635" w:rsidRPr="00C91EA2" w:rsidRDefault="00377635" w:rsidP="00377635">
      <w:pPr>
        <w:pStyle w:val="Caption"/>
        <w:keepNext/>
        <w:rPr>
          <w:rFonts w:ascii="Times New Roman" w:hAnsi="Times New Roman"/>
        </w:rPr>
      </w:pPr>
      <w:bookmarkStart w:id="247" w:name="_Ref497907929"/>
      <w:bookmarkStart w:id="248" w:name="_Toc520725698"/>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11</w:t>
      </w:r>
      <w:r w:rsidRPr="00C91EA2">
        <w:rPr>
          <w:rFonts w:ascii="Times New Roman" w:hAnsi="Times New Roman"/>
        </w:rPr>
        <w:fldChar w:fldCharType="end"/>
      </w:r>
      <w:bookmarkEnd w:id="247"/>
      <w:r w:rsidRPr="00C91EA2">
        <w:rPr>
          <w:rFonts w:ascii="Times New Roman" w:hAnsi="Times New Roman"/>
        </w:rPr>
        <w:t xml:space="preserve">: Unintended consequences of </w:t>
      </w:r>
      <w:r w:rsidR="003B24ED">
        <w:rPr>
          <w:rFonts w:ascii="Times New Roman" w:hAnsi="Times New Roman"/>
        </w:rPr>
        <w:t>Government</w:t>
      </w:r>
      <w:r w:rsidRPr="00C91EA2">
        <w:rPr>
          <w:rFonts w:ascii="Times New Roman" w:hAnsi="Times New Roman"/>
        </w:rPr>
        <w:t xml:space="preserve"> policies</w:t>
      </w:r>
      <w:bookmarkEnd w:id="248"/>
    </w:p>
    <w:tbl>
      <w:tblPr>
        <w:tblStyle w:val="ListTable3-Accent1"/>
        <w:tblW w:w="12554" w:type="dxa"/>
        <w:tblLayout w:type="fixed"/>
        <w:tblLook w:val="0420" w:firstRow="1" w:lastRow="0" w:firstColumn="0" w:lastColumn="0" w:noHBand="0" w:noVBand="1"/>
      </w:tblPr>
      <w:tblGrid>
        <w:gridCol w:w="3138"/>
        <w:gridCol w:w="3138"/>
        <w:gridCol w:w="3139"/>
        <w:gridCol w:w="3139"/>
      </w:tblGrid>
      <w:tr w:rsidR="00844CCD" w:rsidRPr="00C91EA2" w14:paraId="6FB880BF" w14:textId="77777777" w:rsidTr="00835E4A">
        <w:trPr>
          <w:cnfStyle w:val="100000000000" w:firstRow="1" w:lastRow="0" w:firstColumn="0" w:lastColumn="0" w:oddVBand="0" w:evenVBand="0" w:oddHBand="0" w:evenHBand="0" w:firstRowFirstColumn="0" w:firstRowLastColumn="0" w:lastRowFirstColumn="0" w:lastRowLastColumn="0"/>
          <w:trHeight w:val="633"/>
        </w:trPr>
        <w:tc>
          <w:tcPr>
            <w:tcW w:w="0" w:type="dxa"/>
            <w:tcBorders>
              <w:top w:val="single" w:sz="4" w:space="0" w:color="4F81BD" w:themeColor="accent1"/>
              <w:left w:val="single" w:sz="4" w:space="0" w:color="4F81BD" w:themeColor="accent1"/>
              <w:bottom w:val="nil"/>
              <w:right w:val="nil"/>
            </w:tcBorders>
            <w:hideMark/>
          </w:tcPr>
          <w:p w14:paraId="694ABF0B" w14:textId="77777777" w:rsidR="00844CCD" w:rsidRPr="00C91EA2" w:rsidRDefault="00844CCD">
            <w:pPr>
              <w:rPr>
                <w:rFonts w:ascii="Times New Roman" w:hAnsi="Times New Roman" w:cs="Times New Roman"/>
                <w:sz w:val="20"/>
                <w:szCs w:val="20"/>
              </w:rPr>
            </w:pPr>
            <w:r w:rsidRPr="00C91EA2">
              <w:rPr>
                <w:rFonts w:ascii="Times New Roman" w:hAnsi="Times New Roman" w:cs="Times New Roman"/>
                <w:b w:val="0"/>
                <w:bCs w:val="0"/>
                <w:sz w:val="20"/>
                <w:szCs w:val="20"/>
              </w:rPr>
              <w:t>Intended policy objectives</w:t>
            </w:r>
          </w:p>
        </w:tc>
        <w:tc>
          <w:tcPr>
            <w:tcW w:w="0" w:type="dxa"/>
            <w:tcBorders>
              <w:top w:val="single" w:sz="4" w:space="0" w:color="4F81BD" w:themeColor="accent1"/>
              <w:left w:val="nil"/>
              <w:bottom w:val="nil"/>
              <w:right w:val="nil"/>
            </w:tcBorders>
            <w:hideMark/>
          </w:tcPr>
          <w:p w14:paraId="738FE561" w14:textId="77777777" w:rsidR="00844CCD" w:rsidRPr="00C91EA2" w:rsidRDefault="00844CCD">
            <w:pPr>
              <w:rPr>
                <w:rFonts w:ascii="Times New Roman" w:hAnsi="Times New Roman" w:cs="Times New Roman"/>
                <w:sz w:val="20"/>
                <w:szCs w:val="20"/>
              </w:rPr>
            </w:pPr>
            <w:r w:rsidRPr="00C91EA2">
              <w:rPr>
                <w:rFonts w:ascii="Times New Roman" w:hAnsi="Times New Roman" w:cs="Times New Roman"/>
                <w:b w:val="0"/>
                <w:bCs w:val="0"/>
                <w:sz w:val="20"/>
                <w:szCs w:val="20"/>
              </w:rPr>
              <w:t xml:space="preserve">Current policy instruments </w:t>
            </w:r>
          </w:p>
        </w:tc>
        <w:tc>
          <w:tcPr>
            <w:tcW w:w="0" w:type="dxa"/>
            <w:tcBorders>
              <w:top w:val="single" w:sz="4" w:space="0" w:color="4F81BD" w:themeColor="accent1"/>
              <w:left w:val="nil"/>
              <w:bottom w:val="nil"/>
              <w:right w:val="nil"/>
            </w:tcBorders>
            <w:hideMark/>
          </w:tcPr>
          <w:p w14:paraId="725FB904" w14:textId="77777777" w:rsidR="00844CCD" w:rsidRPr="00C91EA2" w:rsidRDefault="00844CCD">
            <w:pPr>
              <w:rPr>
                <w:rFonts w:ascii="Times New Roman" w:hAnsi="Times New Roman" w:cs="Times New Roman"/>
                <w:sz w:val="20"/>
                <w:szCs w:val="20"/>
              </w:rPr>
            </w:pPr>
            <w:r w:rsidRPr="00C91EA2">
              <w:rPr>
                <w:rFonts w:ascii="Times New Roman" w:hAnsi="Times New Roman" w:cs="Times New Roman"/>
                <w:b w:val="0"/>
                <w:bCs w:val="0"/>
                <w:sz w:val="20"/>
                <w:szCs w:val="20"/>
              </w:rPr>
              <w:t>Unintended effect on market dynamics / competition</w:t>
            </w:r>
          </w:p>
        </w:tc>
        <w:tc>
          <w:tcPr>
            <w:tcW w:w="0" w:type="dxa"/>
            <w:tcBorders>
              <w:top w:val="single" w:sz="4" w:space="0" w:color="4F81BD" w:themeColor="accent1"/>
              <w:left w:val="nil"/>
              <w:bottom w:val="nil"/>
              <w:right w:val="single" w:sz="4" w:space="0" w:color="4F81BD" w:themeColor="accent1"/>
            </w:tcBorders>
            <w:hideMark/>
          </w:tcPr>
          <w:p w14:paraId="5D49B52E" w14:textId="77777777" w:rsidR="00844CCD" w:rsidRPr="00C91EA2" w:rsidRDefault="00844CCD">
            <w:pPr>
              <w:rPr>
                <w:rFonts w:ascii="Times New Roman" w:hAnsi="Times New Roman" w:cs="Times New Roman"/>
                <w:b w:val="0"/>
                <w:bCs w:val="0"/>
                <w:sz w:val="20"/>
                <w:szCs w:val="20"/>
              </w:rPr>
            </w:pPr>
            <w:r w:rsidRPr="00C91EA2">
              <w:rPr>
                <w:rFonts w:ascii="Times New Roman" w:hAnsi="Times New Roman" w:cs="Times New Roman"/>
                <w:b w:val="0"/>
                <w:bCs w:val="0"/>
                <w:sz w:val="20"/>
                <w:szCs w:val="20"/>
              </w:rPr>
              <w:t>Less distortive measures to achieve policy objective</w:t>
            </w:r>
          </w:p>
        </w:tc>
      </w:tr>
      <w:tr w:rsidR="00844CCD" w:rsidRPr="00C91EA2" w14:paraId="7650BC86" w14:textId="77777777" w:rsidTr="00835E4A">
        <w:trPr>
          <w:cnfStyle w:val="000000100000" w:firstRow="0" w:lastRow="0" w:firstColumn="0" w:lastColumn="0" w:oddVBand="0" w:evenVBand="0" w:oddHBand="1" w:evenHBand="0" w:firstRowFirstColumn="0" w:firstRowLastColumn="0" w:lastRowFirstColumn="0" w:lastRowLastColumn="0"/>
          <w:trHeight w:val="2464"/>
        </w:trPr>
        <w:tc>
          <w:tcPr>
            <w:tcW w:w="0" w:type="dxa"/>
            <w:tcBorders>
              <w:left w:val="single" w:sz="4" w:space="0" w:color="4F81BD" w:themeColor="accent1"/>
              <w:right w:val="nil"/>
            </w:tcBorders>
            <w:hideMark/>
          </w:tcPr>
          <w:p w14:paraId="143013D4" w14:textId="77777777" w:rsidR="00844CCD" w:rsidRPr="00C91EA2" w:rsidRDefault="00844CCD">
            <w:pPr>
              <w:rPr>
                <w:rFonts w:ascii="Times New Roman" w:hAnsi="Times New Roman" w:cs="Times New Roman"/>
                <w:sz w:val="20"/>
                <w:szCs w:val="20"/>
              </w:rPr>
            </w:pPr>
            <w:r w:rsidRPr="00C91EA2">
              <w:rPr>
                <w:rFonts w:ascii="Times New Roman" w:hAnsi="Times New Roman" w:cs="Times New Roman"/>
                <w:sz w:val="20"/>
                <w:szCs w:val="20"/>
              </w:rPr>
              <w:t>Increase yields</w:t>
            </w:r>
          </w:p>
        </w:tc>
        <w:tc>
          <w:tcPr>
            <w:tcW w:w="0" w:type="dxa"/>
            <w:tcBorders>
              <w:left w:val="nil"/>
              <w:right w:val="nil"/>
            </w:tcBorders>
            <w:hideMark/>
          </w:tcPr>
          <w:p w14:paraId="137569FC" w14:textId="77777777" w:rsidR="00844CCD" w:rsidRPr="00C91EA2" w:rsidRDefault="00844CCD" w:rsidP="007575D7">
            <w:pPr>
              <w:numPr>
                <w:ilvl w:val="0"/>
                <w:numId w:val="110"/>
              </w:numPr>
              <w:tabs>
                <w:tab w:val="num" w:pos="720"/>
              </w:tabs>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State control over production of pre-base/breeder seed</w:t>
            </w:r>
          </w:p>
          <w:p w14:paraId="1A6FA458" w14:textId="77777777" w:rsidR="00844CCD" w:rsidRPr="00C91EA2" w:rsidRDefault="00844CCD" w:rsidP="007575D7">
            <w:pPr>
              <w:numPr>
                <w:ilvl w:val="0"/>
                <w:numId w:val="110"/>
              </w:numPr>
              <w:tabs>
                <w:tab w:val="num" w:pos="720"/>
              </w:tabs>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In</w:t>
            </w:r>
            <w:r>
              <w:rPr>
                <w:rFonts w:ascii="Times New Roman" w:hAnsi="Times New Roman" w:cs="Times New Roman"/>
                <w:sz w:val="20"/>
                <w:szCs w:val="20"/>
              </w:rPr>
              <w:t>efficiencies in su</w:t>
            </w:r>
            <w:r w:rsidRPr="00C91EA2">
              <w:rPr>
                <w:rFonts w:ascii="Times New Roman" w:hAnsi="Times New Roman" w:cs="Times New Roman"/>
                <w:sz w:val="20"/>
                <w:szCs w:val="20"/>
              </w:rPr>
              <w:t>pp</w:t>
            </w:r>
            <w:r>
              <w:rPr>
                <w:rFonts w:ascii="Times New Roman" w:hAnsi="Times New Roman" w:cs="Times New Roman"/>
                <w:sz w:val="20"/>
                <w:szCs w:val="20"/>
              </w:rPr>
              <w:t>ly side in</w:t>
            </w:r>
            <w:r w:rsidRPr="00C91EA2">
              <w:rPr>
                <w:rFonts w:ascii="Times New Roman" w:hAnsi="Times New Roman" w:cs="Times New Roman"/>
                <w:sz w:val="20"/>
                <w:szCs w:val="20"/>
              </w:rPr>
              <w:t>put subsid</w:t>
            </w:r>
            <w:r>
              <w:rPr>
                <w:rFonts w:ascii="Times New Roman" w:hAnsi="Times New Roman" w:cs="Times New Roman"/>
                <w:sz w:val="20"/>
                <w:szCs w:val="20"/>
              </w:rPr>
              <w:t>y system</w:t>
            </w:r>
          </w:p>
          <w:p w14:paraId="4800757F" w14:textId="14E47665" w:rsidR="00844CCD" w:rsidRPr="00C91EA2" w:rsidRDefault="003B24ED" w:rsidP="007575D7">
            <w:pPr>
              <w:numPr>
                <w:ilvl w:val="0"/>
                <w:numId w:val="110"/>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Government</w:t>
            </w:r>
            <w:r w:rsidR="00844CCD" w:rsidRPr="00C91EA2">
              <w:rPr>
                <w:rFonts w:ascii="Times New Roman" w:hAnsi="Times New Roman" w:cs="Times New Roman"/>
                <w:sz w:val="20"/>
                <w:szCs w:val="20"/>
              </w:rPr>
              <w:t xml:space="preserve"> allocation of inputs across geographies and farms</w:t>
            </w:r>
          </w:p>
          <w:p w14:paraId="54A86573" w14:textId="77777777" w:rsidR="00844CCD" w:rsidRPr="00C91EA2" w:rsidRDefault="00844CCD" w:rsidP="007575D7">
            <w:pPr>
              <w:numPr>
                <w:ilvl w:val="0"/>
                <w:numId w:val="110"/>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Overly restrictive</w:t>
            </w:r>
            <w:r w:rsidRPr="00C91EA2">
              <w:rPr>
                <w:rFonts w:ascii="Times New Roman" w:hAnsi="Times New Roman" w:cs="Times New Roman"/>
                <w:sz w:val="20"/>
                <w:szCs w:val="20"/>
              </w:rPr>
              <w:t xml:space="preserve"> specifications</w:t>
            </w:r>
            <w:r>
              <w:rPr>
                <w:rFonts w:ascii="Times New Roman" w:hAnsi="Times New Roman" w:cs="Times New Roman"/>
                <w:sz w:val="20"/>
                <w:szCs w:val="20"/>
              </w:rPr>
              <w:t xml:space="preserve"> in in</w:t>
            </w:r>
            <w:r w:rsidRPr="00C91EA2">
              <w:rPr>
                <w:rFonts w:ascii="Times New Roman" w:hAnsi="Times New Roman" w:cs="Times New Roman"/>
                <w:sz w:val="20"/>
                <w:szCs w:val="20"/>
              </w:rPr>
              <w:t>p</w:t>
            </w:r>
            <w:r>
              <w:rPr>
                <w:rFonts w:ascii="Times New Roman" w:hAnsi="Times New Roman" w:cs="Times New Roman"/>
                <w:sz w:val="20"/>
                <w:szCs w:val="20"/>
              </w:rPr>
              <w:t>ut tenders</w:t>
            </w:r>
          </w:p>
          <w:p w14:paraId="5B48BE39" w14:textId="77777777" w:rsidR="00844CCD" w:rsidRPr="00C91EA2" w:rsidRDefault="00844CCD" w:rsidP="00377635">
            <w:pPr>
              <w:numPr>
                <w:ilvl w:val="0"/>
                <w:numId w:val="110"/>
              </w:numPr>
              <w:tabs>
                <w:tab w:val="num" w:pos="720"/>
              </w:tabs>
              <w:spacing w:line="256" w:lineRule="auto"/>
              <w:rPr>
                <w:rFonts w:ascii="Times New Roman" w:hAnsi="Times New Roman" w:cs="Times New Roman"/>
                <w:sz w:val="20"/>
                <w:szCs w:val="20"/>
              </w:rPr>
            </w:pPr>
            <w:r w:rsidRPr="00C91EA2">
              <w:rPr>
                <w:rFonts w:ascii="Times New Roman" w:hAnsi="Times New Roman" w:cs="Times New Roman"/>
                <w:sz w:val="20"/>
                <w:szCs w:val="20"/>
              </w:rPr>
              <w:t>Import restrictions on seed</w:t>
            </w:r>
          </w:p>
        </w:tc>
        <w:tc>
          <w:tcPr>
            <w:tcW w:w="0" w:type="dxa"/>
            <w:tcBorders>
              <w:left w:val="nil"/>
              <w:right w:val="nil"/>
            </w:tcBorders>
            <w:hideMark/>
          </w:tcPr>
          <w:p w14:paraId="10B67B8F" w14:textId="77777777" w:rsidR="00844CCD" w:rsidRPr="00C91EA2" w:rsidRDefault="00844CCD" w:rsidP="007575D7">
            <w:pPr>
              <w:numPr>
                <w:ilvl w:val="0"/>
                <w:numId w:val="110"/>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Lack of affordable high-quality seed, along with r</w:t>
            </w:r>
            <w:r w:rsidRPr="00340496">
              <w:rPr>
                <w:rFonts w:ascii="Times New Roman" w:hAnsi="Times New Roman" w:cs="Times New Roman"/>
                <w:sz w:val="20"/>
                <w:szCs w:val="20"/>
              </w:rPr>
              <w:t>educed choice and increased cost of subsidized fertilizers</w:t>
            </w:r>
            <w:r>
              <w:rPr>
                <w:rFonts w:ascii="Times New Roman" w:hAnsi="Times New Roman" w:cs="Times New Roman"/>
                <w:sz w:val="20"/>
                <w:szCs w:val="20"/>
              </w:rPr>
              <w:t xml:space="preserve"> </w:t>
            </w:r>
            <w:r w:rsidRPr="007E0AFC">
              <w:rPr>
                <w:rFonts w:ascii="Times New Roman" w:hAnsi="Times New Roman" w:cs="Times New Roman"/>
                <w:sz w:val="20"/>
                <w:szCs w:val="20"/>
              </w:rPr>
              <w:sym w:font="Wingdings" w:char="F0E0"/>
            </w:r>
            <w:r>
              <w:rPr>
                <w:rFonts w:ascii="Times New Roman" w:hAnsi="Times New Roman" w:cs="Times New Roman"/>
                <w:sz w:val="20"/>
                <w:szCs w:val="20"/>
              </w:rPr>
              <w:t xml:space="preserve"> contributes to l</w:t>
            </w:r>
            <w:r w:rsidRPr="00340496">
              <w:rPr>
                <w:rFonts w:ascii="Times New Roman" w:hAnsi="Times New Roman" w:cs="Times New Roman"/>
                <w:sz w:val="20"/>
                <w:szCs w:val="20"/>
              </w:rPr>
              <w:t>ower yields</w:t>
            </w:r>
          </w:p>
        </w:tc>
        <w:tc>
          <w:tcPr>
            <w:tcW w:w="0" w:type="dxa"/>
            <w:tcBorders>
              <w:left w:val="nil"/>
              <w:right w:val="single" w:sz="4" w:space="0" w:color="4F81BD" w:themeColor="accent1"/>
            </w:tcBorders>
            <w:hideMark/>
          </w:tcPr>
          <w:p w14:paraId="43AED12D" w14:textId="77777777" w:rsidR="00844CCD" w:rsidRPr="00C91EA2" w:rsidRDefault="00844CCD" w:rsidP="00377635">
            <w:pPr>
              <w:numPr>
                <w:ilvl w:val="0"/>
                <w:numId w:val="111"/>
              </w:numPr>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Ensure process to obtain special permit for import of certified seed imports are not overly burdensome</w:t>
            </w:r>
          </w:p>
          <w:p w14:paraId="249B75FA" w14:textId="77777777" w:rsidR="00844CCD" w:rsidRPr="00C91EA2" w:rsidRDefault="00844CCD" w:rsidP="00377635">
            <w:pPr>
              <w:numPr>
                <w:ilvl w:val="0"/>
                <w:numId w:val="111"/>
              </w:numPr>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Consider delivering subsidies via demand side mechanisms and remove restrictions on which regions distributors can operate in.</w:t>
            </w:r>
          </w:p>
          <w:p w14:paraId="7B09CE5C" w14:textId="77777777" w:rsidR="00844CCD" w:rsidRPr="00C91EA2" w:rsidRDefault="00844CCD" w:rsidP="00377635">
            <w:pPr>
              <w:numPr>
                <w:ilvl w:val="0"/>
                <w:numId w:val="111"/>
              </w:numPr>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Ensure that tender </w:t>
            </w:r>
            <w:r w:rsidRPr="00C91EA2">
              <w:rPr>
                <w:rFonts w:ascii="Times New Roman" w:hAnsi="Times New Roman" w:cs="Times New Roman"/>
                <w:sz w:val="20"/>
                <w:szCs w:val="20"/>
              </w:rPr>
              <w:t xml:space="preserve">specifications </w:t>
            </w:r>
            <w:r>
              <w:rPr>
                <w:rFonts w:ascii="Times New Roman" w:hAnsi="Times New Roman" w:cs="Times New Roman"/>
                <w:sz w:val="20"/>
                <w:szCs w:val="20"/>
              </w:rPr>
              <w:t xml:space="preserve">do not unnecessarily restrict the </w:t>
            </w:r>
            <w:r w:rsidRPr="00C91EA2">
              <w:rPr>
                <w:rFonts w:ascii="Times New Roman" w:hAnsi="Times New Roman" w:cs="Times New Roman"/>
                <w:sz w:val="20"/>
                <w:szCs w:val="20"/>
              </w:rPr>
              <w:t>p</w:t>
            </w:r>
            <w:r>
              <w:rPr>
                <w:rFonts w:ascii="Times New Roman" w:hAnsi="Times New Roman" w:cs="Times New Roman"/>
                <w:sz w:val="20"/>
                <w:szCs w:val="20"/>
              </w:rPr>
              <w:t>artici</w:t>
            </w:r>
            <w:r w:rsidRPr="00C91EA2">
              <w:rPr>
                <w:rFonts w:ascii="Times New Roman" w:hAnsi="Times New Roman" w:cs="Times New Roman"/>
                <w:sz w:val="20"/>
                <w:szCs w:val="20"/>
              </w:rPr>
              <w:t>p</w:t>
            </w:r>
            <w:r>
              <w:rPr>
                <w:rFonts w:ascii="Times New Roman" w:hAnsi="Times New Roman" w:cs="Times New Roman"/>
                <w:sz w:val="20"/>
                <w:szCs w:val="20"/>
              </w:rPr>
              <w:t xml:space="preserve">ation of </w:t>
            </w:r>
            <w:r w:rsidRPr="00C91EA2">
              <w:rPr>
                <w:rFonts w:ascii="Times New Roman" w:hAnsi="Times New Roman" w:cs="Times New Roman"/>
                <w:sz w:val="20"/>
                <w:szCs w:val="20"/>
              </w:rPr>
              <w:t>substitute products</w:t>
            </w:r>
          </w:p>
          <w:p w14:paraId="423E97C2" w14:textId="77777777" w:rsidR="00844CCD" w:rsidRPr="00C91EA2" w:rsidRDefault="00844CCD" w:rsidP="00835E4A">
            <w:pPr>
              <w:numPr>
                <w:ilvl w:val="0"/>
                <w:numId w:val="111"/>
              </w:numPr>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Invest in extension services and overall capacity development</w:t>
            </w:r>
          </w:p>
        </w:tc>
      </w:tr>
      <w:tr w:rsidR="00844CCD" w:rsidRPr="00C91EA2" w14:paraId="6DFA3079" w14:textId="77777777" w:rsidTr="00835E4A">
        <w:trPr>
          <w:trHeight w:val="350"/>
        </w:trPr>
        <w:tc>
          <w:tcPr>
            <w:tcW w:w="0" w:type="dxa"/>
            <w:tcBorders>
              <w:top w:val="nil"/>
              <w:left w:val="single" w:sz="4" w:space="0" w:color="4F81BD" w:themeColor="accent1"/>
              <w:bottom w:val="nil"/>
              <w:right w:val="nil"/>
            </w:tcBorders>
            <w:hideMark/>
          </w:tcPr>
          <w:p w14:paraId="125D52B9" w14:textId="77777777" w:rsidR="00844CCD" w:rsidRPr="00C91EA2" w:rsidRDefault="00844CCD">
            <w:pPr>
              <w:rPr>
                <w:rFonts w:ascii="Times New Roman" w:hAnsi="Times New Roman" w:cs="Times New Roman"/>
                <w:sz w:val="20"/>
                <w:szCs w:val="20"/>
              </w:rPr>
            </w:pPr>
            <w:r w:rsidRPr="00C91EA2">
              <w:rPr>
                <w:rFonts w:ascii="Times New Roman" w:hAnsi="Times New Roman" w:cs="Times New Roman"/>
                <w:sz w:val="20"/>
                <w:szCs w:val="20"/>
              </w:rPr>
              <w:t>Increase farmer incomes</w:t>
            </w:r>
          </w:p>
        </w:tc>
        <w:tc>
          <w:tcPr>
            <w:tcW w:w="0" w:type="dxa"/>
            <w:tcBorders>
              <w:top w:val="nil"/>
              <w:left w:val="nil"/>
              <w:bottom w:val="nil"/>
              <w:right w:val="nil"/>
            </w:tcBorders>
            <w:hideMark/>
          </w:tcPr>
          <w:p w14:paraId="213B485E" w14:textId="77777777" w:rsidR="00844CCD" w:rsidRPr="00C91EA2" w:rsidRDefault="00844CCD" w:rsidP="00377635">
            <w:pPr>
              <w:numPr>
                <w:ilvl w:val="0"/>
                <w:numId w:val="112"/>
              </w:numPr>
              <w:tabs>
                <w:tab w:val="num" w:pos="720"/>
              </w:tabs>
              <w:spacing w:line="256" w:lineRule="auto"/>
              <w:rPr>
                <w:rFonts w:ascii="Times New Roman" w:hAnsi="Times New Roman" w:cs="Times New Roman"/>
                <w:sz w:val="20"/>
                <w:szCs w:val="20"/>
              </w:rPr>
            </w:pPr>
            <w:r>
              <w:rPr>
                <w:rFonts w:ascii="Times New Roman" w:hAnsi="Times New Roman" w:cs="Times New Roman"/>
                <w:sz w:val="20"/>
                <w:szCs w:val="20"/>
              </w:rPr>
              <w:t>Su</w:t>
            </w:r>
            <w:r w:rsidRPr="00C91EA2">
              <w:rPr>
                <w:rFonts w:ascii="Times New Roman" w:hAnsi="Times New Roman" w:cs="Times New Roman"/>
                <w:sz w:val="20"/>
                <w:szCs w:val="20"/>
              </w:rPr>
              <w:t>pp</w:t>
            </w:r>
            <w:r>
              <w:rPr>
                <w:rFonts w:ascii="Times New Roman" w:hAnsi="Times New Roman" w:cs="Times New Roman"/>
                <w:sz w:val="20"/>
                <w:szCs w:val="20"/>
              </w:rPr>
              <w:t>ly side i</w:t>
            </w:r>
            <w:r w:rsidRPr="00C91EA2">
              <w:rPr>
                <w:rFonts w:ascii="Times New Roman" w:hAnsi="Times New Roman" w:cs="Times New Roman"/>
                <w:sz w:val="20"/>
                <w:szCs w:val="20"/>
              </w:rPr>
              <w:t>nput subsidies</w:t>
            </w:r>
          </w:p>
          <w:p w14:paraId="7A540AB9" w14:textId="77777777" w:rsidR="00844CCD" w:rsidRPr="00C91EA2" w:rsidRDefault="00844CCD" w:rsidP="00377635">
            <w:pPr>
              <w:numPr>
                <w:ilvl w:val="0"/>
                <w:numId w:val="112"/>
              </w:numPr>
              <w:tabs>
                <w:tab w:val="num" w:pos="720"/>
              </w:tabs>
              <w:spacing w:line="256" w:lineRule="auto"/>
              <w:rPr>
                <w:rFonts w:ascii="Times New Roman" w:hAnsi="Times New Roman" w:cs="Times New Roman"/>
                <w:sz w:val="20"/>
                <w:szCs w:val="20"/>
              </w:rPr>
            </w:pPr>
            <w:r w:rsidRPr="00C91EA2">
              <w:rPr>
                <w:rFonts w:ascii="Times New Roman" w:hAnsi="Times New Roman" w:cs="Times New Roman"/>
                <w:sz w:val="20"/>
                <w:szCs w:val="20"/>
              </w:rPr>
              <w:t>Minimum farmgate prices</w:t>
            </w:r>
          </w:p>
          <w:p w14:paraId="052C4D7A" w14:textId="77777777" w:rsidR="00844CCD" w:rsidRPr="00C91EA2" w:rsidRDefault="00844CCD" w:rsidP="007575D7">
            <w:pPr>
              <w:numPr>
                <w:ilvl w:val="0"/>
                <w:numId w:val="112"/>
              </w:numPr>
              <w:tabs>
                <w:tab w:val="num" w:pos="720"/>
              </w:tabs>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 xml:space="preserve">Various rules on buying from farmers set through CNIA (e.g. </w:t>
            </w:r>
            <w:r w:rsidR="006E6877">
              <w:rPr>
                <w:rFonts w:ascii="Times New Roman" w:hAnsi="Times New Roman" w:cs="Times New Roman"/>
                <w:sz w:val="20"/>
                <w:szCs w:val="20"/>
              </w:rPr>
              <w:t xml:space="preserve">establishment of </w:t>
            </w:r>
            <w:r w:rsidRPr="00C91EA2">
              <w:rPr>
                <w:rFonts w:ascii="Times New Roman" w:hAnsi="Times New Roman" w:cs="Times New Roman"/>
                <w:sz w:val="20"/>
                <w:szCs w:val="20"/>
              </w:rPr>
              <w:t>OPS collection points</w:t>
            </w:r>
            <w:r w:rsidR="006E6877">
              <w:rPr>
                <w:rFonts w:ascii="Times New Roman" w:hAnsi="Times New Roman" w:cs="Times New Roman"/>
                <w:sz w:val="20"/>
                <w:szCs w:val="20"/>
              </w:rPr>
              <w:t xml:space="preserve"> and allocation amongst </w:t>
            </w:r>
            <w:r w:rsidR="006E6877" w:rsidRPr="00C91EA2">
              <w:rPr>
                <w:rFonts w:ascii="Times New Roman" w:hAnsi="Times New Roman" w:cs="Times New Roman"/>
                <w:sz w:val="20"/>
                <w:szCs w:val="20"/>
              </w:rPr>
              <w:t>p</w:t>
            </w:r>
            <w:r w:rsidR="006E6877">
              <w:rPr>
                <w:rFonts w:ascii="Times New Roman" w:hAnsi="Times New Roman" w:cs="Times New Roman"/>
                <w:sz w:val="20"/>
                <w:szCs w:val="20"/>
              </w:rPr>
              <w:t>rocessors,</w:t>
            </w:r>
            <w:r w:rsidRPr="00C91EA2">
              <w:rPr>
                <w:rFonts w:ascii="Times New Roman" w:hAnsi="Times New Roman" w:cs="Times New Roman"/>
                <w:sz w:val="20"/>
                <w:szCs w:val="20"/>
              </w:rPr>
              <w:t xml:space="preserve"> restrictions on purchasing season etc.)</w:t>
            </w:r>
          </w:p>
        </w:tc>
        <w:tc>
          <w:tcPr>
            <w:tcW w:w="0" w:type="dxa"/>
            <w:tcBorders>
              <w:top w:val="nil"/>
              <w:left w:val="nil"/>
              <w:bottom w:val="nil"/>
              <w:right w:val="nil"/>
            </w:tcBorders>
            <w:hideMark/>
          </w:tcPr>
          <w:p w14:paraId="0FA4F4F3" w14:textId="77777777" w:rsidR="00844CCD" w:rsidRDefault="00844CCD" w:rsidP="007575D7">
            <w:pPr>
              <w:numPr>
                <w:ilvl w:val="0"/>
                <w:numId w:val="110"/>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Lack of affordable high-quality seed, along with r</w:t>
            </w:r>
            <w:r w:rsidRPr="00340496">
              <w:rPr>
                <w:rFonts w:ascii="Times New Roman" w:hAnsi="Times New Roman" w:cs="Times New Roman"/>
                <w:sz w:val="20"/>
                <w:szCs w:val="20"/>
              </w:rPr>
              <w:t>educed choice and increased cost of subsidized fertilizers</w:t>
            </w:r>
            <w:r>
              <w:rPr>
                <w:rFonts w:ascii="Times New Roman" w:hAnsi="Times New Roman" w:cs="Times New Roman"/>
                <w:sz w:val="20"/>
                <w:szCs w:val="20"/>
              </w:rPr>
              <w:t xml:space="preserve"> </w:t>
            </w:r>
            <w:r w:rsidRPr="007E0AFC">
              <w:rPr>
                <w:rFonts w:ascii="Times New Roman" w:hAnsi="Times New Roman" w:cs="Times New Roman"/>
                <w:sz w:val="20"/>
                <w:szCs w:val="20"/>
              </w:rPr>
              <w:sym w:font="Wingdings" w:char="F0E0"/>
            </w:r>
            <w:r>
              <w:rPr>
                <w:rFonts w:ascii="Times New Roman" w:hAnsi="Times New Roman" w:cs="Times New Roman"/>
                <w:sz w:val="20"/>
                <w:szCs w:val="20"/>
              </w:rPr>
              <w:t xml:space="preserve"> contributes to l</w:t>
            </w:r>
            <w:r w:rsidRPr="00340496">
              <w:rPr>
                <w:rFonts w:ascii="Times New Roman" w:hAnsi="Times New Roman" w:cs="Times New Roman"/>
                <w:sz w:val="20"/>
                <w:szCs w:val="20"/>
              </w:rPr>
              <w:t>ower yields</w:t>
            </w:r>
            <w:r>
              <w:rPr>
                <w:rFonts w:ascii="Times New Roman" w:hAnsi="Times New Roman" w:cs="Times New Roman"/>
                <w:sz w:val="20"/>
                <w:szCs w:val="20"/>
              </w:rPr>
              <w:t xml:space="preserve"> which can lower incomes</w:t>
            </w:r>
          </w:p>
          <w:p w14:paraId="4655C786" w14:textId="77777777" w:rsidR="00844CCD" w:rsidRPr="00BF20E4" w:rsidRDefault="00844CCD" w:rsidP="007575D7">
            <w:pPr>
              <w:numPr>
                <w:ilvl w:val="0"/>
                <w:numId w:val="110"/>
              </w:numPr>
              <w:tabs>
                <w:tab w:val="num" w:pos="720"/>
              </w:tabs>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 xml:space="preserve">Minimum farmgate prices are set below price that would prevail if an unrestricted export market were permitted </w:t>
            </w:r>
            <w:r w:rsidRPr="00C91EA2">
              <w:rPr>
                <w:rFonts w:ascii="Times New Roman" w:hAnsi="Times New Roman" w:cs="Times New Roman"/>
                <w:sz w:val="20"/>
                <w:szCs w:val="20"/>
              </w:rPr>
              <w:sym w:font="Wingdings" w:char="F0E0"/>
            </w:r>
            <w:r w:rsidRPr="00C91EA2">
              <w:rPr>
                <w:rFonts w:ascii="Times New Roman" w:hAnsi="Times New Roman" w:cs="Times New Roman"/>
                <w:sz w:val="20"/>
                <w:szCs w:val="20"/>
              </w:rPr>
              <w:t xml:space="preserve"> lower farmer incomes and lower production</w:t>
            </w:r>
          </w:p>
        </w:tc>
        <w:tc>
          <w:tcPr>
            <w:tcW w:w="0" w:type="dxa"/>
            <w:tcBorders>
              <w:top w:val="nil"/>
              <w:left w:val="nil"/>
              <w:bottom w:val="nil"/>
              <w:right w:val="single" w:sz="4" w:space="0" w:color="4F81BD" w:themeColor="accent1"/>
            </w:tcBorders>
            <w:hideMark/>
          </w:tcPr>
          <w:p w14:paraId="63D430D3" w14:textId="77777777" w:rsidR="00844CCD" w:rsidRPr="00C91EA2" w:rsidRDefault="00844CCD" w:rsidP="00766E17">
            <w:pPr>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As above, </w:t>
            </w:r>
            <w:r w:rsidRPr="00C91EA2">
              <w:rPr>
                <w:rFonts w:ascii="Times New Roman" w:hAnsi="Times New Roman" w:cs="Times New Roman"/>
                <w:sz w:val="20"/>
                <w:szCs w:val="20"/>
              </w:rPr>
              <w:t>p</w:t>
            </w:r>
            <w:r>
              <w:rPr>
                <w:rFonts w:ascii="Times New Roman" w:hAnsi="Times New Roman" w:cs="Times New Roman"/>
                <w:sz w:val="20"/>
                <w:szCs w:val="20"/>
              </w:rPr>
              <w:t>lus</w:t>
            </w:r>
            <w:r w:rsidR="00897AEF">
              <w:rPr>
                <w:rFonts w:ascii="Times New Roman" w:hAnsi="Times New Roman" w:cs="Times New Roman"/>
                <w:sz w:val="20"/>
                <w:szCs w:val="20"/>
              </w:rPr>
              <w:t>:</w:t>
            </w:r>
          </w:p>
          <w:p w14:paraId="5E6203FD" w14:textId="77777777" w:rsidR="00844CCD" w:rsidRPr="00C91EA2" w:rsidRDefault="00844CCD" w:rsidP="00377635">
            <w:pPr>
              <w:numPr>
                <w:ilvl w:val="0"/>
                <w:numId w:val="111"/>
              </w:numPr>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 xml:space="preserve">Consider allowing market players to compete on farmgate prices </w:t>
            </w:r>
          </w:p>
          <w:p w14:paraId="713FEBFB" w14:textId="77777777" w:rsidR="00844CCD" w:rsidRPr="00C91EA2" w:rsidRDefault="00844CCD" w:rsidP="00377635">
            <w:pPr>
              <w:numPr>
                <w:ilvl w:val="0"/>
                <w:numId w:val="113"/>
              </w:numPr>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Invest in extension services and overall capacity development</w:t>
            </w:r>
          </w:p>
          <w:p w14:paraId="3C4CEBAD" w14:textId="77777777" w:rsidR="00844CCD" w:rsidRPr="00114CDB" w:rsidRDefault="00897AEF" w:rsidP="00766E17">
            <w:pPr>
              <w:numPr>
                <w:ilvl w:val="0"/>
                <w:numId w:val="113"/>
              </w:numPr>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Consider removing </w:t>
            </w:r>
            <w:r w:rsidR="00844CCD" w:rsidRPr="00BF20E4">
              <w:rPr>
                <w:rFonts w:ascii="Times New Roman" w:hAnsi="Times New Roman" w:cs="Times New Roman"/>
                <w:sz w:val="20"/>
                <w:szCs w:val="20"/>
              </w:rPr>
              <w:t xml:space="preserve">restrictions </w:t>
            </w:r>
            <w:r>
              <w:rPr>
                <w:rFonts w:ascii="Times New Roman" w:hAnsi="Times New Roman" w:cs="Times New Roman"/>
                <w:sz w:val="20"/>
                <w:szCs w:val="20"/>
              </w:rPr>
              <w:t>i</w:t>
            </w:r>
            <w:r w:rsidR="00844CCD" w:rsidRPr="00BF20E4">
              <w:rPr>
                <w:rFonts w:ascii="Times New Roman" w:hAnsi="Times New Roman" w:cs="Times New Roman"/>
                <w:sz w:val="20"/>
                <w:szCs w:val="20"/>
              </w:rPr>
              <w:t>n market for purchasing</w:t>
            </w:r>
            <w:r>
              <w:rPr>
                <w:rFonts w:ascii="Times New Roman" w:hAnsi="Times New Roman" w:cs="Times New Roman"/>
                <w:sz w:val="20"/>
                <w:szCs w:val="20"/>
              </w:rPr>
              <w:t xml:space="preserve"> groundnuts</w:t>
            </w:r>
            <w:r w:rsidR="00844CCD" w:rsidRPr="00BF20E4">
              <w:rPr>
                <w:rFonts w:ascii="Times New Roman" w:hAnsi="Times New Roman" w:cs="Times New Roman"/>
                <w:sz w:val="20"/>
                <w:szCs w:val="20"/>
              </w:rPr>
              <w:t xml:space="preserve"> from farmers</w:t>
            </w:r>
            <w:r>
              <w:rPr>
                <w:rFonts w:ascii="Times New Roman" w:hAnsi="Times New Roman" w:cs="Times New Roman"/>
                <w:sz w:val="20"/>
                <w:szCs w:val="20"/>
              </w:rPr>
              <w:t xml:space="preserve"> to </w:t>
            </w:r>
            <w:r w:rsidRPr="00C91EA2">
              <w:rPr>
                <w:rFonts w:ascii="Times New Roman" w:hAnsi="Times New Roman" w:cs="Times New Roman"/>
                <w:sz w:val="20"/>
                <w:szCs w:val="20"/>
              </w:rPr>
              <w:t>p</w:t>
            </w:r>
            <w:r>
              <w:rPr>
                <w:rFonts w:ascii="Times New Roman" w:hAnsi="Times New Roman" w:cs="Times New Roman"/>
                <w:sz w:val="20"/>
                <w:szCs w:val="20"/>
              </w:rPr>
              <w:t>rovide greater choice in where and when they sell</w:t>
            </w:r>
          </w:p>
        </w:tc>
      </w:tr>
      <w:tr w:rsidR="00844CCD" w:rsidRPr="00C91EA2" w14:paraId="1E36C4B8" w14:textId="77777777" w:rsidTr="00835E4A">
        <w:trPr>
          <w:cnfStyle w:val="000000100000" w:firstRow="0" w:lastRow="0" w:firstColumn="0" w:lastColumn="0" w:oddVBand="0" w:evenVBand="0" w:oddHBand="1" w:evenHBand="0" w:firstRowFirstColumn="0" w:firstRowLastColumn="0" w:lastRowFirstColumn="0" w:lastRowLastColumn="0"/>
          <w:trHeight w:val="989"/>
        </w:trPr>
        <w:tc>
          <w:tcPr>
            <w:tcW w:w="0" w:type="dxa"/>
            <w:tcBorders>
              <w:left w:val="single" w:sz="4" w:space="0" w:color="4F81BD" w:themeColor="accent1"/>
              <w:right w:val="nil"/>
            </w:tcBorders>
            <w:hideMark/>
          </w:tcPr>
          <w:p w14:paraId="32228FFD" w14:textId="77777777" w:rsidR="00844CCD" w:rsidRPr="00C91EA2" w:rsidRDefault="00844CCD">
            <w:pPr>
              <w:rPr>
                <w:rFonts w:ascii="Times New Roman" w:hAnsi="Times New Roman" w:cs="Times New Roman"/>
                <w:sz w:val="20"/>
                <w:szCs w:val="20"/>
              </w:rPr>
            </w:pPr>
            <w:r w:rsidRPr="00C91EA2">
              <w:rPr>
                <w:rFonts w:ascii="Times New Roman" w:hAnsi="Times New Roman" w:cs="Times New Roman"/>
                <w:sz w:val="20"/>
                <w:szCs w:val="20"/>
              </w:rPr>
              <w:t>Create employment</w:t>
            </w:r>
            <w:r w:rsidR="00395B5F">
              <w:rPr>
                <w:rFonts w:ascii="Times New Roman" w:hAnsi="Times New Roman" w:cs="Times New Roman"/>
                <w:sz w:val="20"/>
                <w:szCs w:val="20"/>
              </w:rPr>
              <w:t xml:space="preserve"> and increase domestic value add </w:t>
            </w:r>
          </w:p>
        </w:tc>
        <w:tc>
          <w:tcPr>
            <w:tcW w:w="0" w:type="dxa"/>
            <w:tcBorders>
              <w:left w:val="nil"/>
              <w:right w:val="nil"/>
            </w:tcBorders>
            <w:hideMark/>
          </w:tcPr>
          <w:p w14:paraId="72FAA477" w14:textId="77777777" w:rsidR="00844CCD" w:rsidRPr="00C91EA2" w:rsidRDefault="00844CCD" w:rsidP="00377635">
            <w:pPr>
              <w:numPr>
                <w:ilvl w:val="0"/>
                <w:numId w:val="114"/>
              </w:numPr>
              <w:tabs>
                <w:tab w:val="num" w:pos="720"/>
              </w:tabs>
              <w:spacing w:line="256" w:lineRule="auto"/>
              <w:rPr>
                <w:rFonts w:ascii="Times New Roman" w:hAnsi="Times New Roman" w:cs="Times New Roman"/>
                <w:sz w:val="20"/>
                <w:szCs w:val="20"/>
              </w:rPr>
            </w:pPr>
            <w:r w:rsidRPr="00C91EA2">
              <w:rPr>
                <w:rFonts w:ascii="Times New Roman" w:hAnsi="Times New Roman" w:cs="Times New Roman"/>
                <w:sz w:val="20"/>
                <w:szCs w:val="20"/>
              </w:rPr>
              <w:t>Import restrictions on vegetable oils</w:t>
            </w:r>
          </w:p>
          <w:p w14:paraId="148454FB" w14:textId="77777777" w:rsidR="00844CCD" w:rsidRPr="00C91EA2" w:rsidRDefault="00183D71" w:rsidP="00377635">
            <w:pPr>
              <w:numPr>
                <w:ilvl w:val="0"/>
                <w:numId w:val="114"/>
              </w:numPr>
              <w:tabs>
                <w:tab w:val="num" w:pos="720"/>
              </w:tabs>
              <w:spacing w:line="256" w:lineRule="auto"/>
              <w:rPr>
                <w:rFonts w:ascii="Times New Roman" w:hAnsi="Times New Roman" w:cs="Times New Roman"/>
                <w:sz w:val="20"/>
                <w:szCs w:val="20"/>
              </w:rPr>
            </w:pPr>
            <w:r>
              <w:rPr>
                <w:rFonts w:ascii="Times New Roman" w:hAnsi="Times New Roman" w:cs="Times New Roman"/>
                <w:sz w:val="20"/>
                <w:szCs w:val="20"/>
              </w:rPr>
              <w:t>Periodic export restrictions</w:t>
            </w:r>
          </w:p>
          <w:p w14:paraId="33BCDC74" w14:textId="77777777" w:rsidR="00844CCD" w:rsidRPr="00C91EA2" w:rsidRDefault="00844CCD" w:rsidP="00377635">
            <w:pPr>
              <w:numPr>
                <w:ilvl w:val="0"/>
                <w:numId w:val="114"/>
              </w:numPr>
              <w:tabs>
                <w:tab w:val="num" w:pos="720"/>
              </w:tabs>
              <w:spacing w:line="256" w:lineRule="auto"/>
              <w:rPr>
                <w:rFonts w:ascii="Times New Roman" w:hAnsi="Times New Roman" w:cs="Times New Roman"/>
                <w:sz w:val="20"/>
                <w:szCs w:val="20"/>
              </w:rPr>
            </w:pPr>
            <w:r w:rsidRPr="00C91EA2">
              <w:rPr>
                <w:rFonts w:ascii="Times New Roman" w:hAnsi="Times New Roman" w:cs="Times New Roman"/>
                <w:sz w:val="20"/>
                <w:szCs w:val="20"/>
              </w:rPr>
              <w:t>Subsidization of millers</w:t>
            </w:r>
          </w:p>
        </w:tc>
        <w:tc>
          <w:tcPr>
            <w:tcW w:w="0" w:type="dxa"/>
            <w:tcBorders>
              <w:left w:val="nil"/>
              <w:right w:val="nil"/>
            </w:tcBorders>
            <w:hideMark/>
          </w:tcPr>
          <w:p w14:paraId="6F621B9D" w14:textId="77777777" w:rsidR="00844CCD" w:rsidRPr="00C91EA2" w:rsidRDefault="00844CCD" w:rsidP="007575D7">
            <w:pPr>
              <w:numPr>
                <w:ilvl w:val="0"/>
                <w:numId w:val="114"/>
              </w:numPr>
              <w:tabs>
                <w:tab w:val="num" w:pos="720"/>
              </w:tabs>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Increased consumer prices</w:t>
            </w:r>
            <w:r w:rsidR="00897AEF">
              <w:rPr>
                <w:rFonts w:ascii="Times New Roman" w:hAnsi="Times New Roman" w:cs="Times New Roman"/>
                <w:sz w:val="20"/>
                <w:szCs w:val="20"/>
              </w:rPr>
              <w:t xml:space="preserve"> for oils</w:t>
            </w:r>
            <w:r w:rsidRPr="00C91EA2">
              <w:rPr>
                <w:rFonts w:ascii="Times New Roman" w:hAnsi="Times New Roman" w:cs="Times New Roman"/>
                <w:sz w:val="20"/>
                <w:szCs w:val="20"/>
              </w:rPr>
              <w:t xml:space="preserve"> and decreased consumer welfare</w:t>
            </w:r>
          </w:p>
          <w:p w14:paraId="21CA4F32" w14:textId="77777777" w:rsidR="00605CB0" w:rsidRPr="00BF20E4" w:rsidRDefault="00605CB0" w:rsidP="007575D7">
            <w:pPr>
              <w:numPr>
                <w:ilvl w:val="0"/>
                <w:numId w:val="114"/>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Disincentive to</w:t>
            </w:r>
            <w:r w:rsidRPr="00C91EA2">
              <w:rPr>
                <w:rFonts w:ascii="Times New Roman" w:hAnsi="Times New Roman" w:cs="Times New Roman"/>
                <w:sz w:val="20"/>
                <w:szCs w:val="20"/>
              </w:rPr>
              <w:t xml:space="preserve"> develop processed whole nu</w:t>
            </w:r>
            <w:r>
              <w:rPr>
                <w:rFonts w:ascii="Times New Roman" w:hAnsi="Times New Roman" w:cs="Times New Roman"/>
                <w:sz w:val="20"/>
                <w:szCs w:val="20"/>
              </w:rPr>
              <w:t>t</w:t>
            </w:r>
            <w:r w:rsidRPr="00C91EA2">
              <w:rPr>
                <w:rFonts w:ascii="Times New Roman" w:hAnsi="Times New Roman" w:cs="Times New Roman"/>
                <w:sz w:val="20"/>
                <w:szCs w:val="20"/>
              </w:rPr>
              <w:t xml:space="preserve"> value chain</w:t>
            </w:r>
          </w:p>
          <w:p w14:paraId="694D0010" w14:textId="77777777" w:rsidR="00605CB0" w:rsidRDefault="006E6877" w:rsidP="007575D7">
            <w:pPr>
              <w:numPr>
                <w:ilvl w:val="0"/>
                <w:numId w:val="114"/>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Protection of </w:t>
            </w:r>
            <w:r w:rsidRPr="00C91EA2">
              <w:rPr>
                <w:rFonts w:ascii="Times New Roman" w:hAnsi="Times New Roman" w:cs="Times New Roman"/>
                <w:sz w:val="20"/>
                <w:szCs w:val="20"/>
              </w:rPr>
              <w:t>downstream employment</w:t>
            </w:r>
            <w:r>
              <w:rPr>
                <w:rFonts w:ascii="Times New Roman" w:hAnsi="Times New Roman" w:cs="Times New Roman"/>
                <w:sz w:val="20"/>
                <w:szCs w:val="20"/>
              </w:rPr>
              <w:t xml:space="preserve"> in millers at the expense of </w:t>
            </w:r>
            <w:r w:rsidR="00844CCD" w:rsidRPr="00C91EA2">
              <w:rPr>
                <w:rFonts w:ascii="Times New Roman" w:hAnsi="Times New Roman" w:cs="Times New Roman"/>
                <w:sz w:val="20"/>
                <w:szCs w:val="20"/>
              </w:rPr>
              <w:t>employment in upstream value chain functions, e.g. shelling</w:t>
            </w:r>
          </w:p>
          <w:p w14:paraId="4A0849EB" w14:textId="77777777" w:rsidR="00605CB0" w:rsidRPr="00C91EA2" w:rsidRDefault="00605CB0" w:rsidP="007575D7">
            <w:pPr>
              <w:numPr>
                <w:ilvl w:val="0"/>
                <w:numId w:val="114"/>
              </w:numPr>
              <w:tabs>
                <w:tab w:val="num" w:pos="720"/>
              </w:tabs>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Foregone FOREX</w:t>
            </w:r>
            <w:r>
              <w:rPr>
                <w:rFonts w:ascii="Times New Roman" w:hAnsi="Times New Roman" w:cs="Times New Roman"/>
                <w:sz w:val="20"/>
                <w:szCs w:val="20"/>
              </w:rPr>
              <w:t xml:space="preserve"> from restricting export </w:t>
            </w:r>
          </w:p>
          <w:p w14:paraId="3B08899F" w14:textId="77777777" w:rsidR="00844CCD" w:rsidRPr="00C91EA2" w:rsidRDefault="00844CCD" w:rsidP="00766E17">
            <w:pPr>
              <w:tabs>
                <w:tab w:val="num" w:pos="720"/>
              </w:tabs>
              <w:spacing w:line="256" w:lineRule="auto"/>
              <w:rPr>
                <w:rFonts w:ascii="Times New Roman" w:hAnsi="Times New Roman" w:cs="Times New Roman"/>
                <w:sz w:val="20"/>
                <w:szCs w:val="20"/>
              </w:rPr>
            </w:pPr>
          </w:p>
        </w:tc>
        <w:tc>
          <w:tcPr>
            <w:tcW w:w="0" w:type="dxa"/>
            <w:tcBorders>
              <w:left w:val="nil"/>
              <w:right w:val="single" w:sz="4" w:space="0" w:color="4F81BD" w:themeColor="accent1"/>
            </w:tcBorders>
          </w:tcPr>
          <w:p w14:paraId="51947D04" w14:textId="77777777" w:rsidR="00605CB0" w:rsidRDefault="00844CCD" w:rsidP="00766E17">
            <w:pPr>
              <w:numPr>
                <w:ilvl w:val="0"/>
                <w:numId w:val="115"/>
              </w:numPr>
              <w:tabs>
                <w:tab w:val="clear" w:pos="1080"/>
              </w:tabs>
              <w:spacing w:line="256" w:lineRule="auto"/>
              <w:ind w:left="722"/>
              <w:jc w:val="both"/>
              <w:rPr>
                <w:rFonts w:ascii="Times New Roman" w:hAnsi="Times New Roman" w:cs="Times New Roman"/>
                <w:sz w:val="20"/>
                <w:szCs w:val="20"/>
              </w:rPr>
            </w:pPr>
            <w:r w:rsidRPr="00C91EA2">
              <w:rPr>
                <w:rFonts w:ascii="Times New Roman" w:hAnsi="Times New Roman" w:cs="Times New Roman"/>
                <w:sz w:val="20"/>
                <w:szCs w:val="20"/>
              </w:rPr>
              <w:t xml:space="preserve">Remove import restrictions on vegetable oils </w:t>
            </w:r>
            <w:r w:rsidR="00605CB0">
              <w:rPr>
                <w:rFonts w:ascii="Times New Roman" w:hAnsi="Times New Roman" w:cs="Times New Roman"/>
                <w:sz w:val="20"/>
                <w:szCs w:val="20"/>
              </w:rPr>
              <w:t>and e</w:t>
            </w:r>
            <w:r w:rsidRPr="00C91EA2">
              <w:rPr>
                <w:rFonts w:ascii="Times New Roman" w:hAnsi="Times New Roman" w:cs="Times New Roman"/>
                <w:sz w:val="20"/>
                <w:szCs w:val="20"/>
              </w:rPr>
              <w:t xml:space="preserve">ncourage development of whole nut exports with local </w:t>
            </w:r>
            <w:r w:rsidR="00605CB0">
              <w:rPr>
                <w:rFonts w:ascii="Times New Roman" w:hAnsi="Times New Roman" w:cs="Times New Roman"/>
                <w:sz w:val="20"/>
                <w:szCs w:val="20"/>
              </w:rPr>
              <w:t>value addition</w:t>
            </w:r>
            <w:r w:rsidR="00605CB0" w:rsidRPr="00C91EA2">
              <w:rPr>
                <w:rFonts w:ascii="Times New Roman" w:hAnsi="Times New Roman" w:cs="Times New Roman"/>
                <w:sz w:val="20"/>
                <w:szCs w:val="20"/>
              </w:rPr>
              <w:t xml:space="preserve"> </w:t>
            </w:r>
            <w:r w:rsidRPr="00C91EA2">
              <w:rPr>
                <w:rFonts w:ascii="Times New Roman" w:hAnsi="Times New Roman" w:cs="Times New Roman"/>
                <w:sz w:val="20"/>
                <w:szCs w:val="20"/>
              </w:rPr>
              <w:t>(e.g. shelling)</w:t>
            </w:r>
            <w:r w:rsidR="00BF20E4">
              <w:rPr>
                <w:rFonts w:ascii="Times New Roman" w:hAnsi="Times New Roman" w:cs="Times New Roman"/>
                <w:sz w:val="20"/>
                <w:szCs w:val="20"/>
              </w:rPr>
              <w:t xml:space="preserve"> by</w:t>
            </w:r>
          </w:p>
          <w:p w14:paraId="488CDDA4" w14:textId="77777777" w:rsidR="00844CCD" w:rsidRPr="00395B5F" w:rsidRDefault="00605CB0" w:rsidP="00766E17">
            <w:pPr>
              <w:numPr>
                <w:ilvl w:val="0"/>
                <w:numId w:val="115"/>
              </w:numPr>
              <w:spacing w:line="256" w:lineRule="auto"/>
              <w:jc w:val="both"/>
              <w:rPr>
                <w:rFonts w:ascii="Times New Roman" w:hAnsi="Times New Roman" w:cs="Times New Roman"/>
                <w:sz w:val="20"/>
                <w:szCs w:val="20"/>
              </w:rPr>
            </w:pPr>
            <w:r>
              <w:rPr>
                <w:rFonts w:ascii="Times New Roman" w:hAnsi="Times New Roman" w:cs="Times New Roman"/>
                <w:sz w:val="20"/>
                <w:szCs w:val="20"/>
              </w:rPr>
              <w:t>Reassess</w:t>
            </w:r>
            <w:r w:rsidR="00BF20E4">
              <w:rPr>
                <w:rFonts w:ascii="Times New Roman" w:hAnsi="Times New Roman" w:cs="Times New Roman"/>
                <w:sz w:val="20"/>
                <w:szCs w:val="20"/>
              </w:rPr>
              <w:t>ing the need for</w:t>
            </w:r>
            <w:r w:rsidR="00844CCD" w:rsidRPr="00C91EA2">
              <w:rPr>
                <w:rFonts w:ascii="Times New Roman" w:hAnsi="Times New Roman" w:cs="Times New Roman"/>
                <w:sz w:val="20"/>
                <w:szCs w:val="20"/>
              </w:rPr>
              <w:t xml:space="preserve"> export taxes</w:t>
            </w:r>
            <w:r w:rsidR="00BF20E4">
              <w:rPr>
                <w:rFonts w:ascii="Times New Roman" w:hAnsi="Times New Roman" w:cs="Times New Roman"/>
                <w:sz w:val="20"/>
                <w:szCs w:val="20"/>
              </w:rPr>
              <w:t xml:space="preserve">; or </w:t>
            </w:r>
            <w:r w:rsidR="00844CCD" w:rsidRPr="00BF20E4">
              <w:rPr>
                <w:rFonts w:ascii="Times New Roman" w:hAnsi="Times New Roman" w:cs="Times New Roman"/>
                <w:sz w:val="20"/>
                <w:szCs w:val="20"/>
              </w:rPr>
              <w:t xml:space="preserve">increasing the tax on Nut in Shell (NIS) while lowering the tax on shelled nuts </w:t>
            </w:r>
          </w:p>
          <w:p w14:paraId="5F1FB897" w14:textId="77777777" w:rsidR="00844CCD" w:rsidRPr="00C91EA2" w:rsidRDefault="00844CCD" w:rsidP="00377635">
            <w:pPr>
              <w:numPr>
                <w:ilvl w:val="0"/>
                <w:numId w:val="115"/>
              </w:numPr>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Reinvest</w:t>
            </w:r>
            <w:r w:rsidR="00183D71">
              <w:rPr>
                <w:rFonts w:ascii="Times New Roman" w:hAnsi="Times New Roman" w:cs="Times New Roman"/>
                <w:sz w:val="20"/>
                <w:szCs w:val="20"/>
              </w:rPr>
              <w:t>ing</w:t>
            </w:r>
            <w:r w:rsidRPr="00C91EA2">
              <w:rPr>
                <w:rFonts w:ascii="Times New Roman" w:hAnsi="Times New Roman" w:cs="Times New Roman"/>
                <w:sz w:val="20"/>
                <w:szCs w:val="20"/>
              </w:rPr>
              <w:t xml:space="preserve"> income from export tax (if maintained</w:t>
            </w:r>
            <w:r w:rsidR="00183D71">
              <w:rPr>
                <w:rFonts w:ascii="Times New Roman" w:hAnsi="Times New Roman" w:cs="Times New Roman"/>
                <w:sz w:val="20"/>
                <w:szCs w:val="20"/>
              </w:rPr>
              <w:t>/reinstated</w:t>
            </w:r>
            <w:r w:rsidRPr="00C91EA2">
              <w:rPr>
                <w:rFonts w:ascii="Times New Roman" w:hAnsi="Times New Roman" w:cs="Times New Roman"/>
                <w:sz w:val="20"/>
                <w:szCs w:val="20"/>
              </w:rPr>
              <w:t xml:space="preserve">) in the value chain, ensuring that funds are dispersed in a way that </w:t>
            </w:r>
            <w:r w:rsidR="00395B5F">
              <w:rPr>
                <w:rFonts w:ascii="Times New Roman" w:hAnsi="Times New Roman" w:cs="Times New Roman"/>
                <w:sz w:val="20"/>
                <w:szCs w:val="20"/>
              </w:rPr>
              <w:t>safeguards</w:t>
            </w:r>
            <w:r w:rsidR="00395B5F" w:rsidRPr="00C91EA2">
              <w:rPr>
                <w:rFonts w:ascii="Times New Roman" w:hAnsi="Times New Roman" w:cs="Times New Roman"/>
                <w:sz w:val="20"/>
                <w:szCs w:val="20"/>
              </w:rPr>
              <w:t xml:space="preserve"> </w:t>
            </w:r>
            <w:r w:rsidRPr="00C91EA2">
              <w:rPr>
                <w:rFonts w:ascii="Times New Roman" w:hAnsi="Times New Roman" w:cs="Times New Roman"/>
                <w:sz w:val="20"/>
                <w:szCs w:val="20"/>
              </w:rPr>
              <w:t>a level playing field, e.g. avoid targeting support at specific players.</w:t>
            </w:r>
          </w:p>
          <w:p w14:paraId="5EF954CA" w14:textId="77777777" w:rsidR="00844CCD" w:rsidRPr="00C91EA2" w:rsidRDefault="00844CCD" w:rsidP="00766E17">
            <w:pPr>
              <w:numPr>
                <w:ilvl w:val="0"/>
                <w:numId w:val="115"/>
              </w:numPr>
              <w:spacing w:line="256" w:lineRule="auto"/>
              <w:jc w:val="both"/>
              <w:rPr>
                <w:rFonts w:ascii="Times New Roman" w:hAnsi="Times New Roman" w:cs="Times New Roman"/>
                <w:sz w:val="20"/>
                <w:szCs w:val="20"/>
              </w:rPr>
            </w:pPr>
            <w:r w:rsidRPr="00C91EA2">
              <w:rPr>
                <w:rFonts w:ascii="Times New Roman" w:hAnsi="Times New Roman" w:cs="Times New Roman"/>
                <w:sz w:val="20"/>
                <w:szCs w:val="20"/>
              </w:rPr>
              <w:t>Actively focus</w:t>
            </w:r>
            <w:r w:rsidR="00BF20E4">
              <w:rPr>
                <w:rFonts w:ascii="Times New Roman" w:hAnsi="Times New Roman" w:cs="Times New Roman"/>
                <w:sz w:val="20"/>
                <w:szCs w:val="20"/>
              </w:rPr>
              <w:t>in</w:t>
            </w:r>
            <w:r w:rsidR="00395B5F">
              <w:rPr>
                <w:rFonts w:ascii="Times New Roman" w:hAnsi="Times New Roman" w:cs="Times New Roman"/>
                <w:sz w:val="20"/>
                <w:szCs w:val="20"/>
              </w:rPr>
              <w:t>g</w:t>
            </w:r>
            <w:r w:rsidRPr="00C91EA2">
              <w:rPr>
                <w:rFonts w:ascii="Times New Roman" w:hAnsi="Times New Roman" w:cs="Times New Roman"/>
                <w:sz w:val="20"/>
                <w:szCs w:val="20"/>
              </w:rPr>
              <w:t xml:space="preserve"> on development of </w:t>
            </w:r>
            <w:r w:rsidR="00BF20E4">
              <w:rPr>
                <w:rFonts w:ascii="Times New Roman" w:hAnsi="Times New Roman" w:cs="Times New Roman"/>
                <w:sz w:val="20"/>
                <w:szCs w:val="20"/>
              </w:rPr>
              <w:t xml:space="preserve">value add </w:t>
            </w:r>
            <w:r w:rsidRPr="00C91EA2">
              <w:rPr>
                <w:rFonts w:ascii="Times New Roman" w:hAnsi="Times New Roman" w:cs="Times New Roman"/>
                <w:sz w:val="20"/>
                <w:szCs w:val="20"/>
              </w:rPr>
              <w:t xml:space="preserve">whole nut export value chain </w:t>
            </w:r>
            <w:proofErr w:type="gramStart"/>
            <w:r w:rsidRPr="00C91EA2">
              <w:rPr>
                <w:rFonts w:ascii="Times New Roman" w:hAnsi="Times New Roman" w:cs="Times New Roman"/>
                <w:sz w:val="20"/>
                <w:szCs w:val="20"/>
              </w:rPr>
              <w:t>in order to</w:t>
            </w:r>
            <w:proofErr w:type="gramEnd"/>
            <w:r w:rsidRPr="00C91EA2">
              <w:rPr>
                <w:rFonts w:ascii="Times New Roman" w:hAnsi="Times New Roman" w:cs="Times New Roman"/>
                <w:sz w:val="20"/>
                <w:szCs w:val="20"/>
              </w:rPr>
              <w:t xml:space="preserve"> respond to international demand </w:t>
            </w:r>
          </w:p>
        </w:tc>
      </w:tr>
    </w:tbl>
    <w:p w14:paraId="36257992" w14:textId="77777777" w:rsidR="00377635" w:rsidRPr="00C91EA2" w:rsidRDefault="00377635" w:rsidP="00377635">
      <w:pPr>
        <w:rPr>
          <w:rFonts w:ascii="Times New Roman" w:hAnsi="Times New Roman" w:cs="Times New Roman"/>
        </w:rPr>
        <w:sectPr w:rsidR="00377635" w:rsidRPr="00C91EA2" w:rsidSect="00B41724">
          <w:pgSz w:w="15840" w:h="12240" w:orient="landscape"/>
          <w:pgMar w:top="1800" w:right="1440" w:bottom="1800" w:left="1440" w:header="720" w:footer="720" w:gutter="0"/>
          <w:cols w:space="720"/>
        </w:sectPr>
      </w:pPr>
    </w:p>
    <w:p w14:paraId="56B5AEC1" w14:textId="77777777" w:rsidR="00377635" w:rsidRPr="00C91EA2" w:rsidRDefault="00B824E5" w:rsidP="00B824E5">
      <w:pPr>
        <w:pStyle w:val="Heading3"/>
        <w:rPr>
          <w:rFonts w:ascii="Times New Roman" w:hAnsi="Times New Roman" w:cs="Times New Roman"/>
        </w:rPr>
      </w:pPr>
      <w:bookmarkStart w:id="249" w:name="_Toc520724114"/>
      <w:r w:rsidRPr="00C91EA2">
        <w:rPr>
          <w:rFonts w:ascii="Times New Roman" w:hAnsi="Times New Roman" w:cs="Times New Roman"/>
        </w:rPr>
        <w:t>5.1.</w:t>
      </w:r>
      <w:r w:rsidR="004C3376">
        <w:rPr>
          <w:rFonts w:ascii="Times New Roman" w:hAnsi="Times New Roman" w:cs="Times New Roman"/>
        </w:rPr>
        <w:t>5</w:t>
      </w:r>
      <w:r w:rsidRPr="00C91EA2">
        <w:rPr>
          <w:rFonts w:ascii="Times New Roman" w:hAnsi="Times New Roman" w:cs="Times New Roman"/>
        </w:rPr>
        <w:t xml:space="preserve"> </w:t>
      </w:r>
      <w:r w:rsidR="00087C8B">
        <w:rPr>
          <w:rFonts w:ascii="Times New Roman" w:hAnsi="Times New Roman" w:cs="Times New Roman"/>
        </w:rPr>
        <w:t>Recommendations</w:t>
      </w:r>
      <w:bookmarkEnd w:id="249"/>
    </w:p>
    <w:p w14:paraId="12FDFE5A" w14:textId="77777777" w:rsidR="00377635" w:rsidRPr="00C91EA2" w:rsidRDefault="00377635" w:rsidP="00377635">
      <w:pPr>
        <w:jc w:val="both"/>
        <w:rPr>
          <w:rFonts w:ascii="Times New Roman" w:hAnsi="Times New Roman" w:cs="Times New Roman"/>
        </w:rPr>
      </w:pPr>
    </w:p>
    <w:p w14:paraId="35138D2D" w14:textId="64F31DE0" w:rsidR="00377635" w:rsidRPr="007575D7" w:rsidRDefault="00377635" w:rsidP="007575D7">
      <w:pPr>
        <w:pStyle w:val="ListParagraph"/>
        <w:numPr>
          <w:ilvl w:val="0"/>
          <w:numId w:val="71"/>
        </w:numPr>
        <w:ind w:left="0" w:firstLine="0"/>
        <w:jc w:val="both"/>
        <w:rPr>
          <w:rFonts w:ascii="Times New Roman" w:hAnsi="Times New Roman" w:cs="Times New Roman"/>
          <w:b/>
        </w:rPr>
      </w:pPr>
      <w:r w:rsidRPr="007575D7">
        <w:rPr>
          <w:rFonts w:ascii="Times New Roman" w:hAnsi="Times New Roman" w:cs="Times New Roman"/>
          <w:b/>
        </w:rPr>
        <w:t>Based on the above analysis of restrictions to competition and potentially less distortive mechanism</w:t>
      </w:r>
      <w:r w:rsidR="00BE49B6" w:rsidRPr="007575D7">
        <w:rPr>
          <w:rFonts w:ascii="Times New Roman" w:hAnsi="Times New Roman" w:cs="Times New Roman"/>
          <w:b/>
        </w:rPr>
        <w:t>s</w:t>
      </w:r>
      <w:r w:rsidRPr="007575D7">
        <w:rPr>
          <w:rFonts w:ascii="Times New Roman" w:hAnsi="Times New Roman" w:cs="Times New Roman"/>
          <w:b/>
        </w:rPr>
        <w:t xml:space="preserve"> to achieve </w:t>
      </w:r>
      <w:r w:rsidR="003B24ED" w:rsidRPr="007575D7">
        <w:rPr>
          <w:rFonts w:ascii="Times New Roman" w:hAnsi="Times New Roman" w:cs="Times New Roman"/>
          <w:b/>
        </w:rPr>
        <w:t>Government</w:t>
      </w:r>
      <w:r w:rsidRPr="007575D7">
        <w:rPr>
          <w:rFonts w:ascii="Times New Roman" w:hAnsi="Times New Roman" w:cs="Times New Roman"/>
          <w:b/>
        </w:rPr>
        <w:t xml:space="preserve"> objectives, </w:t>
      </w:r>
      <w:r w:rsidRPr="009B0AB9">
        <w:rPr>
          <w:rFonts w:ascii="Times New Roman" w:hAnsi="Times New Roman" w:cs="Times New Roman"/>
          <w:b/>
        </w:rPr>
        <w:t>the following table (</w:t>
      </w:r>
      <w:r w:rsidRPr="009B0AB9">
        <w:rPr>
          <w:rFonts w:ascii="Times New Roman" w:hAnsi="Times New Roman" w:cs="Times New Roman"/>
          <w:b/>
        </w:rPr>
        <w:fldChar w:fldCharType="begin"/>
      </w:r>
      <w:r w:rsidRPr="009B0AB9">
        <w:rPr>
          <w:rFonts w:ascii="Times New Roman" w:hAnsi="Times New Roman" w:cs="Times New Roman"/>
          <w:b/>
        </w:rPr>
        <w:instrText xml:space="preserve"> REF _Ref497911888 \h  \* MERGEFORMAT </w:instrText>
      </w:r>
      <w:r w:rsidRPr="009B0AB9">
        <w:rPr>
          <w:rFonts w:ascii="Times New Roman" w:hAnsi="Times New Roman" w:cs="Times New Roman"/>
          <w:b/>
        </w:rPr>
      </w:r>
      <w:r w:rsidRPr="009B0AB9">
        <w:rPr>
          <w:rFonts w:ascii="Times New Roman" w:hAnsi="Times New Roman" w:cs="Times New Roman"/>
          <w:b/>
        </w:rPr>
        <w:fldChar w:fldCharType="separate"/>
      </w:r>
      <w:r w:rsidR="008261B2" w:rsidRPr="008261B2">
        <w:rPr>
          <w:rFonts w:ascii="Times New Roman" w:hAnsi="Times New Roman" w:cs="Times New Roman"/>
          <w:b/>
        </w:rPr>
        <w:t>Table 12</w:t>
      </w:r>
      <w:r w:rsidRPr="009B0AB9">
        <w:rPr>
          <w:rFonts w:ascii="Times New Roman" w:hAnsi="Times New Roman" w:cs="Times New Roman"/>
          <w:b/>
        </w:rPr>
        <w:fldChar w:fldCharType="end"/>
      </w:r>
      <w:r w:rsidRPr="009B0AB9">
        <w:rPr>
          <w:rFonts w:ascii="Times New Roman" w:hAnsi="Times New Roman" w:cs="Times New Roman"/>
          <w:b/>
        </w:rPr>
        <w:t xml:space="preserve">) </w:t>
      </w:r>
      <w:r w:rsidRPr="007575D7">
        <w:rPr>
          <w:rFonts w:ascii="Times New Roman" w:hAnsi="Times New Roman" w:cs="Times New Roman"/>
        </w:rPr>
        <w:t>provides key recommendations on market solutions to address bottlenecks to achieve the objectives of: increasing certified seed availability, increasing fertilizer availability, boosting farmer incomes, boosting throughput for local processors and building local value addition, and improving consumer prices for oil</w:t>
      </w:r>
      <w:r w:rsidRPr="009A141C">
        <w:rPr>
          <w:rFonts w:ascii="Times New Roman" w:hAnsi="Times New Roman" w:cs="Times New Roman"/>
        </w:rPr>
        <w:t>.</w:t>
      </w:r>
    </w:p>
    <w:p w14:paraId="4A1BBFF4" w14:textId="77777777" w:rsidR="00377635" w:rsidRPr="00C91EA2" w:rsidRDefault="00377635" w:rsidP="00377635">
      <w:pPr>
        <w:jc w:val="both"/>
        <w:rPr>
          <w:rFonts w:ascii="Times New Roman" w:hAnsi="Times New Roman" w:cs="Times New Roman"/>
        </w:rPr>
      </w:pPr>
    </w:p>
    <w:p w14:paraId="259FCDDB" w14:textId="6BFA5DF0" w:rsidR="00377635" w:rsidRPr="00C91EA2" w:rsidRDefault="00377635" w:rsidP="00377635">
      <w:pPr>
        <w:pStyle w:val="Caption"/>
        <w:keepNext/>
        <w:rPr>
          <w:rFonts w:ascii="Times New Roman" w:hAnsi="Times New Roman"/>
        </w:rPr>
      </w:pPr>
      <w:bookmarkStart w:id="250" w:name="_Ref497911888"/>
      <w:bookmarkStart w:id="251" w:name="_Toc520725699"/>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12</w:t>
      </w:r>
      <w:r w:rsidRPr="00C91EA2">
        <w:rPr>
          <w:rFonts w:ascii="Times New Roman" w:hAnsi="Times New Roman"/>
        </w:rPr>
        <w:fldChar w:fldCharType="end"/>
      </w:r>
      <w:bookmarkEnd w:id="250"/>
      <w:r w:rsidRPr="00C91EA2">
        <w:rPr>
          <w:rFonts w:ascii="Times New Roman" w:hAnsi="Times New Roman"/>
        </w:rPr>
        <w:t>: Recommendations on market solutions to address key bottlenecks in the groundnut value chain</w:t>
      </w:r>
      <w:bookmarkEnd w:id="251"/>
    </w:p>
    <w:tbl>
      <w:tblPr>
        <w:tblW w:w="5000" w:type="pct"/>
        <w:tblCellMar>
          <w:left w:w="0" w:type="dxa"/>
          <w:right w:w="0" w:type="dxa"/>
        </w:tblCellMar>
        <w:tblLook w:val="0420" w:firstRow="1" w:lastRow="0" w:firstColumn="0" w:lastColumn="0" w:noHBand="0" w:noVBand="1"/>
      </w:tblPr>
      <w:tblGrid>
        <w:gridCol w:w="4606"/>
        <w:gridCol w:w="360"/>
        <w:gridCol w:w="286"/>
        <w:gridCol w:w="1701"/>
        <w:gridCol w:w="157"/>
        <w:gridCol w:w="148"/>
        <w:gridCol w:w="1366"/>
      </w:tblGrid>
      <w:tr w:rsidR="00BB17ED" w:rsidRPr="00C91EA2" w14:paraId="398181B4" w14:textId="77777777" w:rsidTr="006D3557">
        <w:trPr>
          <w:trHeight w:val="23"/>
        </w:trPr>
        <w:tc>
          <w:tcPr>
            <w:tcW w:w="3045" w:type="pct"/>
            <w:gridSpan w:val="3"/>
            <w:tcBorders>
              <w:top w:val="single" w:sz="6" w:space="0" w:color="002245"/>
              <w:left w:val="single" w:sz="6" w:space="0" w:color="002245"/>
              <w:bottom w:val="single" w:sz="6" w:space="0" w:color="002245"/>
              <w:right w:val="nil"/>
            </w:tcBorders>
            <w:shd w:val="clear" w:color="auto" w:fill="002345"/>
            <w:tcMar>
              <w:top w:w="72" w:type="dxa"/>
              <w:left w:w="144" w:type="dxa"/>
              <w:bottom w:w="72" w:type="dxa"/>
              <w:right w:w="144" w:type="dxa"/>
            </w:tcMar>
            <w:hideMark/>
          </w:tcPr>
          <w:p w14:paraId="7EA918B5" w14:textId="77777777" w:rsidR="00BB17ED" w:rsidRPr="00C91EA2" w:rsidRDefault="00BB17ED" w:rsidP="00D749D3">
            <w:pPr>
              <w:jc w:val="center"/>
              <w:rPr>
                <w:rFonts w:ascii="Times New Roman" w:hAnsi="Times New Roman" w:cs="Times New Roman"/>
                <w:b/>
                <w:sz w:val="20"/>
              </w:rPr>
            </w:pPr>
            <w:r w:rsidRPr="00C91EA2">
              <w:rPr>
                <w:rFonts w:ascii="Times New Roman" w:hAnsi="Times New Roman" w:cs="Times New Roman"/>
                <w:b/>
                <w:sz w:val="20"/>
              </w:rPr>
              <w:t>Recommendation</w:t>
            </w:r>
          </w:p>
        </w:tc>
        <w:tc>
          <w:tcPr>
            <w:tcW w:w="1163" w:type="pct"/>
            <w:gridSpan w:val="3"/>
            <w:tcBorders>
              <w:top w:val="single" w:sz="6" w:space="0" w:color="002245"/>
              <w:left w:val="nil"/>
              <w:bottom w:val="single" w:sz="6" w:space="0" w:color="002245"/>
              <w:right w:val="nil"/>
            </w:tcBorders>
            <w:shd w:val="clear" w:color="auto" w:fill="002345"/>
            <w:tcMar>
              <w:top w:w="72" w:type="dxa"/>
              <w:left w:w="144" w:type="dxa"/>
              <w:bottom w:w="72" w:type="dxa"/>
              <w:right w:w="144" w:type="dxa"/>
            </w:tcMar>
            <w:hideMark/>
          </w:tcPr>
          <w:p w14:paraId="3825C2E7" w14:textId="77777777" w:rsidR="00BB17ED" w:rsidRPr="00C91EA2" w:rsidRDefault="00BB17ED" w:rsidP="00D749D3">
            <w:pPr>
              <w:jc w:val="center"/>
              <w:rPr>
                <w:rFonts w:ascii="Times New Roman" w:hAnsi="Times New Roman" w:cs="Times New Roman"/>
                <w:b/>
                <w:sz w:val="20"/>
              </w:rPr>
            </w:pPr>
            <w:r>
              <w:rPr>
                <w:rFonts w:ascii="Times New Roman" w:hAnsi="Times New Roman" w:cs="Times New Roman"/>
                <w:b/>
                <w:bCs/>
                <w:sz w:val="20"/>
              </w:rPr>
              <w:t>Responsibility</w:t>
            </w:r>
          </w:p>
        </w:tc>
        <w:tc>
          <w:tcPr>
            <w:tcW w:w="792" w:type="pct"/>
            <w:tcBorders>
              <w:top w:val="single" w:sz="6" w:space="0" w:color="002245"/>
              <w:left w:val="nil"/>
              <w:bottom w:val="single" w:sz="6" w:space="0" w:color="002245"/>
              <w:right w:val="single" w:sz="6" w:space="0" w:color="002245"/>
            </w:tcBorders>
            <w:shd w:val="clear" w:color="auto" w:fill="002345"/>
            <w:tcMar>
              <w:top w:w="72" w:type="dxa"/>
              <w:left w:w="144" w:type="dxa"/>
              <w:bottom w:w="72" w:type="dxa"/>
              <w:right w:w="144" w:type="dxa"/>
            </w:tcMar>
            <w:hideMark/>
          </w:tcPr>
          <w:p w14:paraId="1BB2E82B" w14:textId="77777777" w:rsidR="00BB17ED" w:rsidRPr="00C91EA2" w:rsidRDefault="00BB17ED" w:rsidP="00D749D3">
            <w:pPr>
              <w:jc w:val="center"/>
              <w:rPr>
                <w:rFonts w:ascii="Times New Roman" w:hAnsi="Times New Roman" w:cs="Times New Roman"/>
                <w:b/>
                <w:sz w:val="20"/>
              </w:rPr>
            </w:pPr>
            <w:r w:rsidRPr="00C91EA2">
              <w:rPr>
                <w:rFonts w:ascii="Times New Roman" w:hAnsi="Times New Roman" w:cs="Times New Roman"/>
                <w:b/>
                <w:bCs/>
                <w:sz w:val="20"/>
              </w:rPr>
              <w:t>Priority</w:t>
            </w:r>
          </w:p>
        </w:tc>
      </w:tr>
      <w:tr w:rsidR="00BB17ED" w:rsidRPr="00C91EA2" w14:paraId="62496A6F" w14:textId="77777777" w:rsidTr="00D749D3">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3859A631" w14:textId="77777777" w:rsidR="00BB17ED" w:rsidRPr="00C91EA2" w:rsidRDefault="00BB17ED" w:rsidP="00D749D3">
            <w:pPr>
              <w:jc w:val="center"/>
              <w:rPr>
                <w:rFonts w:ascii="Times New Roman" w:hAnsi="Times New Roman" w:cs="Times New Roman"/>
                <w:sz w:val="20"/>
              </w:rPr>
            </w:pPr>
            <w:r w:rsidRPr="00C91EA2">
              <w:rPr>
                <w:rFonts w:ascii="Times New Roman" w:hAnsi="Times New Roman" w:cs="Times New Roman"/>
                <w:sz w:val="20"/>
              </w:rPr>
              <w:t>Certified seed availability</w:t>
            </w:r>
          </w:p>
        </w:tc>
      </w:tr>
      <w:tr w:rsidR="00BB17ED" w:rsidRPr="00C91EA2" w14:paraId="43626A2A" w14:textId="77777777" w:rsidTr="006D3557">
        <w:trPr>
          <w:trHeight w:val="238"/>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35850CDA" w14:textId="77777777" w:rsidR="00BB17ED" w:rsidRPr="00C91EA2" w:rsidRDefault="0095220A" w:rsidP="007575D7">
            <w:pPr>
              <w:jc w:val="both"/>
              <w:rPr>
                <w:rFonts w:ascii="Times New Roman" w:hAnsi="Times New Roman" w:cs="Times New Roman"/>
                <w:sz w:val="20"/>
              </w:rPr>
            </w:pPr>
            <w:r>
              <w:rPr>
                <w:rFonts w:ascii="Times New Roman" w:hAnsi="Times New Roman" w:cs="Times New Roman"/>
                <w:sz w:val="20"/>
              </w:rPr>
              <w:t>1.</w:t>
            </w:r>
            <w:r w:rsidR="00BB17ED">
              <w:rPr>
                <w:rFonts w:ascii="Times New Roman" w:hAnsi="Times New Roman" w:cs="Times New Roman"/>
                <w:sz w:val="20"/>
              </w:rPr>
              <w:t xml:space="preserve"> </w:t>
            </w:r>
            <w:r w:rsidR="00BB17ED" w:rsidRPr="00C91EA2">
              <w:rPr>
                <w:rFonts w:ascii="Times New Roman" w:hAnsi="Times New Roman" w:cs="Times New Roman"/>
                <w:sz w:val="20"/>
              </w:rPr>
              <w:t>Review reasons that ISRA does not produce sufficient pre-base seed to fulfil market demand.</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4C4AC995" w14:textId="77777777" w:rsidR="00BB17ED" w:rsidRPr="00C91EA2" w:rsidRDefault="00BB17ED" w:rsidP="00D749D3">
            <w:pPr>
              <w:rPr>
                <w:rFonts w:ascii="Times New Roman" w:hAnsi="Times New Roman" w:cs="Times New Roman"/>
                <w:sz w:val="20"/>
              </w:rPr>
            </w:pPr>
            <w:r>
              <w:rPr>
                <w:rFonts w:ascii="Times New Roman" w:hAnsi="Times New Roman" w:cs="Times New Roman"/>
                <w:sz w:val="20"/>
              </w:rPr>
              <w:t>MAER, ISRA</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6C24306B" w14:textId="77777777" w:rsidR="00BB17ED" w:rsidRPr="00C91EA2" w:rsidRDefault="00BB17ED" w:rsidP="00D749D3">
            <w:pPr>
              <w:rPr>
                <w:rFonts w:ascii="Times New Roman" w:hAnsi="Times New Roman" w:cs="Times New Roman"/>
                <w:sz w:val="20"/>
              </w:rPr>
            </w:pPr>
            <w:r w:rsidRPr="00C91EA2">
              <w:rPr>
                <w:rFonts w:ascii="Times New Roman" w:hAnsi="Times New Roman" w:cs="Times New Roman"/>
                <w:sz w:val="20"/>
              </w:rPr>
              <w:t>High</w:t>
            </w:r>
          </w:p>
        </w:tc>
      </w:tr>
      <w:tr w:rsidR="00BB17ED" w:rsidRPr="00C91EA2" w14:paraId="0F4861DC" w14:textId="77777777" w:rsidTr="006D3557">
        <w:trPr>
          <w:trHeight w:val="307"/>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tcPr>
          <w:p w14:paraId="318F9950" w14:textId="153E5BB0" w:rsidR="00BB17ED" w:rsidRPr="00C91EA2" w:rsidRDefault="00BB17ED" w:rsidP="007575D7">
            <w:pPr>
              <w:jc w:val="both"/>
              <w:rPr>
                <w:rFonts w:ascii="Times New Roman" w:hAnsi="Times New Roman" w:cs="Times New Roman"/>
                <w:sz w:val="20"/>
              </w:rPr>
            </w:pPr>
            <w:r>
              <w:rPr>
                <w:rFonts w:ascii="Times New Roman" w:hAnsi="Times New Roman" w:cs="Times New Roman"/>
                <w:sz w:val="20"/>
              </w:rPr>
              <w:t>2</w:t>
            </w:r>
            <w:r w:rsidR="0095220A">
              <w:rPr>
                <w:rFonts w:ascii="Times New Roman" w:hAnsi="Times New Roman" w:cs="Times New Roman"/>
                <w:sz w:val="20"/>
              </w:rPr>
              <w:t>.</w:t>
            </w:r>
            <w:r>
              <w:rPr>
                <w:rFonts w:ascii="Times New Roman" w:hAnsi="Times New Roman" w:cs="Times New Roman"/>
                <w:sz w:val="20"/>
              </w:rPr>
              <w:t xml:space="preserve"> </w:t>
            </w:r>
            <w:r w:rsidRPr="00C91EA2">
              <w:rPr>
                <w:rFonts w:ascii="Times New Roman" w:hAnsi="Times New Roman" w:cs="Times New Roman"/>
                <w:sz w:val="20"/>
              </w:rPr>
              <w:t>Implement a pricing mechanism for pre-base seed that allows ISRA to satisfy demand for seed and cover costs</w:t>
            </w:r>
            <w:r w:rsidR="00710A35">
              <w:rPr>
                <w:rFonts w:ascii="Times New Roman" w:hAnsi="Times New Roman" w:cs="Times New Roman"/>
                <w:sz w:val="20"/>
              </w:rPr>
              <w:t>.</w:t>
            </w:r>
            <w:r w:rsidR="002F7A24">
              <w:rPr>
                <w:rFonts w:ascii="Times New Roman" w:hAnsi="Times New Roman" w:cs="Times New Roman"/>
                <w:sz w:val="20"/>
              </w:rPr>
              <w:t xml:space="preserve"> </w:t>
            </w:r>
            <w:r w:rsidR="001E4CE1">
              <w:rPr>
                <w:rFonts w:ascii="Times New Roman" w:hAnsi="Times New Roman" w:cs="Times New Roman"/>
                <w:sz w:val="20"/>
              </w:rPr>
              <w:t>As a complementary measure</w:t>
            </w:r>
            <w:r w:rsidR="002F7A24" w:rsidRPr="003D5CA9">
              <w:rPr>
                <w:rFonts w:ascii="Times New Roman" w:hAnsi="Times New Roman" w:cs="Times New Roman"/>
                <w:sz w:val="20"/>
              </w:rPr>
              <w:t xml:space="preserve">, </w:t>
            </w:r>
            <w:r w:rsidR="001E4CE1">
              <w:rPr>
                <w:rFonts w:ascii="Times New Roman" w:hAnsi="Times New Roman" w:cs="Times New Roman"/>
                <w:sz w:val="20"/>
              </w:rPr>
              <w:t>p</w:t>
            </w:r>
            <w:r w:rsidR="002F7A24" w:rsidRPr="003D5CA9">
              <w:rPr>
                <w:rFonts w:ascii="Times New Roman" w:hAnsi="Times New Roman" w:cs="Times New Roman"/>
                <w:sz w:val="20"/>
              </w:rPr>
              <w:t>ut in place mechanisms of traceability and transparency, e.g. a seed e-platform</w:t>
            </w:r>
            <w:r w:rsidR="002F7A24">
              <w:rPr>
                <w:rFonts w:ascii="Times New Roman" w:hAnsi="Times New Roman" w:cs="Times New Roman"/>
                <w:sz w:val="20"/>
              </w:rPr>
              <w:t>.</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tcPr>
          <w:p w14:paraId="6CF9538C" w14:textId="77777777" w:rsidR="00BB17ED" w:rsidRDefault="00BB17ED" w:rsidP="00D749D3">
            <w:pPr>
              <w:rPr>
                <w:rFonts w:ascii="Times New Roman" w:hAnsi="Times New Roman" w:cs="Times New Roman"/>
                <w:sz w:val="20"/>
              </w:rPr>
            </w:pPr>
            <w:r>
              <w:rPr>
                <w:rFonts w:ascii="Times New Roman" w:hAnsi="Times New Roman" w:cs="Times New Roman"/>
                <w:sz w:val="20"/>
              </w:rPr>
              <w:t>MAER, ISRA</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tcPr>
          <w:p w14:paraId="3407189F" w14:textId="77777777" w:rsidR="00BB17ED" w:rsidRPr="00C91EA2" w:rsidRDefault="00BB17ED" w:rsidP="00D749D3">
            <w:pPr>
              <w:rPr>
                <w:rFonts w:ascii="Times New Roman" w:hAnsi="Times New Roman" w:cs="Times New Roman"/>
                <w:sz w:val="20"/>
              </w:rPr>
            </w:pPr>
            <w:r w:rsidRPr="00C91EA2">
              <w:rPr>
                <w:rFonts w:ascii="Times New Roman" w:hAnsi="Times New Roman" w:cs="Times New Roman"/>
                <w:sz w:val="20"/>
              </w:rPr>
              <w:t>High</w:t>
            </w:r>
          </w:p>
        </w:tc>
      </w:tr>
      <w:tr w:rsidR="00BB17ED" w:rsidRPr="00C91EA2" w14:paraId="602626F9" w14:textId="77777777" w:rsidTr="006D3557">
        <w:trPr>
          <w:trHeight w:val="23"/>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66DEDD15" w14:textId="145028B6" w:rsidR="00BB17ED" w:rsidRPr="00C91EA2" w:rsidRDefault="00BB17ED" w:rsidP="007575D7">
            <w:pPr>
              <w:pStyle w:val="HTMLPreformatted"/>
              <w:shd w:val="clear" w:color="auto" w:fill="FFFFFF"/>
              <w:jc w:val="both"/>
              <w:rPr>
                <w:rFonts w:ascii="Times New Roman" w:hAnsi="Times New Roman" w:cs="Times New Roman"/>
              </w:rPr>
            </w:pPr>
            <w:r>
              <w:rPr>
                <w:rFonts w:ascii="Times New Roman" w:hAnsi="Times New Roman" w:cs="Times New Roman"/>
              </w:rPr>
              <w:t>3</w:t>
            </w:r>
            <w:r w:rsidR="0095220A">
              <w:rPr>
                <w:rFonts w:ascii="Times New Roman" w:hAnsi="Times New Roman" w:cs="Times New Roman"/>
              </w:rPr>
              <w:t>.</w:t>
            </w:r>
            <w:r>
              <w:rPr>
                <w:rFonts w:ascii="Times New Roman" w:hAnsi="Times New Roman" w:cs="Times New Roman"/>
              </w:rPr>
              <w:t xml:space="preserve"> </w:t>
            </w:r>
            <w:r w:rsidRPr="00C91EA2">
              <w:rPr>
                <w:rFonts w:ascii="Times New Roman" w:hAnsi="Times New Roman" w:cs="Times New Roman"/>
              </w:rPr>
              <w:t>Consider whether ISRA could provide breeder seed to private players to allow for increased production</w:t>
            </w:r>
            <w:r w:rsidR="00710A35">
              <w:rPr>
                <w:rFonts w:ascii="Times New Roman" w:hAnsi="Times New Roman" w:cs="Times New Roman"/>
              </w:rPr>
              <w:t>.</w:t>
            </w:r>
            <w:r w:rsidR="00340811">
              <w:rPr>
                <w:rFonts w:ascii="Times New Roman" w:hAnsi="Times New Roman" w:cs="Times New Roman"/>
              </w:rPr>
              <w:t xml:space="preserve"> </w:t>
            </w:r>
            <w:r w:rsidR="001E4CE1">
              <w:rPr>
                <w:rFonts w:ascii="Times New Roman" w:hAnsi="Times New Roman" w:cs="Times New Roman"/>
              </w:rPr>
              <w:t>As a complementary measure</w:t>
            </w:r>
            <w:r w:rsidR="00340811">
              <w:rPr>
                <w:rFonts w:ascii="Times New Roman" w:hAnsi="Times New Roman" w:cs="Times New Roman"/>
              </w:rPr>
              <w:t xml:space="preserve">, </w:t>
            </w:r>
            <w:r w:rsidR="00340811" w:rsidRPr="007575D7">
              <w:rPr>
                <w:rFonts w:ascii="Times New Roman" w:hAnsi="Times New Roman" w:cs="Times New Roman" w:hint="eastAsia"/>
              </w:rPr>
              <w:t>identify ISRA’s public good elements and allocate funds.</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0ED45642" w14:textId="77777777" w:rsidR="00BB17ED" w:rsidRPr="00C91EA2" w:rsidRDefault="00BB17ED" w:rsidP="00D749D3">
            <w:pPr>
              <w:rPr>
                <w:rFonts w:ascii="Times New Roman" w:hAnsi="Times New Roman" w:cs="Times New Roman"/>
                <w:sz w:val="20"/>
              </w:rPr>
            </w:pPr>
            <w:r>
              <w:rPr>
                <w:rFonts w:ascii="Times New Roman" w:hAnsi="Times New Roman" w:cs="Times New Roman"/>
                <w:sz w:val="20"/>
              </w:rPr>
              <w:t>MAER, ISRA</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02FDDD79" w14:textId="62368351" w:rsidR="00BB17ED" w:rsidRPr="00C91EA2" w:rsidRDefault="000D2853" w:rsidP="00D749D3">
            <w:pPr>
              <w:rPr>
                <w:rFonts w:ascii="Times New Roman" w:hAnsi="Times New Roman" w:cs="Times New Roman"/>
                <w:sz w:val="20"/>
              </w:rPr>
            </w:pPr>
            <w:r w:rsidRPr="00C91EA2">
              <w:rPr>
                <w:rFonts w:ascii="Times New Roman" w:hAnsi="Times New Roman" w:cs="Times New Roman"/>
                <w:sz w:val="20"/>
              </w:rPr>
              <w:t>High</w:t>
            </w:r>
          </w:p>
        </w:tc>
      </w:tr>
      <w:tr w:rsidR="00BB17ED" w:rsidRPr="00C91EA2" w14:paraId="1522B4E5" w14:textId="77777777" w:rsidTr="006D3557">
        <w:trPr>
          <w:trHeight w:val="56"/>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32B20B42" w14:textId="77777777" w:rsidR="00BB17ED" w:rsidRPr="00C91EA2" w:rsidRDefault="00BB17ED" w:rsidP="007575D7">
            <w:pPr>
              <w:jc w:val="both"/>
              <w:rPr>
                <w:rFonts w:ascii="Times New Roman" w:hAnsi="Times New Roman" w:cs="Times New Roman"/>
                <w:sz w:val="20"/>
              </w:rPr>
            </w:pPr>
            <w:r>
              <w:rPr>
                <w:rFonts w:ascii="Times New Roman" w:hAnsi="Times New Roman" w:cs="Times New Roman"/>
                <w:sz w:val="20"/>
              </w:rPr>
              <w:t>4</w:t>
            </w:r>
            <w:r w:rsidR="0095220A">
              <w:rPr>
                <w:rFonts w:ascii="Times New Roman" w:hAnsi="Times New Roman" w:cs="Times New Roman"/>
                <w:sz w:val="20"/>
              </w:rPr>
              <w:t>.</w:t>
            </w:r>
            <w:r>
              <w:rPr>
                <w:rFonts w:ascii="Times New Roman" w:hAnsi="Times New Roman" w:cs="Times New Roman"/>
                <w:sz w:val="20"/>
              </w:rPr>
              <w:t xml:space="preserve"> </w:t>
            </w:r>
            <w:r w:rsidRPr="00C91EA2">
              <w:rPr>
                <w:rFonts w:ascii="Times New Roman" w:hAnsi="Times New Roman" w:cs="Times New Roman"/>
                <w:sz w:val="20"/>
              </w:rPr>
              <w:t>Refine and operationalize subsidy schemes which allow for competition between distributors/seed companies e.g. voucher scheme</w:t>
            </w:r>
            <w:r w:rsidR="00710A35">
              <w:rPr>
                <w:rFonts w:ascii="Times New Roman" w:hAnsi="Times New Roman" w:cs="Times New Roman"/>
                <w:sz w:val="20"/>
              </w:rPr>
              <w:t>.</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7366A390" w14:textId="77777777" w:rsidR="00BB17ED" w:rsidRPr="00C91EA2" w:rsidRDefault="00BB17ED" w:rsidP="00D749D3">
            <w:pPr>
              <w:rPr>
                <w:rFonts w:ascii="Times New Roman" w:hAnsi="Times New Roman" w:cs="Times New Roman"/>
                <w:sz w:val="20"/>
              </w:rPr>
            </w:pPr>
            <w:r>
              <w:rPr>
                <w:rFonts w:ascii="Times New Roman" w:hAnsi="Times New Roman" w:cs="Times New Roman"/>
                <w:sz w:val="20"/>
              </w:rPr>
              <w:t>MAER</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439DBB2E" w14:textId="77777777" w:rsidR="00BB17ED" w:rsidRPr="00C91EA2" w:rsidRDefault="00BB17ED" w:rsidP="00D749D3">
            <w:pPr>
              <w:rPr>
                <w:rFonts w:ascii="Times New Roman" w:hAnsi="Times New Roman" w:cs="Times New Roman"/>
                <w:sz w:val="20"/>
              </w:rPr>
            </w:pPr>
            <w:r w:rsidRPr="00C91EA2">
              <w:rPr>
                <w:rFonts w:ascii="Times New Roman" w:hAnsi="Times New Roman" w:cs="Times New Roman"/>
                <w:sz w:val="20"/>
              </w:rPr>
              <w:t>High</w:t>
            </w:r>
          </w:p>
        </w:tc>
      </w:tr>
      <w:tr w:rsidR="00BB17ED" w:rsidRPr="00C91EA2" w14:paraId="0F2D0BEC" w14:textId="77777777" w:rsidTr="006D3557">
        <w:trPr>
          <w:trHeight w:val="23"/>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6F827F38" w14:textId="77777777" w:rsidR="00BB17ED" w:rsidRPr="00C91EA2" w:rsidRDefault="00BB17ED" w:rsidP="007575D7">
            <w:pPr>
              <w:jc w:val="both"/>
              <w:rPr>
                <w:rFonts w:ascii="Times New Roman" w:hAnsi="Times New Roman" w:cs="Times New Roman"/>
                <w:sz w:val="20"/>
              </w:rPr>
            </w:pPr>
            <w:r>
              <w:rPr>
                <w:rFonts w:ascii="Times New Roman" w:hAnsi="Times New Roman" w:cs="Times New Roman"/>
                <w:sz w:val="20"/>
              </w:rPr>
              <w:t>5</w:t>
            </w:r>
            <w:r w:rsidR="0095220A">
              <w:rPr>
                <w:rFonts w:ascii="Times New Roman" w:hAnsi="Times New Roman" w:cs="Times New Roman"/>
                <w:sz w:val="20"/>
              </w:rPr>
              <w:t>.</w:t>
            </w:r>
            <w:r>
              <w:rPr>
                <w:rFonts w:ascii="Times New Roman" w:hAnsi="Times New Roman" w:cs="Times New Roman"/>
                <w:sz w:val="20"/>
              </w:rPr>
              <w:t xml:space="preserve"> </w:t>
            </w:r>
            <w:r w:rsidRPr="00C91EA2">
              <w:rPr>
                <w:rFonts w:ascii="Times New Roman" w:hAnsi="Times New Roman" w:cs="Times New Roman"/>
                <w:sz w:val="20"/>
              </w:rPr>
              <w:t xml:space="preserve">Allow private sector to choose geographical allocation of seeds based on demand, except in the case of market failures. </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7C5772DD" w14:textId="77777777" w:rsidR="00BB17ED" w:rsidRPr="00C91EA2" w:rsidRDefault="00BB17ED" w:rsidP="00D749D3">
            <w:pPr>
              <w:rPr>
                <w:rFonts w:ascii="Times New Roman" w:hAnsi="Times New Roman" w:cs="Times New Roman"/>
                <w:sz w:val="20"/>
              </w:rPr>
            </w:pPr>
            <w:r>
              <w:rPr>
                <w:rFonts w:ascii="Times New Roman" w:hAnsi="Times New Roman" w:cs="Times New Roman"/>
                <w:sz w:val="20"/>
              </w:rPr>
              <w:t>MAER</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41DE7B4D" w14:textId="77777777" w:rsidR="00BB17ED" w:rsidRPr="00C91EA2" w:rsidRDefault="00BB17ED" w:rsidP="00D749D3">
            <w:pPr>
              <w:rPr>
                <w:rFonts w:ascii="Times New Roman" w:hAnsi="Times New Roman" w:cs="Times New Roman"/>
                <w:sz w:val="20"/>
              </w:rPr>
            </w:pPr>
            <w:r w:rsidRPr="00C91EA2">
              <w:rPr>
                <w:rFonts w:ascii="Times New Roman" w:hAnsi="Times New Roman" w:cs="Times New Roman"/>
                <w:sz w:val="20"/>
              </w:rPr>
              <w:t>Medium</w:t>
            </w:r>
          </w:p>
        </w:tc>
      </w:tr>
      <w:tr w:rsidR="00BB17ED" w:rsidRPr="00C91EA2" w14:paraId="7EFDD43E" w14:textId="77777777" w:rsidTr="00D749D3">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4E2F1322" w14:textId="77777777" w:rsidR="00BB17ED" w:rsidRPr="00C91EA2" w:rsidRDefault="00BB17ED" w:rsidP="00D749D3">
            <w:pPr>
              <w:jc w:val="center"/>
              <w:rPr>
                <w:rFonts w:ascii="Times New Roman" w:hAnsi="Times New Roman" w:cs="Times New Roman"/>
                <w:sz w:val="20"/>
              </w:rPr>
            </w:pPr>
            <w:r w:rsidRPr="00C91EA2">
              <w:rPr>
                <w:rFonts w:ascii="Times New Roman" w:hAnsi="Times New Roman" w:cs="Times New Roman"/>
                <w:sz w:val="20"/>
              </w:rPr>
              <w:t>Fertilizer availability</w:t>
            </w:r>
          </w:p>
        </w:tc>
      </w:tr>
      <w:tr w:rsidR="00BB17ED" w:rsidRPr="00C91EA2" w14:paraId="1120B039" w14:textId="77777777" w:rsidTr="006D3557">
        <w:trPr>
          <w:trHeight w:val="23"/>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6AC44701" w14:textId="77777777" w:rsidR="00BB17ED" w:rsidRPr="00C91EA2" w:rsidRDefault="00BB17ED" w:rsidP="007575D7">
            <w:pPr>
              <w:jc w:val="both"/>
              <w:rPr>
                <w:rFonts w:ascii="Times New Roman" w:hAnsi="Times New Roman" w:cs="Times New Roman"/>
                <w:sz w:val="20"/>
              </w:rPr>
            </w:pPr>
            <w:r>
              <w:rPr>
                <w:rFonts w:ascii="Times New Roman" w:hAnsi="Times New Roman" w:cs="Times New Roman"/>
                <w:sz w:val="20"/>
              </w:rPr>
              <w:t>6</w:t>
            </w:r>
            <w:r w:rsidR="0095220A">
              <w:rPr>
                <w:rFonts w:ascii="Times New Roman" w:hAnsi="Times New Roman" w:cs="Times New Roman"/>
                <w:sz w:val="20"/>
              </w:rPr>
              <w:t>.</w:t>
            </w:r>
            <w:r>
              <w:rPr>
                <w:rFonts w:ascii="Times New Roman" w:hAnsi="Times New Roman" w:cs="Times New Roman"/>
                <w:sz w:val="20"/>
              </w:rPr>
              <w:t xml:space="preserve"> </w:t>
            </w:r>
            <w:r w:rsidRPr="00C91EA2">
              <w:rPr>
                <w:rFonts w:ascii="Times New Roman" w:hAnsi="Times New Roman" w:cs="Times New Roman"/>
                <w:sz w:val="20"/>
              </w:rPr>
              <w:t>Review the costs and benefits of maintaining restrictive formula specifications.</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06E4F491" w14:textId="77777777" w:rsidR="00BB17ED" w:rsidRPr="00C91EA2" w:rsidRDefault="00BB17ED" w:rsidP="00D749D3">
            <w:pPr>
              <w:rPr>
                <w:rFonts w:ascii="Times New Roman" w:hAnsi="Times New Roman" w:cs="Times New Roman"/>
                <w:sz w:val="20"/>
              </w:rPr>
            </w:pPr>
            <w:r>
              <w:rPr>
                <w:rFonts w:ascii="Times New Roman" w:hAnsi="Times New Roman" w:cs="Times New Roman"/>
                <w:sz w:val="20"/>
              </w:rPr>
              <w:t>MAER</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8871441" w14:textId="77777777" w:rsidR="00BB17ED" w:rsidRPr="00C91EA2" w:rsidRDefault="00BB17ED" w:rsidP="00D749D3">
            <w:pPr>
              <w:rPr>
                <w:rFonts w:ascii="Times New Roman" w:hAnsi="Times New Roman" w:cs="Times New Roman"/>
                <w:sz w:val="20"/>
              </w:rPr>
            </w:pPr>
            <w:r w:rsidRPr="00C91EA2">
              <w:rPr>
                <w:rFonts w:ascii="Times New Roman" w:hAnsi="Times New Roman" w:cs="Times New Roman"/>
                <w:sz w:val="20"/>
              </w:rPr>
              <w:t>High</w:t>
            </w:r>
          </w:p>
        </w:tc>
      </w:tr>
      <w:tr w:rsidR="000D2853" w:rsidRPr="00C91EA2" w14:paraId="6C6DB890" w14:textId="77777777" w:rsidTr="006D3557">
        <w:trPr>
          <w:trHeight w:val="23"/>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2E152D6F" w14:textId="77777777" w:rsidR="000D2853" w:rsidRPr="00C91EA2" w:rsidRDefault="000D2853" w:rsidP="000D2853">
            <w:pPr>
              <w:rPr>
                <w:rFonts w:ascii="Times New Roman" w:hAnsi="Times New Roman" w:cs="Times New Roman"/>
                <w:sz w:val="20"/>
              </w:rPr>
            </w:pPr>
            <w:r>
              <w:rPr>
                <w:rFonts w:ascii="Times New Roman" w:hAnsi="Times New Roman" w:cs="Times New Roman"/>
                <w:sz w:val="20"/>
              </w:rPr>
              <w:t xml:space="preserve">7. </w:t>
            </w:r>
            <w:r w:rsidRPr="00C91EA2">
              <w:rPr>
                <w:rFonts w:ascii="Times New Roman" w:hAnsi="Times New Roman" w:cs="Times New Roman"/>
                <w:sz w:val="20"/>
              </w:rPr>
              <w:t>Consider allowing bulk blends</w:t>
            </w:r>
            <w:r>
              <w:rPr>
                <w:rFonts w:ascii="Times New Roman" w:hAnsi="Times New Roman" w:cs="Times New Roman"/>
                <w:sz w:val="20"/>
              </w:rPr>
              <w:t>.</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7D7CD409" w14:textId="77777777" w:rsidR="000D2853" w:rsidRPr="00C91EA2" w:rsidRDefault="000D2853" w:rsidP="000D2853">
            <w:pPr>
              <w:rPr>
                <w:rFonts w:ascii="Times New Roman" w:hAnsi="Times New Roman" w:cs="Times New Roman"/>
                <w:sz w:val="20"/>
              </w:rPr>
            </w:pPr>
            <w:r>
              <w:rPr>
                <w:rFonts w:ascii="Times New Roman" w:hAnsi="Times New Roman" w:cs="Times New Roman"/>
                <w:sz w:val="20"/>
              </w:rPr>
              <w:t>MAER</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38DF5FDF" w14:textId="605892EA" w:rsidR="000D2853" w:rsidRPr="00C91EA2" w:rsidRDefault="000D2853" w:rsidP="000D2853">
            <w:pPr>
              <w:rPr>
                <w:rFonts w:ascii="Times New Roman" w:hAnsi="Times New Roman" w:cs="Times New Roman"/>
                <w:sz w:val="20"/>
              </w:rPr>
            </w:pPr>
            <w:r w:rsidRPr="000232DB">
              <w:rPr>
                <w:rFonts w:ascii="Times New Roman" w:hAnsi="Times New Roman" w:cs="Times New Roman"/>
                <w:sz w:val="20"/>
              </w:rPr>
              <w:t>High</w:t>
            </w:r>
          </w:p>
        </w:tc>
      </w:tr>
      <w:tr w:rsidR="000D2853" w:rsidRPr="00C91EA2" w14:paraId="3DFE622F" w14:textId="77777777" w:rsidTr="006D3557">
        <w:trPr>
          <w:trHeight w:val="23"/>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484E6240" w14:textId="77777777" w:rsidR="000D2853" w:rsidRPr="00C91EA2" w:rsidRDefault="000D2853" w:rsidP="007575D7">
            <w:pPr>
              <w:jc w:val="both"/>
              <w:rPr>
                <w:rFonts w:ascii="Times New Roman" w:hAnsi="Times New Roman" w:cs="Times New Roman"/>
                <w:sz w:val="20"/>
              </w:rPr>
            </w:pPr>
            <w:r>
              <w:rPr>
                <w:rFonts w:ascii="Times New Roman" w:hAnsi="Times New Roman" w:cs="Times New Roman"/>
                <w:sz w:val="20"/>
              </w:rPr>
              <w:t xml:space="preserve">8. </w:t>
            </w:r>
            <w:r w:rsidRPr="00C91EA2">
              <w:rPr>
                <w:rFonts w:ascii="Times New Roman" w:hAnsi="Times New Roman" w:cs="Times New Roman"/>
                <w:sz w:val="20"/>
              </w:rPr>
              <w:t>Formally delink tender award from bidder’s choice of supplier</w:t>
            </w:r>
            <w:r>
              <w:rPr>
                <w:rFonts w:ascii="Times New Roman" w:hAnsi="Times New Roman" w:cs="Times New Roman"/>
                <w:sz w:val="20"/>
              </w:rPr>
              <w:t>.</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021C077F" w14:textId="77777777" w:rsidR="000D2853" w:rsidRPr="00C91EA2" w:rsidRDefault="000D2853" w:rsidP="000D2853">
            <w:pPr>
              <w:rPr>
                <w:rFonts w:ascii="Times New Roman" w:hAnsi="Times New Roman" w:cs="Times New Roman"/>
                <w:sz w:val="20"/>
              </w:rPr>
            </w:pPr>
            <w:r>
              <w:rPr>
                <w:rFonts w:ascii="Times New Roman" w:hAnsi="Times New Roman" w:cs="Times New Roman"/>
                <w:sz w:val="20"/>
              </w:rPr>
              <w:t>MAER</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0858493D" w14:textId="410908B4" w:rsidR="000D2853" w:rsidRPr="00C91EA2" w:rsidRDefault="000D2853" w:rsidP="000D2853">
            <w:pPr>
              <w:rPr>
                <w:rFonts w:ascii="Times New Roman" w:hAnsi="Times New Roman" w:cs="Times New Roman"/>
                <w:sz w:val="20"/>
              </w:rPr>
            </w:pPr>
            <w:r w:rsidRPr="000232DB">
              <w:rPr>
                <w:rFonts w:ascii="Times New Roman" w:hAnsi="Times New Roman" w:cs="Times New Roman"/>
                <w:sz w:val="20"/>
              </w:rPr>
              <w:t>High</w:t>
            </w:r>
          </w:p>
        </w:tc>
      </w:tr>
      <w:tr w:rsidR="000D2853" w:rsidRPr="00C91EA2" w14:paraId="276202AB" w14:textId="77777777" w:rsidTr="006D3557">
        <w:trPr>
          <w:trHeight w:val="196"/>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6309784F" w14:textId="77777777" w:rsidR="000D2853" w:rsidRPr="00C91EA2" w:rsidRDefault="000D2853" w:rsidP="007575D7">
            <w:pPr>
              <w:jc w:val="both"/>
              <w:rPr>
                <w:rFonts w:ascii="Times New Roman" w:hAnsi="Times New Roman" w:cs="Times New Roman"/>
                <w:sz w:val="20"/>
              </w:rPr>
            </w:pPr>
            <w:r>
              <w:rPr>
                <w:rFonts w:ascii="Times New Roman" w:hAnsi="Times New Roman" w:cs="Times New Roman"/>
                <w:sz w:val="20"/>
              </w:rPr>
              <w:t xml:space="preserve">9. </w:t>
            </w:r>
            <w:r w:rsidRPr="00C91EA2">
              <w:rPr>
                <w:rFonts w:ascii="Times New Roman" w:hAnsi="Times New Roman" w:cs="Times New Roman"/>
                <w:sz w:val="20"/>
              </w:rPr>
              <w:t>Operationalize subsidy schemes which allow for competition between distributors and greater choice for consumers, e.g. voucher scheme</w:t>
            </w:r>
            <w:r>
              <w:rPr>
                <w:rFonts w:ascii="Times New Roman" w:hAnsi="Times New Roman" w:cs="Times New Roman"/>
                <w:sz w:val="20"/>
              </w:rPr>
              <w:t>.</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7D59580C" w14:textId="77777777" w:rsidR="000D2853" w:rsidRPr="00C91EA2" w:rsidRDefault="000D2853" w:rsidP="000D2853">
            <w:pPr>
              <w:rPr>
                <w:rFonts w:ascii="Times New Roman" w:hAnsi="Times New Roman" w:cs="Times New Roman"/>
                <w:sz w:val="20"/>
              </w:rPr>
            </w:pPr>
            <w:r>
              <w:rPr>
                <w:rFonts w:ascii="Times New Roman" w:hAnsi="Times New Roman" w:cs="Times New Roman"/>
                <w:sz w:val="20"/>
              </w:rPr>
              <w:t>MAER</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6793AD08" w14:textId="129FB83C" w:rsidR="000D2853" w:rsidRPr="00C91EA2" w:rsidRDefault="000D2853" w:rsidP="000D2853">
            <w:pPr>
              <w:rPr>
                <w:rFonts w:ascii="Times New Roman" w:hAnsi="Times New Roman" w:cs="Times New Roman"/>
                <w:sz w:val="20"/>
              </w:rPr>
            </w:pPr>
            <w:r w:rsidRPr="000232DB">
              <w:rPr>
                <w:rFonts w:ascii="Times New Roman" w:hAnsi="Times New Roman" w:cs="Times New Roman"/>
                <w:sz w:val="20"/>
              </w:rPr>
              <w:t>High</w:t>
            </w:r>
          </w:p>
        </w:tc>
      </w:tr>
      <w:tr w:rsidR="000D2853" w:rsidRPr="00C91EA2" w14:paraId="28985503" w14:textId="77777777" w:rsidTr="006D3557">
        <w:trPr>
          <w:trHeight w:val="196"/>
        </w:trPr>
        <w:tc>
          <w:tcPr>
            <w:tcW w:w="3045" w:type="pct"/>
            <w:gridSpan w:val="3"/>
            <w:tcBorders>
              <w:top w:val="single" w:sz="6" w:space="0" w:color="002245"/>
              <w:left w:val="single" w:sz="6" w:space="0" w:color="002245"/>
              <w:bottom w:val="single" w:sz="6" w:space="0" w:color="002245"/>
              <w:right w:val="nil"/>
            </w:tcBorders>
            <w:tcMar>
              <w:top w:w="72" w:type="dxa"/>
              <w:left w:w="144" w:type="dxa"/>
              <w:bottom w:w="72" w:type="dxa"/>
              <w:right w:w="144" w:type="dxa"/>
            </w:tcMar>
          </w:tcPr>
          <w:p w14:paraId="760D3023" w14:textId="0F4673A5" w:rsidR="000D2853" w:rsidRDefault="000D2853" w:rsidP="007575D7">
            <w:pPr>
              <w:jc w:val="both"/>
              <w:rPr>
                <w:rFonts w:ascii="Times New Roman" w:hAnsi="Times New Roman" w:cs="Times New Roman"/>
                <w:sz w:val="20"/>
              </w:rPr>
            </w:pPr>
            <w:r>
              <w:rPr>
                <w:rFonts w:ascii="Times New Roman" w:hAnsi="Times New Roman" w:cs="Times New Roman"/>
                <w:sz w:val="20"/>
              </w:rPr>
              <w:t xml:space="preserve">10. </w:t>
            </w:r>
            <w:r w:rsidR="001E4CE1">
              <w:rPr>
                <w:rFonts w:ascii="Times New Roman" w:hAnsi="Times New Roman" w:cs="Times New Roman"/>
                <w:sz w:val="20"/>
              </w:rPr>
              <w:t>As a complementary measure, c</w:t>
            </w:r>
            <w:r w:rsidRPr="007575D7">
              <w:rPr>
                <w:rFonts w:ascii="Times New Roman" w:hAnsi="Times New Roman" w:cs="Times New Roman"/>
                <w:sz w:val="20"/>
              </w:rPr>
              <w:t>onsider State support for inputs (fertilizers and seeds) in th</w:t>
            </w:r>
            <w:r w:rsidR="001E4CE1">
              <w:rPr>
                <w:rFonts w:ascii="Times New Roman" w:hAnsi="Times New Roman" w:cs="Times New Roman"/>
                <w:sz w:val="20"/>
              </w:rPr>
              <w:t>e</w:t>
            </w:r>
            <w:r w:rsidRPr="007575D7">
              <w:rPr>
                <w:rFonts w:ascii="Times New Roman" w:hAnsi="Times New Roman" w:cs="Times New Roman"/>
                <w:sz w:val="20"/>
              </w:rPr>
              <w:t xml:space="preserve"> context of contract farming schemes </w:t>
            </w:r>
            <w:r w:rsidRPr="003D5CA9">
              <w:rPr>
                <w:rFonts w:ascii="Times New Roman" w:hAnsi="Times New Roman" w:cs="Times New Roman"/>
                <w:sz w:val="20"/>
              </w:rPr>
              <w:t xml:space="preserve">to promote diversification, </w:t>
            </w:r>
            <w:r w:rsidRPr="007575D7">
              <w:rPr>
                <w:rFonts w:ascii="Times New Roman" w:hAnsi="Times New Roman" w:cs="Times New Roman"/>
                <w:sz w:val="20"/>
              </w:rPr>
              <w:t xml:space="preserve">and </w:t>
            </w:r>
            <w:r w:rsidRPr="003D5CA9">
              <w:rPr>
                <w:rFonts w:ascii="Times New Roman" w:hAnsi="Times New Roman" w:cs="Times New Roman"/>
                <w:sz w:val="20"/>
              </w:rPr>
              <w:t xml:space="preserve">the dissemination of </w:t>
            </w:r>
            <w:r w:rsidR="001E4CE1">
              <w:rPr>
                <w:rFonts w:ascii="Times New Roman" w:hAnsi="Times New Roman" w:cs="Times New Roman"/>
                <w:sz w:val="20"/>
              </w:rPr>
              <w:t>climate-smart agriculture</w:t>
            </w:r>
            <w:r w:rsidRPr="003D5CA9">
              <w:rPr>
                <w:rFonts w:ascii="Times New Roman" w:hAnsi="Times New Roman" w:cs="Times New Roman"/>
                <w:sz w:val="20"/>
              </w:rPr>
              <w:t xml:space="preserve"> technologies</w:t>
            </w:r>
            <w:r w:rsidRPr="007575D7">
              <w:rPr>
                <w:rFonts w:ascii="Times New Roman" w:hAnsi="Times New Roman" w:cs="Times New Roman"/>
                <w:sz w:val="20"/>
              </w:rPr>
              <w:t>, especially</w:t>
            </w:r>
            <w:r w:rsidRPr="003D5CA9">
              <w:rPr>
                <w:rFonts w:ascii="Times New Roman" w:hAnsi="Times New Roman" w:cs="Times New Roman"/>
                <w:sz w:val="20"/>
              </w:rPr>
              <w:t xml:space="preserve"> to boost production in areas affected by climate shocks.</w:t>
            </w:r>
          </w:p>
        </w:tc>
        <w:tc>
          <w:tcPr>
            <w:tcW w:w="1163" w:type="pct"/>
            <w:gridSpan w:val="3"/>
            <w:tcBorders>
              <w:top w:val="single" w:sz="6" w:space="0" w:color="002245"/>
              <w:left w:val="nil"/>
              <w:bottom w:val="single" w:sz="6" w:space="0" w:color="002245"/>
              <w:right w:val="nil"/>
            </w:tcBorders>
            <w:tcMar>
              <w:top w:w="72" w:type="dxa"/>
              <w:left w:w="144" w:type="dxa"/>
              <w:bottom w:w="72" w:type="dxa"/>
              <w:right w:w="144" w:type="dxa"/>
            </w:tcMar>
          </w:tcPr>
          <w:p w14:paraId="72FC9CA2" w14:textId="77777777" w:rsidR="000D2853" w:rsidRDefault="000D2853" w:rsidP="000D2853">
            <w:pPr>
              <w:rPr>
                <w:rFonts w:ascii="Times New Roman" w:hAnsi="Times New Roman" w:cs="Times New Roman"/>
                <w:sz w:val="20"/>
              </w:rPr>
            </w:pPr>
            <w:r>
              <w:rPr>
                <w:rFonts w:ascii="Times New Roman" w:hAnsi="Times New Roman" w:cs="Times New Roman"/>
                <w:sz w:val="20"/>
              </w:rPr>
              <w:t>MAER, ISRA</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tcPr>
          <w:p w14:paraId="6011DEAC" w14:textId="77777777" w:rsidR="000D2853" w:rsidRPr="00C91EA2" w:rsidRDefault="000D2853" w:rsidP="000D2853">
            <w:pPr>
              <w:rPr>
                <w:rFonts w:ascii="Times New Roman" w:hAnsi="Times New Roman" w:cs="Times New Roman"/>
                <w:sz w:val="20"/>
              </w:rPr>
            </w:pPr>
            <w:r w:rsidRPr="000232DB">
              <w:rPr>
                <w:rFonts w:ascii="Times New Roman" w:hAnsi="Times New Roman" w:cs="Times New Roman"/>
                <w:sz w:val="20"/>
              </w:rPr>
              <w:t>High</w:t>
            </w:r>
          </w:p>
        </w:tc>
      </w:tr>
      <w:tr w:rsidR="00BB17ED" w:rsidRPr="00C91EA2" w14:paraId="26251D9D" w14:textId="77777777" w:rsidTr="00D749D3">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77021679" w14:textId="77777777" w:rsidR="00BB17ED" w:rsidRPr="00C91EA2" w:rsidRDefault="00BB17ED" w:rsidP="00D749D3">
            <w:pPr>
              <w:jc w:val="center"/>
              <w:rPr>
                <w:rFonts w:ascii="Times New Roman" w:hAnsi="Times New Roman" w:cs="Times New Roman"/>
                <w:sz w:val="20"/>
              </w:rPr>
            </w:pPr>
            <w:r w:rsidRPr="00C91EA2">
              <w:rPr>
                <w:rFonts w:ascii="Times New Roman" w:hAnsi="Times New Roman" w:cs="Times New Roman"/>
                <w:sz w:val="20"/>
              </w:rPr>
              <w:t>Farmer incomes</w:t>
            </w:r>
          </w:p>
        </w:tc>
      </w:tr>
      <w:tr w:rsidR="00BB17ED" w:rsidRPr="00C91EA2" w14:paraId="4823C4D4" w14:textId="77777777" w:rsidTr="00D41F9E">
        <w:trPr>
          <w:trHeight w:val="584"/>
        </w:trPr>
        <w:tc>
          <w:tcPr>
            <w:tcW w:w="2879"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78EDDB09" w14:textId="01DEB953" w:rsidR="00BB17ED" w:rsidRPr="00C91EA2" w:rsidRDefault="00BB17ED" w:rsidP="007575D7">
            <w:pPr>
              <w:jc w:val="both"/>
              <w:rPr>
                <w:rFonts w:ascii="Times New Roman" w:hAnsi="Times New Roman" w:cs="Times New Roman"/>
                <w:sz w:val="20"/>
              </w:rPr>
            </w:pPr>
            <w:r>
              <w:rPr>
                <w:rFonts w:ascii="Times New Roman" w:hAnsi="Times New Roman" w:cs="Times New Roman"/>
                <w:sz w:val="20"/>
              </w:rPr>
              <w:t>1</w:t>
            </w:r>
            <w:r w:rsidR="00B70B86">
              <w:rPr>
                <w:rFonts w:ascii="Times New Roman" w:hAnsi="Times New Roman" w:cs="Times New Roman"/>
                <w:sz w:val="20"/>
              </w:rPr>
              <w:t>1</w:t>
            </w:r>
            <w:r w:rsidR="0095220A">
              <w:rPr>
                <w:rFonts w:ascii="Times New Roman" w:hAnsi="Times New Roman" w:cs="Times New Roman"/>
                <w:sz w:val="20"/>
              </w:rPr>
              <w:t>.</w:t>
            </w:r>
            <w:r>
              <w:rPr>
                <w:rFonts w:ascii="Times New Roman" w:hAnsi="Times New Roman" w:cs="Times New Roman"/>
                <w:sz w:val="20"/>
              </w:rPr>
              <w:t xml:space="preserve"> </w:t>
            </w:r>
            <w:r w:rsidRPr="00C91EA2">
              <w:rPr>
                <w:rFonts w:ascii="Times New Roman" w:hAnsi="Times New Roman" w:cs="Times New Roman"/>
                <w:sz w:val="20"/>
              </w:rPr>
              <w:t>Consider reforming export restrictions</w:t>
            </w:r>
            <w:r w:rsidR="00C21B78">
              <w:rPr>
                <w:rFonts w:ascii="Times New Roman" w:hAnsi="Times New Roman" w:cs="Times New Roman"/>
                <w:sz w:val="20"/>
              </w:rPr>
              <w:t xml:space="preserve">, such as </w:t>
            </w:r>
            <w:r w:rsidR="00C3705B">
              <w:rPr>
                <w:rFonts w:ascii="Times New Roman" w:hAnsi="Times New Roman" w:cs="Times New Roman"/>
                <w:sz w:val="20"/>
              </w:rPr>
              <w:t xml:space="preserve">the </w:t>
            </w:r>
            <w:r w:rsidR="00C21B78">
              <w:rPr>
                <w:rFonts w:ascii="Times New Roman" w:hAnsi="Times New Roman" w:cs="Times New Roman"/>
                <w:sz w:val="20"/>
              </w:rPr>
              <w:t>export tax on groundnuts.</w:t>
            </w:r>
          </w:p>
        </w:tc>
        <w:tc>
          <w:tcPr>
            <w:tcW w:w="1329"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57F8E1A7" w14:textId="5878649E" w:rsidR="00BB17ED" w:rsidRPr="00C91EA2" w:rsidRDefault="003B24ED" w:rsidP="00D749D3">
            <w:pPr>
              <w:rPr>
                <w:rFonts w:ascii="Times New Roman" w:hAnsi="Times New Roman" w:cs="Times New Roman"/>
                <w:sz w:val="20"/>
              </w:rPr>
            </w:pPr>
            <w:r>
              <w:rPr>
                <w:rFonts w:ascii="Times New Roman" w:hAnsi="Times New Roman" w:cs="Times New Roman"/>
                <w:sz w:val="20"/>
              </w:rPr>
              <w:t>Government</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01F5A767" w14:textId="77777777" w:rsidR="00BB17ED" w:rsidRPr="00C91EA2" w:rsidRDefault="00BB17ED" w:rsidP="00D749D3">
            <w:pPr>
              <w:rPr>
                <w:rFonts w:ascii="Times New Roman" w:hAnsi="Times New Roman" w:cs="Times New Roman"/>
                <w:sz w:val="20"/>
              </w:rPr>
            </w:pPr>
            <w:r w:rsidRPr="00C91EA2">
              <w:rPr>
                <w:rFonts w:ascii="Times New Roman" w:hAnsi="Times New Roman" w:cs="Times New Roman"/>
                <w:sz w:val="20"/>
              </w:rPr>
              <w:t>High</w:t>
            </w:r>
          </w:p>
        </w:tc>
      </w:tr>
      <w:tr w:rsidR="00BB17ED" w:rsidRPr="00C91EA2" w14:paraId="30F1BA71" w14:textId="77777777" w:rsidTr="00D41F9E">
        <w:trPr>
          <w:trHeight w:val="532"/>
        </w:trPr>
        <w:tc>
          <w:tcPr>
            <w:tcW w:w="2879"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1F42CB84" w14:textId="1DB8D579" w:rsidR="00BB17ED" w:rsidRPr="00C91EA2" w:rsidRDefault="00BB17ED" w:rsidP="007575D7">
            <w:pPr>
              <w:jc w:val="both"/>
              <w:rPr>
                <w:rFonts w:ascii="Times New Roman" w:hAnsi="Times New Roman" w:cs="Times New Roman"/>
                <w:sz w:val="20"/>
              </w:rPr>
            </w:pPr>
            <w:r>
              <w:rPr>
                <w:rFonts w:ascii="Times New Roman" w:hAnsi="Times New Roman" w:cs="Times New Roman"/>
                <w:sz w:val="20"/>
              </w:rPr>
              <w:t>1</w:t>
            </w:r>
            <w:r w:rsidR="00B70B86">
              <w:rPr>
                <w:rFonts w:ascii="Times New Roman" w:hAnsi="Times New Roman" w:cs="Times New Roman"/>
                <w:sz w:val="20"/>
              </w:rPr>
              <w:t>2</w:t>
            </w:r>
            <w:r w:rsidR="0095220A">
              <w:rPr>
                <w:rFonts w:ascii="Times New Roman" w:hAnsi="Times New Roman" w:cs="Times New Roman"/>
                <w:sz w:val="20"/>
              </w:rPr>
              <w:t>.</w:t>
            </w:r>
            <w:r>
              <w:rPr>
                <w:rFonts w:ascii="Times New Roman" w:hAnsi="Times New Roman" w:cs="Times New Roman"/>
                <w:sz w:val="20"/>
              </w:rPr>
              <w:t xml:space="preserve"> </w:t>
            </w:r>
            <w:r w:rsidRPr="00C91EA2">
              <w:rPr>
                <w:rFonts w:ascii="Times New Roman" w:hAnsi="Times New Roman" w:cs="Times New Roman"/>
                <w:sz w:val="20"/>
              </w:rPr>
              <w:t xml:space="preserve">Review the role of the CNIA in the development of the sector. Develop guidelines on its mandate to rationalize its involvement in determining market parameters (e.g. prices and geographic allocation) and on exchange of information </w:t>
            </w:r>
            <w:proofErr w:type="gramStart"/>
            <w:r w:rsidRPr="00C91EA2">
              <w:rPr>
                <w:rFonts w:ascii="Times New Roman" w:hAnsi="Times New Roman" w:cs="Times New Roman"/>
                <w:sz w:val="20"/>
              </w:rPr>
              <w:t>in order to</w:t>
            </w:r>
            <w:proofErr w:type="gramEnd"/>
            <w:r w:rsidRPr="00C91EA2">
              <w:rPr>
                <w:rFonts w:ascii="Times New Roman" w:hAnsi="Times New Roman" w:cs="Times New Roman"/>
                <w:sz w:val="20"/>
              </w:rPr>
              <w:t xml:space="preserve"> minimize the risk of facilitating anticompetitive outcomes</w:t>
            </w:r>
            <w:r>
              <w:rPr>
                <w:rFonts w:ascii="Times New Roman" w:hAnsi="Times New Roman" w:cs="Times New Roman"/>
                <w:sz w:val="20"/>
              </w:rPr>
              <w:t>.</w:t>
            </w:r>
          </w:p>
        </w:tc>
        <w:tc>
          <w:tcPr>
            <w:tcW w:w="1329"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608650E8" w14:textId="77777777" w:rsidR="00BB17ED" w:rsidRPr="00C91EA2" w:rsidRDefault="00BB17ED" w:rsidP="00D749D3">
            <w:pPr>
              <w:rPr>
                <w:rFonts w:ascii="Times New Roman" w:hAnsi="Times New Roman" w:cs="Times New Roman"/>
                <w:sz w:val="20"/>
              </w:rPr>
            </w:pPr>
            <w:r>
              <w:rPr>
                <w:rFonts w:ascii="Times New Roman" w:hAnsi="Times New Roman" w:cs="Times New Roman"/>
                <w:sz w:val="20"/>
              </w:rPr>
              <w:t>CNIA, CNIA stakeholders, MAER</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BDAB8D6" w14:textId="77777777" w:rsidR="00BB17ED" w:rsidRPr="00C91EA2" w:rsidRDefault="00BB17ED" w:rsidP="00D749D3">
            <w:pPr>
              <w:rPr>
                <w:rFonts w:ascii="Times New Roman" w:hAnsi="Times New Roman" w:cs="Times New Roman"/>
                <w:sz w:val="20"/>
              </w:rPr>
            </w:pPr>
            <w:r w:rsidRPr="00C91EA2">
              <w:rPr>
                <w:rFonts w:ascii="Times New Roman" w:hAnsi="Times New Roman" w:cs="Times New Roman"/>
                <w:sz w:val="20"/>
              </w:rPr>
              <w:t>High</w:t>
            </w:r>
          </w:p>
        </w:tc>
      </w:tr>
      <w:tr w:rsidR="00BB17ED" w:rsidRPr="00C91EA2" w14:paraId="67DF4B53" w14:textId="77777777" w:rsidTr="00D41F9E">
        <w:trPr>
          <w:trHeight w:val="584"/>
        </w:trPr>
        <w:tc>
          <w:tcPr>
            <w:tcW w:w="2879"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448A4C94" w14:textId="56E245CB" w:rsidR="00BB17ED" w:rsidRPr="00C91EA2" w:rsidRDefault="00BB17ED" w:rsidP="007575D7">
            <w:pPr>
              <w:jc w:val="both"/>
              <w:rPr>
                <w:rFonts w:ascii="Times New Roman" w:hAnsi="Times New Roman" w:cs="Times New Roman"/>
                <w:sz w:val="20"/>
              </w:rPr>
            </w:pPr>
            <w:r>
              <w:rPr>
                <w:rFonts w:ascii="Times New Roman" w:hAnsi="Times New Roman" w:cs="Times New Roman"/>
                <w:sz w:val="20"/>
              </w:rPr>
              <w:t>1</w:t>
            </w:r>
            <w:r w:rsidR="00B70B86">
              <w:rPr>
                <w:rFonts w:ascii="Times New Roman" w:hAnsi="Times New Roman" w:cs="Times New Roman"/>
                <w:sz w:val="20"/>
              </w:rPr>
              <w:t>3</w:t>
            </w:r>
            <w:r w:rsidR="0095220A">
              <w:rPr>
                <w:rFonts w:ascii="Times New Roman" w:hAnsi="Times New Roman" w:cs="Times New Roman"/>
                <w:sz w:val="20"/>
              </w:rPr>
              <w:t>.</w:t>
            </w:r>
            <w:r>
              <w:rPr>
                <w:rFonts w:ascii="Times New Roman" w:hAnsi="Times New Roman" w:cs="Times New Roman"/>
                <w:sz w:val="20"/>
              </w:rPr>
              <w:t xml:space="preserve"> </w:t>
            </w:r>
            <w:r w:rsidRPr="00C91EA2">
              <w:rPr>
                <w:rFonts w:ascii="Times New Roman" w:hAnsi="Times New Roman" w:cs="Times New Roman"/>
                <w:sz w:val="20"/>
              </w:rPr>
              <w:t>Review membership of the CNIA and develop guidance to ensure adequate representation of producers and new/potential entrants</w:t>
            </w:r>
            <w:r>
              <w:rPr>
                <w:rFonts w:ascii="Times New Roman" w:hAnsi="Times New Roman" w:cs="Times New Roman"/>
                <w:sz w:val="20"/>
              </w:rPr>
              <w:t>.</w:t>
            </w:r>
            <w:r w:rsidRPr="00C91EA2">
              <w:rPr>
                <w:rFonts w:ascii="Times New Roman" w:hAnsi="Times New Roman" w:cs="Times New Roman"/>
                <w:sz w:val="20"/>
              </w:rPr>
              <w:t xml:space="preserve"> </w:t>
            </w:r>
          </w:p>
        </w:tc>
        <w:tc>
          <w:tcPr>
            <w:tcW w:w="1329"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08A8A734" w14:textId="77777777" w:rsidR="00BB17ED" w:rsidRPr="00C91EA2" w:rsidRDefault="00BB17ED" w:rsidP="00D749D3">
            <w:pPr>
              <w:rPr>
                <w:rFonts w:ascii="Times New Roman" w:hAnsi="Times New Roman" w:cs="Times New Roman"/>
                <w:sz w:val="20"/>
              </w:rPr>
            </w:pPr>
            <w:r>
              <w:rPr>
                <w:rFonts w:ascii="Times New Roman" w:hAnsi="Times New Roman" w:cs="Times New Roman"/>
                <w:sz w:val="20"/>
              </w:rPr>
              <w:t>CNIA, CNIA stakeholders</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49233CC6" w14:textId="77777777" w:rsidR="00BB17ED" w:rsidRPr="00C91EA2" w:rsidRDefault="00BB17ED" w:rsidP="00D749D3">
            <w:pPr>
              <w:rPr>
                <w:rFonts w:ascii="Times New Roman" w:hAnsi="Times New Roman" w:cs="Times New Roman"/>
                <w:sz w:val="20"/>
              </w:rPr>
            </w:pPr>
            <w:r w:rsidRPr="00C91EA2">
              <w:rPr>
                <w:rFonts w:ascii="Times New Roman" w:hAnsi="Times New Roman" w:cs="Times New Roman"/>
                <w:sz w:val="20"/>
              </w:rPr>
              <w:t>High</w:t>
            </w:r>
          </w:p>
        </w:tc>
      </w:tr>
      <w:tr w:rsidR="00BB17ED" w:rsidRPr="00C91EA2" w14:paraId="20A6D9AB" w14:textId="77777777" w:rsidTr="00D41F9E">
        <w:trPr>
          <w:trHeight w:val="584"/>
        </w:trPr>
        <w:tc>
          <w:tcPr>
            <w:tcW w:w="2879"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7C598F5B" w14:textId="4F15DEF6" w:rsidR="00BB17ED" w:rsidRPr="007575D7" w:rsidRDefault="00BB17ED" w:rsidP="007575D7">
            <w:pPr>
              <w:pStyle w:val="HTMLPreformatted"/>
              <w:shd w:val="clear" w:color="auto" w:fill="FFFFFF"/>
              <w:rPr>
                <w:rFonts w:ascii="inherit" w:hAnsi="inherit"/>
                <w:color w:val="212121"/>
              </w:rPr>
            </w:pPr>
            <w:r>
              <w:rPr>
                <w:rFonts w:ascii="Times New Roman" w:hAnsi="Times New Roman" w:cs="Times New Roman"/>
              </w:rPr>
              <w:t>1</w:t>
            </w:r>
            <w:r w:rsidR="00B70B86">
              <w:rPr>
                <w:rFonts w:ascii="Times New Roman" w:hAnsi="Times New Roman" w:cs="Times New Roman"/>
              </w:rPr>
              <w:t>4</w:t>
            </w:r>
            <w:r w:rsidR="0095220A">
              <w:rPr>
                <w:rFonts w:ascii="Times New Roman" w:hAnsi="Times New Roman" w:cs="Times New Roman"/>
              </w:rPr>
              <w:t>.</w:t>
            </w:r>
            <w:r w:rsidR="00654395">
              <w:rPr>
                <w:rFonts w:ascii="Times New Roman" w:hAnsi="Times New Roman" w:cs="Times New Roman"/>
              </w:rPr>
              <w:t xml:space="preserve"> </w:t>
            </w:r>
            <w:r w:rsidR="00654395" w:rsidRPr="007575D7">
              <w:rPr>
                <w:rFonts w:ascii="Times New Roman" w:eastAsiaTheme="minorEastAsia" w:hAnsi="Times New Roman" w:cs="Times New Roman" w:hint="eastAsia"/>
                <w:szCs w:val="24"/>
              </w:rPr>
              <w:t>Remove restrictions that limit the number of buyers in a specific area (e</w:t>
            </w:r>
            <w:r w:rsidR="00C3705B">
              <w:rPr>
                <w:rFonts w:ascii="Times New Roman" w:eastAsiaTheme="minorEastAsia" w:hAnsi="Times New Roman" w:cs="Times New Roman"/>
                <w:szCs w:val="24"/>
              </w:rPr>
              <w:t>.</w:t>
            </w:r>
            <w:r w:rsidR="00654395" w:rsidRPr="007575D7">
              <w:rPr>
                <w:rFonts w:ascii="Times New Roman" w:eastAsiaTheme="minorEastAsia" w:hAnsi="Times New Roman" w:cs="Times New Roman" w:hint="eastAsia"/>
                <w:szCs w:val="24"/>
              </w:rPr>
              <w:t>g</w:t>
            </w:r>
            <w:r w:rsidR="00C3705B">
              <w:rPr>
                <w:rFonts w:ascii="Times New Roman" w:eastAsiaTheme="minorEastAsia" w:hAnsi="Times New Roman" w:cs="Times New Roman"/>
                <w:szCs w:val="24"/>
              </w:rPr>
              <w:t>.,</w:t>
            </w:r>
            <w:r w:rsidR="00654395" w:rsidRPr="007575D7">
              <w:rPr>
                <w:rFonts w:ascii="Times New Roman" w:eastAsiaTheme="minorEastAsia" w:hAnsi="Times New Roman" w:cs="Times New Roman" w:hint="eastAsia"/>
                <w:szCs w:val="24"/>
              </w:rPr>
              <w:t xml:space="preserve"> collection point restrictions specified by CNIA), including those affecting exporters</w:t>
            </w:r>
            <w:r w:rsidR="00654395">
              <w:rPr>
                <w:rFonts w:ascii="Times New Roman" w:eastAsiaTheme="minorEastAsia" w:hAnsi="Times New Roman" w:cs="Times New Roman"/>
                <w:szCs w:val="24"/>
              </w:rPr>
              <w:t>.</w:t>
            </w:r>
          </w:p>
        </w:tc>
        <w:tc>
          <w:tcPr>
            <w:tcW w:w="1329"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12DD9EF5" w14:textId="77777777" w:rsidR="00BB17ED" w:rsidRPr="00C91EA2" w:rsidRDefault="00BB17ED" w:rsidP="00D749D3">
            <w:pPr>
              <w:rPr>
                <w:rFonts w:ascii="Times New Roman" w:hAnsi="Times New Roman" w:cs="Times New Roman"/>
                <w:sz w:val="20"/>
              </w:rPr>
            </w:pPr>
            <w:r>
              <w:rPr>
                <w:rFonts w:ascii="Times New Roman" w:hAnsi="Times New Roman" w:cs="Times New Roman"/>
                <w:sz w:val="20"/>
              </w:rPr>
              <w:t>CNIA, MAER</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5B27CB15" w14:textId="77777777" w:rsidR="00BB17ED" w:rsidRPr="00C91EA2" w:rsidRDefault="00BB17ED" w:rsidP="00D749D3">
            <w:pPr>
              <w:rPr>
                <w:rFonts w:ascii="Times New Roman" w:hAnsi="Times New Roman" w:cs="Times New Roman"/>
                <w:sz w:val="20"/>
              </w:rPr>
            </w:pPr>
            <w:r w:rsidRPr="00C91EA2">
              <w:rPr>
                <w:rFonts w:ascii="Times New Roman" w:hAnsi="Times New Roman" w:cs="Times New Roman"/>
                <w:sz w:val="20"/>
              </w:rPr>
              <w:t>Medium</w:t>
            </w:r>
          </w:p>
        </w:tc>
      </w:tr>
      <w:tr w:rsidR="006D3557" w:rsidRPr="00C91EA2" w14:paraId="222B4923" w14:textId="77777777" w:rsidTr="00D41F9E">
        <w:trPr>
          <w:trHeight w:val="584"/>
        </w:trPr>
        <w:tc>
          <w:tcPr>
            <w:tcW w:w="2879"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3BF94452" w14:textId="77777777" w:rsidR="006D3557" w:rsidRDefault="006D3557" w:rsidP="007575D7">
            <w:pPr>
              <w:pStyle w:val="HTMLPreformatted"/>
              <w:shd w:val="clear" w:color="auto" w:fill="FFFFFF"/>
              <w:jc w:val="both"/>
              <w:rPr>
                <w:rFonts w:ascii="inherit" w:hAnsi="inherit"/>
                <w:color w:val="212121"/>
              </w:rPr>
            </w:pPr>
            <w:r>
              <w:rPr>
                <w:rFonts w:ascii="Times New Roman" w:hAnsi="Times New Roman" w:cs="Times New Roman"/>
              </w:rPr>
              <w:t xml:space="preserve">1.15 </w:t>
            </w:r>
            <w:r w:rsidRPr="003D5CA9">
              <w:rPr>
                <w:rFonts w:ascii="Times New Roman" w:eastAsiaTheme="minorEastAsia" w:hAnsi="Times New Roman" w:cs="Times New Roman"/>
                <w:szCs w:val="24"/>
              </w:rPr>
              <w:t>Strengthen the efficiency of input distribution markets and access to finance during sowing seasons</w:t>
            </w:r>
            <w:r>
              <w:rPr>
                <w:rFonts w:ascii="Times New Roman" w:eastAsiaTheme="minorEastAsia" w:hAnsi="Times New Roman" w:cs="Times New Roman"/>
                <w:szCs w:val="24"/>
              </w:rPr>
              <w:t>.</w:t>
            </w:r>
          </w:p>
          <w:p w14:paraId="64BED767" w14:textId="256B5C70" w:rsidR="006D3557" w:rsidRPr="00C91EA2" w:rsidRDefault="006D3557" w:rsidP="006D3557">
            <w:pPr>
              <w:rPr>
                <w:rFonts w:ascii="Times New Roman" w:hAnsi="Times New Roman" w:cs="Times New Roman"/>
                <w:sz w:val="20"/>
              </w:rPr>
            </w:pPr>
          </w:p>
        </w:tc>
        <w:tc>
          <w:tcPr>
            <w:tcW w:w="1329" w:type="pct"/>
            <w:gridSpan w:val="4"/>
            <w:tcBorders>
              <w:top w:val="single" w:sz="6" w:space="0" w:color="002245"/>
              <w:left w:val="nil"/>
              <w:bottom w:val="single" w:sz="6" w:space="0" w:color="002245"/>
              <w:right w:val="nil"/>
            </w:tcBorders>
            <w:tcMar>
              <w:top w:w="72" w:type="dxa"/>
              <w:left w:w="144" w:type="dxa"/>
              <w:bottom w:w="72" w:type="dxa"/>
              <w:right w:w="144" w:type="dxa"/>
            </w:tcMar>
            <w:hideMark/>
          </w:tcPr>
          <w:p w14:paraId="085A6D8D" w14:textId="22C5FFD8" w:rsidR="006D3557" w:rsidRPr="00C91EA2" w:rsidRDefault="006D3557" w:rsidP="006D3557">
            <w:pPr>
              <w:rPr>
                <w:rFonts w:ascii="Times New Roman" w:hAnsi="Times New Roman" w:cs="Times New Roman"/>
                <w:sz w:val="20"/>
              </w:rPr>
            </w:pPr>
            <w:r>
              <w:rPr>
                <w:rFonts w:ascii="Times New Roman" w:hAnsi="Times New Roman" w:cs="Times New Roman"/>
                <w:sz w:val="20"/>
              </w:rPr>
              <w:t>MAER</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029799E" w14:textId="77777777" w:rsidR="006D3557" w:rsidRPr="00C91EA2" w:rsidRDefault="006D3557" w:rsidP="006D3557">
            <w:pPr>
              <w:rPr>
                <w:rFonts w:ascii="Times New Roman" w:hAnsi="Times New Roman" w:cs="Times New Roman"/>
                <w:sz w:val="20"/>
              </w:rPr>
            </w:pPr>
            <w:r w:rsidRPr="00C91EA2">
              <w:rPr>
                <w:rFonts w:ascii="Times New Roman" w:hAnsi="Times New Roman" w:cs="Times New Roman"/>
                <w:sz w:val="20"/>
              </w:rPr>
              <w:t>Medium</w:t>
            </w:r>
          </w:p>
        </w:tc>
      </w:tr>
      <w:tr w:rsidR="00D41F9E" w:rsidRPr="00C91EA2" w14:paraId="6B28F153" w14:textId="77777777" w:rsidTr="00D41F9E">
        <w:trPr>
          <w:trHeight w:val="584"/>
        </w:trPr>
        <w:tc>
          <w:tcPr>
            <w:tcW w:w="2879" w:type="pct"/>
            <w:gridSpan w:val="2"/>
            <w:tcBorders>
              <w:top w:val="single" w:sz="6" w:space="0" w:color="002245"/>
              <w:left w:val="single" w:sz="6" w:space="0" w:color="002245"/>
              <w:bottom w:val="single" w:sz="6" w:space="0" w:color="002245"/>
              <w:right w:val="nil"/>
            </w:tcBorders>
            <w:tcMar>
              <w:top w:w="72" w:type="dxa"/>
              <w:left w:w="144" w:type="dxa"/>
              <w:bottom w:w="72" w:type="dxa"/>
              <w:right w:w="144" w:type="dxa"/>
            </w:tcMar>
          </w:tcPr>
          <w:p w14:paraId="71A19A08" w14:textId="20F4BC11" w:rsidR="00D41F9E" w:rsidRDefault="00D41F9E" w:rsidP="007575D7">
            <w:pPr>
              <w:pStyle w:val="HTMLPreformatted"/>
              <w:shd w:val="clear" w:color="auto" w:fill="FFFFFF"/>
              <w:jc w:val="both"/>
              <w:rPr>
                <w:rFonts w:ascii="inherit" w:hAnsi="inherit"/>
                <w:color w:val="212121"/>
              </w:rPr>
            </w:pPr>
            <w:r>
              <w:rPr>
                <w:rFonts w:ascii="Times New Roman" w:hAnsi="Times New Roman" w:cs="Times New Roman"/>
              </w:rPr>
              <w:t xml:space="preserve">1.16 </w:t>
            </w:r>
            <w:r w:rsidR="00C3705B">
              <w:rPr>
                <w:rFonts w:ascii="Times New Roman" w:hAnsi="Times New Roman" w:cs="Times New Roman"/>
              </w:rPr>
              <w:t xml:space="preserve">As a complementary measure, </w:t>
            </w:r>
            <w:r w:rsidR="00C3705B">
              <w:rPr>
                <w:rFonts w:ascii="Times New Roman" w:eastAsiaTheme="minorEastAsia" w:hAnsi="Times New Roman" w:cs="Times New Roman"/>
                <w:szCs w:val="24"/>
              </w:rPr>
              <w:t>p</w:t>
            </w:r>
            <w:r w:rsidRPr="003D5CA9">
              <w:rPr>
                <w:rFonts w:ascii="Times New Roman" w:eastAsiaTheme="minorEastAsia" w:hAnsi="Times New Roman" w:cs="Times New Roman"/>
                <w:szCs w:val="24"/>
              </w:rPr>
              <w:t>romote contract farming and better risk sharing between producers and buyers by encouraging them to become involved in production</w:t>
            </w:r>
            <w:r>
              <w:rPr>
                <w:rFonts w:ascii="Times New Roman" w:eastAsiaTheme="minorEastAsia" w:hAnsi="Times New Roman" w:cs="Times New Roman"/>
                <w:szCs w:val="24"/>
              </w:rPr>
              <w:t xml:space="preserve"> </w:t>
            </w:r>
            <w:r w:rsidRPr="003D5CA9">
              <w:rPr>
                <w:rFonts w:ascii="Times New Roman" w:eastAsiaTheme="minorEastAsia" w:hAnsi="Times New Roman" w:cs="Times New Roman"/>
                <w:szCs w:val="24"/>
              </w:rPr>
              <w:t>financing</w:t>
            </w:r>
            <w:r>
              <w:rPr>
                <w:rFonts w:ascii="Times New Roman" w:eastAsiaTheme="minorEastAsia" w:hAnsi="Times New Roman" w:cs="Times New Roman"/>
                <w:szCs w:val="24"/>
              </w:rPr>
              <w:t>.</w:t>
            </w:r>
          </w:p>
          <w:p w14:paraId="5F9F0856" w14:textId="77777777" w:rsidR="00D41F9E" w:rsidRDefault="00D41F9E" w:rsidP="00D41F9E">
            <w:pPr>
              <w:pStyle w:val="HTMLPreformatted"/>
              <w:shd w:val="clear" w:color="auto" w:fill="FFFFFF"/>
              <w:rPr>
                <w:rFonts w:ascii="Times New Roman" w:hAnsi="Times New Roman" w:cs="Times New Roman"/>
              </w:rPr>
            </w:pPr>
          </w:p>
        </w:tc>
        <w:tc>
          <w:tcPr>
            <w:tcW w:w="1329" w:type="pct"/>
            <w:gridSpan w:val="4"/>
            <w:tcBorders>
              <w:top w:val="single" w:sz="6" w:space="0" w:color="002245"/>
              <w:left w:val="nil"/>
              <w:bottom w:val="single" w:sz="6" w:space="0" w:color="002245"/>
              <w:right w:val="nil"/>
            </w:tcBorders>
            <w:tcMar>
              <w:top w:w="72" w:type="dxa"/>
              <w:left w:w="144" w:type="dxa"/>
              <w:bottom w:w="72" w:type="dxa"/>
              <w:right w:w="144" w:type="dxa"/>
            </w:tcMar>
          </w:tcPr>
          <w:p w14:paraId="730FA694" w14:textId="77777777" w:rsidR="00D41F9E" w:rsidRDefault="00D41F9E" w:rsidP="00D41F9E">
            <w:pPr>
              <w:rPr>
                <w:rFonts w:ascii="Times New Roman" w:hAnsi="Times New Roman" w:cs="Times New Roman"/>
                <w:sz w:val="20"/>
              </w:rPr>
            </w:pPr>
            <w:r>
              <w:rPr>
                <w:rFonts w:ascii="Times New Roman" w:hAnsi="Times New Roman" w:cs="Times New Roman"/>
                <w:sz w:val="20"/>
              </w:rPr>
              <w:t>CNIA, CNIA stakeholders</w:t>
            </w:r>
          </w:p>
        </w:tc>
        <w:tc>
          <w:tcPr>
            <w:tcW w:w="792" w:type="pct"/>
            <w:tcBorders>
              <w:top w:val="single" w:sz="6" w:space="0" w:color="002245"/>
              <w:left w:val="nil"/>
              <w:bottom w:val="single" w:sz="6" w:space="0" w:color="002245"/>
              <w:right w:val="single" w:sz="6" w:space="0" w:color="002245"/>
            </w:tcBorders>
            <w:tcMar>
              <w:top w:w="72" w:type="dxa"/>
              <w:left w:w="144" w:type="dxa"/>
              <w:bottom w:w="72" w:type="dxa"/>
              <w:right w:w="144" w:type="dxa"/>
            </w:tcMar>
          </w:tcPr>
          <w:p w14:paraId="3A7665B7" w14:textId="77777777" w:rsidR="00D41F9E" w:rsidRPr="00C91EA2" w:rsidRDefault="00D41F9E" w:rsidP="00D41F9E">
            <w:pPr>
              <w:rPr>
                <w:rFonts w:ascii="Times New Roman" w:hAnsi="Times New Roman" w:cs="Times New Roman"/>
                <w:sz w:val="20"/>
              </w:rPr>
            </w:pPr>
            <w:r>
              <w:rPr>
                <w:rFonts w:ascii="Times New Roman" w:hAnsi="Times New Roman" w:cs="Times New Roman"/>
                <w:sz w:val="20"/>
              </w:rPr>
              <w:t>High</w:t>
            </w:r>
          </w:p>
        </w:tc>
      </w:tr>
      <w:tr w:rsidR="00D41F9E" w:rsidRPr="00C91EA2" w14:paraId="61C32F27" w14:textId="77777777" w:rsidTr="00D749D3">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1CBEE0CF" w14:textId="77777777" w:rsidR="00D41F9E" w:rsidRPr="00C91EA2" w:rsidRDefault="00D41F9E" w:rsidP="00D41F9E">
            <w:pPr>
              <w:jc w:val="center"/>
              <w:rPr>
                <w:rFonts w:ascii="Times New Roman" w:hAnsi="Times New Roman" w:cs="Times New Roman"/>
                <w:sz w:val="20"/>
              </w:rPr>
            </w:pPr>
            <w:r w:rsidRPr="00C91EA2">
              <w:rPr>
                <w:rFonts w:ascii="Times New Roman" w:hAnsi="Times New Roman" w:cs="Times New Roman"/>
                <w:sz w:val="20"/>
              </w:rPr>
              <w:t>Throughput for local processors and building local value addition</w:t>
            </w:r>
            <w:r w:rsidR="00F37750">
              <w:rPr>
                <w:rStyle w:val="FootnoteReference"/>
                <w:rFonts w:ascii="Times New Roman" w:hAnsi="Times New Roman" w:cs="Times New Roman"/>
                <w:sz w:val="20"/>
              </w:rPr>
              <w:footnoteReference w:id="193"/>
            </w:r>
          </w:p>
        </w:tc>
      </w:tr>
      <w:tr w:rsidR="00D41F9E" w:rsidRPr="00C91EA2" w14:paraId="2F85412C" w14:textId="77777777" w:rsidTr="00D749D3">
        <w:trPr>
          <w:trHeight w:val="584"/>
        </w:trPr>
        <w:tc>
          <w:tcPr>
            <w:tcW w:w="5000" w:type="pct"/>
            <w:gridSpan w:val="7"/>
            <w:tcBorders>
              <w:top w:val="single" w:sz="6" w:space="0" w:color="002245"/>
              <w:left w:val="single" w:sz="6" w:space="0" w:color="002245"/>
              <w:bottom w:val="single" w:sz="6" w:space="0" w:color="002245"/>
              <w:right w:val="single" w:sz="6" w:space="0" w:color="002245"/>
            </w:tcBorders>
            <w:tcMar>
              <w:top w:w="72" w:type="dxa"/>
              <w:left w:w="144" w:type="dxa"/>
              <w:bottom w:w="72" w:type="dxa"/>
              <w:right w:w="144" w:type="dxa"/>
            </w:tcMar>
            <w:hideMark/>
          </w:tcPr>
          <w:p w14:paraId="17F4CFB9" w14:textId="77777777" w:rsidR="00D41F9E" w:rsidRPr="00C91EA2" w:rsidRDefault="00D41F9E" w:rsidP="00D41F9E">
            <w:pPr>
              <w:jc w:val="center"/>
              <w:rPr>
                <w:rFonts w:ascii="Times New Roman" w:hAnsi="Times New Roman" w:cs="Times New Roman"/>
                <w:sz w:val="20"/>
              </w:rPr>
            </w:pPr>
            <w:r w:rsidRPr="00C91EA2">
              <w:rPr>
                <w:rFonts w:ascii="Times New Roman" w:hAnsi="Times New Roman" w:cs="Times New Roman"/>
                <w:sz w:val="20"/>
              </w:rPr>
              <w:t>Overall drivers of throughput for local processors and building local value addition:</w:t>
            </w:r>
          </w:p>
          <w:p w14:paraId="25D1BCE8" w14:textId="77777777" w:rsidR="00D41F9E" w:rsidRPr="00C91EA2" w:rsidRDefault="00D41F9E" w:rsidP="00D41F9E">
            <w:pPr>
              <w:numPr>
                <w:ilvl w:val="0"/>
                <w:numId w:val="120"/>
              </w:numPr>
              <w:jc w:val="center"/>
              <w:rPr>
                <w:rFonts w:ascii="Times New Roman" w:hAnsi="Times New Roman" w:cs="Times New Roman"/>
                <w:sz w:val="20"/>
              </w:rPr>
            </w:pPr>
            <w:r w:rsidRPr="00C91EA2">
              <w:rPr>
                <w:rFonts w:ascii="Times New Roman" w:hAnsi="Times New Roman" w:cs="Times New Roman"/>
                <w:sz w:val="20"/>
              </w:rPr>
              <w:t>Competition in local processing drives efficient allocation of resources and boosts productivity</w:t>
            </w:r>
          </w:p>
          <w:p w14:paraId="7A48DBCE" w14:textId="77777777" w:rsidR="00D41F9E" w:rsidRPr="00C91EA2" w:rsidRDefault="00D41F9E" w:rsidP="00D41F9E">
            <w:pPr>
              <w:numPr>
                <w:ilvl w:val="0"/>
                <w:numId w:val="120"/>
              </w:numPr>
              <w:jc w:val="center"/>
              <w:rPr>
                <w:rFonts w:ascii="Times New Roman" w:hAnsi="Times New Roman" w:cs="Times New Roman"/>
                <w:sz w:val="20"/>
              </w:rPr>
            </w:pPr>
            <w:r w:rsidRPr="00C91EA2">
              <w:rPr>
                <w:rFonts w:ascii="Times New Roman" w:hAnsi="Times New Roman" w:cs="Times New Roman"/>
                <w:sz w:val="20"/>
              </w:rPr>
              <w:t>Competition in market for buying from farmers encourages participation of efficient firms in local processing</w:t>
            </w:r>
          </w:p>
          <w:p w14:paraId="582571A2" w14:textId="77777777" w:rsidR="00D41F9E" w:rsidRPr="00C91EA2" w:rsidRDefault="00D41F9E" w:rsidP="00D41F9E">
            <w:pPr>
              <w:jc w:val="center"/>
              <w:rPr>
                <w:rFonts w:ascii="Times New Roman" w:hAnsi="Times New Roman" w:cs="Times New Roman"/>
                <w:sz w:val="20"/>
              </w:rPr>
            </w:pPr>
            <w:r w:rsidRPr="00C91EA2">
              <w:rPr>
                <w:rFonts w:ascii="Times New Roman" w:hAnsi="Times New Roman" w:cs="Times New Roman"/>
                <w:sz w:val="20"/>
              </w:rPr>
              <w:t>These drivers can be achieved through implementing recommendations above– plus the following additional reforms…</w:t>
            </w:r>
          </w:p>
        </w:tc>
      </w:tr>
      <w:tr w:rsidR="00D41F9E" w:rsidRPr="00C91EA2" w14:paraId="636B8F24" w14:textId="77777777" w:rsidTr="00B770A8">
        <w:trPr>
          <w:trHeight w:val="584"/>
        </w:trPr>
        <w:tc>
          <w:tcPr>
            <w:tcW w:w="2670"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26220F5A" w14:textId="39D95253" w:rsidR="00D41F9E" w:rsidRPr="00C91EA2" w:rsidRDefault="00D41F9E" w:rsidP="007575D7">
            <w:pPr>
              <w:jc w:val="both"/>
              <w:rPr>
                <w:rFonts w:ascii="Times New Roman" w:hAnsi="Times New Roman" w:cs="Times New Roman"/>
                <w:sz w:val="20"/>
              </w:rPr>
            </w:pPr>
            <w:r>
              <w:rPr>
                <w:rFonts w:ascii="Times New Roman" w:hAnsi="Times New Roman" w:cs="Times New Roman"/>
                <w:sz w:val="20"/>
              </w:rPr>
              <w:t xml:space="preserve">17. </w:t>
            </w:r>
            <w:r w:rsidRPr="007575D7">
              <w:rPr>
                <w:rFonts w:ascii="Times New Roman" w:hAnsi="Times New Roman" w:cs="Times New Roman"/>
                <w:sz w:val="20"/>
              </w:rPr>
              <w:t xml:space="preserve">Accelerate incentives to increase the production of quality seeds to ensure adequate volumes for the local industry. Hence, facilitate competition between oil producers and other buyers, including </w:t>
            </w:r>
            <w:proofErr w:type="gramStart"/>
            <w:r w:rsidRPr="007575D7">
              <w:rPr>
                <w:rFonts w:ascii="Times New Roman" w:hAnsi="Times New Roman" w:cs="Times New Roman"/>
                <w:sz w:val="20"/>
              </w:rPr>
              <w:t>exporters.</w:t>
            </w:r>
            <w:r>
              <w:rPr>
                <w:rFonts w:ascii="Times New Roman" w:hAnsi="Times New Roman" w:cs="Times New Roman"/>
                <w:sz w:val="20"/>
              </w:rPr>
              <w:t>.</w:t>
            </w:r>
            <w:proofErr w:type="gramEnd"/>
          </w:p>
        </w:tc>
        <w:tc>
          <w:tcPr>
            <w:tcW w:w="1361"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03B3A56C" w14:textId="77777777" w:rsidR="00D41F9E" w:rsidRPr="00C91EA2" w:rsidRDefault="00D41F9E" w:rsidP="00D41F9E">
            <w:pPr>
              <w:rPr>
                <w:rFonts w:ascii="Times New Roman" w:hAnsi="Times New Roman" w:cs="Times New Roman"/>
                <w:sz w:val="20"/>
              </w:rPr>
            </w:pPr>
            <w:r>
              <w:rPr>
                <w:rFonts w:ascii="Times New Roman" w:hAnsi="Times New Roman" w:cs="Times New Roman"/>
                <w:sz w:val="20"/>
              </w:rPr>
              <w:t>MAER</w:t>
            </w:r>
          </w:p>
        </w:tc>
        <w:tc>
          <w:tcPr>
            <w:tcW w:w="969" w:type="pct"/>
            <w:gridSpan w:val="3"/>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1DDDDCC7" w14:textId="77777777" w:rsidR="00D41F9E" w:rsidRPr="00C91EA2" w:rsidRDefault="00D41F9E" w:rsidP="00D41F9E">
            <w:pPr>
              <w:rPr>
                <w:rFonts w:ascii="Times New Roman" w:hAnsi="Times New Roman" w:cs="Times New Roman"/>
                <w:sz w:val="20"/>
              </w:rPr>
            </w:pPr>
            <w:r w:rsidRPr="00C91EA2">
              <w:rPr>
                <w:rFonts w:ascii="Times New Roman" w:hAnsi="Times New Roman" w:cs="Times New Roman"/>
                <w:sz w:val="20"/>
              </w:rPr>
              <w:t>High</w:t>
            </w:r>
          </w:p>
        </w:tc>
      </w:tr>
      <w:tr w:rsidR="00D41F9E" w:rsidRPr="00C91EA2" w14:paraId="04DD67B6" w14:textId="77777777" w:rsidTr="00B770A8">
        <w:trPr>
          <w:trHeight w:val="584"/>
        </w:trPr>
        <w:tc>
          <w:tcPr>
            <w:tcW w:w="2670"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305F318B" w14:textId="61380527" w:rsidR="00D41F9E" w:rsidRDefault="00D41F9E" w:rsidP="00D41F9E">
            <w:pPr>
              <w:pStyle w:val="HTMLPreformatted"/>
              <w:shd w:val="clear" w:color="auto" w:fill="FFFFFF"/>
              <w:rPr>
                <w:rFonts w:ascii="inherit" w:hAnsi="inherit"/>
                <w:color w:val="212121"/>
              </w:rPr>
            </w:pPr>
            <w:r>
              <w:rPr>
                <w:rFonts w:ascii="Times New Roman" w:hAnsi="Times New Roman" w:cs="Times New Roman"/>
              </w:rPr>
              <w:t xml:space="preserve">18. </w:t>
            </w:r>
            <w:r w:rsidRPr="007575D7">
              <w:rPr>
                <w:rFonts w:ascii="Times New Roman" w:eastAsiaTheme="minorEastAsia" w:hAnsi="Times New Roman" w:cs="Times New Roman"/>
                <w:szCs w:val="24"/>
              </w:rPr>
              <w:t>Set clear objectives for state support to the industry through transparent criteria to minimize distortions, in the framework of contracts.</w:t>
            </w:r>
          </w:p>
          <w:p w14:paraId="4EFC76B0" w14:textId="27AADEF4" w:rsidR="00D41F9E" w:rsidRPr="00C91EA2" w:rsidRDefault="00D41F9E" w:rsidP="00D41F9E">
            <w:pPr>
              <w:rPr>
                <w:rFonts w:ascii="Times New Roman" w:hAnsi="Times New Roman" w:cs="Times New Roman"/>
                <w:sz w:val="20"/>
              </w:rPr>
            </w:pPr>
          </w:p>
        </w:tc>
        <w:tc>
          <w:tcPr>
            <w:tcW w:w="1361"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46622BEF" w14:textId="77777777" w:rsidR="00D41F9E" w:rsidRPr="00C91EA2" w:rsidRDefault="00D41F9E" w:rsidP="00D41F9E">
            <w:pPr>
              <w:rPr>
                <w:rFonts w:ascii="Times New Roman" w:hAnsi="Times New Roman" w:cs="Times New Roman"/>
                <w:sz w:val="20"/>
              </w:rPr>
            </w:pPr>
            <w:r>
              <w:rPr>
                <w:rFonts w:ascii="Times New Roman" w:hAnsi="Times New Roman" w:cs="Times New Roman"/>
                <w:sz w:val="20"/>
              </w:rPr>
              <w:t>MAER, Ministry of Finance</w:t>
            </w:r>
          </w:p>
        </w:tc>
        <w:tc>
          <w:tcPr>
            <w:tcW w:w="969" w:type="pct"/>
            <w:gridSpan w:val="3"/>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3F3C3C2D" w14:textId="77777777" w:rsidR="00D41F9E" w:rsidRPr="00C91EA2" w:rsidRDefault="00D41F9E" w:rsidP="00D41F9E">
            <w:pPr>
              <w:rPr>
                <w:rFonts w:ascii="Times New Roman" w:hAnsi="Times New Roman" w:cs="Times New Roman"/>
                <w:sz w:val="20"/>
              </w:rPr>
            </w:pPr>
            <w:r w:rsidRPr="00C91EA2">
              <w:rPr>
                <w:rFonts w:ascii="Times New Roman" w:hAnsi="Times New Roman" w:cs="Times New Roman"/>
                <w:sz w:val="20"/>
              </w:rPr>
              <w:t>High</w:t>
            </w:r>
          </w:p>
        </w:tc>
      </w:tr>
      <w:tr w:rsidR="00D41F9E" w:rsidRPr="00C91EA2" w14:paraId="01E9F43B" w14:textId="77777777" w:rsidTr="00B770A8">
        <w:trPr>
          <w:trHeight w:val="584"/>
        </w:trPr>
        <w:tc>
          <w:tcPr>
            <w:tcW w:w="2670"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3CE07108" w14:textId="61380769" w:rsidR="00D41F9E" w:rsidRPr="00C91EA2" w:rsidRDefault="00D41F9E" w:rsidP="007575D7">
            <w:pPr>
              <w:jc w:val="both"/>
              <w:rPr>
                <w:rFonts w:ascii="Times New Roman" w:hAnsi="Times New Roman" w:cs="Times New Roman"/>
                <w:sz w:val="20"/>
              </w:rPr>
            </w:pPr>
            <w:r>
              <w:rPr>
                <w:rFonts w:ascii="Times New Roman" w:hAnsi="Times New Roman" w:cs="Times New Roman"/>
                <w:sz w:val="20"/>
              </w:rPr>
              <w:t xml:space="preserve">19. </w:t>
            </w:r>
            <w:r w:rsidRPr="00C91EA2">
              <w:rPr>
                <w:rFonts w:ascii="Times New Roman" w:hAnsi="Times New Roman" w:cs="Times New Roman"/>
                <w:sz w:val="20"/>
              </w:rPr>
              <w:t>Consider removing set minimum farmgate price</w:t>
            </w:r>
            <w:r>
              <w:rPr>
                <w:rFonts w:ascii="Times New Roman" w:hAnsi="Times New Roman" w:cs="Times New Roman"/>
                <w:sz w:val="20"/>
              </w:rPr>
              <w:t>, while putting in place mechanisms to protect producers’ income (e.g.</w:t>
            </w:r>
            <w:r w:rsidRPr="00372E8D">
              <w:rPr>
                <w:rFonts w:ascii="Times New Roman" w:hAnsi="Times New Roman" w:cs="Times New Roman"/>
                <w:sz w:val="20"/>
              </w:rPr>
              <w:t xml:space="preserve"> </w:t>
            </w:r>
            <w:r w:rsidRPr="003D5CA9">
              <w:rPr>
                <w:rFonts w:ascii="Times New Roman" w:hAnsi="Times New Roman" w:cs="Times New Roman"/>
                <w:sz w:val="20"/>
              </w:rPr>
              <w:t>social protection measures; production and export insurance; warehouse receipt</w:t>
            </w:r>
            <w:r w:rsidR="009A141C">
              <w:rPr>
                <w:rFonts w:ascii="Times New Roman" w:hAnsi="Times New Roman" w:cs="Times New Roman"/>
                <w:sz w:val="20"/>
              </w:rPr>
              <w:t>s</w:t>
            </w:r>
            <w:r>
              <w:rPr>
                <w:rFonts w:ascii="Times New Roman" w:hAnsi="Times New Roman" w:cs="Times New Roman"/>
                <w:sz w:val="20"/>
              </w:rPr>
              <w:t>).</w:t>
            </w:r>
          </w:p>
        </w:tc>
        <w:tc>
          <w:tcPr>
            <w:tcW w:w="1361" w:type="pct"/>
            <w:gridSpan w:val="3"/>
            <w:tcBorders>
              <w:top w:val="single" w:sz="6" w:space="0" w:color="002245"/>
              <w:left w:val="nil"/>
              <w:bottom w:val="single" w:sz="6" w:space="0" w:color="002245"/>
              <w:right w:val="nil"/>
            </w:tcBorders>
            <w:tcMar>
              <w:top w:w="72" w:type="dxa"/>
              <w:left w:w="144" w:type="dxa"/>
              <w:bottom w:w="72" w:type="dxa"/>
              <w:right w:w="144" w:type="dxa"/>
            </w:tcMar>
            <w:hideMark/>
          </w:tcPr>
          <w:p w14:paraId="095D176D" w14:textId="77777777" w:rsidR="00D41F9E" w:rsidRPr="00C91EA2" w:rsidRDefault="00D41F9E" w:rsidP="00D41F9E">
            <w:pPr>
              <w:rPr>
                <w:rFonts w:ascii="Times New Roman" w:hAnsi="Times New Roman" w:cs="Times New Roman"/>
                <w:sz w:val="20"/>
              </w:rPr>
            </w:pPr>
            <w:r>
              <w:rPr>
                <w:rFonts w:ascii="Times New Roman" w:hAnsi="Times New Roman" w:cs="Times New Roman"/>
                <w:sz w:val="20"/>
              </w:rPr>
              <w:t>CNIA, MAER</w:t>
            </w:r>
          </w:p>
        </w:tc>
        <w:tc>
          <w:tcPr>
            <w:tcW w:w="969" w:type="pct"/>
            <w:gridSpan w:val="3"/>
            <w:tcBorders>
              <w:top w:val="single" w:sz="6" w:space="0" w:color="002245"/>
              <w:left w:val="nil"/>
              <w:bottom w:val="single" w:sz="6" w:space="0" w:color="002245"/>
              <w:right w:val="single" w:sz="6" w:space="0" w:color="002245"/>
            </w:tcBorders>
            <w:tcMar>
              <w:top w:w="72" w:type="dxa"/>
              <w:left w:w="144" w:type="dxa"/>
              <w:bottom w:w="72" w:type="dxa"/>
              <w:right w:w="144" w:type="dxa"/>
            </w:tcMar>
            <w:hideMark/>
          </w:tcPr>
          <w:p w14:paraId="53586A11" w14:textId="77777777" w:rsidR="00D41F9E" w:rsidRPr="00C91EA2" w:rsidRDefault="00D41F9E" w:rsidP="00D41F9E">
            <w:pPr>
              <w:rPr>
                <w:rFonts w:ascii="Times New Roman" w:hAnsi="Times New Roman" w:cs="Times New Roman"/>
                <w:sz w:val="20"/>
              </w:rPr>
            </w:pPr>
            <w:r w:rsidRPr="00C91EA2">
              <w:rPr>
                <w:rFonts w:ascii="Times New Roman" w:hAnsi="Times New Roman" w:cs="Times New Roman"/>
                <w:sz w:val="20"/>
              </w:rPr>
              <w:t>Medium</w:t>
            </w:r>
          </w:p>
        </w:tc>
      </w:tr>
      <w:tr w:rsidR="00B770A8" w:rsidRPr="00C91EA2" w14:paraId="6AFF938B" w14:textId="77777777" w:rsidTr="00B770A8">
        <w:trPr>
          <w:trHeight w:val="584"/>
        </w:trPr>
        <w:tc>
          <w:tcPr>
            <w:tcW w:w="2670" w:type="pct"/>
            <w:tcBorders>
              <w:top w:val="single" w:sz="6" w:space="0" w:color="002245"/>
              <w:left w:val="single" w:sz="6" w:space="0" w:color="002245"/>
              <w:bottom w:val="single" w:sz="6" w:space="0" w:color="002245"/>
              <w:right w:val="nil"/>
            </w:tcBorders>
            <w:tcMar>
              <w:top w:w="72" w:type="dxa"/>
              <w:left w:w="144" w:type="dxa"/>
              <w:bottom w:w="72" w:type="dxa"/>
              <w:right w:w="144" w:type="dxa"/>
            </w:tcMar>
          </w:tcPr>
          <w:p w14:paraId="074B3E0C" w14:textId="3D814001" w:rsidR="00B770A8" w:rsidRDefault="00B770A8" w:rsidP="007575D7">
            <w:pPr>
              <w:jc w:val="both"/>
              <w:rPr>
                <w:rFonts w:ascii="Times New Roman" w:hAnsi="Times New Roman" w:cs="Times New Roman"/>
                <w:sz w:val="20"/>
              </w:rPr>
            </w:pPr>
            <w:r>
              <w:rPr>
                <w:rFonts w:ascii="Times New Roman" w:hAnsi="Times New Roman" w:cs="Times New Roman"/>
                <w:sz w:val="20"/>
              </w:rPr>
              <w:t xml:space="preserve">20. </w:t>
            </w:r>
            <w:r w:rsidR="00F2230D">
              <w:rPr>
                <w:rFonts w:ascii="Times New Roman" w:hAnsi="Times New Roman" w:cs="Times New Roman"/>
                <w:sz w:val="20"/>
              </w:rPr>
              <w:t>As a complementary measure, c</w:t>
            </w:r>
            <w:r>
              <w:rPr>
                <w:rFonts w:ascii="Times New Roman" w:hAnsi="Times New Roman" w:cs="Times New Roman"/>
                <w:sz w:val="20"/>
              </w:rPr>
              <w:t xml:space="preserve">onsider investing in improving </w:t>
            </w:r>
            <w:r w:rsidRPr="003D5CA9">
              <w:rPr>
                <w:rFonts w:ascii="Times New Roman" w:hAnsi="Times New Roman" w:cs="Times New Roman"/>
                <w:sz w:val="20"/>
              </w:rPr>
              <w:t>quality standards and mechanisms for the detection and control of aflatoxin; setting</w:t>
            </w:r>
            <w:r>
              <w:rPr>
                <w:rFonts w:ascii="Times New Roman" w:hAnsi="Times New Roman" w:cs="Times New Roman"/>
                <w:sz w:val="20"/>
              </w:rPr>
              <w:t xml:space="preserve"> a strategy to respond the growing demand of the confectionery industry</w:t>
            </w:r>
            <w:r w:rsidRPr="003D5CA9">
              <w:rPr>
                <w:rFonts w:ascii="Times New Roman" w:hAnsi="Times New Roman" w:cs="Times New Roman"/>
                <w:sz w:val="20"/>
              </w:rPr>
              <w:t xml:space="preserve">; and </w:t>
            </w:r>
            <w:r>
              <w:rPr>
                <w:rFonts w:ascii="Times New Roman" w:hAnsi="Times New Roman" w:cs="Times New Roman"/>
                <w:sz w:val="20"/>
              </w:rPr>
              <w:t>leveraging on</w:t>
            </w:r>
            <w:r w:rsidRPr="00B9039B">
              <w:rPr>
                <w:rFonts w:ascii="Times New Roman" w:hAnsi="Times New Roman" w:cs="Times New Roman"/>
                <w:sz w:val="20"/>
              </w:rPr>
              <w:t xml:space="preserve"> digital economy opportunities to reduce costs and increase productivity</w:t>
            </w:r>
            <w:r>
              <w:rPr>
                <w:rFonts w:ascii="Times New Roman" w:hAnsi="Times New Roman" w:cs="Times New Roman"/>
                <w:sz w:val="20"/>
              </w:rPr>
              <w:t>.</w:t>
            </w:r>
          </w:p>
        </w:tc>
        <w:tc>
          <w:tcPr>
            <w:tcW w:w="1361" w:type="pct"/>
            <w:gridSpan w:val="3"/>
            <w:tcBorders>
              <w:top w:val="single" w:sz="6" w:space="0" w:color="002245"/>
              <w:left w:val="nil"/>
              <w:bottom w:val="single" w:sz="6" w:space="0" w:color="002245"/>
              <w:right w:val="nil"/>
            </w:tcBorders>
            <w:tcMar>
              <w:top w:w="72" w:type="dxa"/>
              <w:left w:w="144" w:type="dxa"/>
              <w:bottom w:w="72" w:type="dxa"/>
              <w:right w:w="144" w:type="dxa"/>
            </w:tcMar>
          </w:tcPr>
          <w:p w14:paraId="6C981831" w14:textId="77777777" w:rsidR="00B770A8" w:rsidRDefault="00B770A8" w:rsidP="00B770A8">
            <w:pPr>
              <w:rPr>
                <w:rFonts w:ascii="Times New Roman" w:hAnsi="Times New Roman" w:cs="Times New Roman"/>
                <w:sz w:val="20"/>
              </w:rPr>
            </w:pPr>
            <w:r>
              <w:rPr>
                <w:rFonts w:ascii="Times New Roman" w:hAnsi="Times New Roman" w:cs="Times New Roman"/>
                <w:sz w:val="20"/>
              </w:rPr>
              <w:t>MAER, Ministry of Finance</w:t>
            </w:r>
          </w:p>
        </w:tc>
        <w:tc>
          <w:tcPr>
            <w:tcW w:w="969" w:type="pct"/>
            <w:gridSpan w:val="3"/>
            <w:tcBorders>
              <w:top w:val="single" w:sz="6" w:space="0" w:color="002245"/>
              <w:left w:val="nil"/>
              <w:bottom w:val="single" w:sz="6" w:space="0" w:color="002245"/>
              <w:right w:val="single" w:sz="6" w:space="0" w:color="002245"/>
            </w:tcBorders>
            <w:tcMar>
              <w:top w:w="72" w:type="dxa"/>
              <w:left w:w="144" w:type="dxa"/>
              <w:bottom w:w="72" w:type="dxa"/>
              <w:right w:w="144" w:type="dxa"/>
            </w:tcMar>
          </w:tcPr>
          <w:p w14:paraId="21E50BBA" w14:textId="77777777" w:rsidR="00B770A8" w:rsidRPr="00C91EA2" w:rsidRDefault="00B770A8" w:rsidP="00B770A8">
            <w:pPr>
              <w:rPr>
                <w:rFonts w:ascii="Times New Roman" w:hAnsi="Times New Roman" w:cs="Times New Roman"/>
                <w:sz w:val="20"/>
              </w:rPr>
            </w:pPr>
            <w:r>
              <w:rPr>
                <w:rFonts w:ascii="Times New Roman" w:hAnsi="Times New Roman" w:cs="Times New Roman"/>
                <w:sz w:val="20"/>
              </w:rPr>
              <w:t>High</w:t>
            </w:r>
          </w:p>
        </w:tc>
      </w:tr>
      <w:tr w:rsidR="00B770A8" w:rsidRPr="00C91EA2" w14:paraId="57C55A42" w14:textId="77777777" w:rsidTr="00D749D3">
        <w:trPr>
          <w:trHeight w:val="23"/>
        </w:trPr>
        <w:tc>
          <w:tcPr>
            <w:tcW w:w="5000" w:type="pct"/>
            <w:gridSpan w:val="7"/>
            <w:tcBorders>
              <w:top w:val="single" w:sz="6" w:space="0" w:color="002245"/>
              <w:left w:val="single" w:sz="6" w:space="0" w:color="002245"/>
              <w:bottom w:val="single" w:sz="6" w:space="0" w:color="002245"/>
              <w:right w:val="single" w:sz="6" w:space="0" w:color="002245"/>
            </w:tcBorders>
            <w:shd w:val="clear" w:color="auto" w:fill="D3E9FF"/>
            <w:tcMar>
              <w:top w:w="72" w:type="dxa"/>
              <w:left w:w="144" w:type="dxa"/>
              <w:bottom w:w="72" w:type="dxa"/>
              <w:right w:w="144" w:type="dxa"/>
            </w:tcMar>
            <w:hideMark/>
          </w:tcPr>
          <w:p w14:paraId="69CC2571" w14:textId="77777777" w:rsidR="00B770A8" w:rsidRPr="00C91EA2" w:rsidRDefault="00B770A8" w:rsidP="00B770A8">
            <w:pPr>
              <w:jc w:val="center"/>
              <w:rPr>
                <w:rFonts w:ascii="Times New Roman" w:hAnsi="Times New Roman" w:cs="Times New Roman"/>
                <w:sz w:val="20"/>
              </w:rPr>
            </w:pPr>
            <w:r w:rsidRPr="00C91EA2">
              <w:rPr>
                <w:rFonts w:ascii="Times New Roman" w:hAnsi="Times New Roman" w:cs="Times New Roman"/>
                <w:sz w:val="20"/>
              </w:rPr>
              <w:t>Consumer prices for oil</w:t>
            </w:r>
          </w:p>
        </w:tc>
      </w:tr>
      <w:tr w:rsidR="00B770A8" w:rsidRPr="00C91EA2" w14:paraId="5EFEE4AA" w14:textId="77777777" w:rsidTr="00B770A8">
        <w:trPr>
          <w:trHeight w:val="23"/>
        </w:trPr>
        <w:tc>
          <w:tcPr>
            <w:tcW w:w="2670" w:type="pct"/>
            <w:tcBorders>
              <w:top w:val="single" w:sz="6" w:space="0" w:color="002245"/>
              <w:left w:val="single" w:sz="6" w:space="0" w:color="002245"/>
              <w:bottom w:val="single" w:sz="6" w:space="0" w:color="002245"/>
              <w:right w:val="nil"/>
            </w:tcBorders>
            <w:tcMar>
              <w:top w:w="72" w:type="dxa"/>
              <w:left w:w="144" w:type="dxa"/>
              <w:bottom w:w="72" w:type="dxa"/>
              <w:right w:w="144" w:type="dxa"/>
            </w:tcMar>
            <w:hideMark/>
          </w:tcPr>
          <w:p w14:paraId="492479A2" w14:textId="22813FAE" w:rsidR="00B770A8" w:rsidRPr="00C91EA2" w:rsidRDefault="00B770A8" w:rsidP="00B770A8">
            <w:pPr>
              <w:rPr>
                <w:rFonts w:ascii="Times New Roman" w:hAnsi="Times New Roman" w:cs="Times New Roman"/>
                <w:sz w:val="20"/>
              </w:rPr>
            </w:pPr>
            <w:r>
              <w:rPr>
                <w:rFonts w:ascii="Times New Roman" w:hAnsi="Times New Roman" w:cs="Times New Roman"/>
                <w:sz w:val="20"/>
              </w:rPr>
              <w:t>2</w:t>
            </w:r>
            <w:r w:rsidR="008D77F7">
              <w:rPr>
                <w:rFonts w:ascii="Times New Roman" w:hAnsi="Times New Roman" w:cs="Times New Roman"/>
                <w:sz w:val="20"/>
              </w:rPr>
              <w:t>1</w:t>
            </w:r>
            <w:r>
              <w:rPr>
                <w:rFonts w:ascii="Times New Roman" w:hAnsi="Times New Roman" w:cs="Times New Roman"/>
                <w:sz w:val="20"/>
              </w:rPr>
              <w:t xml:space="preserve">. </w:t>
            </w:r>
            <w:r w:rsidRPr="00C91EA2">
              <w:rPr>
                <w:rFonts w:ascii="Times New Roman" w:hAnsi="Times New Roman" w:cs="Times New Roman"/>
                <w:sz w:val="20"/>
              </w:rPr>
              <w:t xml:space="preserve">In addition to previous recommendations… </w:t>
            </w:r>
          </w:p>
          <w:p w14:paraId="175B05A9" w14:textId="77777777" w:rsidR="00B770A8" w:rsidRPr="00C91EA2" w:rsidRDefault="00B770A8" w:rsidP="007575D7">
            <w:pPr>
              <w:jc w:val="both"/>
              <w:rPr>
                <w:rFonts w:ascii="Times New Roman" w:hAnsi="Times New Roman" w:cs="Times New Roman"/>
                <w:sz w:val="20"/>
              </w:rPr>
            </w:pPr>
            <w:r w:rsidRPr="00C91EA2">
              <w:rPr>
                <w:rFonts w:ascii="Times New Roman" w:hAnsi="Times New Roman" w:cs="Times New Roman"/>
                <w:sz w:val="20"/>
              </w:rPr>
              <w:t>Consider removing import tariffs on crude (and potentially refined) vegetable oil</w:t>
            </w:r>
            <w:r>
              <w:rPr>
                <w:rFonts w:ascii="Times New Roman" w:hAnsi="Times New Roman" w:cs="Times New Roman"/>
                <w:sz w:val="20"/>
              </w:rPr>
              <w:t>.</w:t>
            </w:r>
          </w:p>
        </w:tc>
        <w:tc>
          <w:tcPr>
            <w:tcW w:w="1452" w:type="pct"/>
            <w:gridSpan w:val="4"/>
            <w:tcBorders>
              <w:top w:val="single" w:sz="6" w:space="0" w:color="002245"/>
              <w:left w:val="nil"/>
              <w:bottom w:val="single" w:sz="6" w:space="0" w:color="002245"/>
              <w:right w:val="nil"/>
            </w:tcBorders>
            <w:shd w:val="clear" w:color="auto" w:fill="FFFFFF"/>
            <w:tcMar>
              <w:top w:w="72" w:type="dxa"/>
              <w:left w:w="144" w:type="dxa"/>
              <w:bottom w:w="72" w:type="dxa"/>
              <w:right w:w="144" w:type="dxa"/>
            </w:tcMar>
            <w:hideMark/>
          </w:tcPr>
          <w:p w14:paraId="19F4D4A7" w14:textId="5374BD78" w:rsidR="00B770A8" w:rsidRPr="00C91EA2" w:rsidRDefault="00B770A8" w:rsidP="00B770A8">
            <w:pPr>
              <w:rPr>
                <w:rFonts w:ascii="Times New Roman" w:hAnsi="Times New Roman" w:cs="Times New Roman"/>
                <w:sz w:val="20"/>
              </w:rPr>
            </w:pPr>
            <w:r>
              <w:rPr>
                <w:rFonts w:ascii="Times New Roman" w:hAnsi="Times New Roman" w:cs="Times New Roman"/>
                <w:sz w:val="20"/>
              </w:rPr>
              <w:t>Government</w:t>
            </w:r>
          </w:p>
        </w:tc>
        <w:tc>
          <w:tcPr>
            <w:tcW w:w="878" w:type="pct"/>
            <w:gridSpan w:val="2"/>
            <w:tcBorders>
              <w:top w:val="single" w:sz="6" w:space="0" w:color="002245"/>
              <w:left w:val="nil"/>
              <w:bottom w:val="single" w:sz="6" w:space="0" w:color="002245"/>
              <w:right w:val="single" w:sz="6" w:space="0" w:color="002245"/>
            </w:tcBorders>
            <w:shd w:val="clear" w:color="auto" w:fill="FFFFFF"/>
            <w:tcMar>
              <w:top w:w="72" w:type="dxa"/>
              <w:left w:w="144" w:type="dxa"/>
              <w:bottom w:w="72" w:type="dxa"/>
              <w:right w:w="144" w:type="dxa"/>
            </w:tcMar>
            <w:hideMark/>
          </w:tcPr>
          <w:p w14:paraId="608EBD3E" w14:textId="77777777" w:rsidR="00B770A8" w:rsidRPr="00C91EA2" w:rsidRDefault="00B770A8" w:rsidP="00B770A8">
            <w:pPr>
              <w:rPr>
                <w:rFonts w:ascii="Times New Roman" w:hAnsi="Times New Roman" w:cs="Times New Roman"/>
                <w:sz w:val="20"/>
              </w:rPr>
            </w:pPr>
            <w:r w:rsidRPr="00C91EA2">
              <w:rPr>
                <w:rFonts w:ascii="Times New Roman" w:hAnsi="Times New Roman" w:cs="Times New Roman"/>
                <w:sz w:val="20"/>
              </w:rPr>
              <w:t>Medium</w:t>
            </w:r>
          </w:p>
        </w:tc>
      </w:tr>
    </w:tbl>
    <w:p w14:paraId="0A6F17E5" w14:textId="77777777" w:rsidR="00377635" w:rsidRDefault="00377635" w:rsidP="00377635">
      <w:pPr>
        <w:jc w:val="both"/>
        <w:rPr>
          <w:rFonts w:ascii="Times New Roman" w:hAnsi="Times New Roman" w:cs="Times New Roman"/>
        </w:rPr>
      </w:pPr>
    </w:p>
    <w:p w14:paraId="62F4557A" w14:textId="40957478" w:rsidR="00464077" w:rsidRDefault="00464077" w:rsidP="007575D7">
      <w:pPr>
        <w:pStyle w:val="ListParagraph"/>
        <w:numPr>
          <w:ilvl w:val="0"/>
          <w:numId w:val="71"/>
        </w:numPr>
        <w:ind w:left="0" w:firstLine="0"/>
        <w:jc w:val="both"/>
        <w:rPr>
          <w:rFonts w:ascii="Times New Roman" w:hAnsi="Times New Roman" w:cs="Times New Roman"/>
        </w:rPr>
      </w:pPr>
      <w:r w:rsidRPr="007575D7">
        <w:rPr>
          <w:rFonts w:ascii="Times New Roman" w:hAnsi="Times New Roman" w:cs="Times New Roman"/>
          <w:b/>
        </w:rPr>
        <w:t>In addition, if taken into consideration, these reforms should be accompanied by mechanisms that address the downside risk of market price fluctuations on farmers</w:t>
      </w:r>
      <w:r>
        <w:rPr>
          <w:rFonts w:ascii="Times New Roman" w:hAnsi="Times New Roman" w:cs="Times New Roman"/>
        </w:rPr>
        <w:t xml:space="preserve">, </w:t>
      </w:r>
      <w:r w:rsidR="00E22BA2" w:rsidRPr="00E22BA2">
        <w:rPr>
          <w:rFonts w:ascii="Times New Roman" w:hAnsi="Times New Roman" w:cs="Times New Roman"/>
          <w:b/>
        </w:rPr>
        <w:t>such as</w:t>
      </w:r>
      <w:r w:rsidRPr="007575D7">
        <w:rPr>
          <w:rFonts w:ascii="Times New Roman" w:hAnsi="Times New Roman" w:cs="Times New Roman"/>
          <w:b/>
        </w:rPr>
        <w:t xml:space="preserve"> </w:t>
      </w:r>
      <w:r w:rsidR="00E22BA2" w:rsidRPr="00E22BA2">
        <w:rPr>
          <w:rFonts w:ascii="Times New Roman" w:hAnsi="Times New Roman" w:cs="Times New Roman"/>
          <w:b/>
        </w:rPr>
        <w:t>targeted cash transfers</w:t>
      </w:r>
      <w:r w:rsidRPr="007575D7">
        <w:rPr>
          <w:rFonts w:ascii="Times New Roman" w:hAnsi="Times New Roman" w:cs="Times New Roman"/>
          <w:b/>
        </w:rPr>
        <w:t xml:space="preserve"> as well as climate and output risks, </w:t>
      </w:r>
      <w:r w:rsidR="00E22BA2">
        <w:rPr>
          <w:rFonts w:ascii="Times New Roman" w:hAnsi="Times New Roman" w:cs="Times New Roman"/>
          <w:b/>
        </w:rPr>
        <w:t>such as</w:t>
      </w:r>
      <w:r w:rsidRPr="007575D7">
        <w:rPr>
          <w:rFonts w:ascii="Times New Roman" w:hAnsi="Times New Roman" w:cs="Times New Roman"/>
          <w:b/>
        </w:rPr>
        <w:t xml:space="preserve"> crop insurance</w:t>
      </w:r>
      <w:r>
        <w:rPr>
          <w:rFonts w:ascii="Times New Roman" w:hAnsi="Times New Roman" w:cs="Times New Roman"/>
        </w:rPr>
        <w:t xml:space="preserve"> (</w:t>
      </w:r>
      <w:r w:rsidR="00E22BA2">
        <w:rPr>
          <w:rFonts w:ascii="Times New Roman" w:hAnsi="Times New Roman" w:cs="Times New Roman"/>
        </w:rPr>
        <w:t xml:space="preserve">see also </w:t>
      </w:r>
      <w:r>
        <w:rPr>
          <w:rFonts w:ascii="Times New Roman" w:hAnsi="Times New Roman" w:cs="Times New Roman"/>
        </w:rPr>
        <w:t xml:space="preserve">Box </w:t>
      </w:r>
      <w:r w:rsidR="005538DD">
        <w:rPr>
          <w:rFonts w:ascii="Times New Roman" w:hAnsi="Times New Roman" w:cs="Times New Roman"/>
        </w:rPr>
        <w:t>14</w:t>
      </w:r>
      <w:r>
        <w:rPr>
          <w:rFonts w:ascii="Times New Roman" w:hAnsi="Times New Roman" w:cs="Times New Roman"/>
        </w:rPr>
        <w:t xml:space="preserve">). </w:t>
      </w:r>
    </w:p>
    <w:p w14:paraId="1F6CBBA8" w14:textId="7C0F4C3D" w:rsidR="005538DD" w:rsidRPr="007575D7" w:rsidRDefault="005538DD" w:rsidP="007575D7"/>
    <w:p w14:paraId="1B4AE746" w14:textId="76D59791" w:rsidR="005538DD" w:rsidRDefault="005538DD" w:rsidP="005538DD">
      <w:pPr>
        <w:pStyle w:val="Caption"/>
        <w:keepNext/>
        <w:rPr>
          <w:rFonts w:ascii="Times New Roman" w:hAnsi="Times New Roman"/>
        </w:rPr>
      </w:pPr>
      <w:bookmarkStart w:id="252" w:name="_Toc520725802"/>
      <w:r w:rsidRPr="00AB7E51">
        <w:rPr>
          <w:rFonts w:ascii="Times New Roman" w:hAnsi="Times New Roman"/>
        </w:rPr>
        <w:t xml:space="preserve">Box </w:t>
      </w:r>
      <w:r w:rsidRPr="007575D7">
        <w:rPr>
          <w:rFonts w:ascii="Times New Roman" w:hAnsi="Times New Roman"/>
        </w:rPr>
        <w:fldChar w:fldCharType="begin"/>
      </w:r>
      <w:r w:rsidRPr="00AB7E51">
        <w:rPr>
          <w:rFonts w:ascii="Times New Roman" w:hAnsi="Times New Roman"/>
        </w:rPr>
        <w:instrText xml:space="preserve"> SEQ Box \* ARABIC </w:instrText>
      </w:r>
      <w:r w:rsidRPr="007575D7">
        <w:rPr>
          <w:rFonts w:ascii="Times New Roman" w:hAnsi="Times New Roman"/>
        </w:rPr>
        <w:fldChar w:fldCharType="separate"/>
      </w:r>
      <w:r w:rsidR="008261B2">
        <w:rPr>
          <w:rFonts w:ascii="Times New Roman" w:hAnsi="Times New Roman"/>
          <w:noProof/>
        </w:rPr>
        <w:t>14</w:t>
      </w:r>
      <w:r w:rsidRPr="007575D7">
        <w:rPr>
          <w:rFonts w:ascii="Times New Roman" w:hAnsi="Times New Roman"/>
        </w:rPr>
        <w:fldChar w:fldCharType="end"/>
      </w:r>
      <w:r w:rsidRPr="007575D7">
        <w:rPr>
          <w:rFonts w:ascii="Times New Roman" w:hAnsi="Times New Roman"/>
        </w:rPr>
        <w:t>:</w:t>
      </w:r>
      <w:r>
        <w:t xml:space="preserve"> </w:t>
      </w:r>
      <w:r>
        <w:rPr>
          <w:rFonts w:ascii="Times New Roman" w:hAnsi="Times New Roman"/>
        </w:rPr>
        <w:t>International experience in agricultural risk management</w:t>
      </w:r>
      <w:bookmarkEnd w:id="252"/>
    </w:p>
    <w:tbl>
      <w:tblPr>
        <w:tblStyle w:val="TableGrid"/>
        <w:tblW w:w="0" w:type="auto"/>
        <w:shd w:val="clear" w:color="auto" w:fill="F2F2F2" w:themeFill="background1" w:themeFillShade="F2"/>
        <w:tblLook w:val="04A0" w:firstRow="1" w:lastRow="0" w:firstColumn="1" w:lastColumn="0" w:noHBand="0" w:noVBand="1"/>
      </w:tblPr>
      <w:tblGrid>
        <w:gridCol w:w="8630"/>
      </w:tblGrid>
      <w:tr w:rsidR="00464077" w:rsidRPr="00A23773" w14:paraId="1E37D49E" w14:textId="77777777" w:rsidTr="003C4574">
        <w:trPr>
          <w:trHeight w:val="1520"/>
        </w:trPr>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17165D" w14:textId="77777777" w:rsidR="00464077" w:rsidRDefault="00464077" w:rsidP="003C4574">
            <w:pPr>
              <w:jc w:val="both"/>
              <w:rPr>
                <w:rFonts w:ascii="Times New Roman" w:hAnsi="Times New Roman" w:cs="Times New Roman"/>
                <w:sz w:val="20"/>
                <w:szCs w:val="20"/>
              </w:rPr>
            </w:pPr>
          </w:p>
          <w:p w14:paraId="09C1CC20" w14:textId="55927E64" w:rsidR="00464077" w:rsidRPr="00590B34" w:rsidRDefault="00464077" w:rsidP="003C4574">
            <w:pPr>
              <w:jc w:val="both"/>
              <w:rPr>
                <w:rFonts w:ascii="Times New Roman" w:hAnsi="Times New Roman" w:cs="Times New Roman"/>
                <w:sz w:val="20"/>
                <w:szCs w:val="20"/>
              </w:rPr>
            </w:pPr>
            <w:r w:rsidRPr="00590B34">
              <w:rPr>
                <w:rFonts w:ascii="Times New Roman" w:hAnsi="Times New Roman" w:cs="Times New Roman"/>
                <w:sz w:val="20"/>
                <w:szCs w:val="20"/>
              </w:rPr>
              <w:t xml:space="preserve">Agricultural risks associated with negative outcomes stemming from price </w:t>
            </w:r>
            <w:r>
              <w:rPr>
                <w:rFonts w:ascii="Times New Roman" w:hAnsi="Times New Roman" w:cs="Times New Roman"/>
                <w:sz w:val="20"/>
                <w:szCs w:val="20"/>
              </w:rPr>
              <w:t>volatility</w:t>
            </w:r>
            <w:r w:rsidRPr="00590B34">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590B34">
              <w:rPr>
                <w:rFonts w:ascii="Times New Roman" w:hAnsi="Times New Roman" w:cs="Times New Roman"/>
                <w:sz w:val="20"/>
                <w:szCs w:val="20"/>
              </w:rPr>
              <w:t>input</w:t>
            </w:r>
            <w:r>
              <w:rPr>
                <w:rFonts w:ascii="Times New Roman" w:hAnsi="Times New Roman" w:cs="Times New Roman"/>
                <w:sz w:val="20"/>
                <w:szCs w:val="20"/>
              </w:rPr>
              <w:t>s</w:t>
            </w:r>
            <w:r w:rsidRPr="00590B34">
              <w:rPr>
                <w:rFonts w:ascii="Times New Roman" w:hAnsi="Times New Roman" w:cs="Times New Roman"/>
                <w:sz w:val="20"/>
                <w:szCs w:val="20"/>
              </w:rPr>
              <w:t xml:space="preserve"> and output</w:t>
            </w:r>
            <w:r>
              <w:rPr>
                <w:rFonts w:ascii="Times New Roman" w:hAnsi="Times New Roman" w:cs="Times New Roman"/>
                <w:sz w:val="20"/>
                <w:szCs w:val="20"/>
              </w:rPr>
              <w:t>s</w:t>
            </w:r>
            <w:r w:rsidRPr="00590B34">
              <w:rPr>
                <w:rFonts w:ascii="Times New Roman" w:hAnsi="Times New Roman" w:cs="Times New Roman"/>
                <w:sz w:val="20"/>
                <w:szCs w:val="20"/>
              </w:rPr>
              <w:t>), together with other types of risks (biological, climatic ones, production, infrastructure, financial or institutional risk</w:t>
            </w:r>
            <w:r>
              <w:rPr>
                <w:rFonts w:ascii="Times New Roman" w:hAnsi="Times New Roman" w:cs="Times New Roman"/>
                <w:sz w:val="20"/>
                <w:szCs w:val="20"/>
              </w:rPr>
              <w:t>s</w:t>
            </w:r>
            <w:r w:rsidRPr="00590B34">
              <w:rPr>
                <w:rFonts w:ascii="Times New Roman" w:hAnsi="Times New Roman" w:cs="Times New Roman"/>
                <w:sz w:val="20"/>
                <w:szCs w:val="20"/>
              </w:rPr>
              <w:t>), can significantly impact producers. Mechanisms to prevent and/or address potential negative outcomes associated to agricultural risks can be formal and informal</w:t>
            </w:r>
            <w:r>
              <w:rPr>
                <w:rFonts w:ascii="Times New Roman" w:hAnsi="Times New Roman" w:cs="Times New Roman"/>
                <w:sz w:val="20"/>
                <w:szCs w:val="20"/>
              </w:rPr>
              <w:t>:</w:t>
            </w:r>
            <w:r w:rsidRPr="00590B34">
              <w:rPr>
                <w:rFonts w:ascii="Times New Roman" w:hAnsi="Times New Roman" w:cs="Times New Roman"/>
                <w:sz w:val="20"/>
                <w:szCs w:val="20"/>
              </w:rPr>
              <w:t xml:space="preserve"> </w:t>
            </w:r>
            <w:r>
              <w:rPr>
                <w:rFonts w:ascii="Times New Roman" w:hAnsi="Times New Roman" w:cs="Times New Roman"/>
                <w:sz w:val="20"/>
                <w:szCs w:val="20"/>
              </w:rPr>
              <w:t>formal mechanisms</w:t>
            </w:r>
            <w:r w:rsidRPr="00590B34">
              <w:rPr>
                <w:rFonts w:ascii="Times New Roman" w:hAnsi="Times New Roman" w:cs="Times New Roman"/>
                <w:sz w:val="20"/>
                <w:szCs w:val="20"/>
              </w:rPr>
              <w:t xml:space="preserve"> consist of “market-based activities and publicly provided mechanisms” while informal ones involve arrangements between “individuals or household or such groups as communities or villages”. They can also be classified into ex ante or ex post depending on when the reaction to the risk takes place. </w:t>
            </w:r>
            <w:r w:rsidR="00AB7E51">
              <w:rPr>
                <w:rFonts w:ascii="Times New Roman" w:hAnsi="Times New Roman" w:cs="Times New Roman"/>
                <w:sz w:val="20"/>
                <w:szCs w:val="20"/>
              </w:rPr>
              <w:fldChar w:fldCharType="begin"/>
            </w:r>
            <w:r w:rsidR="00AB7E51">
              <w:rPr>
                <w:rFonts w:ascii="Times New Roman" w:hAnsi="Times New Roman" w:cs="Times New Roman"/>
                <w:sz w:val="20"/>
                <w:szCs w:val="20"/>
              </w:rPr>
              <w:instrText xml:space="preserve"> REF _Ref520471121 \h </w:instrText>
            </w:r>
            <w:r w:rsidR="00AB7E51">
              <w:rPr>
                <w:rFonts w:ascii="Times New Roman" w:hAnsi="Times New Roman" w:cs="Times New Roman"/>
                <w:sz w:val="20"/>
                <w:szCs w:val="20"/>
              </w:rPr>
            </w:r>
            <w:r w:rsidR="00AB7E51">
              <w:rPr>
                <w:rFonts w:ascii="Times New Roman" w:hAnsi="Times New Roman" w:cs="Times New Roman"/>
                <w:sz w:val="20"/>
                <w:szCs w:val="20"/>
              </w:rPr>
              <w:fldChar w:fldCharType="separate"/>
            </w:r>
            <w:r w:rsidR="008261B2" w:rsidRPr="00AB7E51">
              <w:rPr>
                <w:rFonts w:ascii="Times New Roman" w:hAnsi="Times New Roman"/>
              </w:rPr>
              <w:t xml:space="preserve">Figure </w:t>
            </w:r>
            <w:r w:rsidR="008261B2">
              <w:rPr>
                <w:rFonts w:ascii="Times New Roman" w:hAnsi="Times New Roman"/>
                <w:noProof/>
              </w:rPr>
              <w:t>55</w:t>
            </w:r>
            <w:r w:rsidR="00AB7E51">
              <w:rPr>
                <w:rFonts w:ascii="Times New Roman" w:hAnsi="Times New Roman" w:cs="Times New Roman"/>
                <w:sz w:val="20"/>
                <w:szCs w:val="20"/>
              </w:rPr>
              <w:fldChar w:fldCharType="end"/>
            </w:r>
            <w:r w:rsidR="00AB7E51">
              <w:rPr>
                <w:rFonts w:ascii="Times New Roman" w:hAnsi="Times New Roman" w:cs="Times New Roman"/>
                <w:sz w:val="20"/>
                <w:szCs w:val="20"/>
              </w:rPr>
              <w:t xml:space="preserve"> </w:t>
            </w:r>
            <w:r w:rsidRPr="00590B34">
              <w:rPr>
                <w:rFonts w:ascii="Times New Roman" w:hAnsi="Times New Roman" w:cs="Times New Roman"/>
                <w:sz w:val="20"/>
                <w:szCs w:val="20"/>
              </w:rPr>
              <w:t>describes types of agricultural risk management mechanisms following this classification. Among formal mechanisms, insurance (market based) and cash transfers (publicly provided) are some common ones</w:t>
            </w:r>
            <w:r>
              <w:rPr>
                <w:rFonts w:ascii="Times New Roman" w:hAnsi="Times New Roman" w:cs="Times New Roman"/>
                <w:sz w:val="20"/>
                <w:szCs w:val="20"/>
              </w:rPr>
              <w:t xml:space="preserve"> to address price volatility and other types of risks</w:t>
            </w:r>
            <w:r w:rsidRPr="00590B34">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464077" w:rsidRPr="00590B34" w14:paraId="44446AEF" w14:textId="77777777" w:rsidTr="003C4574">
              <w:tc>
                <w:tcPr>
                  <w:tcW w:w="8414" w:type="dxa"/>
                  <w:hideMark/>
                </w:tcPr>
                <w:p w14:paraId="3646F7FF" w14:textId="686A16D7" w:rsidR="00D91B27" w:rsidRPr="007575D7" w:rsidRDefault="00D91B27" w:rsidP="00960DD3">
                  <w:pPr>
                    <w:pStyle w:val="Caption"/>
                    <w:keepNext/>
                  </w:pPr>
                </w:p>
                <w:p w14:paraId="5FBDF4B1" w14:textId="2BA398B1" w:rsidR="00D91B27" w:rsidRDefault="00D91B27" w:rsidP="00AB7E51">
                  <w:pPr>
                    <w:pStyle w:val="Caption"/>
                    <w:keepNext/>
                  </w:pPr>
                  <w:r>
                    <w:t xml:space="preserve">                </w:t>
                  </w:r>
                  <w:bookmarkStart w:id="253" w:name="_Ref520471121"/>
                  <w:bookmarkStart w:id="254" w:name="_Toc520725611"/>
                  <w:r w:rsidRPr="00AB7E51">
                    <w:rPr>
                      <w:rFonts w:ascii="Times New Roman" w:hAnsi="Times New Roman"/>
                    </w:rPr>
                    <w:t xml:space="preserve">Figure </w:t>
                  </w:r>
                  <w:r w:rsidRPr="00AB7E51">
                    <w:rPr>
                      <w:rFonts w:ascii="Times New Roman" w:hAnsi="Times New Roman"/>
                    </w:rPr>
                    <w:fldChar w:fldCharType="begin"/>
                  </w:r>
                  <w:r w:rsidRPr="00AB7E51">
                    <w:rPr>
                      <w:rFonts w:ascii="Times New Roman" w:hAnsi="Times New Roman"/>
                    </w:rPr>
                    <w:instrText xml:space="preserve"> SEQ Figure \* ARABIC </w:instrText>
                  </w:r>
                  <w:r w:rsidRPr="00AB7E51">
                    <w:rPr>
                      <w:rFonts w:ascii="Times New Roman" w:hAnsi="Times New Roman"/>
                    </w:rPr>
                    <w:fldChar w:fldCharType="separate"/>
                  </w:r>
                  <w:r w:rsidR="008261B2">
                    <w:rPr>
                      <w:rFonts w:ascii="Times New Roman" w:hAnsi="Times New Roman"/>
                      <w:noProof/>
                    </w:rPr>
                    <w:t>55</w:t>
                  </w:r>
                  <w:r w:rsidRPr="00AB7E51">
                    <w:rPr>
                      <w:rFonts w:ascii="Times New Roman" w:hAnsi="Times New Roman"/>
                    </w:rPr>
                    <w:fldChar w:fldCharType="end"/>
                  </w:r>
                  <w:bookmarkEnd w:id="253"/>
                  <w:r w:rsidRPr="007575D7">
                    <w:rPr>
                      <w:rFonts w:ascii="Times New Roman" w:hAnsi="Times New Roman"/>
                    </w:rPr>
                    <w:t>:</w:t>
                  </w:r>
                  <w:r>
                    <w:t xml:space="preserve"> </w:t>
                  </w:r>
                  <w:r w:rsidRPr="00590B34">
                    <w:rPr>
                      <w:rFonts w:ascii="Times New Roman" w:hAnsi="Times New Roman"/>
                    </w:rPr>
                    <w:t>Types of agricultural risk management mechanisms</w:t>
                  </w:r>
                  <w:bookmarkEnd w:id="254"/>
                </w:p>
                <w:p w14:paraId="504AD40C" w14:textId="77777777" w:rsidR="00D91B27" w:rsidRDefault="00464077" w:rsidP="007575D7">
                  <w:pPr>
                    <w:keepNext/>
                    <w:jc w:val="center"/>
                  </w:pPr>
                  <w:r w:rsidRPr="00590B34">
                    <w:rPr>
                      <w:rFonts w:ascii="Times New Roman" w:hAnsi="Times New Roman" w:cs="Times New Roman"/>
                      <w:noProof/>
                      <w:sz w:val="20"/>
                      <w:szCs w:val="20"/>
                    </w:rPr>
                    <w:drawing>
                      <wp:inline distT="0" distB="0" distL="0" distR="0" wp14:anchorId="1900983B" wp14:editId="46DCBF76">
                        <wp:extent cx="4379056" cy="2611527"/>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02611" cy="2625574"/>
                                </a:xfrm>
                                <a:prstGeom prst="rect">
                                  <a:avLst/>
                                </a:prstGeom>
                              </pic:spPr>
                            </pic:pic>
                          </a:graphicData>
                        </a:graphic>
                      </wp:inline>
                    </w:drawing>
                  </w:r>
                </w:p>
                <w:p w14:paraId="7B12F283" w14:textId="77777777" w:rsidR="00464077" w:rsidRPr="00590B34" w:rsidRDefault="00464077" w:rsidP="003C4574">
                  <w:pPr>
                    <w:jc w:val="both"/>
                    <w:rPr>
                      <w:rFonts w:ascii="Times New Roman" w:hAnsi="Times New Roman" w:cs="Times New Roman"/>
                      <w:sz w:val="20"/>
                      <w:szCs w:val="20"/>
                    </w:rPr>
                  </w:pPr>
                  <w:r w:rsidRPr="00590B34">
                    <w:rPr>
                      <w:rFonts w:ascii="Times New Roman" w:hAnsi="Times New Roman" w:cs="Times New Roman"/>
                      <w:sz w:val="20"/>
                      <w:szCs w:val="20"/>
                    </w:rPr>
                    <w:t>Developing countries have adopted different strategies to address agricultural risks and help farmers access to finance. Some examples are:</w:t>
                  </w:r>
                </w:p>
                <w:p w14:paraId="20EE9024" w14:textId="77777777" w:rsidR="00464077" w:rsidRPr="00590B34" w:rsidRDefault="00464077" w:rsidP="003C4574">
                  <w:pPr>
                    <w:pStyle w:val="ListParagraph"/>
                    <w:numPr>
                      <w:ilvl w:val="0"/>
                      <w:numId w:val="151"/>
                    </w:numPr>
                    <w:autoSpaceDE w:val="0"/>
                    <w:autoSpaceDN w:val="0"/>
                    <w:adjustRightInd w:val="0"/>
                    <w:jc w:val="both"/>
                    <w:rPr>
                      <w:rFonts w:ascii="Times New Roman" w:hAnsi="Times New Roman" w:cs="Times New Roman"/>
                      <w:sz w:val="20"/>
                      <w:szCs w:val="20"/>
                    </w:rPr>
                  </w:pPr>
                  <w:r w:rsidRPr="00590B34">
                    <w:rPr>
                      <w:rFonts w:ascii="Times New Roman" w:hAnsi="Times New Roman" w:cs="Times New Roman"/>
                      <w:b/>
                      <w:sz w:val="20"/>
                      <w:szCs w:val="20"/>
                    </w:rPr>
                    <w:t>Malawi:</w:t>
                  </w:r>
                  <w:r w:rsidRPr="00590B34">
                    <w:rPr>
                      <w:rFonts w:ascii="Times New Roman" w:hAnsi="Times New Roman" w:cs="Times New Roman"/>
                      <w:sz w:val="20"/>
                      <w:szCs w:val="20"/>
                    </w:rPr>
                    <w:t xml:space="preserve"> A weather indexed insurance set as a pilot project for groundnut farmers for the 2005-2006 crop season allowed farmers to obtain a loan to finance the planting of certified seeds. In case of draught under the agreed conditions, the insurance settles farmers’ loans.</w:t>
                  </w:r>
                </w:p>
                <w:p w14:paraId="7B1C74FD" w14:textId="77777777" w:rsidR="00464077" w:rsidRPr="00590B34" w:rsidRDefault="00464077" w:rsidP="003C4574">
                  <w:pPr>
                    <w:pStyle w:val="ListParagraph"/>
                    <w:numPr>
                      <w:ilvl w:val="0"/>
                      <w:numId w:val="151"/>
                    </w:numPr>
                    <w:autoSpaceDE w:val="0"/>
                    <w:autoSpaceDN w:val="0"/>
                    <w:adjustRightInd w:val="0"/>
                    <w:jc w:val="both"/>
                    <w:rPr>
                      <w:rFonts w:ascii="Times New Roman" w:hAnsi="Times New Roman" w:cs="Times New Roman"/>
                      <w:sz w:val="20"/>
                      <w:szCs w:val="20"/>
                    </w:rPr>
                  </w:pPr>
                  <w:r w:rsidRPr="00590B34">
                    <w:rPr>
                      <w:rFonts w:ascii="Times New Roman" w:hAnsi="Times New Roman" w:cs="Times New Roman"/>
                      <w:b/>
                      <w:sz w:val="20"/>
                      <w:szCs w:val="20"/>
                    </w:rPr>
                    <w:t>Burkina</w:t>
                  </w:r>
                  <w:r>
                    <w:rPr>
                      <w:rFonts w:ascii="Times New Roman" w:hAnsi="Times New Roman" w:cs="Times New Roman"/>
                      <w:b/>
                      <w:sz w:val="20"/>
                      <w:szCs w:val="20"/>
                    </w:rPr>
                    <w:t xml:space="preserve"> Faso</w:t>
                  </w:r>
                  <w:r w:rsidRPr="00590B34">
                    <w:rPr>
                      <w:rFonts w:ascii="Times New Roman" w:hAnsi="Times New Roman" w:cs="Times New Roman"/>
                      <w:b/>
                      <w:sz w:val="20"/>
                      <w:szCs w:val="20"/>
                    </w:rPr>
                    <w:t>:</w:t>
                  </w:r>
                  <w:r w:rsidRPr="00590B34">
                    <w:rPr>
                      <w:rFonts w:ascii="Times New Roman" w:hAnsi="Times New Roman" w:cs="Times New Roman"/>
                      <w:sz w:val="20"/>
                      <w:szCs w:val="20"/>
                    </w:rPr>
                    <w:t xml:space="preserve"> The country set a smoothing fund system (index-based insurance) to help producers respond to price volatility of cotton in global markets after the country changed its price-setting mechanism to follow world price levels. It consists of a system of levies and refunds (including a guaranteed floor price). It is negotiated on an annual basis by all stakeholders. Producers have been paid increasing prices sin</w:t>
                  </w:r>
                  <w:r>
                    <w:rPr>
                      <w:rFonts w:ascii="Times New Roman" w:hAnsi="Times New Roman" w:cs="Times New Roman"/>
                      <w:sz w:val="20"/>
                      <w:szCs w:val="20"/>
                    </w:rPr>
                    <w:t>ce its set-</w:t>
                  </w:r>
                  <w:r w:rsidRPr="00590B34">
                    <w:rPr>
                      <w:rFonts w:ascii="Times New Roman" w:hAnsi="Times New Roman" w:cs="Times New Roman"/>
                      <w:sz w:val="20"/>
                      <w:szCs w:val="20"/>
                    </w:rPr>
                    <w:t>up in 2008.</w:t>
                  </w:r>
                </w:p>
                <w:p w14:paraId="0DC10BCB" w14:textId="77777777" w:rsidR="00464077" w:rsidRPr="00590B34" w:rsidRDefault="00464077" w:rsidP="003C4574">
                  <w:pPr>
                    <w:pStyle w:val="ListParagraph"/>
                    <w:numPr>
                      <w:ilvl w:val="0"/>
                      <w:numId w:val="151"/>
                    </w:numPr>
                    <w:jc w:val="both"/>
                    <w:rPr>
                      <w:rFonts w:ascii="Times New Roman" w:hAnsi="Times New Roman" w:cs="Times New Roman"/>
                      <w:sz w:val="20"/>
                      <w:szCs w:val="20"/>
                    </w:rPr>
                  </w:pPr>
                  <w:r w:rsidRPr="00590B34">
                    <w:rPr>
                      <w:rFonts w:ascii="Times New Roman" w:hAnsi="Times New Roman" w:cs="Times New Roman"/>
                      <w:b/>
                      <w:sz w:val="20"/>
                      <w:szCs w:val="20"/>
                    </w:rPr>
                    <w:t>Ghana:</w:t>
                  </w:r>
                  <w:r w:rsidRPr="00590B34">
                    <w:rPr>
                      <w:rFonts w:ascii="Times New Roman" w:hAnsi="Times New Roman" w:cs="Times New Roman"/>
                      <w:sz w:val="20"/>
                      <w:szCs w:val="20"/>
                    </w:rPr>
                    <w:t xml:space="preserve"> In 2011 the Government of Ghana launched the Ghana Agricultural Insurance </w:t>
                  </w:r>
                  <w:proofErr w:type="spellStart"/>
                  <w:r w:rsidRPr="00590B34">
                    <w:rPr>
                      <w:rFonts w:ascii="Times New Roman" w:hAnsi="Times New Roman" w:cs="Times New Roman"/>
                      <w:sz w:val="20"/>
                      <w:szCs w:val="20"/>
                    </w:rPr>
                    <w:t>Programme</w:t>
                  </w:r>
                  <w:proofErr w:type="spellEnd"/>
                  <w:r w:rsidRPr="00590B34">
                    <w:rPr>
                      <w:rFonts w:ascii="Times New Roman" w:hAnsi="Times New Roman" w:cs="Times New Roman"/>
                      <w:sz w:val="20"/>
                      <w:szCs w:val="20"/>
                    </w:rPr>
                    <w:t xml:space="preserve"> (GAIP), a crop insurance system covering various agricultural products, to protect producers from financial risks stemming from climate change. </w:t>
                  </w:r>
                </w:p>
                <w:p w14:paraId="41EE2437" w14:textId="77777777" w:rsidR="00464077" w:rsidRPr="00590B34" w:rsidRDefault="00464077" w:rsidP="003C4574">
                  <w:pPr>
                    <w:pStyle w:val="ListParagraph"/>
                    <w:numPr>
                      <w:ilvl w:val="0"/>
                      <w:numId w:val="151"/>
                    </w:numPr>
                    <w:jc w:val="both"/>
                    <w:rPr>
                      <w:rFonts w:ascii="Times New Roman" w:hAnsi="Times New Roman" w:cs="Times New Roman"/>
                      <w:sz w:val="20"/>
                      <w:szCs w:val="20"/>
                    </w:rPr>
                  </w:pPr>
                  <w:r w:rsidRPr="00590B34">
                    <w:rPr>
                      <w:rFonts w:ascii="Times New Roman" w:hAnsi="Times New Roman" w:cs="Times New Roman"/>
                      <w:b/>
                      <w:sz w:val="20"/>
                      <w:szCs w:val="20"/>
                    </w:rPr>
                    <w:t>Mexico:</w:t>
                  </w:r>
                  <w:r w:rsidRPr="00590B34">
                    <w:rPr>
                      <w:rFonts w:ascii="Times New Roman" w:hAnsi="Times New Roman" w:cs="Times New Roman"/>
                      <w:sz w:val="20"/>
                      <w:szCs w:val="20"/>
                    </w:rPr>
                    <w:t xml:space="preserve">  The Component for the Attention of Natural Disasters (CADENA) Program, through the Catastrophe Agricultural Insurance (SAC) Program, provides “a minimum level of compensation to small farmers after major catastrophic events”. The program has increased from USD 8.4 million since it was launched in 2003 to USD 303.8 million in 2013 and has been effective in protecting the most vulnerable farmers.</w:t>
                  </w:r>
                </w:p>
                <w:p w14:paraId="67F03808" w14:textId="77777777" w:rsidR="00464077" w:rsidRPr="00590B34" w:rsidRDefault="00464077" w:rsidP="003C4574">
                  <w:pPr>
                    <w:pStyle w:val="ListParagraph"/>
                    <w:numPr>
                      <w:ilvl w:val="0"/>
                      <w:numId w:val="151"/>
                    </w:numPr>
                    <w:autoSpaceDE w:val="0"/>
                    <w:autoSpaceDN w:val="0"/>
                    <w:adjustRightInd w:val="0"/>
                    <w:jc w:val="both"/>
                    <w:rPr>
                      <w:rFonts w:ascii="Times New Roman" w:hAnsi="Times New Roman" w:cs="Times New Roman"/>
                      <w:color w:val="231F20"/>
                      <w:sz w:val="20"/>
                      <w:szCs w:val="20"/>
                    </w:rPr>
                  </w:pPr>
                  <w:r w:rsidRPr="00590B34">
                    <w:rPr>
                      <w:rFonts w:ascii="Times New Roman" w:hAnsi="Times New Roman" w:cs="Times New Roman"/>
                      <w:b/>
                      <w:sz w:val="20"/>
                      <w:szCs w:val="20"/>
                    </w:rPr>
                    <w:t>Brazil:</w:t>
                  </w:r>
                  <w:r w:rsidRPr="00590B34">
                    <w:rPr>
                      <w:rFonts w:ascii="Times New Roman" w:hAnsi="Times New Roman" w:cs="Times New Roman"/>
                      <w:sz w:val="20"/>
                      <w:szCs w:val="20"/>
                    </w:rPr>
                    <w:t xml:space="preserve"> </w:t>
                  </w:r>
                  <w:r w:rsidRPr="00590B34">
                    <w:rPr>
                      <w:rFonts w:ascii="Times New Roman" w:hAnsi="Times New Roman" w:cs="Times New Roman"/>
                      <w:color w:val="231F20"/>
                      <w:sz w:val="20"/>
                      <w:szCs w:val="20"/>
                    </w:rPr>
                    <w:t>Brazil set a compulsory credit insurance program, the Brazilian Insurance for Family Agriculture (SEAF)</w:t>
                  </w:r>
                  <w:r w:rsidRPr="00590B34">
                    <w:rPr>
                      <w:rFonts w:ascii="Times New Roman" w:hAnsi="Times New Roman" w:cs="Times New Roman"/>
                      <w:sz w:val="20"/>
                      <w:szCs w:val="20"/>
                    </w:rPr>
                    <w:t>,</w:t>
                  </w:r>
                  <w:r w:rsidRPr="00590B34">
                    <w:rPr>
                      <w:rFonts w:ascii="Times New Roman" w:hAnsi="Times New Roman" w:cs="Times New Roman"/>
                      <w:b/>
                      <w:sz w:val="20"/>
                      <w:szCs w:val="20"/>
                    </w:rPr>
                    <w:t xml:space="preserve"> </w:t>
                  </w:r>
                  <w:r w:rsidRPr="00590B34">
                    <w:rPr>
                      <w:rFonts w:ascii="Times New Roman" w:hAnsi="Times New Roman" w:cs="Times New Roman"/>
                      <w:color w:val="231F20"/>
                      <w:sz w:val="20"/>
                      <w:szCs w:val="20"/>
                    </w:rPr>
                    <w:t>to help small-scale farmers who access seasonal production credit from the National Program for the Strengthening of Family Agriculture (PRONAF). It indemnifies farmers of a preidentified wide range of crops for economically or technically uncontrollable weather-related risks.</w:t>
                  </w:r>
                </w:p>
                <w:p w14:paraId="05A273E2" w14:textId="77777777" w:rsidR="00464077" w:rsidRPr="00590B34" w:rsidRDefault="00464077" w:rsidP="003C4574">
                  <w:pPr>
                    <w:rPr>
                      <w:rFonts w:ascii="Times New Roman" w:hAnsi="Times New Roman" w:cs="Times New Roman"/>
                      <w:sz w:val="20"/>
                      <w:szCs w:val="20"/>
                    </w:rPr>
                  </w:pPr>
                </w:p>
              </w:tc>
            </w:tr>
            <w:tr w:rsidR="00464077" w:rsidRPr="00A23773" w14:paraId="68B2B44A" w14:textId="77777777" w:rsidTr="003C4574">
              <w:tc>
                <w:tcPr>
                  <w:tcW w:w="8414" w:type="dxa"/>
                  <w:hideMark/>
                </w:tcPr>
                <w:p w14:paraId="0FC737C2" w14:textId="0E5CC78A" w:rsidR="00464077" w:rsidRPr="00590B34" w:rsidRDefault="00464077" w:rsidP="003C4574">
                  <w:pPr>
                    <w:autoSpaceDE w:val="0"/>
                    <w:autoSpaceDN w:val="0"/>
                    <w:adjustRightInd w:val="0"/>
                    <w:rPr>
                      <w:rFonts w:ascii="Times New Roman" w:hAnsi="Times New Roman" w:cs="Times New Roman"/>
                      <w:sz w:val="18"/>
                      <w:szCs w:val="18"/>
                      <w:highlight w:val="yellow"/>
                    </w:rPr>
                  </w:pPr>
                  <w:r w:rsidRPr="007575D7">
                    <w:rPr>
                      <w:rFonts w:ascii="Times New Roman" w:hAnsi="Times New Roman" w:cs="Times New Roman"/>
                      <w:i/>
                      <w:sz w:val="18"/>
                      <w:szCs w:val="18"/>
                    </w:rPr>
                    <w:t>Source:</w:t>
                  </w:r>
                  <w:r w:rsidRPr="00590B34">
                    <w:rPr>
                      <w:rFonts w:ascii="Times New Roman" w:hAnsi="Times New Roman" w:cs="Times New Roman"/>
                      <w:sz w:val="18"/>
                      <w:szCs w:val="18"/>
                    </w:rPr>
                    <w:t xml:space="preserve"> World Bank, 2005. </w:t>
                  </w:r>
                  <w:r w:rsidRPr="00590B34">
                    <w:rPr>
                      <w:rFonts w:ascii="Times New Roman" w:hAnsi="Times New Roman" w:cs="Times New Roman"/>
                      <w:i/>
                      <w:sz w:val="18"/>
                      <w:szCs w:val="18"/>
                    </w:rPr>
                    <w:t>Managing Agricultural Production Risk. Innovations in Developing Countries. Report No. 32727-GLB</w:t>
                  </w:r>
                </w:p>
              </w:tc>
            </w:tr>
            <w:tr w:rsidR="00464077" w:rsidRPr="00A23773" w14:paraId="703248ED" w14:textId="77777777" w:rsidTr="003C4574">
              <w:tc>
                <w:tcPr>
                  <w:tcW w:w="8414" w:type="dxa"/>
                </w:tcPr>
                <w:p w14:paraId="2ABB582C" w14:textId="77777777" w:rsidR="00464077" w:rsidRPr="00A23773" w:rsidRDefault="00464077" w:rsidP="003C4574">
                  <w:pPr>
                    <w:autoSpaceDE w:val="0"/>
                    <w:autoSpaceDN w:val="0"/>
                    <w:adjustRightInd w:val="0"/>
                    <w:rPr>
                      <w:rFonts w:ascii="Times New Roman" w:hAnsi="Times New Roman" w:cs="Times New Roman"/>
                      <w:sz w:val="20"/>
                      <w:szCs w:val="20"/>
                    </w:rPr>
                  </w:pPr>
                </w:p>
              </w:tc>
            </w:tr>
          </w:tbl>
          <w:p w14:paraId="5424AE19" w14:textId="77777777" w:rsidR="00464077" w:rsidRPr="00A23773" w:rsidRDefault="00464077" w:rsidP="003C4574">
            <w:pPr>
              <w:jc w:val="both"/>
              <w:rPr>
                <w:rFonts w:ascii="Times New Roman" w:hAnsi="Times New Roman" w:cs="Times New Roman"/>
                <w:sz w:val="20"/>
                <w:szCs w:val="20"/>
              </w:rPr>
            </w:pPr>
          </w:p>
        </w:tc>
      </w:tr>
    </w:tbl>
    <w:p w14:paraId="5EE47B93" w14:textId="77777777" w:rsidR="007C54D1" w:rsidRPr="007575D7" w:rsidRDefault="007C54D1" w:rsidP="007575D7">
      <w:pPr>
        <w:pStyle w:val="ListParagraph"/>
        <w:ind w:left="0"/>
        <w:jc w:val="both"/>
        <w:rPr>
          <w:rFonts w:ascii="Times New Roman" w:hAnsi="Times New Roman" w:cs="Times New Roman"/>
        </w:rPr>
      </w:pPr>
    </w:p>
    <w:p w14:paraId="7E65AFDC" w14:textId="77777777" w:rsidR="00464077" w:rsidRPr="00131E1E" w:rsidRDefault="00464077" w:rsidP="007575D7">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At the same time</w:t>
      </w:r>
      <w:r w:rsidRPr="00131E1E">
        <w:rPr>
          <w:rFonts w:ascii="Times New Roman" w:hAnsi="Times New Roman" w:cs="Times New Roman"/>
          <w:b/>
        </w:rPr>
        <w:t>, to maximize finance for development, the Government could encourage private investment along the value chain to optimize public resources and invest them in public goods that contribute to increasing productivity (i.e. research, transport infrastructure)</w:t>
      </w:r>
      <w:r>
        <w:rPr>
          <w:rFonts w:ascii="Times New Roman" w:hAnsi="Times New Roman" w:cs="Times New Roman"/>
        </w:rPr>
        <w:t xml:space="preserve">. </w:t>
      </w:r>
      <w:r w:rsidRPr="00131E1E">
        <w:rPr>
          <w:rFonts w:ascii="Times New Roman" w:hAnsi="Times New Roman" w:cs="Times New Roman"/>
        </w:rPr>
        <w:t>Given current levels of investment in agricultural value chains at global level, crowding in private investment is necessary to achieve key development goals. Senegal’s groundnut value chain is no exception to this. Crowding in private investment can help optimize the use of the public resources, while contribute to other goals such as good governance and environmental and social sustainability. To ensure and increase private sector access to various sources of finance (a wide range including from own-savings to agricultural investment funds), it is key for the Government of Senegal to provide an enabling environment for all private sector actors in agricultural value chains (farmers who are by far the largest current investors, input suppliers, processors, distributors, and marketers). In addition, crowding-in more private investment also requires increasing the space for private sector activity; improving the policy and regulatory environment, as well as considering options for using public financing, to improve private incentives, and reduce transactions costs and risks.</w:t>
      </w:r>
      <w:r>
        <w:rPr>
          <w:rFonts w:ascii="Times New Roman" w:hAnsi="Times New Roman" w:cs="Times New Roman"/>
        </w:rPr>
        <w:t xml:space="preserve"> </w:t>
      </w:r>
      <w:r w:rsidRPr="00131E1E">
        <w:rPr>
          <w:rFonts w:ascii="Times New Roman" w:hAnsi="Times New Roman" w:cs="Times New Roman"/>
        </w:rPr>
        <w:t xml:space="preserve">Finally, public resources will still be necessary to finance key public goods such as agricultural research and extension, and public infrastructure. In this sense, public-private collaboration mechanisms can help inform country level actions prioritization. </w:t>
      </w:r>
    </w:p>
    <w:p w14:paraId="1E18759F" w14:textId="77777777" w:rsidR="00464077" w:rsidRPr="00C91EA2" w:rsidRDefault="00464077" w:rsidP="00377635">
      <w:pPr>
        <w:jc w:val="both"/>
        <w:rPr>
          <w:rFonts w:ascii="Times New Roman" w:hAnsi="Times New Roman" w:cs="Times New Roman"/>
        </w:rPr>
      </w:pPr>
    </w:p>
    <w:p w14:paraId="2B65216A" w14:textId="77777777" w:rsidR="00377635" w:rsidRPr="00C91EA2" w:rsidRDefault="00B37FE4" w:rsidP="00B824E5">
      <w:pPr>
        <w:pStyle w:val="Heading4"/>
        <w:rPr>
          <w:rFonts w:ascii="Times New Roman" w:hAnsi="Times New Roman" w:cs="Times New Roman"/>
        </w:rPr>
      </w:pPr>
      <w:r>
        <w:rPr>
          <w:rFonts w:ascii="Times New Roman" w:hAnsi="Times New Roman" w:cs="Times New Roman"/>
        </w:rPr>
        <w:t>Potential I</w:t>
      </w:r>
      <w:r w:rsidR="00377635" w:rsidRPr="00C91EA2">
        <w:rPr>
          <w:rFonts w:ascii="Times New Roman" w:hAnsi="Times New Roman" w:cs="Times New Roman"/>
        </w:rPr>
        <w:t xml:space="preserve">mpact of </w:t>
      </w:r>
      <w:r>
        <w:rPr>
          <w:rFonts w:ascii="Times New Roman" w:hAnsi="Times New Roman" w:cs="Times New Roman"/>
        </w:rPr>
        <w:t>S</w:t>
      </w:r>
      <w:r w:rsidR="00377635" w:rsidRPr="00C91EA2">
        <w:rPr>
          <w:rFonts w:ascii="Times New Roman" w:hAnsi="Times New Roman" w:cs="Times New Roman"/>
        </w:rPr>
        <w:t xml:space="preserve">elected </w:t>
      </w:r>
      <w:r>
        <w:rPr>
          <w:rFonts w:ascii="Times New Roman" w:hAnsi="Times New Roman" w:cs="Times New Roman"/>
        </w:rPr>
        <w:t>R</w:t>
      </w:r>
      <w:r w:rsidR="00377635" w:rsidRPr="00C91EA2">
        <w:rPr>
          <w:rFonts w:ascii="Times New Roman" w:hAnsi="Times New Roman" w:cs="Times New Roman"/>
        </w:rPr>
        <w:t xml:space="preserve">eforms in the </w:t>
      </w:r>
      <w:r>
        <w:rPr>
          <w:rFonts w:ascii="Times New Roman" w:hAnsi="Times New Roman" w:cs="Times New Roman"/>
        </w:rPr>
        <w:t>G</w:t>
      </w:r>
      <w:r w:rsidR="00377635" w:rsidRPr="00C91EA2">
        <w:rPr>
          <w:rFonts w:ascii="Times New Roman" w:hAnsi="Times New Roman" w:cs="Times New Roman"/>
        </w:rPr>
        <w:t xml:space="preserve">roundnut </w:t>
      </w:r>
      <w:r>
        <w:rPr>
          <w:rFonts w:ascii="Times New Roman" w:hAnsi="Times New Roman" w:cs="Times New Roman"/>
        </w:rPr>
        <w:t>V</w:t>
      </w:r>
      <w:r w:rsidR="00377635" w:rsidRPr="00C91EA2">
        <w:rPr>
          <w:rFonts w:ascii="Times New Roman" w:hAnsi="Times New Roman" w:cs="Times New Roman"/>
        </w:rPr>
        <w:t xml:space="preserve">alue </w:t>
      </w:r>
      <w:r>
        <w:rPr>
          <w:rFonts w:ascii="Times New Roman" w:hAnsi="Times New Roman" w:cs="Times New Roman"/>
        </w:rPr>
        <w:t>C</w:t>
      </w:r>
      <w:r w:rsidR="00377635" w:rsidRPr="00C91EA2">
        <w:rPr>
          <w:rFonts w:ascii="Times New Roman" w:hAnsi="Times New Roman" w:cs="Times New Roman"/>
        </w:rPr>
        <w:t>hain</w:t>
      </w:r>
    </w:p>
    <w:p w14:paraId="61BFB260" w14:textId="77777777" w:rsidR="00377635" w:rsidRPr="00C91EA2" w:rsidRDefault="00377635" w:rsidP="00377635">
      <w:pPr>
        <w:jc w:val="both"/>
        <w:rPr>
          <w:rFonts w:ascii="Times New Roman" w:hAnsi="Times New Roman" w:cs="Times New Roman"/>
        </w:rPr>
      </w:pPr>
    </w:p>
    <w:p w14:paraId="57081E2E" w14:textId="6C7D2B9C" w:rsidR="00AB7E51" w:rsidRDefault="00377635" w:rsidP="00E26E07">
      <w:pPr>
        <w:pStyle w:val="ListParagraph"/>
        <w:numPr>
          <w:ilvl w:val="0"/>
          <w:numId w:val="71"/>
        </w:numPr>
        <w:ind w:left="0" w:firstLine="0"/>
        <w:jc w:val="both"/>
        <w:rPr>
          <w:rFonts w:ascii="Times New Roman" w:hAnsi="Times New Roman" w:cs="Times New Roman"/>
        </w:rPr>
      </w:pPr>
      <w:r w:rsidRPr="006E2DBE">
        <w:rPr>
          <w:rFonts w:ascii="Times New Roman" w:hAnsi="Times New Roman" w:cs="Times New Roman"/>
          <w:b/>
        </w:rPr>
        <w:t>A</w:t>
      </w:r>
      <w:r w:rsidR="00154CDF">
        <w:rPr>
          <w:rFonts w:ascii="Times New Roman" w:hAnsi="Times New Roman" w:cs="Times New Roman"/>
          <w:b/>
        </w:rPr>
        <w:t xml:space="preserve"> rough </w:t>
      </w:r>
      <w:r w:rsidRPr="006E2DBE">
        <w:rPr>
          <w:rFonts w:ascii="Times New Roman" w:hAnsi="Times New Roman" w:cs="Times New Roman"/>
          <w:b/>
        </w:rPr>
        <w:t xml:space="preserve">estimate of the potential gains from implementing a subset of the reforms proposed in this assessment can be calculated using basic assumptions. </w:t>
      </w:r>
      <w:r w:rsidR="00297955" w:rsidRPr="00FE2A31">
        <w:rPr>
          <w:rFonts w:ascii="Times New Roman" w:hAnsi="Times New Roman" w:cs="Times New Roman"/>
        </w:rPr>
        <w:fldChar w:fldCharType="begin"/>
      </w:r>
      <w:r w:rsidR="00297955" w:rsidRPr="00FE2A31">
        <w:rPr>
          <w:rFonts w:ascii="Times New Roman" w:hAnsi="Times New Roman" w:cs="Times New Roman"/>
        </w:rPr>
        <w:instrText xml:space="preserve"> REF _Ref497917426 \h </w:instrText>
      </w:r>
      <w:r w:rsidR="006E2DBE">
        <w:rPr>
          <w:rFonts w:ascii="Times New Roman" w:hAnsi="Times New Roman" w:cs="Times New Roman"/>
        </w:rPr>
        <w:instrText xml:space="preserve"> \* MERGEFORMAT </w:instrText>
      </w:r>
      <w:r w:rsidR="00297955" w:rsidRPr="00FE2A31">
        <w:rPr>
          <w:rFonts w:ascii="Times New Roman" w:hAnsi="Times New Roman" w:cs="Times New Roman"/>
        </w:rPr>
      </w:r>
      <w:r w:rsidR="00297955" w:rsidRPr="00FE2A31">
        <w:rPr>
          <w:rFonts w:ascii="Times New Roman" w:hAnsi="Times New Roman" w:cs="Times New Roman"/>
        </w:rPr>
        <w:fldChar w:fldCharType="separate"/>
      </w:r>
      <w:r w:rsidR="008261B2">
        <w:rPr>
          <w:rFonts w:ascii="Times New Roman" w:hAnsi="Times New Roman" w:cs="Times New Roman"/>
          <w:b/>
          <w:bCs/>
        </w:rPr>
        <w:t>Error! Reference source not found.</w:t>
      </w:r>
      <w:r w:rsidR="00297955" w:rsidRPr="00FE2A31">
        <w:rPr>
          <w:rFonts w:ascii="Times New Roman" w:hAnsi="Times New Roman" w:cs="Times New Roman"/>
        </w:rPr>
        <w:fldChar w:fldCharType="end"/>
      </w:r>
      <w:r w:rsidR="00297955" w:rsidRPr="006E2DBE">
        <w:rPr>
          <w:rFonts w:ascii="Times New Roman" w:hAnsi="Times New Roman" w:cs="Times New Roman"/>
        </w:rPr>
        <w:t xml:space="preserve"> </w:t>
      </w:r>
      <w:r w:rsidRPr="006E2DBE">
        <w:rPr>
          <w:rFonts w:ascii="Times New Roman" w:hAnsi="Times New Roman" w:cs="Times New Roman"/>
        </w:rPr>
        <w:t xml:space="preserve">estimates the </w:t>
      </w:r>
      <w:r w:rsidR="00297955" w:rsidRPr="006E2DBE">
        <w:rPr>
          <w:rFonts w:ascii="Times New Roman" w:hAnsi="Times New Roman" w:cs="Times New Roman"/>
        </w:rPr>
        <w:t xml:space="preserve">impact of the recent removal of purchasing subsidies, the suspension of the export tax in combination with an additional set of prudent reforms </w:t>
      </w:r>
      <w:r w:rsidRPr="006E2DBE">
        <w:rPr>
          <w:rFonts w:ascii="Times New Roman" w:hAnsi="Times New Roman" w:cs="Times New Roman"/>
        </w:rPr>
        <w:t xml:space="preserve">that would decrease market distortions and allow the </w:t>
      </w:r>
      <w:r w:rsidR="003B24ED">
        <w:rPr>
          <w:rFonts w:ascii="Times New Roman" w:hAnsi="Times New Roman" w:cs="Times New Roman"/>
        </w:rPr>
        <w:t>Government</w:t>
      </w:r>
      <w:r w:rsidRPr="006E2DBE">
        <w:rPr>
          <w:rFonts w:ascii="Times New Roman" w:hAnsi="Times New Roman" w:cs="Times New Roman"/>
        </w:rPr>
        <w:t xml:space="preserve"> to achieve its policy objectives. The criteria for selecting such reforms for this estimate are</w:t>
      </w:r>
      <w:r w:rsidR="006962B2" w:rsidRPr="006E2DBE">
        <w:rPr>
          <w:rFonts w:ascii="Times New Roman" w:hAnsi="Times New Roman" w:cs="Times New Roman"/>
        </w:rPr>
        <w:t xml:space="preserve"> that they</w:t>
      </w:r>
      <w:r w:rsidRPr="006E2DBE">
        <w:rPr>
          <w:rFonts w:ascii="Times New Roman" w:hAnsi="Times New Roman" w:cs="Times New Roman"/>
        </w:rPr>
        <w:t xml:space="preserve">: i) appear feasible in the short term, ii) </w:t>
      </w:r>
      <w:r w:rsidR="006962B2" w:rsidRPr="006E2DBE">
        <w:rPr>
          <w:rFonts w:ascii="Times New Roman" w:hAnsi="Times New Roman" w:cs="Times New Roman"/>
        </w:rPr>
        <w:t xml:space="preserve">are </w:t>
      </w:r>
      <w:r w:rsidRPr="006E2DBE">
        <w:rPr>
          <w:rFonts w:ascii="Times New Roman" w:hAnsi="Times New Roman" w:cs="Times New Roman"/>
        </w:rPr>
        <w:t>key drivers of market dynamics,</w:t>
      </w:r>
      <w:r w:rsidR="006962B2" w:rsidRPr="006E2DBE">
        <w:rPr>
          <w:rFonts w:ascii="Times New Roman" w:hAnsi="Times New Roman" w:cs="Times New Roman"/>
        </w:rPr>
        <w:t xml:space="preserve"> and</w:t>
      </w:r>
      <w:r w:rsidRPr="006E2DBE">
        <w:rPr>
          <w:rFonts w:ascii="Times New Roman" w:hAnsi="Times New Roman" w:cs="Times New Roman"/>
        </w:rPr>
        <w:t xml:space="preserve"> iii) have an immediate impact on </w:t>
      </w:r>
      <w:r w:rsidR="003B24ED">
        <w:rPr>
          <w:rFonts w:ascii="Times New Roman" w:hAnsi="Times New Roman" w:cs="Times New Roman"/>
        </w:rPr>
        <w:t>Government</w:t>
      </w:r>
      <w:r w:rsidRPr="006E2DBE">
        <w:rPr>
          <w:rFonts w:ascii="Times New Roman" w:hAnsi="Times New Roman" w:cs="Times New Roman"/>
        </w:rPr>
        <w:t xml:space="preserve"> spending or revenues. Together they represent a “middle way” between the status quo and full liberalization of the sector including: phasing out the setting of a minimum price, maintaining the current removal of a purchasing subsidy for processors, </w:t>
      </w:r>
      <w:r w:rsidR="00297955" w:rsidRPr="006E2DBE">
        <w:rPr>
          <w:rFonts w:ascii="Times New Roman" w:hAnsi="Times New Roman" w:cs="Times New Roman"/>
        </w:rPr>
        <w:t xml:space="preserve">ensuring the continued suspension of </w:t>
      </w:r>
      <w:r w:rsidRPr="006E2DBE">
        <w:rPr>
          <w:rFonts w:ascii="Times New Roman" w:hAnsi="Times New Roman" w:cs="Times New Roman"/>
        </w:rPr>
        <w:t>the export tax on kernel (shelled nuts), and phasing out import restrictions on crude vegetable oil imports.</w:t>
      </w:r>
    </w:p>
    <w:p w14:paraId="35ED9369" w14:textId="2DDD6441" w:rsidR="00AB7E51" w:rsidRDefault="00377635" w:rsidP="007575D7">
      <w:pPr>
        <w:pStyle w:val="ListParagraph"/>
        <w:ind w:left="0"/>
        <w:jc w:val="both"/>
        <w:rPr>
          <w:rFonts w:ascii="Times New Roman" w:hAnsi="Times New Roman" w:cs="Times New Roman"/>
        </w:rPr>
      </w:pPr>
      <w:r w:rsidRPr="006E2DBE">
        <w:rPr>
          <w:rFonts w:ascii="Times New Roman" w:hAnsi="Times New Roman" w:cs="Times New Roman"/>
        </w:rPr>
        <w:t xml:space="preserve"> </w:t>
      </w:r>
    </w:p>
    <w:p w14:paraId="589F320A" w14:textId="32513B3A" w:rsidR="00CA73BB" w:rsidRPr="007575D7" w:rsidRDefault="00377635" w:rsidP="007575D7">
      <w:pPr>
        <w:pStyle w:val="ListParagraph"/>
        <w:numPr>
          <w:ilvl w:val="0"/>
          <w:numId w:val="71"/>
        </w:numPr>
        <w:ind w:left="0" w:firstLine="0"/>
        <w:jc w:val="both"/>
        <w:rPr>
          <w:rFonts w:ascii="Times New Roman" w:hAnsi="Times New Roman" w:cs="Times New Roman"/>
        </w:rPr>
      </w:pPr>
      <w:r w:rsidRPr="007575D7">
        <w:rPr>
          <w:rFonts w:ascii="Times New Roman" w:hAnsi="Times New Roman" w:cs="Times New Roman"/>
          <w:b/>
        </w:rPr>
        <w:t xml:space="preserve">Implementing this set of reforms is estimated to generate benefits for all value chain actors in excess of </w:t>
      </w:r>
      <w:r w:rsidR="00B75CDD" w:rsidRPr="007575D7">
        <w:rPr>
          <w:rFonts w:ascii="Times New Roman" w:hAnsi="Times New Roman" w:cs="Times New Roman"/>
          <w:b/>
        </w:rPr>
        <w:t xml:space="preserve">F CFA </w:t>
      </w:r>
      <w:r w:rsidRPr="007575D7">
        <w:rPr>
          <w:rFonts w:ascii="Times New Roman" w:hAnsi="Times New Roman" w:cs="Times New Roman"/>
          <w:b/>
        </w:rPr>
        <w:t>150</w:t>
      </w:r>
      <w:r w:rsidR="00B75CDD" w:rsidRPr="007575D7">
        <w:rPr>
          <w:rFonts w:ascii="Times New Roman" w:hAnsi="Times New Roman" w:cs="Times New Roman"/>
          <w:b/>
        </w:rPr>
        <w:t xml:space="preserve"> </w:t>
      </w:r>
      <w:proofErr w:type="gramStart"/>
      <w:r w:rsidRPr="007575D7">
        <w:rPr>
          <w:rFonts w:ascii="Times New Roman" w:hAnsi="Times New Roman" w:cs="Times New Roman"/>
          <w:b/>
        </w:rPr>
        <w:t>b</w:t>
      </w:r>
      <w:r w:rsidR="00B75CDD" w:rsidRPr="007575D7">
        <w:rPr>
          <w:rFonts w:ascii="Times New Roman" w:hAnsi="Times New Roman" w:cs="Times New Roman"/>
          <w:b/>
        </w:rPr>
        <w:t>illion</w:t>
      </w:r>
      <w:r w:rsidR="005E62FB" w:rsidRPr="007575D7">
        <w:rPr>
          <w:rFonts w:ascii="Times New Roman" w:hAnsi="Times New Roman" w:cs="Times New Roman"/>
          <w:b/>
        </w:rPr>
        <w:t>(</w:t>
      </w:r>
      <w:proofErr w:type="gramEnd"/>
      <w:r w:rsidR="005E62FB" w:rsidRPr="007575D7">
        <w:rPr>
          <w:rFonts w:ascii="Times New Roman" w:hAnsi="Times New Roman" w:cs="Times New Roman"/>
          <w:b/>
        </w:rPr>
        <w:t xml:space="preserve">USD </w:t>
      </w:r>
      <w:r w:rsidR="005E62FB" w:rsidRPr="007575D7">
        <w:rPr>
          <w:rFonts w:ascii="Times New Roman" w:eastAsia="Times New Roman" w:hAnsi="Times New Roman" w:cs="Times New Roman"/>
          <w:b/>
          <w:color w:val="000000"/>
        </w:rPr>
        <w:t>250</w:t>
      </w:r>
      <w:r w:rsidR="0098273F" w:rsidRPr="007575D7">
        <w:rPr>
          <w:rFonts w:ascii="Times New Roman" w:eastAsia="Times New Roman" w:hAnsi="Times New Roman" w:cs="Times New Roman"/>
          <w:b/>
          <w:color w:val="000000"/>
        </w:rPr>
        <w:t xml:space="preserve"> </w:t>
      </w:r>
      <w:r w:rsidR="005E62FB" w:rsidRPr="007575D7">
        <w:rPr>
          <w:rFonts w:ascii="Times New Roman" w:eastAsia="Times New Roman" w:hAnsi="Times New Roman" w:cs="Times New Roman"/>
          <w:b/>
          <w:color w:val="000000"/>
        </w:rPr>
        <w:t>m</w:t>
      </w:r>
      <w:r w:rsidR="0098273F" w:rsidRPr="007575D7">
        <w:rPr>
          <w:rFonts w:ascii="Times New Roman" w:eastAsia="Times New Roman" w:hAnsi="Times New Roman" w:cs="Times New Roman"/>
          <w:b/>
          <w:color w:val="000000"/>
        </w:rPr>
        <w:t>illion</w:t>
      </w:r>
      <w:r w:rsidR="005E62FB" w:rsidRPr="007575D7">
        <w:rPr>
          <w:rFonts w:ascii="Times New Roman" w:eastAsia="Times New Roman" w:hAnsi="Times New Roman" w:cs="Times New Roman"/>
          <w:b/>
          <w:color w:val="000000"/>
        </w:rPr>
        <w:t>)</w:t>
      </w:r>
      <w:r w:rsidRPr="007575D7">
        <w:rPr>
          <w:rFonts w:ascii="Times New Roman" w:hAnsi="Times New Roman" w:cs="Times New Roman"/>
          <w:b/>
        </w:rPr>
        <w:t xml:space="preserve">, create employment for rural poor women and lift 50,000 people out of poverty. </w:t>
      </w:r>
      <w:r w:rsidRPr="007575D7">
        <w:rPr>
          <w:rFonts w:ascii="Times New Roman" w:hAnsi="Times New Roman" w:cs="Times New Roman"/>
        </w:rPr>
        <w:t xml:space="preserve">If employed correctly, the policy reforms would increase farmer incomes, lower consumer prices, create employment and generate higher profits. This is not to say that this subset of reforms is necessarily what should be adopted by the </w:t>
      </w:r>
      <w:proofErr w:type="spellStart"/>
      <w:r w:rsidRPr="007575D7">
        <w:rPr>
          <w:rFonts w:ascii="Times New Roman" w:hAnsi="Times New Roman" w:cs="Times New Roman"/>
        </w:rPr>
        <w:t>GoS</w:t>
      </w:r>
      <w:proofErr w:type="spellEnd"/>
      <w:r w:rsidRPr="007575D7">
        <w:rPr>
          <w:rFonts w:ascii="Times New Roman" w:hAnsi="Times New Roman" w:cs="Times New Roman"/>
        </w:rPr>
        <w:t xml:space="preserve"> or that other reforms would not be necessary – however, it does indicate the potential magnitude of gains that are available to the </w:t>
      </w:r>
      <w:proofErr w:type="spellStart"/>
      <w:r w:rsidRPr="007575D7">
        <w:rPr>
          <w:rFonts w:ascii="Times New Roman" w:hAnsi="Times New Roman" w:cs="Times New Roman"/>
        </w:rPr>
        <w:t>GoS</w:t>
      </w:r>
      <w:proofErr w:type="spellEnd"/>
      <w:r w:rsidRPr="007575D7">
        <w:rPr>
          <w:rFonts w:ascii="Times New Roman" w:hAnsi="Times New Roman" w:cs="Times New Roman"/>
        </w:rPr>
        <w:t xml:space="preserve"> if reforms are implemented systematically and credibly.</w:t>
      </w:r>
      <w:r w:rsidR="001754B5" w:rsidRPr="007575D7">
        <w:rPr>
          <w:rFonts w:ascii="Times New Roman" w:hAnsi="Times New Roman" w:cs="Times New Roman"/>
        </w:rPr>
        <w:t xml:space="preserve"> </w:t>
      </w:r>
    </w:p>
    <w:p w14:paraId="13199674" w14:textId="7AD81CB4" w:rsidR="005538DD" w:rsidRPr="007575D7" w:rsidRDefault="005538DD" w:rsidP="007575D7"/>
    <w:p w14:paraId="7D4EC8C0" w14:textId="3BA94697" w:rsidR="005538DD" w:rsidRDefault="005538DD" w:rsidP="007575D7">
      <w:pPr>
        <w:pStyle w:val="Caption"/>
        <w:keepNext/>
      </w:pPr>
      <w:bookmarkStart w:id="255" w:name="_Toc520725803"/>
      <w:r w:rsidRPr="007575D7">
        <w:rPr>
          <w:rFonts w:ascii="Times New Roman" w:hAnsi="Times New Roman"/>
        </w:rPr>
        <w:t xml:space="preserve">Box </w:t>
      </w:r>
      <w:r w:rsidRPr="007575D7">
        <w:rPr>
          <w:rFonts w:ascii="Times New Roman" w:hAnsi="Times New Roman"/>
        </w:rPr>
        <w:fldChar w:fldCharType="begin"/>
      </w:r>
      <w:r w:rsidRPr="007575D7">
        <w:rPr>
          <w:rFonts w:ascii="Times New Roman" w:hAnsi="Times New Roman"/>
        </w:rPr>
        <w:instrText xml:space="preserve"> SEQ Box \* ARABIC </w:instrText>
      </w:r>
      <w:r w:rsidRPr="007575D7">
        <w:rPr>
          <w:rFonts w:ascii="Times New Roman" w:hAnsi="Times New Roman"/>
        </w:rPr>
        <w:fldChar w:fldCharType="separate"/>
      </w:r>
      <w:r w:rsidR="008261B2">
        <w:rPr>
          <w:rFonts w:ascii="Times New Roman" w:hAnsi="Times New Roman"/>
          <w:noProof/>
        </w:rPr>
        <w:t>15</w:t>
      </w:r>
      <w:r w:rsidRPr="007575D7">
        <w:rPr>
          <w:rFonts w:ascii="Times New Roman" w:hAnsi="Times New Roman"/>
        </w:rPr>
        <w:fldChar w:fldCharType="end"/>
      </w:r>
      <w:r w:rsidRPr="007575D7">
        <w:rPr>
          <w:rFonts w:ascii="Times New Roman" w:hAnsi="Times New Roman"/>
        </w:rPr>
        <w:t xml:space="preserve">: </w:t>
      </w:r>
      <w:r w:rsidRPr="006E2DBE">
        <w:rPr>
          <w:rFonts w:ascii="Times New Roman" w:hAnsi="Times New Roman"/>
        </w:rPr>
        <w:t>Implementing a subset of these recommendations can lead to significant gains for Senegal</w:t>
      </w:r>
      <w:bookmarkEnd w:id="255"/>
    </w:p>
    <w:tbl>
      <w:tblPr>
        <w:tblStyle w:val="TableGrid"/>
        <w:tblW w:w="0" w:type="auto"/>
        <w:shd w:val="clear" w:color="auto" w:fill="F2F2F2" w:themeFill="background1" w:themeFillShade="F2"/>
        <w:tblLook w:val="04A0" w:firstRow="1" w:lastRow="0" w:firstColumn="1" w:lastColumn="0" w:noHBand="0" w:noVBand="1"/>
      </w:tblPr>
      <w:tblGrid>
        <w:gridCol w:w="8630"/>
      </w:tblGrid>
      <w:tr w:rsidR="00377635" w:rsidRPr="00A23773" w14:paraId="24271029" w14:textId="77777777" w:rsidTr="00AB7E51">
        <w:trPr>
          <w:trHeight w:val="983"/>
        </w:trPr>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AB06DC" w14:textId="014199F2" w:rsidR="00377635" w:rsidRPr="00A23773" w:rsidRDefault="00377635">
            <w:pPr>
              <w:jc w:val="both"/>
              <w:rPr>
                <w:rFonts w:ascii="Times New Roman" w:hAnsi="Times New Roman" w:cs="Times New Roman"/>
                <w:sz w:val="20"/>
                <w:szCs w:val="20"/>
              </w:rPr>
            </w:pPr>
            <w:r w:rsidRPr="00A23773">
              <w:rPr>
                <w:rFonts w:ascii="Times New Roman" w:hAnsi="Times New Roman" w:cs="Times New Roman"/>
                <w:sz w:val="20"/>
                <w:szCs w:val="20"/>
              </w:rPr>
              <w:t xml:space="preserve">As shown in the preceding analysis, the current policies employed in the groundnut sector hurt millions of consumers and hundreds of thousands of farmers and only benefit a few thousand employees in the oil processing. At the same time, they are ineffective in achieving the </w:t>
            </w:r>
            <w:r w:rsidR="003B24ED">
              <w:rPr>
                <w:rFonts w:ascii="Times New Roman" w:hAnsi="Times New Roman" w:cs="Times New Roman"/>
                <w:sz w:val="20"/>
                <w:szCs w:val="20"/>
              </w:rPr>
              <w:t>Government</w:t>
            </w:r>
            <w:r w:rsidRPr="00A23773">
              <w:rPr>
                <w:rFonts w:ascii="Times New Roman" w:hAnsi="Times New Roman" w:cs="Times New Roman"/>
                <w:sz w:val="20"/>
                <w:szCs w:val="20"/>
              </w:rPr>
              <w:t xml:space="preserve">’s strategic objectives as laid out in the Plan </w:t>
            </w:r>
            <w:proofErr w:type="spellStart"/>
            <w:r w:rsidRPr="00A23773">
              <w:rPr>
                <w:rFonts w:ascii="Times New Roman" w:hAnsi="Times New Roman" w:cs="Times New Roman"/>
                <w:sz w:val="20"/>
                <w:szCs w:val="20"/>
              </w:rPr>
              <w:t>Sénégal</w:t>
            </w:r>
            <w:proofErr w:type="spellEnd"/>
            <w:r w:rsidRPr="00A23773">
              <w:rPr>
                <w:rFonts w:ascii="Times New Roman" w:hAnsi="Times New Roman" w:cs="Times New Roman"/>
                <w:sz w:val="20"/>
                <w:szCs w:val="20"/>
              </w:rPr>
              <w:t xml:space="preserve"> Emergent (PSE). </w:t>
            </w:r>
          </w:p>
          <w:p w14:paraId="0932F247" w14:textId="77777777" w:rsidR="00377635" w:rsidRPr="00A23773" w:rsidRDefault="00377635">
            <w:pPr>
              <w:jc w:val="both"/>
              <w:rPr>
                <w:rFonts w:ascii="Times New Roman" w:hAnsi="Times New Roman" w:cs="Times New Roman"/>
                <w:sz w:val="20"/>
                <w:szCs w:val="20"/>
              </w:rPr>
            </w:pPr>
          </w:p>
          <w:p w14:paraId="028544CB" w14:textId="77777777" w:rsidR="00377635" w:rsidRPr="00A23773" w:rsidRDefault="00377635">
            <w:pPr>
              <w:jc w:val="both"/>
              <w:rPr>
                <w:rFonts w:ascii="Times New Roman" w:hAnsi="Times New Roman" w:cs="Times New Roman"/>
                <w:sz w:val="20"/>
                <w:szCs w:val="20"/>
              </w:rPr>
            </w:pPr>
            <w:r w:rsidRPr="00A23773">
              <w:rPr>
                <w:rFonts w:ascii="Times New Roman" w:hAnsi="Times New Roman" w:cs="Times New Roman"/>
                <w:sz w:val="20"/>
                <w:szCs w:val="20"/>
              </w:rPr>
              <w:t xml:space="preserve">A prudent blend of policy reforms could not only generate profits for farmers and </w:t>
            </w:r>
            <w:proofErr w:type="gramStart"/>
            <w:r w:rsidRPr="00A23773">
              <w:rPr>
                <w:rFonts w:ascii="Times New Roman" w:hAnsi="Times New Roman" w:cs="Times New Roman"/>
                <w:sz w:val="20"/>
                <w:szCs w:val="20"/>
              </w:rPr>
              <w:t>exporters, but</w:t>
            </w:r>
            <w:proofErr w:type="gramEnd"/>
            <w:r w:rsidRPr="00A23773">
              <w:rPr>
                <w:rFonts w:ascii="Times New Roman" w:hAnsi="Times New Roman" w:cs="Times New Roman"/>
                <w:sz w:val="20"/>
                <w:szCs w:val="20"/>
              </w:rPr>
              <w:t xml:space="preserve"> would also generate thousands of jobs and lift tens of thousands of Senegalese out of poverty. </w:t>
            </w:r>
          </w:p>
          <w:p w14:paraId="4DACDFA9" w14:textId="77777777" w:rsidR="00377635" w:rsidRPr="00A23773" w:rsidRDefault="00377635">
            <w:pPr>
              <w:jc w:val="both"/>
              <w:rPr>
                <w:rFonts w:ascii="Times New Roman" w:hAnsi="Times New Roman" w:cs="Times New Roman"/>
                <w:sz w:val="20"/>
                <w:szCs w:val="20"/>
              </w:rPr>
            </w:pPr>
          </w:p>
          <w:p w14:paraId="7C0D2DE9" w14:textId="77777777" w:rsidR="00377635" w:rsidRPr="00A23773" w:rsidRDefault="00377635">
            <w:pPr>
              <w:jc w:val="both"/>
              <w:rPr>
                <w:rFonts w:ascii="Times New Roman" w:hAnsi="Times New Roman" w:cs="Times New Roman"/>
                <w:sz w:val="20"/>
                <w:szCs w:val="20"/>
              </w:rPr>
            </w:pPr>
            <w:r w:rsidRPr="00A23773">
              <w:rPr>
                <w:rFonts w:ascii="Times New Roman" w:hAnsi="Times New Roman" w:cs="Times New Roman"/>
                <w:sz w:val="20"/>
                <w:szCs w:val="20"/>
              </w:rPr>
              <w:t>As an example, the following estimate the gains from:</w:t>
            </w:r>
          </w:p>
          <w:p w14:paraId="20A73A7C" w14:textId="77777777" w:rsidR="00377635" w:rsidRPr="00A23773" w:rsidRDefault="00377635" w:rsidP="00377635">
            <w:pPr>
              <w:pStyle w:val="ListParagraph"/>
              <w:numPr>
                <w:ilvl w:val="0"/>
                <w:numId w:val="121"/>
              </w:numPr>
              <w:jc w:val="both"/>
              <w:rPr>
                <w:rFonts w:ascii="Times New Roman" w:hAnsi="Times New Roman" w:cs="Times New Roman"/>
                <w:sz w:val="20"/>
                <w:szCs w:val="20"/>
              </w:rPr>
            </w:pPr>
            <w:r w:rsidRPr="00A23773">
              <w:rPr>
                <w:rFonts w:ascii="Times New Roman" w:hAnsi="Times New Roman" w:cs="Times New Roman"/>
                <w:sz w:val="20"/>
                <w:szCs w:val="20"/>
              </w:rPr>
              <w:t xml:space="preserve">Phasing out the setting of </w:t>
            </w:r>
            <w:r w:rsidR="006962B2">
              <w:rPr>
                <w:rFonts w:ascii="Times New Roman" w:hAnsi="Times New Roman" w:cs="Times New Roman"/>
                <w:sz w:val="20"/>
                <w:szCs w:val="20"/>
              </w:rPr>
              <w:t>a</w:t>
            </w:r>
            <w:r w:rsidR="006962B2" w:rsidRPr="00A23773">
              <w:rPr>
                <w:rFonts w:ascii="Times New Roman" w:hAnsi="Times New Roman" w:cs="Times New Roman"/>
                <w:sz w:val="20"/>
                <w:szCs w:val="20"/>
              </w:rPr>
              <w:t xml:space="preserve"> </w:t>
            </w:r>
            <w:r w:rsidRPr="00A23773">
              <w:rPr>
                <w:rFonts w:ascii="Times New Roman" w:hAnsi="Times New Roman" w:cs="Times New Roman"/>
                <w:sz w:val="20"/>
                <w:szCs w:val="20"/>
              </w:rPr>
              <w:t>minimum purchasing price for raw groundnuts</w:t>
            </w:r>
            <w:r w:rsidR="000132A5">
              <w:rPr>
                <w:rFonts w:ascii="Times New Roman" w:hAnsi="Times New Roman" w:cs="Times New Roman"/>
                <w:sz w:val="20"/>
                <w:szCs w:val="20"/>
              </w:rPr>
              <w:t>, while addressing farmer vulnerability</w:t>
            </w:r>
          </w:p>
          <w:p w14:paraId="4A7B5DD2" w14:textId="77777777" w:rsidR="00377635" w:rsidRPr="00A23773" w:rsidRDefault="00377635" w:rsidP="00377635">
            <w:pPr>
              <w:pStyle w:val="ListParagraph"/>
              <w:numPr>
                <w:ilvl w:val="0"/>
                <w:numId w:val="121"/>
              </w:numPr>
              <w:jc w:val="both"/>
              <w:rPr>
                <w:rFonts w:ascii="Times New Roman" w:hAnsi="Times New Roman" w:cs="Times New Roman"/>
                <w:sz w:val="20"/>
                <w:szCs w:val="20"/>
              </w:rPr>
            </w:pPr>
            <w:r w:rsidRPr="00A23773">
              <w:rPr>
                <w:rFonts w:ascii="Times New Roman" w:hAnsi="Times New Roman" w:cs="Times New Roman"/>
                <w:sz w:val="20"/>
                <w:szCs w:val="20"/>
              </w:rPr>
              <w:t>Maintaining the removal of purchasing subsidies for processors</w:t>
            </w:r>
          </w:p>
          <w:p w14:paraId="79CB12A8" w14:textId="77777777" w:rsidR="00377635" w:rsidRPr="00A23773" w:rsidRDefault="00297955" w:rsidP="00377635">
            <w:pPr>
              <w:pStyle w:val="ListParagraph"/>
              <w:numPr>
                <w:ilvl w:val="0"/>
                <w:numId w:val="121"/>
              </w:numPr>
              <w:jc w:val="both"/>
              <w:rPr>
                <w:rFonts w:ascii="Times New Roman" w:hAnsi="Times New Roman" w:cs="Times New Roman"/>
                <w:sz w:val="20"/>
                <w:szCs w:val="20"/>
              </w:rPr>
            </w:pPr>
            <w:r>
              <w:rPr>
                <w:rFonts w:ascii="Times New Roman" w:hAnsi="Times New Roman" w:cs="Times New Roman"/>
                <w:sz w:val="20"/>
                <w:szCs w:val="20"/>
              </w:rPr>
              <w:t>Sustain</w:t>
            </w:r>
            <w:r w:rsidR="000E7EED">
              <w:rPr>
                <w:rFonts w:ascii="Times New Roman" w:hAnsi="Times New Roman" w:cs="Times New Roman"/>
                <w:sz w:val="20"/>
                <w:szCs w:val="20"/>
              </w:rPr>
              <w:t>ing</w:t>
            </w:r>
            <w:r>
              <w:rPr>
                <w:rFonts w:ascii="Times New Roman" w:hAnsi="Times New Roman" w:cs="Times New Roman"/>
                <w:sz w:val="20"/>
                <w:szCs w:val="20"/>
              </w:rPr>
              <w:t xml:space="preserve"> the suspension of </w:t>
            </w:r>
            <w:r w:rsidR="00377635" w:rsidRPr="00A23773">
              <w:rPr>
                <w:rFonts w:ascii="Times New Roman" w:hAnsi="Times New Roman" w:cs="Times New Roman"/>
                <w:sz w:val="20"/>
                <w:szCs w:val="20"/>
              </w:rPr>
              <w:t xml:space="preserve">the export tax on kernel (shelled nuts) </w:t>
            </w:r>
          </w:p>
          <w:p w14:paraId="57DD0447" w14:textId="66342CBB" w:rsidR="00377635" w:rsidRPr="00A23773" w:rsidRDefault="00377635">
            <w:pPr>
              <w:jc w:val="both"/>
              <w:rPr>
                <w:rFonts w:ascii="Times New Roman" w:hAnsi="Times New Roman" w:cs="Times New Roman"/>
                <w:sz w:val="20"/>
                <w:szCs w:val="20"/>
              </w:rPr>
            </w:pPr>
            <w:r w:rsidRPr="00A23773">
              <w:rPr>
                <w:rFonts w:ascii="Times New Roman" w:hAnsi="Times New Roman" w:cs="Times New Roman"/>
                <w:sz w:val="20"/>
                <w:szCs w:val="20"/>
              </w:rPr>
              <w:t xml:space="preserve">Phasing out tariff and non-tariff barriers on crude vegetable oil </w:t>
            </w:r>
            <w:proofErr w:type="spellStart"/>
            <w:r w:rsidRPr="00A23773">
              <w:rPr>
                <w:rFonts w:ascii="Times New Roman" w:hAnsi="Times New Roman" w:cs="Times New Roman"/>
                <w:sz w:val="20"/>
                <w:szCs w:val="20"/>
              </w:rPr>
              <w:t>importsPrices</w:t>
            </w:r>
            <w:proofErr w:type="spellEnd"/>
            <w:r w:rsidRPr="00A23773">
              <w:rPr>
                <w:rFonts w:ascii="Times New Roman" w:hAnsi="Times New Roman" w:cs="Times New Roman"/>
                <w:sz w:val="20"/>
                <w:szCs w:val="20"/>
              </w:rPr>
              <w:t xml:space="preserve"> offered to farmers by exporters would reflect the value on international markets (Senegal is assumed to be a price taker here), which is higher than the price currently being offered to farmers by local processors. The value chain would follow international trends and shift towards </w:t>
            </w:r>
            <w:r w:rsidR="00297955">
              <w:rPr>
                <w:rFonts w:ascii="Times New Roman" w:hAnsi="Times New Roman" w:cs="Times New Roman"/>
                <w:sz w:val="20"/>
                <w:szCs w:val="20"/>
              </w:rPr>
              <w:t>whole nut</w:t>
            </w:r>
            <w:r w:rsidR="00297955" w:rsidRPr="00A23773">
              <w:rPr>
                <w:rFonts w:ascii="Times New Roman" w:hAnsi="Times New Roman" w:cs="Times New Roman"/>
                <w:sz w:val="20"/>
                <w:szCs w:val="20"/>
              </w:rPr>
              <w:t xml:space="preserve"> </w:t>
            </w:r>
            <w:r w:rsidRPr="00A23773">
              <w:rPr>
                <w:rFonts w:ascii="Times New Roman" w:hAnsi="Times New Roman" w:cs="Times New Roman"/>
                <w:sz w:val="20"/>
                <w:szCs w:val="20"/>
              </w:rPr>
              <w:t xml:space="preserve">exports. Local oil millers could refocus on refining imported crude oils, allowing consumer prices of imported vegetable oil products to decrease. In the longer term, local processors would be encouraged to innovate with new products or new processes. </w:t>
            </w:r>
          </w:p>
          <w:p w14:paraId="54F9F4B4" w14:textId="77777777" w:rsidR="00377635" w:rsidRPr="00A23773" w:rsidRDefault="00377635">
            <w:pPr>
              <w:jc w:val="both"/>
              <w:rPr>
                <w:rFonts w:ascii="Times New Roman" w:hAnsi="Times New Roman" w:cs="Times New Roman"/>
                <w:sz w:val="20"/>
                <w:szCs w:val="20"/>
              </w:rPr>
            </w:pPr>
          </w:p>
          <w:p w14:paraId="0DDEE5FD" w14:textId="29782AC7" w:rsidR="00AB7E51" w:rsidRDefault="00377635">
            <w:pPr>
              <w:jc w:val="both"/>
              <w:rPr>
                <w:rFonts w:ascii="Times New Roman" w:hAnsi="Times New Roman" w:cs="Times New Roman"/>
                <w:sz w:val="20"/>
                <w:szCs w:val="20"/>
              </w:rPr>
            </w:pPr>
            <w:r w:rsidRPr="00A23773">
              <w:rPr>
                <w:rFonts w:ascii="Times New Roman" w:hAnsi="Times New Roman" w:cs="Times New Roman"/>
                <w:sz w:val="20"/>
                <w:szCs w:val="20"/>
              </w:rPr>
              <w:t xml:space="preserve">Although the </w:t>
            </w:r>
            <w:r w:rsidR="003B24ED">
              <w:rPr>
                <w:rFonts w:ascii="Times New Roman" w:hAnsi="Times New Roman" w:cs="Times New Roman"/>
                <w:sz w:val="20"/>
                <w:szCs w:val="20"/>
              </w:rPr>
              <w:t>Government</w:t>
            </w:r>
            <w:r w:rsidRPr="00A23773">
              <w:rPr>
                <w:rFonts w:ascii="Times New Roman" w:hAnsi="Times New Roman" w:cs="Times New Roman"/>
                <w:sz w:val="20"/>
                <w:szCs w:val="20"/>
              </w:rPr>
              <w:t xml:space="preserve"> </w:t>
            </w:r>
            <w:r w:rsidR="00297955">
              <w:rPr>
                <w:rFonts w:ascii="Times New Roman" w:hAnsi="Times New Roman" w:cs="Times New Roman"/>
                <w:sz w:val="20"/>
                <w:szCs w:val="20"/>
              </w:rPr>
              <w:t>has to</w:t>
            </w:r>
            <w:r w:rsidR="00297955" w:rsidRPr="00A23773">
              <w:rPr>
                <w:rFonts w:ascii="Times New Roman" w:hAnsi="Times New Roman" w:cs="Times New Roman"/>
                <w:sz w:val="20"/>
                <w:szCs w:val="20"/>
              </w:rPr>
              <w:t xml:space="preserve"> </w:t>
            </w:r>
            <w:r w:rsidRPr="00A23773">
              <w:rPr>
                <w:rFonts w:ascii="Times New Roman" w:hAnsi="Times New Roman" w:cs="Times New Roman"/>
                <w:sz w:val="20"/>
                <w:szCs w:val="20"/>
              </w:rPr>
              <w:t xml:space="preserve">incur a loss of short-term revenue from the removal of import and export taxes of between 13 and 32 </w:t>
            </w:r>
            <w:proofErr w:type="spellStart"/>
            <w:r w:rsidRPr="00A23773">
              <w:rPr>
                <w:rFonts w:ascii="Times New Roman" w:hAnsi="Times New Roman" w:cs="Times New Roman"/>
                <w:sz w:val="20"/>
                <w:szCs w:val="20"/>
              </w:rPr>
              <w:t>bn</w:t>
            </w:r>
            <w:proofErr w:type="spellEnd"/>
            <w:r w:rsidRPr="00A23773">
              <w:rPr>
                <w:rFonts w:ascii="Times New Roman" w:hAnsi="Times New Roman" w:cs="Times New Roman"/>
                <w:sz w:val="20"/>
                <w:szCs w:val="20"/>
              </w:rPr>
              <w:t xml:space="preserve"> F CFA</w:t>
            </w:r>
            <w:r w:rsidR="000133E4">
              <w:rPr>
                <w:rFonts w:ascii="Times New Roman" w:hAnsi="Times New Roman" w:cs="Times New Roman"/>
                <w:sz w:val="20"/>
                <w:szCs w:val="20"/>
              </w:rPr>
              <w:t xml:space="preserve"> (USD 22 to 54 m</w:t>
            </w:r>
            <w:r w:rsidR="0098273F">
              <w:rPr>
                <w:rFonts w:ascii="Times New Roman" w:hAnsi="Times New Roman" w:cs="Times New Roman"/>
                <w:sz w:val="20"/>
                <w:szCs w:val="20"/>
              </w:rPr>
              <w:t>illion</w:t>
            </w:r>
            <w:r w:rsidR="000133E4">
              <w:rPr>
                <w:rFonts w:ascii="Times New Roman" w:hAnsi="Times New Roman" w:cs="Times New Roman"/>
                <w:sz w:val="20"/>
                <w:szCs w:val="20"/>
              </w:rPr>
              <w:t>)</w:t>
            </w:r>
            <w:r w:rsidRPr="00A23773">
              <w:rPr>
                <w:rFonts w:ascii="Times New Roman" w:hAnsi="Times New Roman" w:cs="Times New Roman"/>
                <w:sz w:val="20"/>
                <w:szCs w:val="20"/>
              </w:rPr>
              <w:t xml:space="preserve">, the reformed value chain would create profits for the Senegalese groundnut value chain in excess of 150 </w:t>
            </w:r>
            <w:proofErr w:type="spellStart"/>
            <w:r w:rsidRPr="00A23773">
              <w:rPr>
                <w:rFonts w:ascii="Times New Roman" w:hAnsi="Times New Roman" w:cs="Times New Roman"/>
                <w:sz w:val="20"/>
                <w:szCs w:val="20"/>
              </w:rPr>
              <w:t>bn</w:t>
            </w:r>
            <w:proofErr w:type="spellEnd"/>
            <w:r w:rsidRPr="00A23773">
              <w:rPr>
                <w:rFonts w:ascii="Times New Roman" w:hAnsi="Times New Roman" w:cs="Times New Roman"/>
                <w:sz w:val="20"/>
                <w:szCs w:val="20"/>
              </w:rPr>
              <w:t xml:space="preserve"> F CFA</w:t>
            </w:r>
            <w:r w:rsidR="000133E4">
              <w:rPr>
                <w:rFonts w:ascii="Times New Roman" w:hAnsi="Times New Roman" w:cs="Times New Roman"/>
                <w:sz w:val="20"/>
                <w:szCs w:val="20"/>
              </w:rPr>
              <w:t xml:space="preserve"> (~USD 250</w:t>
            </w:r>
            <w:r w:rsidR="0098273F">
              <w:rPr>
                <w:rFonts w:ascii="Times New Roman" w:hAnsi="Times New Roman" w:cs="Times New Roman"/>
                <w:sz w:val="20"/>
                <w:szCs w:val="20"/>
              </w:rPr>
              <w:t xml:space="preserve"> </w:t>
            </w:r>
            <w:r w:rsidR="000133E4">
              <w:rPr>
                <w:rFonts w:ascii="Times New Roman" w:hAnsi="Times New Roman" w:cs="Times New Roman"/>
                <w:sz w:val="20"/>
                <w:szCs w:val="20"/>
              </w:rPr>
              <w:t>m</w:t>
            </w:r>
            <w:r w:rsidR="0098273F">
              <w:rPr>
                <w:rFonts w:ascii="Times New Roman" w:hAnsi="Times New Roman" w:cs="Times New Roman"/>
                <w:sz w:val="20"/>
                <w:szCs w:val="20"/>
              </w:rPr>
              <w:t>illion</w:t>
            </w:r>
            <w:r w:rsidR="000133E4">
              <w:rPr>
                <w:rFonts w:ascii="Times New Roman" w:hAnsi="Times New Roman" w:cs="Times New Roman"/>
                <w:sz w:val="20"/>
                <w:szCs w:val="20"/>
              </w:rPr>
              <w:t>)</w:t>
            </w:r>
            <w:r w:rsidRPr="00A23773">
              <w:rPr>
                <w:rFonts w:ascii="Times New Roman" w:hAnsi="Times New Roman" w:cs="Times New Roman"/>
                <w:sz w:val="20"/>
                <w:szCs w:val="20"/>
              </w:rPr>
              <w:t xml:space="preserve"> from participating in export of kernel.</w:t>
            </w:r>
            <w:r w:rsidRPr="00A23773">
              <w:rPr>
                <w:rStyle w:val="FootnoteReference"/>
                <w:rFonts w:ascii="Times New Roman" w:hAnsi="Times New Roman" w:cs="Times New Roman"/>
                <w:sz w:val="20"/>
                <w:szCs w:val="20"/>
              </w:rPr>
              <w:footnoteReference w:id="194"/>
            </w:r>
            <w:r w:rsidRPr="00A23773">
              <w:rPr>
                <w:rFonts w:ascii="Times New Roman" w:hAnsi="Times New Roman" w:cs="Times New Roman"/>
                <w:sz w:val="20"/>
                <w:szCs w:val="20"/>
              </w:rPr>
              <w:t xml:space="preserve"> After an initial investment in their refining capacities, oil processors could generate profits from refining im</w:t>
            </w:r>
            <w:r w:rsidR="00B81A1E">
              <w:rPr>
                <w:rFonts w:ascii="Times New Roman" w:hAnsi="Times New Roman" w:cs="Times New Roman"/>
                <w:sz w:val="20"/>
                <w:szCs w:val="20"/>
              </w:rPr>
              <w:t>ported crude palm oil between 9 and 14</w:t>
            </w:r>
            <w:r w:rsidRPr="00A23773">
              <w:rPr>
                <w:rFonts w:ascii="Times New Roman" w:hAnsi="Times New Roman" w:cs="Times New Roman"/>
                <w:sz w:val="20"/>
                <w:szCs w:val="20"/>
              </w:rPr>
              <w:t xml:space="preserve"> </w:t>
            </w:r>
            <w:proofErr w:type="spellStart"/>
            <w:r w:rsidRPr="00A23773">
              <w:rPr>
                <w:rFonts w:ascii="Times New Roman" w:hAnsi="Times New Roman" w:cs="Times New Roman"/>
                <w:sz w:val="20"/>
                <w:szCs w:val="20"/>
              </w:rPr>
              <w:t>bn</w:t>
            </w:r>
            <w:proofErr w:type="spellEnd"/>
            <w:r w:rsidR="000133E4">
              <w:rPr>
                <w:rFonts w:ascii="Times New Roman" w:hAnsi="Times New Roman" w:cs="Times New Roman"/>
                <w:sz w:val="20"/>
                <w:szCs w:val="20"/>
              </w:rPr>
              <w:t xml:space="preserve"> (USD 16</w:t>
            </w:r>
            <w:r w:rsidR="0098273F">
              <w:rPr>
                <w:rFonts w:ascii="Times New Roman" w:hAnsi="Times New Roman" w:cs="Times New Roman"/>
                <w:sz w:val="20"/>
                <w:szCs w:val="20"/>
              </w:rPr>
              <w:t xml:space="preserve"> </w:t>
            </w:r>
            <w:r w:rsidR="000133E4">
              <w:rPr>
                <w:rFonts w:ascii="Times New Roman" w:hAnsi="Times New Roman" w:cs="Times New Roman"/>
                <w:sz w:val="20"/>
                <w:szCs w:val="20"/>
              </w:rPr>
              <w:t>m</w:t>
            </w:r>
            <w:r w:rsidR="0098273F">
              <w:rPr>
                <w:rFonts w:ascii="Times New Roman" w:hAnsi="Times New Roman" w:cs="Times New Roman"/>
                <w:sz w:val="20"/>
                <w:szCs w:val="20"/>
              </w:rPr>
              <w:t>illion</w:t>
            </w:r>
            <w:r w:rsidR="000133E4">
              <w:rPr>
                <w:rFonts w:ascii="Times New Roman" w:hAnsi="Times New Roman" w:cs="Times New Roman"/>
                <w:sz w:val="20"/>
                <w:szCs w:val="20"/>
              </w:rPr>
              <w:t xml:space="preserve"> to 24</w:t>
            </w:r>
            <w:r w:rsidR="0098273F">
              <w:rPr>
                <w:rFonts w:ascii="Times New Roman" w:hAnsi="Times New Roman" w:cs="Times New Roman"/>
                <w:sz w:val="20"/>
                <w:szCs w:val="20"/>
              </w:rPr>
              <w:t xml:space="preserve"> </w:t>
            </w:r>
            <w:r w:rsidR="000133E4">
              <w:rPr>
                <w:rFonts w:ascii="Times New Roman" w:hAnsi="Times New Roman" w:cs="Times New Roman"/>
                <w:sz w:val="20"/>
                <w:szCs w:val="20"/>
              </w:rPr>
              <w:t>m</w:t>
            </w:r>
            <w:r w:rsidR="0098273F">
              <w:rPr>
                <w:rFonts w:ascii="Times New Roman" w:hAnsi="Times New Roman" w:cs="Times New Roman"/>
                <w:sz w:val="20"/>
                <w:szCs w:val="20"/>
              </w:rPr>
              <w:t>illion</w:t>
            </w:r>
            <w:r w:rsidR="000133E4">
              <w:rPr>
                <w:rFonts w:ascii="Times New Roman" w:hAnsi="Times New Roman" w:cs="Times New Roman"/>
                <w:sz w:val="20"/>
                <w:szCs w:val="20"/>
              </w:rPr>
              <w:t>)</w:t>
            </w:r>
            <w:r w:rsidRPr="00A23773">
              <w:rPr>
                <w:rFonts w:ascii="Times New Roman" w:hAnsi="Times New Roman" w:cs="Times New Roman"/>
                <w:sz w:val="20"/>
                <w:szCs w:val="20"/>
              </w:rPr>
              <w:t xml:space="preserve"> instead of incurring losses as is currently the case. Furthermore, employment carrying out value addition for the export of groundnut kernels would be created, </w:t>
            </w:r>
            <w:r w:rsidR="00E86430">
              <w:rPr>
                <w:rFonts w:ascii="Times New Roman" w:hAnsi="Times New Roman" w:cs="Times New Roman"/>
                <w:sz w:val="20"/>
                <w:szCs w:val="20"/>
              </w:rPr>
              <w:t>from</w:t>
            </w:r>
            <w:r w:rsidR="00E86430" w:rsidRPr="00A23773">
              <w:rPr>
                <w:rFonts w:ascii="Times New Roman" w:hAnsi="Times New Roman" w:cs="Times New Roman"/>
                <w:sz w:val="20"/>
                <w:szCs w:val="20"/>
              </w:rPr>
              <w:t xml:space="preserve"> </w:t>
            </w:r>
            <w:r w:rsidRPr="00A23773">
              <w:rPr>
                <w:rFonts w:ascii="Times New Roman" w:hAnsi="Times New Roman" w:cs="Times New Roman"/>
                <w:sz w:val="20"/>
                <w:szCs w:val="20"/>
              </w:rPr>
              <w:t xml:space="preserve">which rural women stand to benefit disproportionately. Lastly, as </w:t>
            </w:r>
            <w:r w:rsidR="006903AF" w:rsidRPr="00A23773">
              <w:rPr>
                <w:rFonts w:ascii="Times New Roman" w:hAnsi="Times New Roman" w:cs="Times New Roman"/>
                <w:sz w:val="20"/>
                <w:szCs w:val="20"/>
                <w:highlight w:val="yellow"/>
              </w:rPr>
              <w:fldChar w:fldCharType="begin"/>
            </w:r>
            <w:r w:rsidR="006903AF" w:rsidRPr="00A23773">
              <w:rPr>
                <w:rFonts w:ascii="Times New Roman" w:hAnsi="Times New Roman" w:cs="Times New Roman"/>
                <w:sz w:val="20"/>
                <w:szCs w:val="20"/>
              </w:rPr>
              <w:instrText xml:space="preserve"> REF _Ref497125046 \h </w:instrText>
            </w:r>
            <w:r w:rsidR="006903AF" w:rsidRPr="00A23773">
              <w:rPr>
                <w:rFonts w:ascii="Times New Roman" w:hAnsi="Times New Roman" w:cs="Times New Roman"/>
                <w:sz w:val="20"/>
                <w:szCs w:val="20"/>
                <w:highlight w:val="yellow"/>
              </w:rPr>
              <w:instrText xml:space="preserve"> \* MERGEFORMAT </w:instrText>
            </w:r>
            <w:r w:rsidR="006903AF" w:rsidRPr="00A23773">
              <w:rPr>
                <w:rFonts w:ascii="Times New Roman" w:hAnsi="Times New Roman" w:cs="Times New Roman"/>
                <w:sz w:val="20"/>
                <w:szCs w:val="20"/>
                <w:highlight w:val="yellow"/>
              </w:rPr>
            </w:r>
            <w:r w:rsidR="006903AF" w:rsidRPr="00A23773">
              <w:rPr>
                <w:rFonts w:ascii="Times New Roman" w:hAnsi="Times New Roman" w:cs="Times New Roman"/>
                <w:sz w:val="20"/>
                <w:szCs w:val="20"/>
                <w:highlight w:val="yellow"/>
              </w:rPr>
              <w:fldChar w:fldCharType="separate"/>
            </w:r>
            <w:r w:rsidR="008261B2" w:rsidRPr="008261B2">
              <w:rPr>
                <w:rFonts w:ascii="Times New Roman" w:hAnsi="Times New Roman" w:cs="Times New Roman"/>
                <w:sz w:val="20"/>
                <w:szCs w:val="20"/>
              </w:rPr>
              <w:t xml:space="preserve">Table </w:t>
            </w:r>
            <w:r w:rsidR="008261B2" w:rsidRPr="008261B2">
              <w:rPr>
                <w:rFonts w:ascii="Times New Roman" w:hAnsi="Times New Roman" w:cs="Times New Roman"/>
                <w:noProof/>
                <w:sz w:val="20"/>
                <w:szCs w:val="20"/>
              </w:rPr>
              <w:t>6</w:t>
            </w:r>
            <w:r w:rsidR="006903AF" w:rsidRPr="00A23773">
              <w:rPr>
                <w:rFonts w:ascii="Times New Roman" w:hAnsi="Times New Roman" w:cs="Times New Roman"/>
                <w:sz w:val="20"/>
                <w:szCs w:val="20"/>
                <w:highlight w:val="yellow"/>
              </w:rPr>
              <w:fldChar w:fldCharType="end"/>
            </w:r>
            <w:r w:rsidR="006903AF" w:rsidRPr="00A23773">
              <w:rPr>
                <w:rFonts w:ascii="Times New Roman" w:hAnsi="Times New Roman" w:cs="Times New Roman"/>
                <w:sz w:val="20"/>
                <w:szCs w:val="20"/>
              </w:rPr>
              <w:t xml:space="preserve"> </w:t>
            </w:r>
            <w:r w:rsidRPr="00A23773">
              <w:rPr>
                <w:rFonts w:ascii="Times New Roman" w:hAnsi="Times New Roman" w:cs="Times New Roman"/>
                <w:sz w:val="20"/>
                <w:szCs w:val="20"/>
              </w:rPr>
              <w:t>(ab</w:t>
            </w:r>
            <w:r w:rsidR="006903AF" w:rsidRPr="00A23773">
              <w:rPr>
                <w:rFonts w:ascii="Times New Roman" w:hAnsi="Times New Roman" w:cs="Times New Roman"/>
                <w:sz w:val="20"/>
                <w:szCs w:val="20"/>
              </w:rPr>
              <w:t>ove)</w:t>
            </w:r>
            <w:r w:rsidRPr="00A23773">
              <w:rPr>
                <w:rFonts w:ascii="Times New Roman" w:hAnsi="Times New Roman" w:cs="Times New Roman"/>
                <w:sz w:val="20"/>
                <w:szCs w:val="20"/>
              </w:rPr>
              <w:t xml:space="preserve"> shows, decreased consumer prices would have the potential of lifting more than 50,000 people out of poverty. </w:t>
            </w:r>
            <w:r w:rsidR="00AB7E51" w:rsidRPr="00AB7E51">
              <w:rPr>
                <w:rFonts w:ascii="Times New Roman" w:hAnsi="Times New Roman" w:cs="Times New Roman"/>
                <w:sz w:val="20"/>
                <w:szCs w:val="20"/>
              </w:rPr>
              <w:fldChar w:fldCharType="begin"/>
            </w:r>
            <w:r w:rsidR="00AB7E51" w:rsidRPr="00AB7E51">
              <w:rPr>
                <w:rFonts w:ascii="Times New Roman" w:hAnsi="Times New Roman" w:cs="Times New Roman"/>
                <w:sz w:val="20"/>
                <w:szCs w:val="20"/>
              </w:rPr>
              <w:instrText xml:space="preserve"> REF _Ref520471228 \h </w:instrText>
            </w:r>
            <w:r w:rsidR="00AB7E51">
              <w:rPr>
                <w:rFonts w:ascii="Times New Roman" w:hAnsi="Times New Roman" w:cs="Times New Roman"/>
                <w:sz w:val="20"/>
                <w:szCs w:val="20"/>
              </w:rPr>
              <w:instrText xml:space="preserve"> \* MERGEFORMAT </w:instrText>
            </w:r>
            <w:r w:rsidR="00AB7E51" w:rsidRPr="00AB7E51">
              <w:rPr>
                <w:rFonts w:ascii="Times New Roman" w:hAnsi="Times New Roman" w:cs="Times New Roman"/>
                <w:sz w:val="20"/>
                <w:szCs w:val="20"/>
              </w:rPr>
            </w:r>
            <w:r w:rsidR="00AB7E51" w:rsidRPr="00AB7E51">
              <w:rPr>
                <w:rFonts w:ascii="Times New Roman" w:hAnsi="Times New Roman" w:cs="Times New Roman"/>
                <w:sz w:val="20"/>
                <w:szCs w:val="20"/>
              </w:rPr>
              <w:fldChar w:fldCharType="separate"/>
            </w:r>
            <w:r w:rsidR="008261B2" w:rsidRPr="008261B2">
              <w:rPr>
                <w:rFonts w:ascii="Times New Roman" w:hAnsi="Times New Roman"/>
                <w:sz w:val="20"/>
                <w:szCs w:val="20"/>
              </w:rPr>
              <w:t xml:space="preserve">Figure </w:t>
            </w:r>
            <w:r w:rsidR="008261B2" w:rsidRPr="008261B2">
              <w:rPr>
                <w:rFonts w:ascii="Times New Roman" w:hAnsi="Times New Roman"/>
                <w:noProof/>
                <w:sz w:val="20"/>
                <w:szCs w:val="20"/>
              </w:rPr>
              <w:t>56</w:t>
            </w:r>
            <w:r w:rsidR="00AB7E51" w:rsidRPr="00AB7E51">
              <w:rPr>
                <w:rFonts w:ascii="Times New Roman" w:hAnsi="Times New Roman" w:cs="Times New Roman"/>
                <w:sz w:val="20"/>
                <w:szCs w:val="20"/>
              </w:rPr>
              <w:fldChar w:fldCharType="end"/>
            </w:r>
            <w:r w:rsidR="00AB7E51">
              <w:rPr>
                <w:rFonts w:ascii="Times New Roman" w:hAnsi="Times New Roman" w:cs="Times New Roman"/>
                <w:sz w:val="20"/>
                <w:szCs w:val="20"/>
              </w:rPr>
              <w:t xml:space="preserve"> </w:t>
            </w:r>
            <w:r w:rsidRPr="00B81A1E">
              <w:rPr>
                <w:rFonts w:ascii="Times New Roman" w:hAnsi="Times New Roman" w:cs="Times New Roman"/>
                <w:sz w:val="20"/>
                <w:szCs w:val="20"/>
              </w:rPr>
              <w:t>summarizes</w:t>
            </w:r>
            <w:r w:rsidRPr="00A23773">
              <w:rPr>
                <w:rFonts w:ascii="Times New Roman" w:hAnsi="Times New Roman" w:cs="Times New Roman"/>
                <w:sz w:val="20"/>
                <w:szCs w:val="20"/>
              </w:rPr>
              <w:t xml:space="preserve"> the fiscal and employment implications of the suggested policy reforms and compares them to the status quo.</w:t>
            </w:r>
          </w:p>
          <w:p w14:paraId="640C0766" w14:textId="77777777" w:rsidR="00377635" w:rsidRPr="00A23773" w:rsidRDefault="00377635">
            <w:pPr>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4"/>
            </w:tblGrid>
            <w:tr w:rsidR="00377635" w:rsidRPr="00A23773" w14:paraId="7F4B4044" w14:textId="77777777">
              <w:tc>
                <w:tcPr>
                  <w:tcW w:w="8414" w:type="dxa"/>
                  <w:hideMark/>
                </w:tcPr>
                <w:p w14:paraId="3C84AF8B" w14:textId="3D1136DD" w:rsidR="00377635" w:rsidRPr="00A23773" w:rsidRDefault="00377635">
                  <w:pPr>
                    <w:pStyle w:val="Caption"/>
                    <w:keepNext/>
                    <w:jc w:val="both"/>
                    <w:rPr>
                      <w:rFonts w:ascii="Times New Roman" w:hAnsi="Times New Roman"/>
                    </w:rPr>
                  </w:pPr>
                  <w:bookmarkStart w:id="256" w:name="_Ref520471228"/>
                  <w:bookmarkStart w:id="257" w:name="_Ref497912345"/>
                  <w:bookmarkStart w:id="258" w:name="_Toc520725612"/>
                  <w:r w:rsidRPr="00A23773">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56</w:t>
                  </w:r>
                  <w:r w:rsidR="00D91B27">
                    <w:rPr>
                      <w:rFonts w:ascii="Times New Roman" w:hAnsi="Times New Roman"/>
                    </w:rPr>
                    <w:fldChar w:fldCharType="end"/>
                  </w:r>
                  <w:bookmarkEnd w:id="256"/>
                  <w:r w:rsidRPr="00A23773">
                    <w:rPr>
                      <w:rFonts w:ascii="Times New Roman" w:hAnsi="Times New Roman"/>
                    </w:rPr>
                    <w:t>: The “middle way”</w:t>
                  </w:r>
                  <w:bookmarkEnd w:id="257"/>
                  <w:bookmarkEnd w:id="258"/>
                </w:p>
                <w:p w14:paraId="494F3905" w14:textId="77777777" w:rsidR="00377635" w:rsidRPr="00A23773" w:rsidRDefault="00377635">
                  <w:pPr>
                    <w:jc w:val="both"/>
                    <w:rPr>
                      <w:rFonts w:ascii="Times New Roman" w:hAnsi="Times New Roman" w:cs="Times New Roman"/>
                      <w:sz w:val="20"/>
                      <w:szCs w:val="20"/>
                    </w:rPr>
                  </w:pPr>
                </w:p>
              </w:tc>
            </w:tr>
            <w:tr w:rsidR="00377635" w:rsidRPr="00A23773" w14:paraId="238FEBED" w14:textId="77777777">
              <w:tc>
                <w:tcPr>
                  <w:tcW w:w="8414" w:type="dxa"/>
                  <w:hideMark/>
                </w:tcPr>
                <w:p w14:paraId="04ED6D8A" w14:textId="450B6C20" w:rsidR="00377635" w:rsidRPr="00A23773" w:rsidRDefault="00297955">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DA9FC45" wp14:editId="1D3F93D9">
                        <wp:extent cx="5309138" cy="30670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5726" cy="3070856"/>
                                </a:xfrm>
                                <a:prstGeom prst="rect">
                                  <a:avLst/>
                                </a:prstGeom>
                                <a:noFill/>
                              </pic:spPr>
                            </pic:pic>
                          </a:graphicData>
                        </a:graphic>
                      </wp:inline>
                    </w:drawing>
                  </w:r>
                </w:p>
              </w:tc>
            </w:tr>
          </w:tbl>
          <w:p w14:paraId="635A9DB1" w14:textId="77777777" w:rsidR="00377635" w:rsidRPr="00A23773" w:rsidRDefault="00377635">
            <w:pPr>
              <w:jc w:val="both"/>
              <w:rPr>
                <w:rFonts w:ascii="Times New Roman" w:hAnsi="Times New Roman" w:cs="Times New Roman"/>
                <w:sz w:val="20"/>
                <w:szCs w:val="20"/>
              </w:rPr>
            </w:pPr>
          </w:p>
          <w:p w14:paraId="26606ACA" w14:textId="77777777" w:rsidR="00377635" w:rsidRDefault="00377635">
            <w:pPr>
              <w:jc w:val="both"/>
              <w:rPr>
                <w:rFonts w:ascii="Times New Roman" w:hAnsi="Times New Roman" w:cs="Times New Roman"/>
                <w:sz w:val="20"/>
                <w:szCs w:val="20"/>
              </w:rPr>
            </w:pPr>
            <w:r w:rsidRPr="00A23773">
              <w:rPr>
                <w:rFonts w:ascii="Times New Roman" w:hAnsi="Times New Roman" w:cs="Times New Roman"/>
                <w:sz w:val="20"/>
                <w:szCs w:val="20"/>
              </w:rPr>
              <w:t xml:space="preserve">The calculations (see Annex </w:t>
            </w:r>
            <w:r w:rsidR="00422CEA" w:rsidRPr="00A23773">
              <w:rPr>
                <w:rFonts w:ascii="Times New Roman" w:hAnsi="Times New Roman" w:cs="Times New Roman"/>
                <w:sz w:val="20"/>
                <w:szCs w:val="20"/>
              </w:rPr>
              <w:t>5</w:t>
            </w:r>
            <w:r w:rsidRPr="00A23773">
              <w:rPr>
                <w:rFonts w:ascii="Times New Roman" w:hAnsi="Times New Roman" w:cs="Times New Roman"/>
                <w:sz w:val="20"/>
                <w:szCs w:val="20"/>
              </w:rPr>
              <w:t>) suggest that</w:t>
            </w:r>
            <w:r w:rsidR="00297955">
              <w:rPr>
                <w:rFonts w:ascii="Times New Roman" w:hAnsi="Times New Roman" w:cs="Times New Roman"/>
                <w:sz w:val="20"/>
                <w:szCs w:val="20"/>
              </w:rPr>
              <w:t xml:space="preserve"> the suspension of the export tax and the removal of purchasing subsidies in combination with an additional</w:t>
            </w:r>
            <w:r w:rsidRPr="00A23773">
              <w:rPr>
                <w:rFonts w:ascii="Times New Roman" w:hAnsi="Times New Roman" w:cs="Times New Roman"/>
                <w:sz w:val="20"/>
                <w:szCs w:val="20"/>
              </w:rPr>
              <w:t xml:space="preserve"> set of policy reforms would increase farmer incomes, lower consumer prices, create employment, and generate higher profits than under the current scenario.</w:t>
            </w:r>
          </w:p>
          <w:p w14:paraId="5BED98E7" w14:textId="77777777" w:rsidR="000132A5" w:rsidRDefault="000132A5">
            <w:pPr>
              <w:jc w:val="both"/>
              <w:rPr>
                <w:rFonts w:ascii="Times New Roman" w:hAnsi="Times New Roman" w:cs="Times New Roman"/>
                <w:sz w:val="20"/>
                <w:szCs w:val="20"/>
              </w:rPr>
            </w:pPr>
          </w:p>
          <w:p w14:paraId="450FC7BC" w14:textId="77777777" w:rsidR="000132A5" w:rsidRPr="00B9039B" w:rsidRDefault="000132A5" w:rsidP="000132A5">
            <w:pPr>
              <w:jc w:val="both"/>
              <w:rPr>
                <w:rFonts w:ascii="Times New Roman" w:hAnsi="Times New Roman" w:cs="Times New Roman"/>
                <w:sz w:val="20"/>
                <w:szCs w:val="20"/>
              </w:rPr>
            </w:pPr>
            <w:r>
              <w:rPr>
                <w:rFonts w:ascii="Times New Roman" w:hAnsi="Times New Roman" w:cs="Times New Roman"/>
                <w:sz w:val="20"/>
                <w:szCs w:val="20"/>
              </w:rPr>
              <w:t>Additionally, the Government could increase profitability of the groundnut industry by:</w:t>
            </w:r>
          </w:p>
          <w:p w14:paraId="096E4DC5" w14:textId="77777777" w:rsidR="000132A5" w:rsidRPr="000132A5" w:rsidRDefault="000132A5" w:rsidP="000132A5">
            <w:pPr>
              <w:pStyle w:val="ListParagraph"/>
              <w:numPr>
                <w:ilvl w:val="0"/>
                <w:numId w:val="121"/>
              </w:numPr>
              <w:jc w:val="both"/>
              <w:rPr>
                <w:rFonts w:ascii="Times New Roman" w:hAnsi="Times New Roman" w:cs="Times New Roman"/>
                <w:sz w:val="20"/>
                <w:szCs w:val="20"/>
              </w:rPr>
            </w:pPr>
            <w:r w:rsidRPr="000132A5">
              <w:rPr>
                <w:rFonts w:ascii="Times New Roman" w:hAnsi="Times New Roman" w:cs="Times New Roman"/>
                <w:sz w:val="20"/>
              </w:rPr>
              <w:t>Respond</w:t>
            </w:r>
            <w:r>
              <w:rPr>
                <w:rFonts w:ascii="Times New Roman" w:hAnsi="Times New Roman" w:cs="Times New Roman"/>
                <w:sz w:val="20"/>
              </w:rPr>
              <w:t>ing</w:t>
            </w:r>
            <w:r w:rsidRPr="000132A5">
              <w:rPr>
                <w:rFonts w:ascii="Times New Roman" w:hAnsi="Times New Roman" w:cs="Times New Roman"/>
                <w:sz w:val="20"/>
              </w:rPr>
              <w:t xml:space="preserve"> to the growing demand of the confectionery industry</w:t>
            </w:r>
            <w:r w:rsidR="009A141C">
              <w:rPr>
                <w:rFonts w:ascii="Times New Roman" w:hAnsi="Times New Roman" w:cs="Times New Roman"/>
                <w:sz w:val="20"/>
              </w:rPr>
              <w:t>;</w:t>
            </w:r>
            <w:r w:rsidRPr="000132A5">
              <w:rPr>
                <w:rFonts w:ascii="Times New Roman" w:hAnsi="Times New Roman" w:cs="Times New Roman"/>
                <w:sz w:val="20"/>
              </w:rPr>
              <w:t xml:space="preserve"> </w:t>
            </w:r>
          </w:p>
          <w:p w14:paraId="67AA2334" w14:textId="77777777" w:rsidR="000132A5" w:rsidRDefault="000132A5" w:rsidP="007575D7">
            <w:pPr>
              <w:pStyle w:val="ListParagraph"/>
              <w:numPr>
                <w:ilvl w:val="0"/>
                <w:numId w:val="121"/>
              </w:numPr>
              <w:jc w:val="both"/>
              <w:rPr>
                <w:rFonts w:ascii="Times New Roman" w:hAnsi="Times New Roman" w:cs="Times New Roman"/>
                <w:sz w:val="20"/>
              </w:rPr>
            </w:pPr>
            <w:r>
              <w:rPr>
                <w:rFonts w:ascii="Times New Roman" w:hAnsi="Times New Roman" w:cs="Times New Roman"/>
                <w:sz w:val="20"/>
              </w:rPr>
              <w:t>Taking advantage of digital economy opportunities to reduce costs and increase productivity</w:t>
            </w:r>
            <w:r w:rsidR="009A141C">
              <w:rPr>
                <w:rFonts w:ascii="Times New Roman" w:hAnsi="Times New Roman" w:cs="Times New Roman"/>
                <w:sz w:val="20"/>
              </w:rPr>
              <w:t>;</w:t>
            </w:r>
          </w:p>
          <w:p w14:paraId="19BE83CE" w14:textId="77777777" w:rsidR="000132A5" w:rsidRDefault="000132A5" w:rsidP="007575D7">
            <w:pPr>
              <w:pStyle w:val="ListParagraph"/>
              <w:numPr>
                <w:ilvl w:val="0"/>
                <w:numId w:val="121"/>
              </w:numPr>
              <w:jc w:val="both"/>
              <w:rPr>
                <w:rFonts w:ascii="Times New Roman" w:hAnsi="Times New Roman" w:cs="Times New Roman"/>
                <w:sz w:val="20"/>
              </w:rPr>
            </w:pPr>
            <w:r>
              <w:rPr>
                <w:rFonts w:ascii="Times New Roman" w:hAnsi="Times New Roman" w:cs="Times New Roman"/>
                <w:sz w:val="20"/>
              </w:rPr>
              <w:t>Maximizing finance for development by attracting private sector investment along the value chain</w:t>
            </w:r>
            <w:r w:rsidR="009A141C">
              <w:rPr>
                <w:rFonts w:ascii="Times New Roman" w:hAnsi="Times New Roman" w:cs="Times New Roman"/>
                <w:sz w:val="20"/>
              </w:rPr>
              <w:t>.</w:t>
            </w:r>
          </w:p>
          <w:p w14:paraId="27CA1A35" w14:textId="77777777" w:rsidR="00AB7E51" w:rsidRDefault="00AB7E51" w:rsidP="00AB7E51">
            <w:pPr>
              <w:jc w:val="both"/>
              <w:rPr>
                <w:rFonts w:ascii="Times New Roman" w:hAnsi="Times New Roman" w:cs="Times New Roman"/>
                <w:sz w:val="20"/>
              </w:rPr>
            </w:pPr>
          </w:p>
          <w:p w14:paraId="05157B47" w14:textId="075386FE" w:rsidR="00AB7E51" w:rsidRPr="007575D7" w:rsidRDefault="00AB7E51" w:rsidP="00AB7E51">
            <w:pPr>
              <w:jc w:val="both"/>
              <w:rPr>
                <w:rFonts w:ascii="Times New Roman" w:hAnsi="Times New Roman" w:cs="Times New Roman"/>
                <w:sz w:val="20"/>
              </w:rPr>
            </w:pPr>
            <w:r w:rsidRPr="00A23773">
              <w:rPr>
                <w:rFonts w:ascii="Times New Roman" w:hAnsi="Times New Roman" w:cs="Times New Roman"/>
                <w:sz w:val="20"/>
                <w:szCs w:val="20"/>
              </w:rPr>
              <w:t>Source: Authors’ calculations</w:t>
            </w:r>
            <w:r>
              <w:rPr>
                <w:rFonts w:ascii="Times New Roman" w:hAnsi="Times New Roman" w:cs="Times New Roman"/>
                <w:sz w:val="20"/>
                <w:szCs w:val="20"/>
              </w:rPr>
              <w:t>.</w:t>
            </w:r>
          </w:p>
        </w:tc>
      </w:tr>
    </w:tbl>
    <w:p w14:paraId="220E9DB7" w14:textId="18D49821" w:rsidR="00CA73BB" w:rsidRDefault="00CA73BB" w:rsidP="007575D7">
      <w:pPr>
        <w:pStyle w:val="Caption"/>
        <w:keepNext/>
        <w:jc w:val="both"/>
        <w:rPr>
          <w:rFonts w:ascii="Times New Roman" w:hAnsi="Times New Roman"/>
        </w:rPr>
      </w:pPr>
    </w:p>
    <w:p w14:paraId="2EDCEE53" w14:textId="77777777" w:rsidR="00A9194F" w:rsidRPr="00A9194F" w:rsidRDefault="00A9194F" w:rsidP="00A9194F"/>
    <w:p w14:paraId="25C53CBD" w14:textId="77777777" w:rsidR="006018AA" w:rsidRPr="00C91EA2" w:rsidRDefault="006018AA" w:rsidP="006018AA">
      <w:pPr>
        <w:pStyle w:val="Heading2"/>
        <w:rPr>
          <w:rFonts w:ascii="Times New Roman" w:hAnsi="Times New Roman" w:cs="Times New Roman"/>
        </w:rPr>
      </w:pPr>
      <w:bookmarkStart w:id="259" w:name="_Toc494097783"/>
      <w:bookmarkStart w:id="260" w:name="_Toc520724115"/>
      <w:r w:rsidRPr="00C91EA2">
        <w:rPr>
          <w:rFonts w:ascii="Times New Roman" w:hAnsi="Times New Roman" w:cs="Times New Roman"/>
        </w:rPr>
        <w:t>5.2 Telecommunications</w:t>
      </w:r>
      <w:bookmarkEnd w:id="259"/>
      <w:bookmarkEnd w:id="260"/>
    </w:p>
    <w:p w14:paraId="1AB7EE89" w14:textId="77777777" w:rsidR="006018AA" w:rsidRPr="00C91EA2" w:rsidRDefault="006018AA" w:rsidP="006018AA">
      <w:pPr>
        <w:jc w:val="both"/>
        <w:rPr>
          <w:rFonts w:ascii="Times New Roman" w:hAnsi="Times New Roman" w:cs="Times New Roman"/>
          <w:b/>
        </w:rPr>
      </w:pPr>
    </w:p>
    <w:p w14:paraId="1D46C960" w14:textId="77777777" w:rsidR="006018AA" w:rsidRPr="00C91EA2" w:rsidRDefault="006018AA" w:rsidP="006018AA">
      <w:pPr>
        <w:pStyle w:val="Heading3"/>
        <w:rPr>
          <w:rFonts w:ascii="Times New Roman" w:hAnsi="Times New Roman" w:cs="Times New Roman"/>
        </w:rPr>
      </w:pPr>
      <w:bookmarkStart w:id="261" w:name="_Toc520724116"/>
      <w:r w:rsidRPr="00C91EA2">
        <w:rPr>
          <w:rFonts w:ascii="Times New Roman" w:hAnsi="Times New Roman" w:cs="Times New Roman"/>
        </w:rPr>
        <w:t>5.2.1 Background</w:t>
      </w:r>
      <w:bookmarkEnd w:id="261"/>
    </w:p>
    <w:p w14:paraId="3FA825EA" w14:textId="77777777" w:rsidR="006018AA" w:rsidRPr="00C91EA2" w:rsidRDefault="006018AA" w:rsidP="006018AA">
      <w:pPr>
        <w:pStyle w:val="Heading4"/>
        <w:rPr>
          <w:rFonts w:ascii="Times New Roman" w:hAnsi="Times New Roman" w:cs="Times New Roman"/>
        </w:rPr>
      </w:pPr>
      <w:r>
        <w:rPr>
          <w:rFonts w:ascii="Times New Roman" w:hAnsi="Times New Roman" w:cs="Times New Roman"/>
        </w:rPr>
        <w:t>The P</w:t>
      </w:r>
      <w:r w:rsidRPr="00C91EA2">
        <w:rPr>
          <w:rFonts w:ascii="Times New Roman" w:hAnsi="Times New Roman" w:cs="Times New Roman"/>
        </w:rPr>
        <w:t xml:space="preserve">erformance of the </w:t>
      </w:r>
      <w:r>
        <w:rPr>
          <w:rFonts w:ascii="Times New Roman" w:hAnsi="Times New Roman" w:cs="Times New Roman"/>
        </w:rPr>
        <w:t>T</w:t>
      </w:r>
      <w:r w:rsidRPr="00C91EA2">
        <w:rPr>
          <w:rFonts w:ascii="Times New Roman" w:hAnsi="Times New Roman" w:cs="Times New Roman"/>
        </w:rPr>
        <w:t xml:space="preserve">elecoms </w:t>
      </w:r>
      <w:r>
        <w:rPr>
          <w:rFonts w:ascii="Times New Roman" w:hAnsi="Times New Roman" w:cs="Times New Roman"/>
        </w:rPr>
        <w:t>S</w:t>
      </w:r>
      <w:r w:rsidRPr="00C91EA2">
        <w:rPr>
          <w:rFonts w:ascii="Times New Roman" w:hAnsi="Times New Roman" w:cs="Times New Roman"/>
        </w:rPr>
        <w:t xml:space="preserve">ector in Senegal </w:t>
      </w:r>
      <w:r>
        <w:rPr>
          <w:rFonts w:ascii="Times New Roman" w:hAnsi="Times New Roman" w:cs="Times New Roman"/>
        </w:rPr>
        <w:t>D</w:t>
      </w:r>
      <w:r w:rsidRPr="00C91EA2">
        <w:rPr>
          <w:rFonts w:ascii="Times New Roman" w:hAnsi="Times New Roman" w:cs="Times New Roman"/>
        </w:rPr>
        <w:t xml:space="preserve">oes </w:t>
      </w:r>
      <w:r>
        <w:rPr>
          <w:rFonts w:ascii="Times New Roman" w:hAnsi="Times New Roman" w:cs="Times New Roman"/>
        </w:rPr>
        <w:t>N</w:t>
      </w:r>
      <w:r w:rsidRPr="00C91EA2">
        <w:rPr>
          <w:rFonts w:ascii="Times New Roman" w:hAnsi="Times New Roman" w:cs="Times New Roman"/>
        </w:rPr>
        <w:t xml:space="preserve">ot </w:t>
      </w:r>
      <w:r>
        <w:rPr>
          <w:rFonts w:ascii="Times New Roman" w:hAnsi="Times New Roman" w:cs="Times New Roman"/>
        </w:rPr>
        <w:t>Y</w:t>
      </w:r>
      <w:r w:rsidRPr="00C91EA2">
        <w:rPr>
          <w:rFonts w:ascii="Times New Roman" w:hAnsi="Times New Roman" w:cs="Times New Roman"/>
        </w:rPr>
        <w:t xml:space="preserve">et </w:t>
      </w:r>
      <w:r>
        <w:rPr>
          <w:rFonts w:ascii="Times New Roman" w:hAnsi="Times New Roman" w:cs="Times New Roman"/>
        </w:rPr>
        <w:t>R</w:t>
      </w:r>
      <w:r w:rsidRPr="00C91EA2">
        <w:rPr>
          <w:rFonts w:ascii="Times New Roman" w:hAnsi="Times New Roman" w:cs="Times New Roman"/>
        </w:rPr>
        <w:t xml:space="preserve">eflect its </w:t>
      </w:r>
      <w:r>
        <w:rPr>
          <w:rFonts w:ascii="Times New Roman" w:hAnsi="Times New Roman" w:cs="Times New Roman"/>
        </w:rPr>
        <w:t>R</w:t>
      </w:r>
      <w:r w:rsidRPr="00C91EA2">
        <w:rPr>
          <w:rFonts w:ascii="Times New Roman" w:hAnsi="Times New Roman" w:cs="Times New Roman"/>
        </w:rPr>
        <w:t xml:space="preserve">elatively </w:t>
      </w:r>
      <w:r>
        <w:rPr>
          <w:rFonts w:ascii="Times New Roman" w:hAnsi="Times New Roman" w:cs="Times New Roman"/>
        </w:rPr>
        <w:t>W</w:t>
      </w:r>
      <w:r w:rsidRPr="00C91EA2">
        <w:rPr>
          <w:rFonts w:ascii="Times New Roman" w:hAnsi="Times New Roman" w:cs="Times New Roman"/>
        </w:rPr>
        <w:t>ell-</w:t>
      </w:r>
      <w:r>
        <w:rPr>
          <w:rFonts w:ascii="Times New Roman" w:hAnsi="Times New Roman" w:cs="Times New Roman"/>
        </w:rPr>
        <w:t>D</w:t>
      </w:r>
      <w:r w:rsidRPr="00C91EA2">
        <w:rPr>
          <w:rFonts w:ascii="Times New Roman" w:hAnsi="Times New Roman" w:cs="Times New Roman"/>
        </w:rPr>
        <w:t xml:space="preserve">eveloped </w:t>
      </w:r>
      <w:r>
        <w:rPr>
          <w:rFonts w:ascii="Times New Roman" w:hAnsi="Times New Roman" w:cs="Times New Roman"/>
        </w:rPr>
        <w:t>T</w:t>
      </w:r>
      <w:r w:rsidRPr="00C91EA2">
        <w:rPr>
          <w:rFonts w:ascii="Times New Roman" w:hAnsi="Times New Roman" w:cs="Times New Roman"/>
        </w:rPr>
        <w:t xml:space="preserve">elecoms </w:t>
      </w:r>
      <w:r>
        <w:rPr>
          <w:rFonts w:ascii="Times New Roman" w:hAnsi="Times New Roman" w:cs="Times New Roman"/>
        </w:rPr>
        <w:t>B</w:t>
      </w:r>
      <w:r w:rsidRPr="00C91EA2">
        <w:rPr>
          <w:rFonts w:ascii="Times New Roman" w:hAnsi="Times New Roman" w:cs="Times New Roman"/>
        </w:rPr>
        <w:t xml:space="preserve">ackbone </w:t>
      </w:r>
      <w:r>
        <w:rPr>
          <w:rFonts w:ascii="Times New Roman" w:hAnsi="Times New Roman" w:cs="Times New Roman"/>
        </w:rPr>
        <w:t>I</w:t>
      </w:r>
      <w:r w:rsidRPr="00C91EA2">
        <w:rPr>
          <w:rFonts w:ascii="Times New Roman" w:hAnsi="Times New Roman" w:cs="Times New Roman"/>
        </w:rPr>
        <w:t>nfrastructure</w:t>
      </w:r>
    </w:p>
    <w:p w14:paraId="30C36B22" w14:textId="77777777" w:rsidR="006018AA" w:rsidRPr="00C91EA2" w:rsidRDefault="006018AA" w:rsidP="006018AA">
      <w:pPr>
        <w:jc w:val="both"/>
        <w:rPr>
          <w:rFonts w:ascii="Times New Roman" w:hAnsi="Times New Roman" w:cs="Times New Roman"/>
          <w:b/>
        </w:rPr>
      </w:pPr>
    </w:p>
    <w:p w14:paraId="53F1CB1F" w14:textId="77777777" w:rsidR="003618B7" w:rsidRDefault="003618B7" w:rsidP="003618B7">
      <w:pPr>
        <w:pStyle w:val="ListParagraph"/>
        <w:ind w:left="0"/>
        <w:jc w:val="both"/>
        <w:rPr>
          <w:rFonts w:ascii="Times New Roman" w:hAnsi="Times New Roman" w:cs="Times New Roman"/>
        </w:rPr>
      </w:pPr>
    </w:p>
    <w:p w14:paraId="7E0A40F2" w14:textId="24C8C0C0" w:rsidR="00D42D6A" w:rsidRPr="007575D7" w:rsidRDefault="00AA33F5"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 xml:space="preserve">Senegal’s telecommunications sector has registered a rapid expansion in the last years, underpinned by a </w:t>
      </w:r>
      <w:r w:rsidR="003618B7" w:rsidRPr="00C91EA2">
        <w:rPr>
          <w:rFonts w:ascii="Times New Roman" w:hAnsi="Times New Roman" w:cs="Times New Roman"/>
          <w:b/>
        </w:rPr>
        <w:t>well-developed backbone telecommunications infrastructure</w:t>
      </w:r>
      <w:r w:rsidR="00D42D6A">
        <w:rPr>
          <w:rFonts w:ascii="Times New Roman" w:hAnsi="Times New Roman" w:cs="Times New Roman"/>
          <w:b/>
        </w:rPr>
        <w:t>, and by a recent price decrease</w:t>
      </w:r>
      <w:r>
        <w:rPr>
          <w:rFonts w:ascii="Times New Roman" w:hAnsi="Times New Roman" w:cs="Times New Roman"/>
          <w:b/>
        </w:rPr>
        <w:t xml:space="preserve">. </w:t>
      </w:r>
      <w:r w:rsidR="003618B7" w:rsidRPr="00C91EA2">
        <w:rPr>
          <w:rFonts w:ascii="Times New Roman" w:hAnsi="Times New Roman" w:cs="Times New Roman"/>
          <w:b/>
        </w:rPr>
        <w:t xml:space="preserve"> </w:t>
      </w:r>
      <w:r w:rsidR="00D42D6A">
        <w:rPr>
          <w:rFonts w:ascii="Times New Roman" w:eastAsia="Times New Roman" w:hAnsi="Times New Roman" w:cs="Times New Roman"/>
          <w:lang w:eastAsia="fr-FR"/>
        </w:rPr>
        <w:t xml:space="preserve">Senegal ranks above the African average (but below the world average) </w:t>
      </w:r>
      <w:r w:rsidR="00AE5913">
        <w:rPr>
          <w:rFonts w:ascii="Times New Roman" w:eastAsia="Times New Roman" w:hAnsi="Times New Roman" w:cs="Times New Roman"/>
          <w:lang w:eastAsia="fr-FR"/>
        </w:rPr>
        <w:t>regarding the</w:t>
      </w:r>
      <w:r w:rsidR="00D42D6A">
        <w:rPr>
          <w:rFonts w:ascii="Times New Roman" w:eastAsia="Times New Roman" w:hAnsi="Times New Roman" w:cs="Times New Roman"/>
          <w:lang w:eastAsia="fr-FR"/>
        </w:rPr>
        <w:t xml:space="preserve"> active mobile broadband subscriptions (26.1 per 100 inhabitants against 22.9 in Africa, and a world average of 52.2); fixed broadband subscriptions (0.6 per 100 inhabitants against 0.4 in Africa, and a world average of 12.4); and percentage of indiv</w:t>
      </w:r>
      <w:r w:rsidR="00783C22">
        <w:rPr>
          <w:rFonts w:ascii="Times New Roman" w:eastAsia="Times New Roman" w:hAnsi="Times New Roman" w:cs="Times New Roman"/>
          <w:lang w:eastAsia="fr-FR"/>
        </w:rPr>
        <w:t>iduals using the Internet (25.7 percent against 19.9 percent</w:t>
      </w:r>
      <w:r w:rsidR="00D42D6A">
        <w:rPr>
          <w:rFonts w:ascii="Times New Roman" w:eastAsia="Times New Roman" w:hAnsi="Times New Roman" w:cs="Times New Roman"/>
          <w:lang w:eastAsia="fr-FR"/>
        </w:rPr>
        <w:t xml:space="preserve"> in Africa,</w:t>
      </w:r>
      <w:r w:rsidR="00D42D6A" w:rsidRPr="009F3F56">
        <w:rPr>
          <w:rFonts w:ascii="Times New Roman" w:eastAsia="Times New Roman" w:hAnsi="Times New Roman" w:cs="Times New Roman"/>
          <w:lang w:eastAsia="fr-FR"/>
        </w:rPr>
        <w:t xml:space="preserve"> </w:t>
      </w:r>
      <w:r w:rsidR="00783C22">
        <w:rPr>
          <w:rFonts w:ascii="Times New Roman" w:eastAsia="Times New Roman" w:hAnsi="Times New Roman" w:cs="Times New Roman"/>
          <w:lang w:eastAsia="fr-FR"/>
        </w:rPr>
        <w:t>and a world average of 45.9 percent</w:t>
      </w:r>
      <w:r w:rsidR="00D42D6A">
        <w:rPr>
          <w:rFonts w:ascii="Times New Roman" w:eastAsia="Times New Roman" w:hAnsi="Times New Roman" w:cs="Times New Roman"/>
          <w:lang w:eastAsia="fr-FR"/>
        </w:rPr>
        <w:t xml:space="preserve">). Notwithstanding, </w:t>
      </w:r>
      <w:r w:rsidR="00D42D6A">
        <w:rPr>
          <w:rFonts w:ascii="Times New Roman" w:hAnsi="Times New Roman" w:cs="Times New Roman"/>
        </w:rPr>
        <w:t>I</w:t>
      </w:r>
      <w:r w:rsidR="00D42D6A" w:rsidRPr="00C91EA2">
        <w:rPr>
          <w:rFonts w:ascii="Times New Roman" w:hAnsi="Times New Roman" w:cs="Times New Roman"/>
        </w:rPr>
        <w:t xml:space="preserve">nternet penetration remains </w:t>
      </w:r>
      <w:r w:rsidR="00D42D6A">
        <w:rPr>
          <w:rFonts w:ascii="Times New Roman" w:hAnsi="Times New Roman" w:cs="Times New Roman"/>
        </w:rPr>
        <w:t xml:space="preserve">relatively </w:t>
      </w:r>
      <w:r w:rsidR="00D42D6A" w:rsidRPr="00C91EA2">
        <w:rPr>
          <w:rFonts w:ascii="Times New Roman" w:hAnsi="Times New Roman" w:cs="Times New Roman"/>
        </w:rPr>
        <w:t xml:space="preserve">low, with internet </w:t>
      </w:r>
      <w:r w:rsidR="00D42D6A" w:rsidRPr="00B562D8">
        <w:rPr>
          <w:rFonts w:ascii="Times New Roman" w:hAnsi="Times New Roman" w:cs="Times New Roman"/>
        </w:rPr>
        <w:t xml:space="preserve">usage in Senegal being </w:t>
      </w:r>
      <w:r w:rsidR="00D42D6A">
        <w:rPr>
          <w:rFonts w:ascii="Times New Roman" w:hAnsi="Times New Roman" w:cs="Times New Roman"/>
        </w:rPr>
        <w:t xml:space="preserve">below </w:t>
      </w:r>
      <w:r w:rsidR="00AE5913">
        <w:rPr>
          <w:rFonts w:ascii="Times New Roman" w:hAnsi="Times New Roman" w:cs="Times New Roman"/>
        </w:rPr>
        <w:t xml:space="preserve">that of </w:t>
      </w:r>
      <w:r w:rsidR="00D42D6A">
        <w:rPr>
          <w:rFonts w:ascii="Times New Roman" w:hAnsi="Times New Roman" w:cs="Times New Roman"/>
        </w:rPr>
        <w:t xml:space="preserve">Ghana, Cote d’Ivoire and </w:t>
      </w:r>
      <w:r w:rsidR="00D42D6A" w:rsidRPr="00B562D8">
        <w:rPr>
          <w:rFonts w:ascii="Times New Roman" w:hAnsi="Times New Roman" w:cs="Times New Roman"/>
        </w:rPr>
        <w:t>Kenya</w:t>
      </w:r>
      <w:r w:rsidR="00D42D6A">
        <w:rPr>
          <w:rFonts w:ascii="Times New Roman" w:hAnsi="Times New Roman" w:cs="Times New Roman"/>
        </w:rPr>
        <w:t xml:space="preserve"> (</w:t>
      </w:r>
      <w:r w:rsidR="00D869E4" w:rsidRPr="00D869E4">
        <w:rPr>
          <w:rFonts w:ascii="Times New Roman" w:hAnsi="Times New Roman" w:cs="Times New Roman"/>
        </w:rPr>
        <w:fldChar w:fldCharType="begin"/>
      </w:r>
      <w:r w:rsidR="00D869E4" w:rsidRPr="00D869E4">
        <w:rPr>
          <w:rFonts w:ascii="Times New Roman" w:hAnsi="Times New Roman" w:cs="Times New Roman"/>
        </w:rPr>
        <w:instrText xml:space="preserve"> REF _Ref520474630 \h </w:instrText>
      </w:r>
      <w:r w:rsidR="00D869E4" w:rsidRPr="007575D7">
        <w:rPr>
          <w:rFonts w:ascii="Times New Roman" w:hAnsi="Times New Roman" w:cs="Times New Roman"/>
        </w:rPr>
        <w:instrText xml:space="preserve"> \* MERGEFORMAT </w:instrText>
      </w:r>
      <w:r w:rsidR="00D869E4" w:rsidRPr="00D869E4">
        <w:rPr>
          <w:rFonts w:ascii="Times New Roman" w:hAnsi="Times New Roman" w:cs="Times New Roman"/>
        </w:rPr>
      </w:r>
      <w:r w:rsidR="00D869E4" w:rsidRPr="00D869E4">
        <w:rPr>
          <w:rFonts w:ascii="Times New Roman" w:hAnsi="Times New Roman" w:cs="Times New Roman"/>
        </w:rPr>
        <w:fldChar w:fldCharType="separate"/>
      </w:r>
      <w:r w:rsidR="008261B2" w:rsidRPr="008261B2">
        <w:rPr>
          <w:rFonts w:ascii="Times New Roman" w:hAnsi="Times New Roman"/>
        </w:rPr>
        <w:t xml:space="preserve">Figure </w:t>
      </w:r>
      <w:r w:rsidR="008261B2" w:rsidRPr="008261B2">
        <w:rPr>
          <w:rFonts w:ascii="Times New Roman" w:hAnsi="Times New Roman"/>
          <w:noProof/>
        </w:rPr>
        <w:t>57</w:t>
      </w:r>
      <w:r w:rsidR="00D869E4" w:rsidRPr="00D869E4">
        <w:rPr>
          <w:rFonts w:ascii="Times New Roman" w:hAnsi="Times New Roman" w:cs="Times New Roman"/>
        </w:rPr>
        <w:fldChar w:fldCharType="end"/>
      </w:r>
      <w:r w:rsidR="00D869E4" w:rsidRPr="00D869E4">
        <w:rPr>
          <w:rFonts w:ascii="Times New Roman" w:hAnsi="Times New Roman" w:cs="Times New Roman"/>
        </w:rPr>
        <w:t xml:space="preserve"> </w:t>
      </w:r>
      <w:r w:rsidR="00D869E4">
        <w:rPr>
          <w:rFonts w:ascii="Times New Roman" w:hAnsi="Times New Roman" w:cs="Times New Roman"/>
        </w:rPr>
        <w:t xml:space="preserve">and </w:t>
      </w:r>
      <w:r w:rsidR="00D869E4">
        <w:rPr>
          <w:rFonts w:ascii="Times New Roman" w:hAnsi="Times New Roman" w:cs="Times New Roman"/>
        </w:rPr>
        <w:fldChar w:fldCharType="begin"/>
      </w:r>
      <w:r w:rsidR="00D869E4">
        <w:rPr>
          <w:rFonts w:ascii="Times New Roman" w:hAnsi="Times New Roman" w:cs="Times New Roman"/>
        </w:rPr>
        <w:instrText xml:space="preserve"> REF _Ref520474635 \h </w:instrText>
      </w:r>
      <w:r w:rsidR="00D869E4">
        <w:rPr>
          <w:rFonts w:ascii="Times New Roman" w:hAnsi="Times New Roman" w:cs="Times New Roman"/>
        </w:rPr>
      </w:r>
      <w:r w:rsidR="00D869E4">
        <w:rPr>
          <w:rFonts w:ascii="Times New Roman" w:hAnsi="Times New Roman" w:cs="Times New Roman"/>
        </w:rPr>
        <w:fldChar w:fldCharType="separate"/>
      </w:r>
      <w:r w:rsidR="008261B2" w:rsidRPr="00B57E98">
        <w:rPr>
          <w:rFonts w:ascii="Times New Roman" w:hAnsi="Times New Roman"/>
        </w:rPr>
        <w:t xml:space="preserve">Figure </w:t>
      </w:r>
      <w:r w:rsidR="008261B2">
        <w:rPr>
          <w:rFonts w:ascii="Times New Roman" w:hAnsi="Times New Roman"/>
          <w:noProof/>
        </w:rPr>
        <w:t>60</w:t>
      </w:r>
      <w:r w:rsidR="00D869E4">
        <w:rPr>
          <w:rFonts w:ascii="Times New Roman" w:hAnsi="Times New Roman" w:cs="Times New Roman"/>
        </w:rPr>
        <w:fldChar w:fldCharType="end"/>
      </w:r>
      <w:r w:rsidR="00D42D6A">
        <w:rPr>
          <w:rFonts w:ascii="Times New Roman" w:hAnsi="Times New Roman" w:cs="Times New Roman"/>
        </w:rPr>
        <w:t xml:space="preserve">), </w:t>
      </w:r>
      <w:r w:rsidR="00D42D6A" w:rsidRPr="00CC1BAF">
        <w:rPr>
          <w:rFonts w:ascii="Times New Roman" w:hAnsi="Times New Roman" w:cs="Times New Roman"/>
        </w:rPr>
        <w:t>and fixed-broadband being very limited (0.6 subscriptions per 100 inhabitants)</w:t>
      </w:r>
      <w:r w:rsidR="00D42D6A" w:rsidRPr="00B562D8">
        <w:rPr>
          <w:rFonts w:ascii="Times New Roman" w:hAnsi="Times New Roman" w:cs="Times New Roman"/>
        </w:rPr>
        <w:t>.</w:t>
      </w:r>
      <w:r w:rsidR="00D42D6A">
        <w:rPr>
          <w:rFonts w:ascii="Times New Roman" w:hAnsi="Times New Roman" w:cs="Times New Roman"/>
        </w:rPr>
        <w:t xml:space="preserve"> D</w:t>
      </w:r>
      <w:r w:rsidR="00D42D6A" w:rsidRPr="00CC1BAF">
        <w:rPr>
          <w:rFonts w:ascii="Times New Roman" w:hAnsi="Times New Roman" w:cs="Times New Roman"/>
        </w:rPr>
        <w:t>ownload speeds</w:t>
      </w:r>
      <w:r w:rsidR="00D42D6A">
        <w:rPr>
          <w:rFonts w:ascii="Times New Roman" w:hAnsi="Times New Roman" w:cs="Times New Roman"/>
        </w:rPr>
        <w:t xml:space="preserve"> </w:t>
      </w:r>
      <w:r w:rsidR="00D42D6A" w:rsidRPr="00CC1BAF">
        <w:rPr>
          <w:rFonts w:ascii="Times New Roman" w:hAnsi="Times New Roman" w:cs="Times New Roman"/>
        </w:rPr>
        <w:t xml:space="preserve">are </w:t>
      </w:r>
      <w:r w:rsidR="00D42D6A">
        <w:rPr>
          <w:rFonts w:ascii="Times New Roman" w:hAnsi="Times New Roman" w:cs="Times New Roman"/>
        </w:rPr>
        <w:t xml:space="preserve">also </w:t>
      </w:r>
      <w:r w:rsidR="00D42D6A" w:rsidRPr="00CC1BAF">
        <w:rPr>
          <w:rFonts w:ascii="Times New Roman" w:hAnsi="Times New Roman" w:cs="Times New Roman"/>
        </w:rPr>
        <w:t>on the low side and international internet bandwidth per Internet user is less than one tenth of the average for Africa</w:t>
      </w:r>
      <w:r w:rsidR="00D42D6A">
        <w:rPr>
          <w:rFonts w:ascii="Times New Roman" w:hAnsi="Times New Roman" w:cs="Times New Roman"/>
        </w:rPr>
        <w:t>,</w:t>
      </w:r>
      <w:r w:rsidR="00D42D6A">
        <w:rPr>
          <w:rStyle w:val="FootnoteReference"/>
          <w:rFonts w:ascii="Times New Roman" w:hAnsi="Times New Roman" w:cs="Times New Roman"/>
        </w:rPr>
        <w:footnoteReference w:id="195"/>
      </w:r>
      <w:r w:rsidR="00D42D6A">
        <w:rPr>
          <w:rFonts w:ascii="Times New Roman" w:hAnsi="Times New Roman" w:cs="Times New Roman"/>
        </w:rPr>
        <w:t xml:space="preserve"> </w:t>
      </w:r>
      <w:r w:rsidR="00D42D6A" w:rsidRPr="00CC1BAF">
        <w:rPr>
          <w:rFonts w:ascii="Times New Roman" w:hAnsi="Times New Roman" w:cs="Times New Roman"/>
        </w:rPr>
        <w:t>affecting connectivity</w:t>
      </w:r>
      <w:r w:rsidR="00D42D6A">
        <w:rPr>
          <w:rFonts w:ascii="Times New Roman" w:hAnsi="Times New Roman" w:cs="Times New Roman"/>
        </w:rPr>
        <w:t xml:space="preserve"> (</w:t>
      </w:r>
      <w:r w:rsidR="00D869E4" w:rsidRPr="00D869E4">
        <w:rPr>
          <w:rFonts w:ascii="Times New Roman" w:hAnsi="Times New Roman" w:cs="Times New Roman"/>
        </w:rPr>
        <w:fldChar w:fldCharType="begin"/>
      </w:r>
      <w:r w:rsidR="00D869E4" w:rsidRPr="00D869E4">
        <w:rPr>
          <w:rFonts w:ascii="Times New Roman" w:hAnsi="Times New Roman" w:cs="Times New Roman"/>
        </w:rPr>
        <w:instrText xml:space="preserve"> REF _Ref520474919 \h </w:instrText>
      </w:r>
      <w:r w:rsidR="00D869E4" w:rsidRPr="007575D7">
        <w:rPr>
          <w:rFonts w:ascii="Times New Roman" w:hAnsi="Times New Roman" w:cs="Times New Roman"/>
        </w:rPr>
        <w:instrText xml:space="preserve"> \* MERGEFORMAT </w:instrText>
      </w:r>
      <w:r w:rsidR="00D869E4" w:rsidRPr="00D869E4">
        <w:rPr>
          <w:rFonts w:ascii="Times New Roman" w:hAnsi="Times New Roman" w:cs="Times New Roman"/>
        </w:rPr>
      </w:r>
      <w:r w:rsidR="00D869E4" w:rsidRPr="00D869E4">
        <w:rPr>
          <w:rFonts w:ascii="Times New Roman" w:hAnsi="Times New Roman" w:cs="Times New Roman"/>
        </w:rPr>
        <w:fldChar w:fldCharType="separate"/>
      </w:r>
      <w:r w:rsidR="008261B2" w:rsidRPr="008261B2">
        <w:rPr>
          <w:rFonts w:ascii="Times New Roman" w:hAnsi="Times New Roman"/>
        </w:rPr>
        <w:t xml:space="preserve">Figure </w:t>
      </w:r>
      <w:r w:rsidR="008261B2" w:rsidRPr="008261B2">
        <w:rPr>
          <w:rFonts w:ascii="Times New Roman" w:hAnsi="Times New Roman"/>
          <w:noProof/>
        </w:rPr>
        <w:t>59</w:t>
      </w:r>
      <w:r w:rsidR="00D869E4" w:rsidRPr="00D869E4">
        <w:rPr>
          <w:rFonts w:ascii="Times New Roman" w:hAnsi="Times New Roman" w:cs="Times New Roman"/>
        </w:rPr>
        <w:fldChar w:fldCharType="end"/>
      </w:r>
      <w:r w:rsidR="00D42D6A">
        <w:rPr>
          <w:rFonts w:ascii="Times New Roman" w:hAnsi="Times New Roman" w:cs="Times New Roman"/>
        </w:rPr>
        <w:t>).</w:t>
      </w:r>
      <w:r w:rsidR="00D42D6A" w:rsidRPr="00B562D8">
        <w:rPr>
          <w:rFonts w:ascii="Times New Roman" w:hAnsi="Times New Roman" w:cs="Times New Roman"/>
        </w:rPr>
        <w:t xml:space="preserve"> </w:t>
      </w:r>
      <w:r w:rsidR="00E00B1C" w:rsidRPr="00C91EA2">
        <w:rPr>
          <w:rFonts w:ascii="Times New Roman" w:hAnsi="Times New Roman" w:cs="Times New Roman"/>
        </w:rPr>
        <w:t xml:space="preserve">According to the </w:t>
      </w:r>
      <w:proofErr w:type="spellStart"/>
      <w:r w:rsidR="00E00B1C" w:rsidRPr="00C91EA2">
        <w:rPr>
          <w:rFonts w:ascii="Times New Roman" w:hAnsi="Times New Roman" w:cs="Times New Roman"/>
          <w:i/>
        </w:rPr>
        <w:t>Stratégie</w:t>
      </w:r>
      <w:proofErr w:type="spellEnd"/>
      <w:r w:rsidR="00E00B1C" w:rsidRPr="00C91EA2">
        <w:rPr>
          <w:rFonts w:ascii="Times New Roman" w:hAnsi="Times New Roman" w:cs="Times New Roman"/>
          <w:i/>
        </w:rPr>
        <w:t xml:space="preserve"> </w:t>
      </w:r>
      <w:proofErr w:type="spellStart"/>
      <w:r w:rsidR="00E00B1C" w:rsidRPr="00C91EA2">
        <w:rPr>
          <w:rFonts w:ascii="Times New Roman" w:hAnsi="Times New Roman" w:cs="Times New Roman"/>
          <w:i/>
        </w:rPr>
        <w:t>Sénégal</w:t>
      </w:r>
      <w:proofErr w:type="spellEnd"/>
      <w:r w:rsidR="00E00B1C" w:rsidRPr="00C91EA2">
        <w:rPr>
          <w:rFonts w:ascii="Times New Roman" w:hAnsi="Times New Roman" w:cs="Times New Roman"/>
          <w:i/>
        </w:rPr>
        <w:t xml:space="preserve"> </w:t>
      </w:r>
      <w:proofErr w:type="spellStart"/>
      <w:r w:rsidR="00E00B1C" w:rsidRPr="00C91EA2">
        <w:rPr>
          <w:rFonts w:ascii="Times New Roman" w:hAnsi="Times New Roman" w:cs="Times New Roman"/>
          <w:i/>
        </w:rPr>
        <w:t>Numérique</w:t>
      </w:r>
      <w:proofErr w:type="spellEnd"/>
      <w:r w:rsidR="00E00B1C" w:rsidRPr="00C91EA2">
        <w:rPr>
          <w:rFonts w:ascii="Times New Roman" w:hAnsi="Times New Roman" w:cs="Times New Roman"/>
          <w:i/>
        </w:rPr>
        <w:t xml:space="preserve"> 2025</w:t>
      </w:r>
      <w:r w:rsidR="00E00B1C">
        <w:rPr>
          <w:rFonts w:ascii="Times New Roman" w:hAnsi="Times New Roman" w:cs="Times New Roman"/>
          <w:i/>
        </w:rPr>
        <w:t>,</w:t>
      </w:r>
      <w:r w:rsidR="00E00B1C" w:rsidRPr="00C91EA2">
        <w:rPr>
          <w:rStyle w:val="FootnoteReference"/>
          <w:rFonts w:ascii="Times New Roman" w:hAnsi="Times New Roman" w:cs="Times New Roman"/>
        </w:rPr>
        <w:footnoteReference w:id="196"/>
      </w:r>
      <w:r w:rsidR="00E00B1C" w:rsidRPr="00C91EA2">
        <w:rPr>
          <w:rFonts w:ascii="Times New Roman" w:hAnsi="Times New Roman" w:cs="Times New Roman"/>
        </w:rPr>
        <w:t>published in October 2016,</w:t>
      </w:r>
      <w:r w:rsidR="00E00B1C" w:rsidRPr="00C91EA2">
        <w:rPr>
          <w:rFonts w:ascii="Times New Roman" w:hAnsi="Times New Roman" w:cs="Times New Roman"/>
          <w:i/>
        </w:rPr>
        <w:t xml:space="preserve"> </w:t>
      </w:r>
      <w:r w:rsidR="00E00B1C" w:rsidRPr="00C91EA2">
        <w:rPr>
          <w:rFonts w:ascii="Times New Roman" w:hAnsi="Times New Roman" w:cs="Times New Roman"/>
        </w:rPr>
        <w:t xml:space="preserve">whilst the telecommunications sector contributed 1.5 percentage points to GDP growth in 2006, it </w:t>
      </w:r>
      <w:r w:rsidR="00E00B1C">
        <w:rPr>
          <w:rFonts w:ascii="Times New Roman" w:hAnsi="Times New Roman" w:cs="Times New Roman"/>
        </w:rPr>
        <w:t xml:space="preserve">contributed </w:t>
      </w:r>
      <w:r w:rsidR="00E00B1C" w:rsidRPr="00C91EA2">
        <w:rPr>
          <w:rFonts w:ascii="Times New Roman" w:hAnsi="Times New Roman" w:cs="Times New Roman"/>
        </w:rPr>
        <w:t xml:space="preserve">only 0.2 percentage points in 2014. </w:t>
      </w:r>
      <w:r w:rsidR="00AE5913">
        <w:rPr>
          <w:rFonts w:ascii="Times New Roman" w:eastAsia="Times New Roman" w:hAnsi="Times New Roman" w:cs="Times New Roman"/>
          <w:lang w:eastAsia="fr-FR"/>
        </w:rPr>
        <w:t>Despite</w:t>
      </w:r>
      <w:r w:rsidR="00D42D6A">
        <w:rPr>
          <w:rFonts w:ascii="Times New Roman" w:eastAsia="Times New Roman" w:hAnsi="Times New Roman" w:cs="Times New Roman"/>
          <w:lang w:eastAsia="fr-FR"/>
        </w:rPr>
        <w:t xml:space="preserve"> </w:t>
      </w:r>
      <w:r w:rsidR="00AE5913">
        <w:rPr>
          <w:rFonts w:ascii="Times New Roman" w:eastAsia="Times New Roman" w:hAnsi="Times New Roman" w:cs="Times New Roman"/>
          <w:lang w:eastAsia="fr-FR"/>
        </w:rPr>
        <w:t>significant</w:t>
      </w:r>
      <w:r w:rsidR="00D42D6A">
        <w:rPr>
          <w:rFonts w:ascii="Times New Roman" w:eastAsia="Times New Roman" w:hAnsi="Times New Roman" w:cs="Times New Roman"/>
          <w:lang w:eastAsia="fr-FR"/>
        </w:rPr>
        <w:t xml:space="preserve"> improvements registered in the last years, </w:t>
      </w:r>
      <w:r w:rsidR="00783C22" w:rsidRPr="00C91EA2">
        <w:rPr>
          <w:rFonts w:ascii="Times New Roman" w:hAnsi="Times New Roman" w:cs="Times New Roman"/>
        </w:rPr>
        <w:t>Senegal scores 2.</w:t>
      </w:r>
      <w:r w:rsidR="00783C22">
        <w:rPr>
          <w:rFonts w:ascii="Times New Roman" w:hAnsi="Times New Roman" w:cs="Times New Roman"/>
        </w:rPr>
        <w:t>66</w:t>
      </w:r>
      <w:r w:rsidR="00783C22" w:rsidRPr="00C91EA2">
        <w:rPr>
          <w:rFonts w:ascii="Times New Roman" w:hAnsi="Times New Roman" w:cs="Times New Roman"/>
        </w:rPr>
        <w:t xml:space="preserve"> out of 10</w:t>
      </w:r>
      <w:r w:rsidR="00783C22">
        <w:rPr>
          <w:rFonts w:ascii="Times New Roman" w:hAnsi="Times New Roman" w:cs="Times New Roman"/>
        </w:rPr>
        <w:t xml:space="preserve"> o</w:t>
      </w:r>
      <w:r w:rsidR="00783C22" w:rsidRPr="00C91EA2">
        <w:rPr>
          <w:rFonts w:ascii="Times New Roman" w:hAnsi="Times New Roman" w:cs="Times New Roman"/>
        </w:rPr>
        <w:t>n the ITU’s ICT Development Index 201</w:t>
      </w:r>
      <w:r w:rsidR="00783C22">
        <w:rPr>
          <w:rFonts w:ascii="Times New Roman" w:hAnsi="Times New Roman" w:cs="Times New Roman"/>
        </w:rPr>
        <w:t>7</w:t>
      </w:r>
      <w:r w:rsidR="00783C22" w:rsidRPr="00C91EA2">
        <w:rPr>
          <w:rFonts w:ascii="Times New Roman" w:hAnsi="Times New Roman" w:cs="Times New Roman"/>
        </w:rPr>
        <w:t>, which is below the scores of regional peers</w:t>
      </w:r>
      <w:r w:rsidR="00D869E4">
        <w:rPr>
          <w:rFonts w:ascii="Times New Roman" w:hAnsi="Times New Roman" w:cs="Times New Roman"/>
        </w:rPr>
        <w:t xml:space="preserve"> (</w:t>
      </w:r>
      <w:r w:rsidR="00D869E4">
        <w:rPr>
          <w:rFonts w:ascii="Times New Roman" w:hAnsi="Times New Roman" w:cs="Times New Roman"/>
        </w:rPr>
        <w:fldChar w:fldCharType="begin"/>
      </w:r>
      <w:r w:rsidR="00D869E4">
        <w:rPr>
          <w:rFonts w:ascii="Times New Roman" w:hAnsi="Times New Roman" w:cs="Times New Roman"/>
        </w:rPr>
        <w:instrText xml:space="preserve"> REF _Ref520474635 \h </w:instrText>
      </w:r>
      <w:r w:rsidR="00D869E4">
        <w:rPr>
          <w:rFonts w:ascii="Times New Roman" w:hAnsi="Times New Roman" w:cs="Times New Roman"/>
        </w:rPr>
      </w:r>
      <w:r w:rsidR="00D869E4">
        <w:rPr>
          <w:rFonts w:ascii="Times New Roman" w:hAnsi="Times New Roman" w:cs="Times New Roman"/>
        </w:rPr>
        <w:fldChar w:fldCharType="separate"/>
      </w:r>
      <w:r w:rsidR="008261B2" w:rsidRPr="00B57E98">
        <w:rPr>
          <w:rFonts w:ascii="Times New Roman" w:hAnsi="Times New Roman"/>
        </w:rPr>
        <w:t xml:space="preserve">Figure </w:t>
      </w:r>
      <w:r w:rsidR="008261B2">
        <w:rPr>
          <w:rFonts w:ascii="Times New Roman" w:hAnsi="Times New Roman"/>
          <w:noProof/>
        </w:rPr>
        <w:t>60</w:t>
      </w:r>
      <w:r w:rsidR="00D869E4">
        <w:rPr>
          <w:rFonts w:ascii="Times New Roman" w:hAnsi="Times New Roman" w:cs="Times New Roman"/>
        </w:rPr>
        <w:fldChar w:fldCharType="end"/>
      </w:r>
      <w:r w:rsidR="00D869E4">
        <w:rPr>
          <w:rFonts w:ascii="Times New Roman" w:hAnsi="Times New Roman" w:cs="Times New Roman"/>
        </w:rPr>
        <w:t>)</w:t>
      </w:r>
      <w:r w:rsidR="00AE5913">
        <w:rPr>
          <w:rFonts w:ascii="Times New Roman" w:hAnsi="Times New Roman" w:cs="Times New Roman"/>
        </w:rPr>
        <w:t xml:space="preserve"> - </w:t>
      </w:r>
      <w:r w:rsidR="00783C22" w:rsidRPr="00C91EA2">
        <w:rPr>
          <w:rFonts w:ascii="Times New Roman" w:hAnsi="Times New Roman" w:cs="Times New Roman"/>
        </w:rPr>
        <w:t xml:space="preserve"> the country ranks 14</w:t>
      </w:r>
      <w:r w:rsidR="00783C22">
        <w:rPr>
          <w:rFonts w:ascii="Times New Roman" w:hAnsi="Times New Roman" w:cs="Times New Roman"/>
        </w:rPr>
        <w:t>2</w:t>
      </w:r>
      <w:r w:rsidR="00783C22" w:rsidRPr="00F3546A">
        <w:rPr>
          <w:rFonts w:ascii="Times New Roman" w:hAnsi="Times New Roman" w:cs="Times New Roman"/>
          <w:vertAlign w:val="superscript"/>
        </w:rPr>
        <w:t>nd</w:t>
      </w:r>
      <w:r w:rsidR="00783C22">
        <w:rPr>
          <w:rFonts w:ascii="Times New Roman" w:hAnsi="Times New Roman" w:cs="Times New Roman"/>
        </w:rPr>
        <w:t xml:space="preserve"> </w:t>
      </w:r>
      <w:r w:rsidR="00783C22" w:rsidRPr="00C91EA2">
        <w:rPr>
          <w:rFonts w:ascii="Times New Roman" w:hAnsi="Times New Roman" w:cs="Times New Roman"/>
        </w:rPr>
        <w:t>out of 17</w:t>
      </w:r>
      <w:r w:rsidR="00783C22">
        <w:rPr>
          <w:rFonts w:ascii="Times New Roman" w:hAnsi="Times New Roman" w:cs="Times New Roman"/>
        </w:rPr>
        <w:t>6</w:t>
      </w:r>
      <w:r w:rsidR="00783C22" w:rsidRPr="00C91EA2">
        <w:rPr>
          <w:rFonts w:ascii="Times New Roman" w:hAnsi="Times New Roman" w:cs="Times New Roman"/>
        </w:rPr>
        <w:t xml:space="preserve"> economies</w:t>
      </w:r>
      <w:r w:rsidR="00914EC0">
        <w:rPr>
          <w:rFonts w:ascii="Times New Roman" w:hAnsi="Times New Roman" w:cs="Times New Roman"/>
        </w:rPr>
        <w:t>.</w:t>
      </w:r>
      <w:r w:rsidR="00783C22" w:rsidRPr="00C91EA2">
        <w:rPr>
          <w:rStyle w:val="FootnoteReference"/>
          <w:rFonts w:ascii="Times New Roman" w:hAnsi="Times New Roman" w:cs="Times New Roman"/>
        </w:rPr>
        <w:footnoteReference w:id="197"/>
      </w:r>
      <w:r w:rsidR="00783C22" w:rsidRPr="00C91EA2">
        <w:rPr>
          <w:rFonts w:ascii="Times New Roman" w:hAnsi="Times New Roman" w:cs="Times New Roman"/>
        </w:rPr>
        <w:t xml:space="preserve"> </w:t>
      </w:r>
      <w:r w:rsidR="00914EC0">
        <w:rPr>
          <w:rFonts w:ascii="Times New Roman" w:hAnsi="Times New Roman" w:cs="Times New Roman"/>
        </w:rPr>
        <w:t xml:space="preserve"> It also ranks</w:t>
      </w:r>
      <w:r w:rsidR="00783C22">
        <w:rPr>
          <w:rFonts w:ascii="Times New Roman" w:hAnsi="Times New Roman" w:cs="Times New Roman"/>
        </w:rPr>
        <w:t xml:space="preserve"> 107</w:t>
      </w:r>
      <w:r w:rsidR="00783C22" w:rsidRPr="007575D7">
        <w:rPr>
          <w:rFonts w:ascii="Times New Roman" w:hAnsi="Times New Roman" w:cs="Times New Roman"/>
          <w:vertAlign w:val="superscript"/>
        </w:rPr>
        <w:t>th</w:t>
      </w:r>
      <w:r w:rsidR="00783C22">
        <w:rPr>
          <w:rFonts w:ascii="Times New Roman" w:hAnsi="Times New Roman" w:cs="Times New Roman"/>
        </w:rPr>
        <w:t xml:space="preserve"> out of 139 economies in the </w:t>
      </w:r>
      <w:r w:rsidR="00D42D6A">
        <w:rPr>
          <w:rFonts w:ascii="Times New Roman" w:eastAsia="Times New Roman" w:hAnsi="Times New Roman" w:cs="Times New Roman"/>
          <w:lang w:eastAsia="fr-FR"/>
        </w:rPr>
        <w:t>Network Readiness Index.</w:t>
      </w:r>
      <w:r w:rsidR="00D42D6A">
        <w:rPr>
          <w:rStyle w:val="FootnoteReference"/>
          <w:rFonts w:ascii="Times New Roman" w:eastAsia="Times New Roman" w:hAnsi="Times New Roman" w:cs="Times New Roman"/>
          <w:lang w:eastAsia="fr-FR"/>
        </w:rPr>
        <w:footnoteReference w:id="198"/>
      </w:r>
    </w:p>
    <w:p w14:paraId="6A6A7833" w14:textId="77777777" w:rsidR="00D42D6A" w:rsidRPr="007575D7" w:rsidRDefault="00D42D6A" w:rsidP="007575D7">
      <w:pPr>
        <w:pStyle w:val="ListParagraph"/>
        <w:ind w:left="0"/>
        <w:jc w:val="both"/>
        <w:rPr>
          <w:rFonts w:ascii="Times New Roman" w:hAnsi="Times New Roman" w:cs="Times New Roman"/>
        </w:rPr>
      </w:pPr>
    </w:p>
    <w:p w14:paraId="11923923" w14:textId="6A82EDFE" w:rsidR="006018AA" w:rsidRPr="00C91EA2" w:rsidRDefault="00D42D6A"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 xml:space="preserve">Senegal’s recent price reductions of telecommunication services can </w:t>
      </w:r>
      <w:r w:rsidR="00A9194F">
        <w:rPr>
          <w:rFonts w:ascii="Times New Roman" w:hAnsi="Times New Roman" w:cs="Times New Roman"/>
          <w:b/>
        </w:rPr>
        <w:t>contribute</w:t>
      </w:r>
      <w:r w:rsidR="00AD4191">
        <w:rPr>
          <w:rFonts w:ascii="Times New Roman" w:hAnsi="Times New Roman" w:cs="Times New Roman"/>
          <w:b/>
        </w:rPr>
        <w:t xml:space="preserve"> </w:t>
      </w:r>
      <w:r w:rsidR="00C066DE">
        <w:rPr>
          <w:rFonts w:ascii="Times New Roman" w:hAnsi="Times New Roman" w:cs="Times New Roman"/>
          <w:b/>
        </w:rPr>
        <w:t xml:space="preserve">to </w:t>
      </w:r>
      <w:r>
        <w:rPr>
          <w:rFonts w:ascii="Times New Roman" w:hAnsi="Times New Roman" w:cs="Times New Roman"/>
          <w:b/>
        </w:rPr>
        <w:t xml:space="preserve">greater penetration of ICT in the country. </w:t>
      </w:r>
      <w:r w:rsidRPr="007575D7">
        <w:rPr>
          <w:rFonts w:ascii="Times New Roman" w:hAnsi="Times New Roman" w:cs="Times New Roman"/>
        </w:rPr>
        <w:t>I</w:t>
      </w:r>
      <w:r w:rsidR="00D869E4">
        <w:rPr>
          <w:rFonts w:ascii="Times New Roman" w:eastAsia="Times New Roman" w:hAnsi="Times New Roman" w:cs="Times New Roman"/>
          <w:lang w:eastAsia="fr-FR"/>
        </w:rPr>
        <w:t>n 2017</w:t>
      </w:r>
      <w:r>
        <w:rPr>
          <w:rFonts w:ascii="Times New Roman" w:eastAsia="Times New Roman" w:hAnsi="Times New Roman" w:cs="Times New Roman"/>
          <w:lang w:eastAsia="fr-FR"/>
        </w:rPr>
        <w:t>, Senegal ranked 130 out of 138</w:t>
      </w:r>
      <w:r w:rsidR="00AD4191">
        <w:rPr>
          <w:rFonts w:ascii="Times New Roman" w:eastAsia="Times New Roman" w:hAnsi="Times New Roman" w:cs="Times New Roman"/>
          <w:lang w:eastAsia="fr-FR"/>
        </w:rPr>
        <w:t xml:space="preserve"> countries</w:t>
      </w:r>
      <w:r>
        <w:rPr>
          <w:rFonts w:ascii="Times New Roman" w:eastAsia="Times New Roman" w:hAnsi="Times New Roman" w:cs="Times New Roman"/>
          <w:lang w:eastAsia="fr-FR"/>
        </w:rPr>
        <w:t xml:space="preserve"> </w:t>
      </w:r>
      <w:r w:rsidR="00C066DE">
        <w:rPr>
          <w:rFonts w:ascii="Times New Roman" w:eastAsia="Times New Roman" w:hAnsi="Times New Roman" w:cs="Times New Roman"/>
          <w:lang w:eastAsia="fr-FR"/>
        </w:rPr>
        <w:t>on the</w:t>
      </w:r>
      <w:r>
        <w:rPr>
          <w:rFonts w:ascii="Times New Roman" w:eastAsia="Times New Roman" w:hAnsi="Times New Roman" w:cs="Times New Roman"/>
          <w:lang w:eastAsia="fr-FR"/>
        </w:rPr>
        <w:t xml:space="preserve"> affordability of telecommunications services.</w:t>
      </w:r>
      <w:r>
        <w:rPr>
          <w:rStyle w:val="FootnoteReference"/>
          <w:rFonts w:ascii="Times New Roman" w:eastAsia="Times New Roman" w:hAnsi="Times New Roman" w:cs="Times New Roman"/>
          <w:lang w:eastAsia="fr-FR"/>
        </w:rPr>
        <w:footnoteReference w:id="199"/>
      </w:r>
      <w:r>
        <w:rPr>
          <w:rFonts w:ascii="Times New Roman" w:eastAsia="Times New Roman" w:hAnsi="Times New Roman" w:cs="Times New Roman"/>
          <w:lang w:eastAsia="fr-FR"/>
        </w:rPr>
        <w:t xml:space="preserve"> However, Senegal’s </w:t>
      </w:r>
      <w:r>
        <w:rPr>
          <w:rFonts w:ascii="Times New Roman" w:hAnsi="Times New Roman" w:cs="Times New Roman"/>
        </w:rPr>
        <w:t>b</w:t>
      </w:r>
      <w:r w:rsidRPr="00CC1BAF">
        <w:rPr>
          <w:rFonts w:ascii="Times New Roman" w:hAnsi="Times New Roman" w:cs="Times New Roman"/>
        </w:rPr>
        <w:t xml:space="preserve">roadband prices are </w:t>
      </w:r>
      <w:r>
        <w:rPr>
          <w:rFonts w:ascii="Times New Roman" w:hAnsi="Times New Roman" w:cs="Times New Roman"/>
        </w:rPr>
        <w:t xml:space="preserve">now </w:t>
      </w:r>
      <w:r w:rsidRPr="00CC1BAF">
        <w:rPr>
          <w:rFonts w:ascii="Times New Roman" w:hAnsi="Times New Roman" w:cs="Times New Roman"/>
        </w:rPr>
        <w:t xml:space="preserve">close to the median after recent price reductions, </w:t>
      </w:r>
      <w:r>
        <w:rPr>
          <w:rFonts w:ascii="Times New Roman" w:hAnsi="Times New Roman" w:cs="Times New Roman"/>
        </w:rPr>
        <w:t xml:space="preserve">even if they are still </w:t>
      </w:r>
      <w:r w:rsidRPr="00CC1BAF">
        <w:rPr>
          <w:rFonts w:ascii="Times New Roman" w:hAnsi="Times New Roman" w:cs="Times New Roman"/>
        </w:rPr>
        <w:t xml:space="preserve">higher than </w:t>
      </w:r>
      <w:r w:rsidR="00C066DE">
        <w:rPr>
          <w:rFonts w:ascii="Times New Roman" w:hAnsi="Times New Roman" w:cs="Times New Roman"/>
        </w:rPr>
        <w:t xml:space="preserve">those in </w:t>
      </w:r>
      <w:r w:rsidR="00AD4191">
        <w:rPr>
          <w:rFonts w:ascii="Times New Roman" w:hAnsi="Times New Roman" w:cs="Times New Roman"/>
        </w:rPr>
        <w:t xml:space="preserve">The </w:t>
      </w:r>
      <w:r w:rsidRPr="00CC1BAF">
        <w:rPr>
          <w:rFonts w:ascii="Times New Roman" w:hAnsi="Times New Roman" w:cs="Times New Roman"/>
        </w:rPr>
        <w:t>Gambia and Cote d’Ivoire</w:t>
      </w:r>
      <w:r>
        <w:rPr>
          <w:rFonts w:ascii="Times New Roman" w:hAnsi="Times New Roman" w:cs="Times New Roman"/>
        </w:rPr>
        <w:t xml:space="preserve"> </w:t>
      </w:r>
      <w:r w:rsidR="00745FB0" w:rsidRPr="00C91EA2">
        <w:rPr>
          <w:rFonts w:ascii="Times New Roman" w:hAnsi="Times New Roman" w:cs="Times New Roman"/>
        </w:rPr>
        <w:t>(</w:t>
      </w:r>
      <w:r w:rsidR="00D869E4" w:rsidRPr="00D869E4">
        <w:rPr>
          <w:rFonts w:ascii="Times New Roman" w:hAnsi="Times New Roman" w:cs="Times New Roman"/>
        </w:rPr>
        <w:fldChar w:fldCharType="begin"/>
      </w:r>
      <w:r w:rsidR="00D869E4" w:rsidRPr="00D869E4">
        <w:rPr>
          <w:rFonts w:ascii="Times New Roman" w:hAnsi="Times New Roman" w:cs="Times New Roman"/>
        </w:rPr>
        <w:instrText xml:space="preserve"> REF _Ref520475309 \h </w:instrText>
      </w:r>
      <w:r w:rsidR="00D869E4" w:rsidRPr="007575D7">
        <w:rPr>
          <w:rFonts w:ascii="Times New Roman" w:hAnsi="Times New Roman" w:cs="Times New Roman"/>
        </w:rPr>
        <w:instrText xml:space="preserve"> \* MERGEFORMAT </w:instrText>
      </w:r>
      <w:r w:rsidR="00D869E4" w:rsidRPr="00D869E4">
        <w:rPr>
          <w:rFonts w:ascii="Times New Roman" w:hAnsi="Times New Roman" w:cs="Times New Roman"/>
        </w:rPr>
      </w:r>
      <w:r w:rsidR="00D869E4" w:rsidRPr="00D869E4">
        <w:rPr>
          <w:rFonts w:ascii="Times New Roman" w:hAnsi="Times New Roman" w:cs="Times New Roman"/>
        </w:rPr>
        <w:fldChar w:fldCharType="separate"/>
      </w:r>
      <w:r w:rsidR="008261B2" w:rsidRPr="008261B2">
        <w:rPr>
          <w:rFonts w:ascii="Times New Roman" w:hAnsi="Times New Roman"/>
        </w:rPr>
        <w:t xml:space="preserve">Figure </w:t>
      </w:r>
      <w:r w:rsidR="008261B2" w:rsidRPr="008261B2">
        <w:rPr>
          <w:rFonts w:ascii="Times New Roman" w:hAnsi="Times New Roman"/>
          <w:noProof/>
        </w:rPr>
        <w:t>58</w:t>
      </w:r>
      <w:r w:rsidR="00D869E4" w:rsidRPr="00D869E4">
        <w:rPr>
          <w:rFonts w:ascii="Times New Roman" w:hAnsi="Times New Roman" w:cs="Times New Roman"/>
        </w:rPr>
        <w:fldChar w:fldCharType="end"/>
      </w:r>
      <w:r>
        <w:rPr>
          <w:rFonts w:ascii="Times New Roman" w:hAnsi="Times New Roman" w:cs="Times New Roman"/>
        </w:rPr>
        <w:t xml:space="preserve">). </w:t>
      </w:r>
      <w:r w:rsidR="003618B7" w:rsidRPr="00693AF8">
        <w:rPr>
          <w:rFonts w:ascii="Times New Roman" w:hAnsi="Times New Roman" w:cs="Times New Roman"/>
        </w:rPr>
        <w:t>According to</w:t>
      </w:r>
      <w:r w:rsidR="003618B7">
        <w:rPr>
          <w:rFonts w:ascii="Times New Roman" w:hAnsi="Times New Roman" w:cs="Times New Roman"/>
        </w:rPr>
        <w:t xml:space="preserve"> the International Telecommunications Union (ITU)</w:t>
      </w:r>
      <w:r w:rsidR="003618B7" w:rsidRPr="00693AF8">
        <w:rPr>
          <w:rFonts w:ascii="Times New Roman" w:hAnsi="Times New Roman" w:cs="Times New Roman"/>
        </w:rPr>
        <w:t>,</w:t>
      </w:r>
      <w:r w:rsidR="003618B7" w:rsidRPr="00711F6F">
        <w:t xml:space="preserve"> </w:t>
      </w:r>
      <w:r w:rsidR="003618B7" w:rsidRPr="00711F6F">
        <w:rPr>
          <w:rFonts w:ascii="Times New Roman" w:hAnsi="Times New Roman" w:cs="Times New Roman"/>
        </w:rPr>
        <w:t>Senegal</w:t>
      </w:r>
      <w:r w:rsidR="003618B7">
        <w:rPr>
          <w:rFonts w:ascii="Times New Roman" w:hAnsi="Times New Roman" w:cs="Times New Roman"/>
        </w:rPr>
        <w:t>’s m</w:t>
      </w:r>
      <w:r w:rsidR="003618B7" w:rsidRPr="00711F6F">
        <w:rPr>
          <w:rFonts w:ascii="Times New Roman" w:hAnsi="Times New Roman" w:cs="Times New Roman"/>
        </w:rPr>
        <w:t>obile-broadband prices</w:t>
      </w:r>
      <w:r w:rsidR="003618B7">
        <w:rPr>
          <w:rFonts w:ascii="Times New Roman" w:hAnsi="Times New Roman" w:cs="Times New Roman"/>
        </w:rPr>
        <w:t xml:space="preserve"> (</w:t>
      </w:r>
      <w:r w:rsidR="003618B7" w:rsidRPr="00711F6F">
        <w:rPr>
          <w:rFonts w:ascii="Times New Roman" w:hAnsi="Times New Roman" w:cs="Times New Roman"/>
        </w:rPr>
        <w:t>prepaid handset-based, 500 MB</w:t>
      </w:r>
      <w:r w:rsidR="003618B7">
        <w:rPr>
          <w:rFonts w:ascii="Times New Roman" w:hAnsi="Times New Roman" w:cs="Times New Roman"/>
        </w:rPr>
        <w:t>) for 2016</w:t>
      </w:r>
      <w:r w:rsidR="003618B7" w:rsidRPr="00711F6F">
        <w:rPr>
          <w:rFonts w:ascii="Times New Roman" w:hAnsi="Times New Roman" w:cs="Times New Roman"/>
        </w:rPr>
        <w:t xml:space="preserve"> w</w:t>
      </w:r>
      <w:r w:rsidR="003618B7">
        <w:rPr>
          <w:rFonts w:ascii="Times New Roman" w:hAnsi="Times New Roman" w:cs="Times New Roman"/>
        </w:rPr>
        <w:t>ere</w:t>
      </w:r>
      <w:r w:rsidR="003618B7" w:rsidRPr="00711F6F">
        <w:rPr>
          <w:rFonts w:ascii="Times New Roman" w:hAnsi="Times New Roman" w:cs="Times New Roman"/>
        </w:rPr>
        <w:t xml:space="preserve"> </w:t>
      </w:r>
      <w:r w:rsidR="003618B7">
        <w:rPr>
          <w:rFonts w:ascii="Times New Roman" w:hAnsi="Times New Roman" w:cs="Times New Roman"/>
        </w:rPr>
        <w:t>greater than 8 percent</w:t>
      </w:r>
      <w:r w:rsidR="003618B7" w:rsidRPr="00711F6F">
        <w:rPr>
          <w:rFonts w:ascii="Times New Roman" w:hAnsi="Times New Roman" w:cs="Times New Roman"/>
        </w:rPr>
        <w:t xml:space="preserve"> of </w:t>
      </w:r>
      <w:r w:rsidR="003618B7">
        <w:rPr>
          <w:rFonts w:ascii="Times New Roman" w:hAnsi="Times New Roman" w:cs="Times New Roman"/>
        </w:rPr>
        <w:t>gross national income (</w:t>
      </w:r>
      <w:r w:rsidR="003618B7" w:rsidRPr="00711F6F">
        <w:rPr>
          <w:rFonts w:ascii="Times New Roman" w:hAnsi="Times New Roman" w:cs="Times New Roman"/>
        </w:rPr>
        <w:t>GNI</w:t>
      </w:r>
      <w:r w:rsidR="003618B7">
        <w:rPr>
          <w:rFonts w:ascii="Times New Roman" w:hAnsi="Times New Roman" w:cs="Times New Roman"/>
        </w:rPr>
        <w:t>) per capita (compared to an average of 9.3 percent in Africa);</w:t>
      </w:r>
      <w:r w:rsidR="003618B7" w:rsidRPr="00002EDA">
        <w:rPr>
          <w:rStyle w:val="FootnoteReference"/>
          <w:rFonts w:ascii="Times New Roman" w:hAnsi="Times New Roman" w:cs="Times New Roman"/>
        </w:rPr>
        <w:t xml:space="preserve"> </w:t>
      </w:r>
      <w:r w:rsidR="003618B7" w:rsidRPr="00FC5C81">
        <w:rPr>
          <w:rFonts w:ascii="Times New Roman" w:hAnsi="Times New Roman" w:cs="Times New Roman"/>
        </w:rPr>
        <w:t>the mobile-cellular sub-</w:t>
      </w:r>
      <w:r w:rsidR="003618B7">
        <w:rPr>
          <w:rFonts w:ascii="Times New Roman" w:hAnsi="Times New Roman" w:cs="Times New Roman"/>
        </w:rPr>
        <w:t>basket represented 17.3 percent</w:t>
      </w:r>
      <w:r w:rsidR="003618B7" w:rsidRPr="00FC5C81">
        <w:rPr>
          <w:rFonts w:ascii="Times New Roman" w:hAnsi="Times New Roman" w:cs="Times New Roman"/>
        </w:rPr>
        <w:t xml:space="preserve"> of GNI</w:t>
      </w:r>
      <w:r w:rsidR="003618B7">
        <w:rPr>
          <w:rFonts w:ascii="Times New Roman" w:hAnsi="Times New Roman" w:cs="Times New Roman"/>
        </w:rPr>
        <w:t xml:space="preserve"> per capita, </w:t>
      </w:r>
      <w:r w:rsidR="00AD4191">
        <w:rPr>
          <w:rFonts w:ascii="Times New Roman" w:hAnsi="Times New Roman" w:cs="Times New Roman"/>
        </w:rPr>
        <w:t xml:space="preserve">higher </w:t>
      </w:r>
      <w:r w:rsidR="003618B7">
        <w:rPr>
          <w:rFonts w:ascii="Times New Roman" w:hAnsi="Times New Roman" w:cs="Times New Roman"/>
        </w:rPr>
        <w:t xml:space="preserve">than the average </w:t>
      </w:r>
      <w:r w:rsidR="00AD4191">
        <w:rPr>
          <w:rFonts w:ascii="Times New Roman" w:hAnsi="Times New Roman" w:cs="Times New Roman"/>
        </w:rPr>
        <w:t xml:space="preserve">of </w:t>
      </w:r>
      <w:r w:rsidR="003618B7">
        <w:rPr>
          <w:rFonts w:ascii="Times New Roman" w:hAnsi="Times New Roman" w:cs="Times New Roman"/>
        </w:rPr>
        <w:t>14.2 percent in the rest of Africa; and the f</w:t>
      </w:r>
      <w:r w:rsidR="003618B7" w:rsidRPr="00711F6F">
        <w:rPr>
          <w:rFonts w:ascii="Times New Roman" w:hAnsi="Times New Roman" w:cs="Times New Roman"/>
        </w:rPr>
        <w:t>ixed-broadband sub-basket</w:t>
      </w:r>
      <w:r w:rsidR="003618B7">
        <w:rPr>
          <w:rFonts w:ascii="Times New Roman" w:hAnsi="Times New Roman" w:cs="Times New Roman"/>
        </w:rPr>
        <w:t xml:space="preserve"> represented 20 percent</w:t>
      </w:r>
      <w:r w:rsidR="003618B7" w:rsidRPr="00711F6F">
        <w:rPr>
          <w:rFonts w:ascii="Times New Roman" w:hAnsi="Times New Roman" w:cs="Times New Roman"/>
        </w:rPr>
        <w:t xml:space="preserve"> of the</w:t>
      </w:r>
      <w:r w:rsidR="003618B7">
        <w:rPr>
          <w:rFonts w:ascii="Times New Roman" w:hAnsi="Times New Roman" w:cs="Times New Roman"/>
        </w:rPr>
        <w:t xml:space="preserve"> </w:t>
      </w:r>
      <w:r w:rsidR="003618B7" w:rsidRPr="00711F6F">
        <w:rPr>
          <w:rFonts w:ascii="Times New Roman" w:hAnsi="Times New Roman" w:cs="Times New Roman"/>
        </w:rPr>
        <w:t>GNI</w:t>
      </w:r>
      <w:r w:rsidR="003618B7">
        <w:rPr>
          <w:rFonts w:ascii="Times New Roman" w:hAnsi="Times New Roman" w:cs="Times New Roman"/>
        </w:rPr>
        <w:t xml:space="preserve"> per capita, </w:t>
      </w:r>
      <w:r w:rsidR="00AD4191">
        <w:rPr>
          <w:rFonts w:ascii="Times New Roman" w:hAnsi="Times New Roman" w:cs="Times New Roman"/>
        </w:rPr>
        <w:t>which is</w:t>
      </w:r>
      <w:r w:rsidR="00745FB0">
        <w:rPr>
          <w:rFonts w:ascii="Times New Roman" w:hAnsi="Times New Roman" w:cs="Times New Roman"/>
        </w:rPr>
        <w:t xml:space="preserve"> below </w:t>
      </w:r>
      <w:r w:rsidR="003618B7">
        <w:rPr>
          <w:rFonts w:ascii="Times New Roman" w:hAnsi="Times New Roman" w:cs="Times New Roman"/>
        </w:rPr>
        <w:t>the average 39.4 percent in Africa.</w:t>
      </w:r>
      <w:r w:rsidR="003618B7">
        <w:rPr>
          <w:rStyle w:val="FootnoteReference"/>
          <w:rFonts w:ascii="Times New Roman" w:hAnsi="Times New Roman" w:cs="Times New Roman"/>
        </w:rPr>
        <w:footnoteReference w:id="200"/>
      </w:r>
      <w:r w:rsidR="00AD4191">
        <w:rPr>
          <w:rFonts w:ascii="Times New Roman" w:hAnsi="Times New Roman" w:cs="Times New Roman"/>
        </w:rPr>
        <w:t>D</w:t>
      </w:r>
      <w:r w:rsidR="003618B7">
        <w:rPr>
          <w:rFonts w:ascii="Times New Roman" w:hAnsi="Times New Roman" w:cs="Times New Roman"/>
        </w:rPr>
        <w:t>espite a drop in prices</w:t>
      </w:r>
      <w:r w:rsidR="003618B7" w:rsidRPr="00C91EA2">
        <w:rPr>
          <w:rFonts w:ascii="Times New Roman" w:hAnsi="Times New Roman" w:cs="Times New Roman"/>
        </w:rPr>
        <w:t>,</w:t>
      </w:r>
      <w:r w:rsidR="003618B7" w:rsidRPr="00D04200">
        <w:rPr>
          <w:rStyle w:val="FootnoteReference"/>
          <w:rFonts w:ascii="Times New Roman" w:hAnsi="Times New Roman" w:cs="Times New Roman"/>
        </w:rPr>
        <w:t xml:space="preserve"> </w:t>
      </w:r>
      <w:r w:rsidR="003618B7">
        <w:rPr>
          <w:rStyle w:val="FootnoteReference"/>
          <w:rFonts w:ascii="Times New Roman" w:hAnsi="Times New Roman" w:cs="Times New Roman"/>
        </w:rPr>
        <w:footnoteReference w:id="201"/>
      </w:r>
      <w:r w:rsidR="003618B7" w:rsidRPr="00C91EA2">
        <w:rPr>
          <w:rFonts w:ascii="Times New Roman" w:hAnsi="Times New Roman" w:cs="Times New Roman"/>
        </w:rPr>
        <w:t xml:space="preserve"> Senegal rank</w:t>
      </w:r>
      <w:r w:rsidR="003618B7">
        <w:rPr>
          <w:rFonts w:ascii="Times New Roman" w:hAnsi="Times New Roman" w:cs="Times New Roman"/>
        </w:rPr>
        <w:t>s</w:t>
      </w:r>
      <w:r w:rsidR="003618B7" w:rsidRPr="00C91EA2">
        <w:rPr>
          <w:rFonts w:ascii="Times New Roman" w:hAnsi="Times New Roman" w:cs="Times New Roman"/>
        </w:rPr>
        <w:t xml:space="preserve"> </w:t>
      </w:r>
      <w:r w:rsidR="003618B7">
        <w:rPr>
          <w:rFonts w:ascii="Times New Roman" w:hAnsi="Times New Roman" w:cs="Times New Roman"/>
        </w:rPr>
        <w:t>32</w:t>
      </w:r>
      <w:r w:rsidR="003618B7" w:rsidRPr="00C91EA2">
        <w:rPr>
          <w:rFonts w:ascii="Times New Roman" w:hAnsi="Times New Roman" w:cs="Times New Roman"/>
        </w:rPr>
        <w:t xml:space="preserve"> out of </w:t>
      </w:r>
      <w:r w:rsidR="00A7317C">
        <w:rPr>
          <w:rFonts w:ascii="Times New Roman" w:hAnsi="Times New Roman" w:cs="Times New Roman"/>
        </w:rPr>
        <w:t>51</w:t>
      </w:r>
      <w:r w:rsidR="00A7317C" w:rsidRPr="00C91EA2">
        <w:rPr>
          <w:rFonts w:ascii="Times New Roman" w:hAnsi="Times New Roman" w:cs="Times New Roman"/>
        </w:rPr>
        <w:t xml:space="preserve"> </w:t>
      </w:r>
      <w:r w:rsidR="003618B7" w:rsidRPr="00C91EA2">
        <w:rPr>
          <w:rFonts w:ascii="Times New Roman" w:hAnsi="Times New Roman" w:cs="Times New Roman"/>
        </w:rPr>
        <w:t xml:space="preserve">in the </w:t>
      </w:r>
      <w:r w:rsidR="003618B7">
        <w:rPr>
          <w:rFonts w:ascii="Times New Roman" w:hAnsi="Times New Roman" w:cs="Times New Roman"/>
        </w:rPr>
        <w:t>price comparison by</w:t>
      </w:r>
      <w:r w:rsidR="003618B7" w:rsidRPr="00C91EA2">
        <w:rPr>
          <w:rFonts w:ascii="Times New Roman" w:hAnsi="Times New Roman" w:cs="Times New Roman"/>
        </w:rPr>
        <w:t xml:space="preserve"> the OECD mobile basket</w:t>
      </w:r>
      <w:r w:rsidR="003618B7" w:rsidRPr="00C91EA2">
        <w:rPr>
          <w:rStyle w:val="FootnoteReference"/>
          <w:rFonts w:ascii="Times New Roman" w:hAnsi="Times New Roman" w:cs="Times New Roman"/>
        </w:rPr>
        <w:footnoteReference w:id="202"/>
      </w:r>
      <w:r w:rsidR="003618B7" w:rsidRPr="00C91EA2">
        <w:rPr>
          <w:rFonts w:ascii="Times New Roman" w:hAnsi="Times New Roman" w:cs="Times New Roman"/>
        </w:rPr>
        <w:t xml:space="preserve"> (</w:t>
      </w:r>
      <w:r w:rsidR="003618B7" w:rsidRPr="00421227">
        <w:rPr>
          <w:rFonts w:ascii="Times New Roman" w:hAnsi="Times New Roman" w:cs="Times New Roman"/>
        </w:rPr>
        <w:fldChar w:fldCharType="begin"/>
      </w:r>
      <w:r w:rsidR="003618B7" w:rsidRPr="007575D7">
        <w:rPr>
          <w:rFonts w:ascii="Times New Roman" w:hAnsi="Times New Roman" w:cs="Times New Roman"/>
        </w:rPr>
        <w:instrText xml:space="preserve"> REF _Ref497299778 \h  \* MERGEFORMAT </w:instrText>
      </w:r>
      <w:r w:rsidR="003618B7" w:rsidRPr="00421227">
        <w:rPr>
          <w:rFonts w:ascii="Times New Roman" w:hAnsi="Times New Roman" w:cs="Times New Roman"/>
        </w:rPr>
      </w:r>
      <w:r w:rsidR="003618B7" w:rsidRPr="00421227">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20</w:t>
      </w:r>
      <w:r w:rsidR="003618B7" w:rsidRPr="00421227">
        <w:rPr>
          <w:rFonts w:ascii="Times New Roman" w:hAnsi="Times New Roman" w:cs="Times New Roman"/>
        </w:rPr>
        <w:fldChar w:fldCharType="end"/>
      </w:r>
      <w:r w:rsidR="003618B7" w:rsidRPr="007575D7">
        <w:rPr>
          <w:rFonts w:ascii="Times New Roman" w:hAnsi="Times New Roman" w:cs="Times New Roman"/>
        </w:rPr>
        <w:t xml:space="preserve"> </w:t>
      </w:r>
      <w:r w:rsidR="003618B7" w:rsidRPr="00320D79">
        <w:rPr>
          <w:rFonts w:ascii="Times New Roman" w:hAnsi="Times New Roman" w:cs="Times New Roman"/>
        </w:rPr>
        <w:t>in Annex 6</w:t>
      </w:r>
      <w:r w:rsidR="003618B7" w:rsidRPr="00C91EA2">
        <w:rPr>
          <w:rFonts w:ascii="Times New Roman" w:hAnsi="Times New Roman" w:cs="Times New Roman"/>
        </w:rPr>
        <w:t xml:space="preserve">). </w:t>
      </w:r>
    </w:p>
    <w:p w14:paraId="0ED8A7BD" w14:textId="46630F81" w:rsidR="006018AA" w:rsidRDefault="006018AA" w:rsidP="006018AA">
      <w:pPr>
        <w:jc w:val="both"/>
        <w:rPr>
          <w:rFonts w:ascii="Times New Roman" w:hAnsi="Times New Roman" w:cs="Times New Roman"/>
        </w:rPr>
      </w:pPr>
    </w:p>
    <w:p w14:paraId="6156902B" w14:textId="4035AA09" w:rsidR="00960DD3" w:rsidRDefault="00960DD3" w:rsidP="006018AA">
      <w:pPr>
        <w:jc w:val="both"/>
        <w:rPr>
          <w:rFonts w:ascii="Times New Roman" w:hAnsi="Times New Roman" w:cs="Times New Roman"/>
        </w:rPr>
      </w:pPr>
    </w:p>
    <w:p w14:paraId="65C8F495" w14:textId="67F50843" w:rsidR="00960DD3" w:rsidRDefault="00960DD3" w:rsidP="006018AA">
      <w:pPr>
        <w:jc w:val="both"/>
        <w:rPr>
          <w:rFonts w:ascii="Times New Roman" w:hAnsi="Times New Roman" w:cs="Times New Roman"/>
        </w:rPr>
      </w:pPr>
    </w:p>
    <w:p w14:paraId="3E4ACFED" w14:textId="77777777" w:rsidR="00960DD3" w:rsidRDefault="00960DD3" w:rsidP="006018AA">
      <w:pPr>
        <w:jc w:val="both"/>
        <w:rPr>
          <w:rFonts w:ascii="Times New Roman" w:hAnsi="Times New Roman" w:cs="Times New Roman"/>
        </w:rPr>
      </w:pPr>
    </w:p>
    <w:p w14:paraId="3A46D25A" w14:textId="2BF141AB" w:rsidR="00674D59" w:rsidRDefault="00674D59" w:rsidP="007575D7">
      <w:pPr>
        <w:pStyle w:val="Caption"/>
        <w:keepNext/>
      </w:pPr>
    </w:p>
    <w:tbl>
      <w:tblPr>
        <w:tblStyle w:val="TableGrid"/>
        <w:tblW w:w="0" w:type="auto"/>
        <w:tblLook w:val="04A0" w:firstRow="1" w:lastRow="0" w:firstColumn="1" w:lastColumn="0" w:noHBand="0" w:noVBand="1"/>
      </w:tblPr>
      <w:tblGrid>
        <w:gridCol w:w="8630"/>
      </w:tblGrid>
      <w:tr w:rsidR="00E00B1C" w:rsidRPr="00C91EA2" w14:paraId="43AB043E" w14:textId="77777777" w:rsidTr="00973309">
        <w:tc>
          <w:tcPr>
            <w:tcW w:w="8630" w:type="dxa"/>
            <w:tcBorders>
              <w:top w:val="single" w:sz="4" w:space="0" w:color="auto"/>
              <w:left w:val="single" w:sz="4" w:space="0" w:color="auto"/>
              <w:bottom w:val="single" w:sz="4" w:space="0" w:color="auto"/>
              <w:right w:val="single" w:sz="4" w:space="0" w:color="auto"/>
            </w:tcBorders>
            <w:hideMark/>
          </w:tcPr>
          <w:p w14:paraId="5D88DFFB" w14:textId="73EE0791" w:rsidR="00AB7E51" w:rsidRDefault="00AB7E51" w:rsidP="007575D7">
            <w:pPr>
              <w:rPr>
                <w:rFonts w:ascii="Times New Roman" w:hAnsi="Times New Roman"/>
                <w:b/>
                <w:sz w:val="20"/>
                <w:szCs w:val="20"/>
              </w:rPr>
            </w:pPr>
            <w:bookmarkStart w:id="262" w:name="_Ref520474630"/>
            <w:bookmarkStart w:id="263" w:name="_Toc520725613"/>
            <w:r w:rsidRPr="007575D7">
              <w:rPr>
                <w:rFonts w:ascii="Times New Roman" w:hAnsi="Times New Roman"/>
                <w:b/>
                <w:sz w:val="20"/>
                <w:szCs w:val="20"/>
              </w:rPr>
              <w:t xml:space="preserve">Figure </w:t>
            </w:r>
            <w:r w:rsidRPr="007575D7">
              <w:rPr>
                <w:rFonts w:ascii="Times New Roman" w:hAnsi="Times New Roman"/>
                <w:b/>
                <w:sz w:val="20"/>
                <w:szCs w:val="20"/>
              </w:rPr>
              <w:fldChar w:fldCharType="begin"/>
            </w:r>
            <w:r w:rsidRPr="007575D7">
              <w:rPr>
                <w:rFonts w:ascii="Times New Roman" w:hAnsi="Times New Roman"/>
                <w:b/>
                <w:sz w:val="20"/>
                <w:szCs w:val="20"/>
              </w:rPr>
              <w:instrText xml:space="preserve"> SEQ Figure \* ARABIC </w:instrText>
            </w:r>
            <w:r w:rsidRPr="007575D7">
              <w:rPr>
                <w:rFonts w:ascii="Times New Roman" w:hAnsi="Times New Roman"/>
                <w:b/>
                <w:sz w:val="20"/>
                <w:szCs w:val="20"/>
              </w:rPr>
              <w:fldChar w:fldCharType="separate"/>
            </w:r>
            <w:r w:rsidR="008261B2">
              <w:rPr>
                <w:rFonts w:ascii="Times New Roman" w:hAnsi="Times New Roman"/>
                <w:b/>
                <w:noProof/>
                <w:sz w:val="20"/>
                <w:szCs w:val="20"/>
              </w:rPr>
              <w:t>57</w:t>
            </w:r>
            <w:r w:rsidRPr="007575D7">
              <w:rPr>
                <w:rFonts w:ascii="Times New Roman" w:hAnsi="Times New Roman"/>
                <w:b/>
                <w:sz w:val="20"/>
                <w:szCs w:val="20"/>
              </w:rPr>
              <w:fldChar w:fldCharType="end"/>
            </w:r>
            <w:bookmarkEnd w:id="262"/>
            <w:r w:rsidRPr="007575D7">
              <w:rPr>
                <w:rFonts w:ascii="Times New Roman" w:hAnsi="Times New Roman"/>
                <w:b/>
                <w:sz w:val="20"/>
                <w:szCs w:val="20"/>
              </w:rPr>
              <w:t>:</w:t>
            </w:r>
            <w:r w:rsidRPr="00A23773">
              <w:rPr>
                <w:rFonts w:ascii="Times New Roman" w:hAnsi="Times New Roman"/>
              </w:rPr>
              <w:t xml:space="preserve"> </w:t>
            </w:r>
            <w:r w:rsidRPr="007D0ECF">
              <w:rPr>
                <w:rFonts w:ascii="Times New Roman" w:hAnsi="Times New Roman"/>
                <w:b/>
                <w:sz w:val="20"/>
                <w:szCs w:val="20"/>
              </w:rPr>
              <w:t>Internet Penetration in Senegal vs. Peer Countries: % of People Using the Internet (2010-2016)</w:t>
            </w:r>
            <w:bookmarkEnd w:id="263"/>
          </w:p>
          <w:p w14:paraId="28A7AD2B" w14:textId="74B16D30" w:rsidR="00D91B27" w:rsidRPr="007575D7" w:rsidRDefault="00D91B27" w:rsidP="007575D7"/>
        </w:tc>
      </w:tr>
      <w:tr w:rsidR="00E00B1C" w:rsidRPr="00C91EA2" w14:paraId="18E36E8A" w14:textId="77777777" w:rsidTr="00973309">
        <w:tc>
          <w:tcPr>
            <w:tcW w:w="8630" w:type="dxa"/>
            <w:tcBorders>
              <w:top w:val="single" w:sz="4" w:space="0" w:color="auto"/>
              <w:left w:val="single" w:sz="4" w:space="0" w:color="auto"/>
              <w:bottom w:val="single" w:sz="4" w:space="0" w:color="auto"/>
              <w:right w:val="single" w:sz="4" w:space="0" w:color="auto"/>
            </w:tcBorders>
            <w:hideMark/>
          </w:tcPr>
          <w:p w14:paraId="12CE8C27" w14:textId="77777777" w:rsidR="00E00B1C" w:rsidRPr="00C91EA2" w:rsidRDefault="00E00B1C" w:rsidP="00973309">
            <w:pPr>
              <w:rPr>
                <w:rFonts w:ascii="Times New Roman" w:hAnsi="Times New Roman" w:cs="Times New Roman"/>
              </w:rPr>
            </w:pPr>
            <w:r w:rsidRPr="00C538DB">
              <w:rPr>
                <w:rFonts w:ascii="Times New Roman" w:hAnsi="Times New Roman" w:cs="Times New Roman"/>
                <w:b/>
                <w:noProof/>
              </w:rPr>
              <w:drawing>
                <wp:inline distT="0" distB="0" distL="0" distR="0" wp14:anchorId="37DD7D04" wp14:editId="60D91C30">
                  <wp:extent cx="5572125" cy="2028825"/>
                  <wp:effectExtent l="0" t="0" r="0"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E00B1C" w:rsidRPr="00C91EA2" w14:paraId="724ECC5D" w14:textId="77777777" w:rsidTr="00973309">
        <w:tc>
          <w:tcPr>
            <w:tcW w:w="8630" w:type="dxa"/>
            <w:tcBorders>
              <w:top w:val="single" w:sz="4" w:space="0" w:color="auto"/>
              <w:left w:val="single" w:sz="4" w:space="0" w:color="auto"/>
              <w:bottom w:val="single" w:sz="4" w:space="0" w:color="auto"/>
              <w:right w:val="single" w:sz="4" w:space="0" w:color="auto"/>
            </w:tcBorders>
            <w:hideMark/>
          </w:tcPr>
          <w:p w14:paraId="343D598C" w14:textId="77777777" w:rsidR="006E3D1E" w:rsidRDefault="006E3D1E" w:rsidP="00973309">
            <w:pPr>
              <w:rPr>
                <w:rFonts w:ascii="Times New Roman" w:hAnsi="Times New Roman" w:cs="Times New Roman"/>
                <w:i/>
                <w:sz w:val="20"/>
                <w:szCs w:val="20"/>
              </w:rPr>
            </w:pPr>
          </w:p>
          <w:p w14:paraId="68146AB7" w14:textId="43ABE357" w:rsidR="00E00B1C" w:rsidRPr="00D55B7D" w:rsidRDefault="00E00B1C" w:rsidP="00973309">
            <w:pPr>
              <w:rPr>
                <w:rFonts w:ascii="Times New Roman" w:hAnsi="Times New Roman" w:cs="Times New Roman"/>
                <w:i/>
                <w:sz w:val="20"/>
                <w:szCs w:val="20"/>
              </w:rPr>
            </w:pPr>
            <w:r w:rsidRPr="00D55B7D">
              <w:rPr>
                <w:rFonts w:ascii="Times New Roman" w:hAnsi="Times New Roman" w:cs="Times New Roman"/>
                <w:i/>
                <w:sz w:val="20"/>
                <w:szCs w:val="20"/>
              </w:rPr>
              <w:t>Source: International Telecommunication Union (2017)</w:t>
            </w:r>
          </w:p>
        </w:tc>
      </w:tr>
      <w:tr w:rsidR="00E00B1C" w:rsidRPr="00C91EA2" w14:paraId="119CB55B" w14:textId="77777777" w:rsidTr="00973309">
        <w:tc>
          <w:tcPr>
            <w:tcW w:w="8630" w:type="dxa"/>
            <w:tcBorders>
              <w:top w:val="single" w:sz="4" w:space="0" w:color="auto"/>
              <w:left w:val="single" w:sz="4" w:space="0" w:color="auto"/>
              <w:bottom w:val="single" w:sz="4" w:space="0" w:color="auto"/>
              <w:right w:val="single" w:sz="4" w:space="0" w:color="auto"/>
            </w:tcBorders>
          </w:tcPr>
          <w:p w14:paraId="2ACFE5D6" w14:textId="77777777" w:rsidR="00D869E4" w:rsidRDefault="00D869E4" w:rsidP="00973309">
            <w:pPr>
              <w:rPr>
                <w:rFonts w:ascii="Times New Roman" w:hAnsi="Times New Roman"/>
                <w:b/>
                <w:sz w:val="20"/>
                <w:szCs w:val="20"/>
              </w:rPr>
            </w:pPr>
          </w:p>
          <w:p w14:paraId="3BE27C17" w14:textId="03FE06CB" w:rsidR="00AB7E51" w:rsidRDefault="00AB7E51" w:rsidP="00973309">
            <w:pPr>
              <w:rPr>
                <w:rFonts w:ascii="Times New Roman" w:hAnsi="Times New Roman"/>
                <w:b/>
                <w:sz w:val="20"/>
                <w:szCs w:val="20"/>
              </w:rPr>
            </w:pPr>
            <w:bookmarkStart w:id="264" w:name="_Ref520475309"/>
            <w:bookmarkStart w:id="265" w:name="_Toc520725614"/>
            <w:r w:rsidRPr="007D0ECF">
              <w:rPr>
                <w:rFonts w:ascii="Times New Roman" w:hAnsi="Times New Roman"/>
                <w:b/>
                <w:sz w:val="20"/>
                <w:szCs w:val="20"/>
              </w:rPr>
              <w:t xml:space="preserve">Figure </w:t>
            </w:r>
            <w:r w:rsidRPr="007D0ECF">
              <w:rPr>
                <w:rFonts w:ascii="Times New Roman" w:hAnsi="Times New Roman"/>
                <w:b/>
                <w:sz w:val="20"/>
                <w:szCs w:val="20"/>
              </w:rPr>
              <w:fldChar w:fldCharType="begin"/>
            </w:r>
            <w:r w:rsidRPr="007D0ECF">
              <w:rPr>
                <w:rFonts w:ascii="Times New Roman" w:hAnsi="Times New Roman"/>
                <w:b/>
                <w:sz w:val="20"/>
                <w:szCs w:val="20"/>
              </w:rPr>
              <w:instrText xml:space="preserve"> SEQ Figure \* ARABIC </w:instrText>
            </w:r>
            <w:r w:rsidRPr="007D0ECF">
              <w:rPr>
                <w:rFonts w:ascii="Times New Roman" w:hAnsi="Times New Roman"/>
                <w:b/>
                <w:sz w:val="20"/>
                <w:szCs w:val="20"/>
              </w:rPr>
              <w:fldChar w:fldCharType="separate"/>
            </w:r>
            <w:r w:rsidR="008261B2">
              <w:rPr>
                <w:rFonts w:ascii="Times New Roman" w:hAnsi="Times New Roman"/>
                <w:b/>
                <w:noProof/>
                <w:sz w:val="20"/>
                <w:szCs w:val="20"/>
              </w:rPr>
              <w:t>58</w:t>
            </w:r>
            <w:r w:rsidRPr="007D0ECF">
              <w:rPr>
                <w:rFonts w:ascii="Times New Roman" w:hAnsi="Times New Roman"/>
                <w:b/>
                <w:sz w:val="20"/>
                <w:szCs w:val="20"/>
              </w:rPr>
              <w:fldChar w:fldCharType="end"/>
            </w:r>
            <w:bookmarkEnd w:id="264"/>
            <w:r w:rsidRPr="007D0ECF">
              <w:rPr>
                <w:rFonts w:ascii="Times New Roman" w:hAnsi="Times New Roman"/>
                <w:b/>
                <w:sz w:val="20"/>
                <w:szCs w:val="20"/>
              </w:rPr>
              <w:t xml:space="preserve">: </w:t>
            </w:r>
            <w:r w:rsidRPr="00F3546A">
              <w:rPr>
                <w:rFonts w:ascii="Times New Roman" w:hAnsi="Times New Roman"/>
                <w:b/>
                <w:sz w:val="20"/>
                <w:szCs w:val="20"/>
              </w:rPr>
              <w:t>Fixed broadband (USD/month)</w:t>
            </w:r>
            <w:bookmarkEnd w:id="265"/>
          </w:p>
          <w:p w14:paraId="5402FC7A" w14:textId="100EF988" w:rsidR="00E00B1C" w:rsidRPr="00F3546A" w:rsidRDefault="00E00B1C" w:rsidP="00973309">
            <w:pPr>
              <w:rPr>
                <w:rFonts w:ascii="Times New Roman" w:hAnsi="Times New Roman" w:cs="Times New Roman"/>
                <w:b/>
                <w:i/>
                <w:sz w:val="20"/>
                <w:szCs w:val="20"/>
              </w:rPr>
            </w:pPr>
          </w:p>
        </w:tc>
      </w:tr>
      <w:tr w:rsidR="00E00B1C" w:rsidRPr="00C91EA2" w14:paraId="6E6C4591" w14:textId="77777777" w:rsidTr="00973309">
        <w:trPr>
          <w:trHeight w:val="3250"/>
        </w:trPr>
        <w:tc>
          <w:tcPr>
            <w:tcW w:w="8630" w:type="dxa"/>
            <w:tcBorders>
              <w:top w:val="single" w:sz="4" w:space="0" w:color="auto"/>
              <w:left w:val="single" w:sz="4" w:space="0" w:color="auto"/>
              <w:bottom w:val="single" w:sz="4" w:space="0" w:color="auto"/>
              <w:right w:val="single" w:sz="4" w:space="0" w:color="auto"/>
            </w:tcBorders>
          </w:tcPr>
          <w:p w14:paraId="43E62027" w14:textId="77777777" w:rsidR="00E00B1C" w:rsidRPr="00D55B7D" w:rsidRDefault="00E00B1C" w:rsidP="00973309">
            <w:pPr>
              <w:rPr>
                <w:rFonts w:ascii="Times New Roman" w:hAnsi="Times New Roman" w:cs="Times New Roman"/>
                <w:i/>
                <w:sz w:val="20"/>
                <w:szCs w:val="20"/>
              </w:rPr>
            </w:pPr>
            <w:r w:rsidRPr="007D424D">
              <w:rPr>
                <w:noProof/>
              </w:rPr>
              <w:drawing>
                <wp:inline distT="0" distB="0" distL="0" distR="0" wp14:anchorId="12E0FF0F" wp14:editId="5CA5A642">
                  <wp:extent cx="4871804" cy="2140585"/>
                  <wp:effectExtent l="0" t="0" r="508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33940" b="32861"/>
                          <a:stretch/>
                        </pic:blipFill>
                        <pic:spPr bwMode="auto">
                          <a:xfrm>
                            <a:off x="0" y="0"/>
                            <a:ext cx="4924740" cy="2163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0B1C" w:rsidRPr="00C91EA2" w14:paraId="2A8663FB" w14:textId="77777777" w:rsidTr="00973309">
        <w:tc>
          <w:tcPr>
            <w:tcW w:w="8630" w:type="dxa"/>
            <w:tcBorders>
              <w:top w:val="single" w:sz="4" w:space="0" w:color="auto"/>
              <w:left w:val="single" w:sz="4" w:space="0" w:color="auto"/>
              <w:bottom w:val="single" w:sz="4" w:space="0" w:color="auto"/>
              <w:right w:val="single" w:sz="4" w:space="0" w:color="auto"/>
            </w:tcBorders>
          </w:tcPr>
          <w:p w14:paraId="4AB5BDDE" w14:textId="77777777" w:rsidR="00E00B1C" w:rsidRDefault="00E00B1C" w:rsidP="00973309">
            <w:pPr>
              <w:rPr>
                <w:rFonts w:ascii="Times New Roman" w:hAnsi="Times New Roman" w:cs="Times New Roman"/>
                <w:i/>
                <w:sz w:val="20"/>
                <w:szCs w:val="20"/>
              </w:rPr>
            </w:pPr>
            <w:r w:rsidRPr="00D55B7D">
              <w:rPr>
                <w:rFonts w:ascii="Times New Roman" w:hAnsi="Times New Roman" w:cs="Times New Roman"/>
                <w:i/>
                <w:sz w:val="20"/>
                <w:szCs w:val="20"/>
              </w:rPr>
              <w:t xml:space="preserve">Source: </w:t>
            </w:r>
            <w:r w:rsidRPr="00CC1BAF">
              <w:rPr>
                <w:rFonts w:ascii="Times New Roman" w:hAnsi="Times New Roman" w:cs="Times New Roman"/>
                <w:i/>
                <w:sz w:val="20"/>
                <w:szCs w:val="20"/>
              </w:rPr>
              <w:t xml:space="preserve">Broadband Pricing League, </w:t>
            </w:r>
            <w:proofErr w:type="spellStart"/>
            <w:r w:rsidRPr="00CC1BAF">
              <w:rPr>
                <w:rFonts w:ascii="Times New Roman" w:hAnsi="Times New Roman" w:cs="Times New Roman"/>
                <w:i/>
                <w:sz w:val="20"/>
                <w:szCs w:val="20"/>
              </w:rPr>
              <w:t>Sonatel</w:t>
            </w:r>
            <w:proofErr w:type="spellEnd"/>
          </w:p>
          <w:p w14:paraId="3941C098" w14:textId="77777777" w:rsidR="00E00B1C" w:rsidRPr="00D55B7D" w:rsidRDefault="00E00B1C" w:rsidP="00973309">
            <w:pPr>
              <w:rPr>
                <w:rFonts w:ascii="Times New Roman" w:hAnsi="Times New Roman" w:cs="Times New Roman"/>
                <w:i/>
                <w:sz w:val="20"/>
                <w:szCs w:val="20"/>
              </w:rPr>
            </w:pPr>
            <w:r w:rsidRPr="00CC1BAF">
              <w:rPr>
                <w:rFonts w:ascii="Times New Roman" w:hAnsi="Times New Roman" w:cs="Times New Roman"/>
                <w:i/>
                <w:sz w:val="20"/>
                <w:szCs w:val="20"/>
              </w:rPr>
              <w:t>Note: Figures as of Sep/Oct 2017; May 2018 for Senegal</w:t>
            </w:r>
          </w:p>
        </w:tc>
      </w:tr>
      <w:tr w:rsidR="00E00B1C" w:rsidRPr="00C91EA2" w14:paraId="70E9F662" w14:textId="77777777" w:rsidTr="00973309">
        <w:tc>
          <w:tcPr>
            <w:tcW w:w="8630" w:type="dxa"/>
            <w:tcBorders>
              <w:top w:val="single" w:sz="4" w:space="0" w:color="auto"/>
              <w:left w:val="single" w:sz="4" w:space="0" w:color="auto"/>
              <w:bottom w:val="single" w:sz="4" w:space="0" w:color="auto"/>
              <w:right w:val="single" w:sz="4" w:space="0" w:color="auto"/>
            </w:tcBorders>
          </w:tcPr>
          <w:p w14:paraId="09D77A3D" w14:textId="3E2706A1" w:rsidR="00AB7E51" w:rsidRDefault="00AB7E51" w:rsidP="00973309">
            <w:pPr>
              <w:rPr>
                <w:rFonts w:ascii="Times New Roman" w:hAnsi="Times New Roman"/>
                <w:b/>
                <w:sz w:val="20"/>
                <w:szCs w:val="20"/>
              </w:rPr>
            </w:pPr>
          </w:p>
          <w:p w14:paraId="7A362C85" w14:textId="375DFB75" w:rsidR="004960A5" w:rsidRDefault="004960A5" w:rsidP="00973309">
            <w:pPr>
              <w:rPr>
                <w:rFonts w:ascii="Times New Roman" w:hAnsi="Times New Roman"/>
                <w:b/>
                <w:sz w:val="20"/>
                <w:szCs w:val="20"/>
              </w:rPr>
            </w:pPr>
            <w:bookmarkStart w:id="266" w:name="_Ref520474919"/>
            <w:bookmarkStart w:id="267" w:name="_Toc520725615"/>
            <w:r w:rsidRPr="007D0ECF">
              <w:rPr>
                <w:rFonts w:ascii="Times New Roman" w:hAnsi="Times New Roman"/>
                <w:b/>
                <w:sz w:val="20"/>
                <w:szCs w:val="20"/>
              </w:rPr>
              <w:t xml:space="preserve">Figure </w:t>
            </w:r>
            <w:r w:rsidRPr="007D0ECF">
              <w:rPr>
                <w:rFonts w:ascii="Times New Roman" w:hAnsi="Times New Roman"/>
                <w:b/>
                <w:sz w:val="20"/>
                <w:szCs w:val="20"/>
              </w:rPr>
              <w:fldChar w:fldCharType="begin"/>
            </w:r>
            <w:r w:rsidRPr="007D0ECF">
              <w:rPr>
                <w:rFonts w:ascii="Times New Roman" w:hAnsi="Times New Roman"/>
                <w:b/>
                <w:sz w:val="20"/>
                <w:szCs w:val="20"/>
              </w:rPr>
              <w:instrText xml:space="preserve"> SEQ Figure \* ARABIC </w:instrText>
            </w:r>
            <w:r w:rsidRPr="007D0ECF">
              <w:rPr>
                <w:rFonts w:ascii="Times New Roman" w:hAnsi="Times New Roman"/>
                <w:b/>
                <w:sz w:val="20"/>
                <w:szCs w:val="20"/>
              </w:rPr>
              <w:fldChar w:fldCharType="separate"/>
            </w:r>
            <w:r w:rsidR="008261B2">
              <w:rPr>
                <w:rFonts w:ascii="Times New Roman" w:hAnsi="Times New Roman"/>
                <w:b/>
                <w:noProof/>
                <w:sz w:val="20"/>
                <w:szCs w:val="20"/>
              </w:rPr>
              <w:t>59</w:t>
            </w:r>
            <w:r w:rsidRPr="007D0ECF">
              <w:rPr>
                <w:rFonts w:ascii="Times New Roman" w:hAnsi="Times New Roman"/>
                <w:b/>
                <w:sz w:val="20"/>
                <w:szCs w:val="20"/>
              </w:rPr>
              <w:fldChar w:fldCharType="end"/>
            </w:r>
            <w:bookmarkEnd w:id="266"/>
            <w:r w:rsidRPr="007D0ECF">
              <w:rPr>
                <w:rFonts w:ascii="Times New Roman" w:hAnsi="Times New Roman"/>
                <w:b/>
                <w:sz w:val="20"/>
                <w:szCs w:val="20"/>
              </w:rPr>
              <w:t xml:space="preserve">: </w:t>
            </w:r>
            <w:r w:rsidRPr="004960A5">
              <w:rPr>
                <w:rFonts w:ascii="Times New Roman" w:hAnsi="Times New Roman"/>
                <w:b/>
                <w:sz w:val="20"/>
                <w:szCs w:val="20"/>
              </w:rPr>
              <w:t>Fixed broadband download speed (</w:t>
            </w:r>
            <w:proofErr w:type="spellStart"/>
            <w:r w:rsidRPr="004960A5">
              <w:rPr>
                <w:rFonts w:ascii="Times New Roman" w:hAnsi="Times New Roman"/>
                <w:b/>
                <w:sz w:val="20"/>
                <w:szCs w:val="20"/>
              </w:rPr>
              <w:t>Mbps</w:t>
            </w:r>
            <w:proofErr w:type="spellEnd"/>
            <w:r w:rsidRPr="004960A5">
              <w:rPr>
                <w:rFonts w:ascii="Times New Roman" w:hAnsi="Times New Roman"/>
                <w:b/>
                <w:sz w:val="20"/>
                <w:szCs w:val="20"/>
              </w:rPr>
              <w:t>)</w:t>
            </w:r>
            <w:bookmarkEnd w:id="267"/>
          </w:p>
          <w:p w14:paraId="00B66915" w14:textId="414696DA" w:rsidR="00E00B1C" w:rsidRPr="00D55B7D" w:rsidRDefault="00E00B1C" w:rsidP="00973309">
            <w:pPr>
              <w:rPr>
                <w:rFonts w:ascii="Times New Roman" w:hAnsi="Times New Roman" w:cs="Times New Roman"/>
                <w:i/>
                <w:sz w:val="20"/>
                <w:szCs w:val="20"/>
              </w:rPr>
            </w:pPr>
          </w:p>
        </w:tc>
      </w:tr>
      <w:tr w:rsidR="00E00B1C" w:rsidRPr="00C91EA2" w14:paraId="7CF76FF2" w14:textId="77777777" w:rsidTr="00973309">
        <w:trPr>
          <w:trHeight w:val="2478"/>
        </w:trPr>
        <w:tc>
          <w:tcPr>
            <w:tcW w:w="8630" w:type="dxa"/>
            <w:tcBorders>
              <w:top w:val="single" w:sz="4" w:space="0" w:color="auto"/>
              <w:left w:val="single" w:sz="4" w:space="0" w:color="auto"/>
              <w:bottom w:val="single" w:sz="4" w:space="0" w:color="auto"/>
              <w:right w:val="single" w:sz="4" w:space="0" w:color="auto"/>
            </w:tcBorders>
          </w:tcPr>
          <w:p w14:paraId="5A9E10CD" w14:textId="77777777" w:rsidR="00E00B1C" w:rsidRPr="00D55B7D" w:rsidRDefault="00E00B1C" w:rsidP="00973309">
            <w:pPr>
              <w:rPr>
                <w:rFonts w:ascii="Times New Roman" w:hAnsi="Times New Roman" w:cs="Times New Roman"/>
                <w:i/>
                <w:sz w:val="20"/>
                <w:szCs w:val="20"/>
              </w:rPr>
            </w:pPr>
            <w:r w:rsidRPr="007D424D">
              <w:rPr>
                <w:noProof/>
              </w:rPr>
              <w:drawing>
                <wp:inline distT="0" distB="0" distL="0" distR="0" wp14:anchorId="59E81A93" wp14:editId="3850691F">
                  <wp:extent cx="3762531" cy="218226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34189" b="31852"/>
                          <a:stretch/>
                        </pic:blipFill>
                        <pic:spPr bwMode="auto">
                          <a:xfrm>
                            <a:off x="0" y="0"/>
                            <a:ext cx="3803580" cy="2206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0B1C" w:rsidRPr="00C91EA2" w14:paraId="2C01AC11" w14:textId="77777777" w:rsidTr="00973309">
        <w:tc>
          <w:tcPr>
            <w:tcW w:w="8630" w:type="dxa"/>
            <w:tcBorders>
              <w:top w:val="single" w:sz="4" w:space="0" w:color="auto"/>
              <w:left w:val="single" w:sz="4" w:space="0" w:color="auto"/>
              <w:bottom w:val="single" w:sz="4" w:space="0" w:color="auto"/>
              <w:right w:val="single" w:sz="4" w:space="0" w:color="auto"/>
            </w:tcBorders>
          </w:tcPr>
          <w:p w14:paraId="3B8E9133" w14:textId="77777777" w:rsidR="00E00B1C" w:rsidRDefault="00E00B1C" w:rsidP="00973309">
            <w:pPr>
              <w:rPr>
                <w:rFonts w:ascii="Times New Roman" w:hAnsi="Times New Roman" w:cs="Times New Roman"/>
                <w:i/>
                <w:sz w:val="20"/>
              </w:rPr>
            </w:pPr>
            <w:r>
              <w:rPr>
                <w:rFonts w:ascii="Times New Roman" w:hAnsi="Times New Roman" w:cs="Times New Roman"/>
                <w:i/>
                <w:sz w:val="20"/>
              </w:rPr>
              <w:t xml:space="preserve">Source: </w:t>
            </w:r>
            <w:proofErr w:type="spellStart"/>
            <w:r>
              <w:rPr>
                <w:rFonts w:ascii="Times New Roman" w:hAnsi="Times New Roman" w:cs="Times New Roman"/>
                <w:i/>
                <w:sz w:val="20"/>
              </w:rPr>
              <w:t>Speedtest</w:t>
            </w:r>
            <w:proofErr w:type="spellEnd"/>
            <w:r>
              <w:rPr>
                <w:rFonts w:ascii="Times New Roman" w:hAnsi="Times New Roman" w:cs="Times New Roman"/>
                <w:i/>
                <w:sz w:val="20"/>
              </w:rPr>
              <w:t xml:space="preserve"> Global Index</w:t>
            </w:r>
          </w:p>
          <w:p w14:paraId="676515C9" w14:textId="77777777" w:rsidR="00E00B1C" w:rsidRPr="00D55B7D" w:rsidRDefault="00E00B1C" w:rsidP="00973309">
            <w:pPr>
              <w:rPr>
                <w:rFonts w:ascii="Times New Roman" w:hAnsi="Times New Roman" w:cs="Times New Roman"/>
                <w:i/>
                <w:sz w:val="20"/>
                <w:szCs w:val="20"/>
              </w:rPr>
            </w:pPr>
            <w:r>
              <w:rPr>
                <w:rFonts w:ascii="Times New Roman" w:hAnsi="Times New Roman" w:cs="Times New Roman"/>
                <w:i/>
                <w:sz w:val="20"/>
              </w:rPr>
              <w:t>Note: As of June 6, 2018</w:t>
            </w:r>
          </w:p>
        </w:tc>
      </w:tr>
    </w:tbl>
    <w:p w14:paraId="5732DF2B" w14:textId="77777777" w:rsidR="00711D1F" w:rsidRPr="00C91EA2" w:rsidRDefault="00711D1F" w:rsidP="006018AA">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6018AA" w:rsidRPr="00C91EA2" w14:paraId="706E77F0" w14:textId="77777777" w:rsidTr="00FA09FE">
        <w:tc>
          <w:tcPr>
            <w:tcW w:w="8630" w:type="dxa"/>
            <w:tcBorders>
              <w:top w:val="single" w:sz="4" w:space="0" w:color="auto"/>
              <w:left w:val="single" w:sz="4" w:space="0" w:color="auto"/>
              <w:bottom w:val="single" w:sz="4" w:space="0" w:color="auto"/>
              <w:right w:val="single" w:sz="4" w:space="0" w:color="auto"/>
            </w:tcBorders>
            <w:hideMark/>
          </w:tcPr>
          <w:p w14:paraId="46B6DDF9" w14:textId="29E87391" w:rsidR="006018AA" w:rsidRPr="00C91EA2" w:rsidRDefault="00674D59" w:rsidP="00FA09FE">
            <w:pPr>
              <w:pStyle w:val="Caption"/>
              <w:keepNext/>
              <w:jc w:val="both"/>
              <w:rPr>
                <w:rFonts w:ascii="Times New Roman" w:hAnsi="Times New Roman"/>
              </w:rPr>
            </w:pPr>
            <w:bookmarkStart w:id="268" w:name="_Ref497301338"/>
            <w:bookmarkStart w:id="269" w:name="_Ref520474635"/>
            <w:bookmarkStart w:id="270" w:name="_Toc520725616"/>
            <w:r w:rsidRPr="00B57E98">
              <w:rPr>
                <w:rFonts w:ascii="Times New Roman" w:hAnsi="Times New Roman"/>
              </w:rPr>
              <w:t xml:space="preserve">Figure </w:t>
            </w:r>
            <w:r w:rsidRPr="00B57E98">
              <w:rPr>
                <w:rFonts w:ascii="Times New Roman" w:hAnsi="Times New Roman"/>
              </w:rPr>
              <w:fldChar w:fldCharType="begin"/>
            </w:r>
            <w:r w:rsidRPr="00B57E98">
              <w:rPr>
                <w:rFonts w:ascii="Times New Roman" w:hAnsi="Times New Roman"/>
              </w:rPr>
              <w:instrText xml:space="preserve"> SEQ Figure \* ARABIC </w:instrText>
            </w:r>
            <w:r w:rsidRPr="00B57E98">
              <w:rPr>
                <w:rFonts w:ascii="Times New Roman" w:hAnsi="Times New Roman"/>
              </w:rPr>
              <w:fldChar w:fldCharType="separate"/>
            </w:r>
            <w:r w:rsidR="008261B2">
              <w:rPr>
                <w:rFonts w:ascii="Times New Roman" w:hAnsi="Times New Roman"/>
                <w:noProof/>
              </w:rPr>
              <w:t>60</w:t>
            </w:r>
            <w:r w:rsidRPr="00B57E98">
              <w:rPr>
                <w:rFonts w:ascii="Times New Roman" w:hAnsi="Times New Roman"/>
              </w:rPr>
              <w:fldChar w:fldCharType="end"/>
            </w:r>
            <w:bookmarkEnd w:id="268"/>
            <w:bookmarkEnd w:id="269"/>
            <w:r w:rsidR="006018AA" w:rsidRPr="00C91EA2">
              <w:rPr>
                <w:rFonts w:ascii="Times New Roman" w:hAnsi="Times New Roman"/>
              </w:rPr>
              <w:t>: ICT Development Index 201</w:t>
            </w:r>
            <w:r w:rsidR="003717F2">
              <w:rPr>
                <w:rFonts w:ascii="Times New Roman" w:hAnsi="Times New Roman"/>
              </w:rPr>
              <w:t>7</w:t>
            </w:r>
            <w:r w:rsidR="006018AA" w:rsidRPr="00C91EA2">
              <w:rPr>
                <w:rFonts w:ascii="Times New Roman" w:hAnsi="Times New Roman"/>
              </w:rPr>
              <w:t xml:space="preserve"> Scores for Selected Countries</w:t>
            </w:r>
            <w:bookmarkEnd w:id="270"/>
          </w:p>
        </w:tc>
      </w:tr>
      <w:tr w:rsidR="00EA6CDD" w:rsidRPr="00C91EA2" w14:paraId="285FF7E0" w14:textId="77777777" w:rsidTr="00FA09FE">
        <w:tc>
          <w:tcPr>
            <w:tcW w:w="8630" w:type="dxa"/>
            <w:tcBorders>
              <w:top w:val="single" w:sz="4" w:space="0" w:color="auto"/>
              <w:left w:val="single" w:sz="4" w:space="0" w:color="auto"/>
              <w:bottom w:val="single" w:sz="4" w:space="0" w:color="auto"/>
              <w:right w:val="single" w:sz="4" w:space="0" w:color="auto"/>
            </w:tcBorders>
          </w:tcPr>
          <w:p w14:paraId="29CC943F" w14:textId="404DD146" w:rsidR="00EA6CDD" w:rsidRPr="00C91EA2" w:rsidRDefault="00EA6CDD" w:rsidP="00FA09FE">
            <w:pPr>
              <w:jc w:val="both"/>
              <w:rPr>
                <w:rFonts w:ascii="Times New Roman" w:hAnsi="Times New Roman" w:cs="Times New Roman"/>
              </w:rPr>
            </w:pPr>
            <w:r>
              <w:rPr>
                <w:noProof/>
              </w:rPr>
              <w:drawing>
                <wp:inline distT="0" distB="0" distL="0" distR="0" wp14:anchorId="77ECC717" wp14:editId="519EBE02">
                  <wp:extent cx="5372100" cy="1733550"/>
                  <wp:effectExtent l="0" t="0" r="0" b="0"/>
                  <wp:docPr id="33" name="Chart 33">
                    <a:extLst xmlns:a="http://schemas.openxmlformats.org/drawingml/2006/main">
                      <a:ext uri="{FF2B5EF4-FFF2-40B4-BE49-F238E27FC236}">
                        <a16:creationId xmlns:a16="http://schemas.microsoft.com/office/drawing/2014/main" id="{32B92FF7-D1FC-4B00-A57D-E3F55F749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EA6CDD" w:rsidRPr="00C91EA2" w14:paraId="18F14764" w14:textId="77777777" w:rsidTr="00FA09FE">
        <w:tc>
          <w:tcPr>
            <w:tcW w:w="8630" w:type="dxa"/>
            <w:tcBorders>
              <w:top w:val="single" w:sz="4" w:space="0" w:color="auto"/>
              <w:left w:val="single" w:sz="4" w:space="0" w:color="auto"/>
              <w:bottom w:val="single" w:sz="4" w:space="0" w:color="auto"/>
              <w:right w:val="single" w:sz="4" w:space="0" w:color="auto"/>
            </w:tcBorders>
          </w:tcPr>
          <w:p w14:paraId="04B50EB1" w14:textId="707B5D33" w:rsidR="00EA6CDD" w:rsidRPr="007575D7" w:rsidRDefault="00EA6CDD" w:rsidP="00EA6CDD">
            <w:pPr>
              <w:jc w:val="both"/>
              <w:rPr>
                <w:rFonts w:ascii="Times New Roman" w:hAnsi="Times New Roman" w:cs="Times New Roman"/>
                <w:sz w:val="20"/>
                <w:szCs w:val="20"/>
              </w:rPr>
            </w:pPr>
            <w:r w:rsidRPr="007575D7">
              <w:rPr>
                <w:rFonts w:ascii="Times New Roman" w:hAnsi="Times New Roman" w:cs="Times New Roman"/>
                <w:sz w:val="20"/>
                <w:szCs w:val="20"/>
              </w:rPr>
              <w:t>Source: Internatio</w:t>
            </w:r>
            <w:r w:rsidR="003717F2" w:rsidRPr="007575D7">
              <w:rPr>
                <w:rFonts w:ascii="Times New Roman" w:hAnsi="Times New Roman" w:cs="Times New Roman"/>
                <w:sz w:val="20"/>
                <w:szCs w:val="20"/>
              </w:rPr>
              <w:t>nal Telecommunication Union 201</w:t>
            </w:r>
            <w:r w:rsidR="001A28FC" w:rsidRPr="007575D7">
              <w:rPr>
                <w:rFonts w:ascii="Times New Roman" w:hAnsi="Times New Roman" w:cs="Times New Roman"/>
                <w:sz w:val="20"/>
                <w:szCs w:val="20"/>
              </w:rPr>
              <w:t>7</w:t>
            </w:r>
          </w:p>
          <w:p w14:paraId="31014643" w14:textId="77777777" w:rsidR="00EA6CDD" w:rsidRPr="00C91EA2" w:rsidRDefault="00EA6CDD" w:rsidP="00EA6CDD">
            <w:pPr>
              <w:jc w:val="both"/>
              <w:rPr>
                <w:rFonts w:ascii="Times New Roman" w:hAnsi="Times New Roman" w:cs="Times New Roman"/>
              </w:rPr>
            </w:pPr>
            <w:r w:rsidRPr="00C91EA2">
              <w:rPr>
                <w:rFonts w:ascii="Times New Roman" w:hAnsi="Times New Roman" w:cs="Times New Roman"/>
              </w:rPr>
              <w:t>Note: 0=worst, 10=best</w:t>
            </w:r>
          </w:p>
        </w:tc>
      </w:tr>
    </w:tbl>
    <w:p w14:paraId="6414A960" w14:textId="3264DFA7" w:rsidR="006018AA" w:rsidRPr="00DD70D7" w:rsidRDefault="006018AA" w:rsidP="006018AA">
      <w:pPr>
        <w:pStyle w:val="Caption"/>
        <w:keepNext/>
        <w:rPr>
          <w:rFonts w:ascii="Times New Roman" w:hAnsi="Times New Roman"/>
          <w:color w:val="000000"/>
        </w:rPr>
      </w:pPr>
    </w:p>
    <w:p w14:paraId="35725AD4" w14:textId="616BED82" w:rsidR="005538DD" w:rsidRPr="007575D7" w:rsidRDefault="005538DD" w:rsidP="007575D7">
      <w:pPr>
        <w:pStyle w:val="Caption"/>
        <w:keepNext/>
        <w:rPr>
          <w:lang w:val="fr-FR"/>
        </w:rPr>
      </w:pPr>
      <w:bookmarkStart w:id="271" w:name="_Toc520725804"/>
      <w:r w:rsidRPr="007575D7">
        <w:rPr>
          <w:rFonts w:ascii="Times New Roman" w:hAnsi="Times New Roman"/>
          <w:color w:val="000000"/>
          <w:lang w:val="fr-FR"/>
        </w:rPr>
        <w:t xml:space="preserve">Box </w:t>
      </w:r>
      <w:r w:rsidRPr="007575D7">
        <w:rPr>
          <w:rFonts w:ascii="Times New Roman" w:hAnsi="Times New Roman"/>
          <w:color w:val="000000"/>
          <w:lang w:val="fr-FR"/>
        </w:rPr>
        <w:fldChar w:fldCharType="begin"/>
      </w:r>
      <w:r w:rsidRPr="007575D7">
        <w:rPr>
          <w:rFonts w:ascii="Times New Roman" w:hAnsi="Times New Roman"/>
          <w:color w:val="000000"/>
          <w:lang w:val="fr-FR"/>
        </w:rPr>
        <w:instrText xml:space="preserve"> SEQ Box \* ARABIC </w:instrText>
      </w:r>
      <w:r w:rsidRPr="007575D7">
        <w:rPr>
          <w:rFonts w:ascii="Times New Roman" w:hAnsi="Times New Roman"/>
          <w:color w:val="000000"/>
          <w:lang w:val="fr-FR"/>
        </w:rPr>
        <w:fldChar w:fldCharType="separate"/>
      </w:r>
      <w:r w:rsidR="008261B2">
        <w:rPr>
          <w:rFonts w:ascii="Times New Roman" w:hAnsi="Times New Roman"/>
          <w:noProof/>
          <w:color w:val="000000"/>
          <w:lang w:val="fr-FR"/>
        </w:rPr>
        <w:t>16</w:t>
      </w:r>
      <w:r w:rsidRPr="007575D7">
        <w:rPr>
          <w:rFonts w:ascii="Times New Roman" w:hAnsi="Times New Roman"/>
          <w:color w:val="000000"/>
          <w:lang w:val="fr-FR"/>
        </w:rPr>
        <w:fldChar w:fldCharType="end"/>
      </w:r>
      <w:r w:rsidRPr="007575D7">
        <w:rPr>
          <w:rFonts w:ascii="Times New Roman" w:hAnsi="Times New Roman"/>
          <w:color w:val="000000"/>
          <w:lang w:val="fr-FR"/>
        </w:rPr>
        <w:t>:</w:t>
      </w:r>
      <w:r w:rsidRPr="007575D7">
        <w:rPr>
          <w:lang w:val="fr-FR"/>
        </w:rPr>
        <w:t xml:space="preserve"> </w:t>
      </w:r>
      <w:r w:rsidRPr="007575D7">
        <w:rPr>
          <w:rFonts w:ascii="Times New Roman" w:hAnsi="Times New Roman"/>
          <w:lang w:val="fr-FR"/>
        </w:rPr>
        <w:t xml:space="preserve">Stratégie </w:t>
      </w:r>
      <w:r w:rsidRPr="007575D7">
        <w:rPr>
          <w:rFonts w:ascii="Times New Roman" w:hAnsi="Times New Roman"/>
          <w:color w:val="000000"/>
          <w:lang w:val="fr-FR"/>
        </w:rPr>
        <w:t>Sénégal Numérique 2025</w:t>
      </w:r>
      <w:bookmarkEnd w:id="271"/>
    </w:p>
    <w:tbl>
      <w:tblPr>
        <w:tblStyle w:val="TableGrid"/>
        <w:tblW w:w="0" w:type="auto"/>
        <w:shd w:val="clear" w:color="auto" w:fill="F2F2F2" w:themeFill="background1" w:themeFillShade="F2"/>
        <w:tblLook w:val="04A0" w:firstRow="1" w:lastRow="0" w:firstColumn="1" w:lastColumn="0" w:noHBand="0" w:noVBand="1"/>
      </w:tblPr>
      <w:tblGrid>
        <w:gridCol w:w="8630"/>
      </w:tblGrid>
      <w:tr w:rsidR="006018AA" w:rsidRPr="001164DA" w14:paraId="334BCC70" w14:textId="77777777" w:rsidTr="007575D7">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B2A2FE" w14:textId="4DF896BE" w:rsidR="006018AA" w:rsidRPr="008C54F2" w:rsidRDefault="006018AA" w:rsidP="00FA09FE">
            <w:pPr>
              <w:jc w:val="both"/>
              <w:rPr>
                <w:rFonts w:ascii="Times New Roman" w:hAnsi="Times New Roman" w:cs="Times New Roman"/>
                <w:sz w:val="20"/>
                <w:szCs w:val="20"/>
              </w:rPr>
            </w:pPr>
            <w:r>
              <w:rPr>
                <w:rFonts w:ascii="Times New Roman" w:hAnsi="Times New Roman" w:cs="Times New Roman"/>
                <w:sz w:val="20"/>
                <w:szCs w:val="20"/>
              </w:rPr>
              <w:t xml:space="preserve">The </w:t>
            </w:r>
            <w:proofErr w:type="spellStart"/>
            <w:r w:rsidRPr="008B5EA1">
              <w:rPr>
                <w:rFonts w:ascii="Times New Roman" w:hAnsi="Times New Roman" w:cs="Times New Roman"/>
                <w:i/>
                <w:sz w:val="20"/>
                <w:szCs w:val="20"/>
              </w:rPr>
              <w:t>Stratégie</w:t>
            </w:r>
            <w:proofErr w:type="spellEnd"/>
            <w:r w:rsidRPr="008B5EA1">
              <w:rPr>
                <w:rFonts w:ascii="Times New Roman" w:hAnsi="Times New Roman" w:cs="Times New Roman"/>
                <w:i/>
                <w:sz w:val="20"/>
                <w:szCs w:val="20"/>
              </w:rPr>
              <w:t xml:space="preserve"> </w:t>
            </w:r>
            <w:proofErr w:type="spellStart"/>
            <w:r w:rsidRPr="008B5EA1">
              <w:rPr>
                <w:rFonts w:ascii="Times New Roman" w:hAnsi="Times New Roman" w:cs="Times New Roman"/>
                <w:i/>
                <w:sz w:val="20"/>
                <w:szCs w:val="20"/>
              </w:rPr>
              <w:t>Sénégal</w:t>
            </w:r>
            <w:proofErr w:type="spellEnd"/>
            <w:r w:rsidRPr="008B5EA1">
              <w:rPr>
                <w:rFonts w:ascii="Times New Roman" w:hAnsi="Times New Roman" w:cs="Times New Roman"/>
                <w:i/>
                <w:sz w:val="20"/>
                <w:szCs w:val="20"/>
              </w:rPr>
              <w:t xml:space="preserve"> </w:t>
            </w:r>
            <w:proofErr w:type="spellStart"/>
            <w:r w:rsidRPr="008B5EA1">
              <w:rPr>
                <w:rFonts w:ascii="Times New Roman" w:hAnsi="Times New Roman" w:cs="Times New Roman"/>
                <w:i/>
                <w:sz w:val="20"/>
                <w:szCs w:val="20"/>
              </w:rPr>
              <w:t>Numérique</w:t>
            </w:r>
            <w:proofErr w:type="spellEnd"/>
            <w:r>
              <w:rPr>
                <w:rFonts w:ascii="Times New Roman" w:hAnsi="Times New Roman" w:cs="Times New Roman"/>
                <w:i/>
                <w:sz w:val="20"/>
                <w:szCs w:val="20"/>
              </w:rPr>
              <w:t xml:space="preserve"> </w:t>
            </w:r>
            <w:r>
              <w:rPr>
                <w:rFonts w:ascii="Times New Roman" w:hAnsi="Times New Roman" w:cs="Times New Roman"/>
                <w:sz w:val="20"/>
                <w:szCs w:val="20"/>
              </w:rPr>
              <w:t>establishes the goal of launching 4G Services and making</w:t>
            </w:r>
            <w:r w:rsidR="001E7B59">
              <w:rPr>
                <w:rFonts w:ascii="Times New Roman" w:hAnsi="Times New Roman" w:cs="Times New Roman"/>
                <w:sz w:val="20"/>
                <w:szCs w:val="20"/>
              </w:rPr>
              <w:t xml:space="preserve"> sure that 70</w:t>
            </w:r>
            <w:r w:rsidR="001703DF">
              <w:rPr>
                <w:rFonts w:ascii="Times New Roman" w:hAnsi="Times New Roman" w:cs="Times New Roman"/>
                <w:sz w:val="20"/>
                <w:szCs w:val="20"/>
              </w:rPr>
              <w:t>%</w:t>
            </w:r>
            <w:r w:rsidRPr="008C54F2">
              <w:rPr>
                <w:rFonts w:ascii="Times New Roman" w:hAnsi="Times New Roman" w:cs="Times New Roman"/>
                <w:sz w:val="20"/>
                <w:szCs w:val="20"/>
              </w:rPr>
              <w:t xml:space="preserve"> of the population will be covered within the next 5 years and 90% by 2025.</w:t>
            </w:r>
          </w:p>
          <w:p w14:paraId="6B2398F4" w14:textId="77777777" w:rsidR="006018AA" w:rsidRDefault="006018AA" w:rsidP="00FA09FE">
            <w:pPr>
              <w:jc w:val="both"/>
              <w:rPr>
                <w:rFonts w:ascii="Times New Roman" w:hAnsi="Times New Roman" w:cs="Times New Roman"/>
                <w:sz w:val="20"/>
                <w:szCs w:val="20"/>
              </w:rPr>
            </w:pPr>
          </w:p>
          <w:p w14:paraId="4FAFA8B3" w14:textId="445F7EEC" w:rsidR="006018AA" w:rsidRPr="008B5EA1" w:rsidRDefault="006018AA" w:rsidP="00FA09FE">
            <w:pPr>
              <w:jc w:val="both"/>
              <w:rPr>
                <w:rFonts w:ascii="Times New Roman" w:hAnsi="Times New Roman" w:cs="Times New Roman"/>
                <w:sz w:val="20"/>
                <w:szCs w:val="20"/>
              </w:rPr>
            </w:pPr>
            <w:r w:rsidRPr="008B5EA1">
              <w:rPr>
                <w:rFonts w:ascii="Times New Roman" w:hAnsi="Times New Roman" w:cs="Times New Roman"/>
                <w:sz w:val="20"/>
                <w:szCs w:val="20"/>
              </w:rPr>
              <w:t>Private telecommunications operators are expected to play a key role in the develop</w:t>
            </w:r>
            <w:r w:rsidR="001703DF">
              <w:rPr>
                <w:rFonts w:ascii="Times New Roman" w:hAnsi="Times New Roman" w:cs="Times New Roman"/>
                <w:sz w:val="20"/>
                <w:szCs w:val="20"/>
              </w:rPr>
              <w:t>ment</w:t>
            </w:r>
            <w:r w:rsidRPr="008B5EA1">
              <w:rPr>
                <w:rFonts w:ascii="Times New Roman" w:hAnsi="Times New Roman" w:cs="Times New Roman"/>
                <w:sz w:val="20"/>
                <w:szCs w:val="20"/>
              </w:rPr>
              <w:t xml:space="preserve"> of much needed infrastructure, key to bridge Senegal’s accessibility gap. According to the </w:t>
            </w:r>
            <w:proofErr w:type="spellStart"/>
            <w:r w:rsidRPr="008B5EA1">
              <w:rPr>
                <w:rFonts w:ascii="Times New Roman" w:hAnsi="Times New Roman" w:cs="Times New Roman"/>
                <w:i/>
                <w:sz w:val="20"/>
                <w:szCs w:val="20"/>
              </w:rPr>
              <w:t>Stratégie</w:t>
            </w:r>
            <w:proofErr w:type="spellEnd"/>
            <w:r w:rsidRPr="008B5EA1">
              <w:rPr>
                <w:rFonts w:ascii="Times New Roman" w:hAnsi="Times New Roman" w:cs="Times New Roman"/>
                <w:i/>
                <w:sz w:val="20"/>
                <w:szCs w:val="20"/>
              </w:rPr>
              <w:t xml:space="preserve"> </w:t>
            </w:r>
            <w:proofErr w:type="spellStart"/>
            <w:r w:rsidRPr="008B5EA1">
              <w:rPr>
                <w:rFonts w:ascii="Times New Roman" w:hAnsi="Times New Roman" w:cs="Times New Roman"/>
                <w:i/>
                <w:sz w:val="20"/>
                <w:szCs w:val="20"/>
              </w:rPr>
              <w:t>Sénégal</w:t>
            </w:r>
            <w:proofErr w:type="spellEnd"/>
            <w:r w:rsidRPr="008B5EA1">
              <w:rPr>
                <w:rFonts w:ascii="Times New Roman" w:hAnsi="Times New Roman" w:cs="Times New Roman"/>
                <w:i/>
                <w:sz w:val="20"/>
                <w:szCs w:val="20"/>
              </w:rPr>
              <w:t xml:space="preserve"> </w:t>
            </w:r>
            <w:proofErr w:type="spellStart"/>
            <w:r w:rsidRPr="008B5EA1">
              <w:rPr>
                <w:rFonts w:ascii="Times New Roman" w:hAnsi="Times New Roman" w:cs="Times New Roman"/>
                <w:i/>
                <w:sz w:val="20"/>
                <w:szCs w:val="20"/>
              </w:rPr>
              <w:t>Numérique</w:t>
            </w:r>
            <w:proofErr w:type="spellEnd"/>
            <w:r w:rsidRPr="008B5EA1">
              <w:rPr>
                <w:rFonts w:ascii="Times New Roman" w:hAnsi="Times New Roman" w:cs="Times New Roman"/>
                <w:i/>
                <w:sz w:val="20"/>
                <w:szCs w:val="20"/>
              </w:rPr>
              <w:t xml:space="preserve"> 2025</w:t>
            </w:r>
            <w:r w:rsidRPr="008B5EA1">
              <w:rPr>
                <w:rFonts w:ascii="Times New Roman" w:hAnsi="Times New Roman" w:cs="Times New Roman"/>
                <w:sz w:val="20"/>
                <w:szCs w:val="20"/>
              </w:rPr>
              <w:t>, private telecommunications operators are expected to contribute over 73 percent of the total financing required over the next eight years. The core of this contribution should consist of investments in deploying 4G networks and telecommunications services.</w:t>
            </w:r>
          </w:p>
          <w:p w14:paraId="20E7AFC6" w14:textId="77777777" w:rsidR="006018AA" w:rsidRPr="008B5EA1" w:rsidRDefault="006018AA" w:rsidP="00FA09FE">
            <w:pPr>
              <w:jc w:val="both"/>
              <w:rPr>
                <w:rFonts w:ascii="Times New Roman" w:hAnsi="Times New Roman" w:cs="Times New Roman"/>
                <w:sz w:val="20"/>
                <w:szCs w:val="20"/>
              </w:rPr>
            </w:pPr>
          </w:p>
          <w:p w14:paraId="734F031D" w14:textId="1E950285" w:rsidR="006018AA" w:rsidRPr="008B5EA1" w:rsidRDefault="006018AA" w:rsidP="00FA09FE">
            <w:pPr>
              <w:jc w:val="both"/>
              <w:rPr>
                <w:rFonts w:ascii="Times New Roman" w:hAnsi="Times New Roman" w:cs="Times New Roman"/>
                <w:sz w:val="20"/>
                <w:szCs w:val="20"/>
              </w:rPr>
            </w:pPr>
            <w:r w:rsidRPr="008B5EA1">
              <w:rPr>
                <w:rFonts w:ascii="Times New Roman" w:hAnsi="Times New Roman" w:cs="Times New Roman"/>
                <w:sz w:val="20"/>
                <w:szCs w:val="20"/>
              </w:rPr>
              <w:t xml:space="preserve">However, infrastructure development is not a sufficient condition to ensure the broadest possible accessibility to ICT services across Senegal’s territory. If retail prices are not competitive, dissemination of ICT services will remain </w:t>
            </w:r>
            <w:r w:rsidR="00174EFB">
              <w:rPr>
                <w:rFonts w:ascii="Times New Roman" w:hAnsi="Times New Roman" w:cs="Times New Roman"/>
                <w:sz w:val="20"/>
                <w:szCs w:val="20"/>
              </w:rPr>
              <w:t>limited</w:t>
            </w:r>
            <w:r w:rsidRPr="008B5EA1">
              <w:rPr>
                <w:rFonts w:ascii="Times New Roman" w:hAnsi="Times New Roman" w:cs="Times New Roman"/>
                <w:sz w:val="20"/>
                <w:szCs w:val="20"/>
              </w:rPr>
              <w:t>. Moreover, if wholesale interconnection between operators are overly costly or insufficient, wide access to ICT services will also be hindered and the digital transition delayed.</w:t>
            </w:r>
          </w:p>
          <w:p w14:paraId="3937549D" w14:textId="77777777" w:rsidR="006018AA" w:rsidRPr="008B5EA1" w:rsidRDefault="006018AA" w:rsidP="00FA09FE">
            <w:pPr>
              <w:jc w:val="both"/>
              <w:rPr>
                <w:rFonts w:ascii="Times New Roman" w:hAnsi="Times New Roman" w:cs="Times New Roman"/>
                <w:sz w:val="20"/>
                <w:szCs w:val="20"/>
              </w:rPr>
            </w:pPr>
          </w:p>
          <w:p w14:paraId="1AB5E63A" w14:textId="55D97913" w:rsidR="006018AA" w:rsidRPr="008B5EA1" w:rsidRDefault="006018AA" w:rsidP="00FA09FE">
            <w:pPr>
              <w:jc w:val="both"/>
              <w:rPr>
                <w:rFonts w:ascii="Times New Roman" w:hAnsi="Times New Roman" w:cs="Times New Roman"/>
                <w:sz w:val="20"/>
                <w:szCs w:val="20"/>
              </w:rPr>
            </w:pPr>
            <w:r w:rsidRPr="008B5EA1">
              <w:rPr>
                <w:rFonts w:ascii="Times New Roman" w:hAnsi="Times New Roman" w:cs="Times New Roman"/>
                <w:sz w:val="20"/>
                <w:szCs w:val="20"/>
              </w:rPr>
              <w:t xml:space="preserve">To transform the country’s digital economy, the </w:t>
            </w:r>
            <w:proofErr w:type="spellStart"/>
            <w:r w:rsidRPr="008B5EA1">
              <w:rPr>
                <w:rFonts w:ascii="Times New Roman" w:hAnsi="Times New Roman" w:cs="Times New Roman"/>
                <w:i/>
                <w:sz w:val="20"/>
                <w:szCs w:val="20"/>
              </w:rPr>
              <w:t>Stratégie</w:t>
            </w:r>
            <w:proofErr w:type="spellEnd"/>
            <w:r w:rsidRPr="008B5EA1">
              <w:rPr>
                <w:rFonts w:ascii="Times New Roman" w:hAnsi="Times New Roman" w:cs="Times New Roman"/>
                <w:i/>
                <w:sz w:val="20"/>
                <w:szCs w:val="20"/>
              </w:rPr>
              <w:t xml:space="preserve"> </w:t>
            </w:r>
            <w:proofErr w:type="spellStart"/>
            <w:r w:rsidRPr="008B5EA1">
              <w:rPr>
                <w:rFonts w:ascii="Times New Roman" w:hAnsi="Times New Roman" w:cs="Times New Roman"/>
                <w:i/>
                <w:sz w:val="20"/>
                <w:szCs w:val="20"/>
              </w:rPr>
              <w:t>Sénégal</w:t>
            </w:r>
            <w:proofErr w:type="spellEnd"/>
            <w:r w:rsidRPr="008B5EA1">
              <w:rPr>
                <w:rFonts w:ascii="Times New Roman" w:hAnsi="Times New Roman" w:cs="Times New Roman"/>
                <w:i/>
                <w:sz w:val="20"/>
                <w:szCs w:val="20"/>
              </w:rPr>
              <w:t xml:space="preserve"> </w:t>
            </w:r>
            <w:proofErr w:type="spellStart"/>
            <w:r w:rsidRPr="008B5EA1">
              <w:rPr>
                <w:rFonts w:ascii="Times New Roman" w:hAnsi="Times New Roman" w:cs="Times New Roman"/>
                <w:i/>
                <w:sz w:val="20"/>
                <w:szCs w:val="20"/>
              </w:rPr>
              <w:t>Numérique</w:t>
            </w:r>
            <w:proofErr w:type="spellEnd"/>
            <w:r w:rsidRPr="008B5EA1">
              <w:rPr>
                <w:rFonts w:ascii="Times New Roman" w:hAnsi="Times New Roman" w:cs="Times New Roman"/>
                <w:i/>
                <w:sz w:val="20"/>
                <w:szCs w:val="20"/>
              </w:rPr>
              <w:t xml:space="preserve"> 2025 </w:t>
            </w:r>
            <w:r w:rsidRPr="008B5EA1">
              <w:rPr>
                <w:rFonts w:ascii="Times New Roman" w:hAnsi="Times New Roman" w:cs="Times New Roman"/>
                <w:sz w:val="20"/>
                <w:szCs w:val="20"/>
              </w:rPr>
              <w:t>considers that it is key to reform the country’s legal and regulatory framework for telecommunications and ICT</w:t>
            </w:r>
            <w:r w:rsidR="00D47FEB">
              <w:rPr>
                <w:rFonts w:ascii="Times New Roman" w:hAnsi="Times New Roman" w:cs="Times New Roman"/>
                <w:sz w:val="20"/>
                <w:szCs w:val="20"/>
              </w:rPr>
              <w:t>.</w:t>
            </w:r>
            <w:r w:rsidRPr="008B5EA1">
              <w:rPr>
                <w:rFonts w:ascii="Times New Roman" w:hAnsi="Times New Roman" w:cs="Times New Roman"/>
                <w:sz w:val="20"/>
                <w:szCs w:val="20"/>
              </w:rPr>
              <w:t xml:space="preserve"> The telecommunications sector is key for promoting development, and competition policies are necessary for ensuring that the benefits of the digital economy can be distributed evenly. One of the </w:t>
            </w:r>
            <w:r w:rsidR="00873364">
              <w:rPr>
                <w:rFonts w:ascii="Times New Roman" w:hAnsi="Times New Roman" w:cs="Times New Roman"/>
                <w:sz w:val="20"/>
                <w:szCs w:val="20"/>
              </w:rPr>
              <w:t>necessary</w:t>
            </w:r>
            <w:r w:rsidR="00873364" w:rsidRPr="008B5EA1">
              <w:rPr>
                <w:rFonts w:ascii="Times New Roman" w:hAnsi="Times New Roman" w:cs="Times New Roman"/>
                <w:sz w:val="20"/>
                <w:szCs w:val="20"/>
              </w:rPr>
              <w:t xml:space="preserve"> </w:t>
            </w:r>
            <w:r w:rsidRPr="008B5EA1">
              <w:rPr>
                <w:rFonts w:ascii="Times New Roman" w:hAnsi="Times New Roman" w:cs="Times New Roman"/>
                <w:sz w:val="20"/>
                <w:szCs w:val="20"/>
              </w:rPr>
              <w:t xml:space="preserve">policy conditions is a regulatory environment that promotes market competition and encourages private operators to innovate, be more productive, and, as a result, promote universal access to telecommunications services (World Development Report 2016: Digital Dividends). To attain these goals, the </w:t>
            </w:r>
            <w:proofErr w:type="spellStart"/>
            <w:r w:rsidRPr="008B5EA1">
              <w:rPr>
                <w:rFonts w:ascii="Times New Roman" w:hAnsi="Times New Roman" w:cs="Times New Roman"/>
                <w:i/>
                <w:sz w:val="20"/>
                <w:szCs w:val="20"/>
              </w:rPr>
              <w:t>Stratégie</w:t>
            </w:r>
            <w:proofErr w:type="spellEnd"/>
            <w:r w:rsidRPr="008B5EA1">
              <w:rPr>
                <w:rFonts w:ascii="Times New Roman" w:hAnsi="Times New Roman" w:cs="Times New Roman"/>
                <w:i/>
                <w:sz w:val="20"/>
                <w:szCs w:val="20"/>
              </w:rPr>
              <w:t xml:space="preserve"> </w:t>
            </w:r>
            <w:proofErr w:type="spellStart"/>
            <w:r w:rsidRPr="008B5EA1">
              <w:rPr>
                <w:rFonts w:ascii="Times New Roman" w:hAnsi="Times New Roman" w:cs="Times New Roman"/>
                <w:i/>
                <w:sz w:val="20"/>
                <w:szCs w:val="20"/>
              </w:rPr>
              <w:t>Sénégal</w:t>
            </w:r>
            <w:proofErr w:type="spellEnd"/>
            <w:r w:rsidRPr="008B5EA1">
              <w:rPr>
                <w:rFonts w:ascii="Times New Roman" w:hAnsi="Times New Roman" w:cs="Times New Roman"/>
                <w:i/>
                <w:sz w:val="20"/>
                <w:szCs w:val="20"/>
              </w:rPr>
              <w:t xml:space="preserve"> </w:t>
            </w:r>
            <w:proofErr w:type="spellStart"/>
            <w:r w:rsidRPr="008B5EA1">
              <w:rPr>
                <w:rFonts w:ascii="Times New Roman" w:hAnsi="Times New Roman" w:cs="Times New Roman"/>
                <w:i/>
                <w:sz w:val="20"/>
                <w:szCs w:val="20"/>
              </w:rPr>
              <w:t>Numérique</w:t>
            </w:r>
            <w:proofErr w:type="spellEnd"/>
            <w:r w:rsidRPr="008B5EA1">
              <w:rPr>
                <w:rFonts w:ascii="Times New Roman" w:hAnsi="Times New Roman" w:cs="Times New Roman"/>
                <w:i/>
                <w:sz w:val="20"/>
                <w:szCs w:val="20"/>
              </w:rPr>
              <w:t xml:space="preserve"> 2025 Plan</w:t>
            </w:r>
            <w:r w:rsidRPr="008B5EA1">
              <w:rPr>
                <w:rFonts w:ascii="Times New Roman" w:hAnsi="Times New Roman" w:cs="Times New Roman"/>
                <w:sz w:val="20"/>
                <w:szCs w:val="20"/>
              </w:rPr>
              <w:t xml:space="preserve"> proposes a series of regulatory measures to boost price competition and attain effective sector specific regulation in tandem with a strong and independently enforced competition law framework.</w:t>
            </w:r>
            <w:r w:rsidRPr="008B5EA1">
              <w:rPr>
                <w:rFonts w:ascii="Times New Roman" w:hAnsi="Times New Roman" w:cs="Times New Roman"/>
                <w:sz w:val="20"/>
                <w:szCs w:val="20"/>
                <w:vertAlign w:val="superscript"/>
              </w:rPr>
              <w:footnoteReference w:id="203"/>
            </w:r>
            <w:r w:rsidRPr="008B5EA1">
              <w:rPr>
                <w:rFonts w:ascii="Times New Roman" w:hAnsi="Times New Roman" w:cs="Times New Roman"/>
                <w:sz w:val="20"/>
                <w:szCs w:val="20"/>
              </w:rPr>
              <w:t xml:space="preserve"> </w:t>
            </w:r>
          </w:p>
          <w:p w14:paraId="4F4DF4B8" w14:textId="77777777" w:rsidR="006018AA" w:rsidRPr="008B5EA1" w:rsidRDefault="006018AA" w:rsidP="00FA09FE">
            <w:pPr>
              <w:jc w:val="both"/>
              <w:rPr>
                <w:rFonts w:ascii="Times New Roman" w:hAnsi="Times New Roman" w:cs="Times New Roman"/>
                <w:sz w:val="20"/>
                <w:szCs w:val="20"/>
              </w:rPr>
            </w:pPr>
          </w:p>
          <w:p w14:paraId="7CB212C7" w14:textId="1306B4DB" w:rsidR="006018AA" w:rsidRPr="008B5EA1" w:rsidRDefault="006018AA" w:rsidP="00FA09FE">
            <w:pPr>
              <w:jc w:val="both"/>
              <w:rPr>
                <w:rFonts w:ascii="Times New Roman" w:hAnsi="Times New Roman" w:cs="Times New Roman"/>
                <w:sz w:val="20"/>
                <w:szCs w:val="20"/>
              </w:rPr>
            </w:pPr>
            <w:r w:rsidRPr="008B5EA1">
              <w:rPr>
                <w:rFonts w:ascii="Times New Roman" w:hAnsi="Times New Roman" w:cs="Times New Roman"/>
                <w:sz w:val="20"/>
                <w:szCs w:val="20"/>
              </w:rPr>
              <w:t>Senegal reformed its telecommunications regulatory framework in 2011, through 2011-01 of 24 February, which adopted a new Telecommunications Code in line with the West African Economic and Monetary Union (WAEMU) and Economic Community of West African States (ECOWAS) frameworks.</w:t>
            </w:r>
            <w:r w:rsidRPr="008B5EA1">
              <w:rPr>
                <w:rFonts w:ascii="Times New Roman" w:hAnsi="Times New Roman" w:cs="Times New Roman"/>
                <w:b/>
                <w:sz w:val="20"/>
                <w:szCs w:val="20"/>
              </w:rPr>
              <w:t xml:space="preserve"> </w:t>
            </w:r>
            <w:r w:rsidRPr="008B5EA1">
              <w:rPr>
                <w:rFonts w:ascii="Times New Roman" w:hAnsi="Times New Roman" w:cs="Times New Roman"/>
                <w:sz w:val="20"/>
                <w:szCs w:val="20"/>
              </w:rPr>
              <w:t xml:space="preserve">Despite its ambitions to upgrade the regulatory framework previously set forth in Law 2001-15 of 27 February 2001, with the changes introduced by Law 2006-02, of 4 January 2006, the Telecommunications Code has so far </w:t>
            </w:r>
            <w:r w:rsidR="00366ED6">
              <w:rPr>
                <w:rFonts w:ascii="Times New Roman" w:hAnsi="Times New Roman" w:cs="Times New Roman"/>
                <w:sz w:val="20"/>
                <w:szCs w:val="20"/>
              </w:rPr>
              <w:t>not drastically changed market conditions in Senegal</w:t>
            </w:r>
            <w:r w:rsidRPr="008B5EA1">
              <w:rPr>
                <w:rFonts w:ascii="Times New Roman" w:hAnsi="Times New Roman" w:cs="Times New Roman"/>
                <w:sz w:val="20"/>
                <w:szCs w:val="20"/>
              </w:rPr>
              <w:t>.</w:t>
            </w:r>
            <w:r w:rsidR="00366ED6">
              <w:rPr>
                <w:rFonts w:ascii="Times New Roman" w:hAnsi="Times New Roman" w:cs="Times New Roman"/>
                <w:sz w:val="20"/>
                <w:szCs w:val="20"/>
              </w:rPr>
              <w:t xml:space="preserve"> However, recent reforms to the Telecommunications Code aimed at facilitating the market entry by ISPs are expected to improve competition in the sector (Law 2017-13, from January 20). </w:t>
            </w:r>
          </w:p>
          <w:p w14:paraId="568757A0" w14:textId="77777777" w:rsidR="006018AA" w:rsidRPr="008B5EA1" w:rsidRDefault="006018AA" w:rsidP="00FA09FE">
            <w:pPr>
              <w:jc w:val="both"/>
              <w:rPr>
                <w:rFonts w:ascii="Times New Roman" w:hAnsi="Times New Roman" w:cs="Times New Roman"/>
                <w:sz w:val="20"/>
                <w:szCs w:val="20"/>
              </w:rPr>
            </w:pPr>
          </w:p>
          <w:p w14:paraId="21396E5E" w14:textId="77777777" w:rsidR="006018AA" w:rsidRPr="007575D7" w:rsidRDefault="006018AA" w:rsidP="00FA09FE">
            <w:pPr>
              <w:jc w:val="both"/>
              <w:rPr>
                <w:rFonts w:ascii="Times New Roman" w:hAnsi="Times New Roman" w:cs="Times New Roman"/>
                <w:lang w:val="fr-FR"/>
              </w:rPr>
            </w:pPr>
            <w:proofErr w:type="gramStart"/>
            <w:r w:rsidRPr="007575D7">
              <w:rPr>
                <w:rFonts w:ascii="Times New Roman" w:hAnsi="Times New Roman" w:cs="Times New Roman"/>
                <w:sz w:val="20"/>
                <w:szCs w:val="20"/>
                <w:lang w:val="fr-FR"/>
              </w:rPr>
              <w:t>Source:</w:t>
            </w:r>
            <w:proofErr w:type="gramEnd"/>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Based</w:t>
            </w:r>
            <w:proofErr w:type="spellEnd"/>
            <w:r w:rsidRPr="007575D7">
              <w:rPr>
                <w:rFonts w:ascii="Times New Roman" w:hAnsi="Times New Roman" w:cs="Times New Roman"/>
                <w:sz w:val="20"/>
                <w:szCs w:val="20"/>
                <w:lang w:val="fr-FR"/>
              </w:rPr>
              <w:t xml:space="preserve"> on </w:t>
            </w:r>
            <w:r w:rsidRPr="007575D7">
              <w:rPr>
                <w:rFonts w:ascii="Times New Roman" w:hAnsi="Times New Roman" w:cs="Times New Roman"/>
                <w:i/>
                <w:sz w:val="20"/>
                <w:szCs w:val="20"/>
                <w:lang w:val="fr-FR"/>
              </w:rPr>
              <w:t>Stratégie Sénégal Numérique 2025</w:t>
            </w:r>
          </w:p>
        </w:tc>
      </w:tr>
    </w:tbl>
    <w:p w14:paraId="4A2FDCCD" w14:textId="0FF35F2E" w:rsidR="00711D1F" w:rsidRPr="007575D7" w:rsidRDefault="00711D1F" w:rsidP="006018AA">
      <w:pPr>
        <w:jc w:val="both"/>
        <w:rPr>
          <w:rFonts w:ascii="Times New Roman" w:hAnsi="Times New Roman" w:cs="Times New Roman"/>
          <w:lang w:val="fr-FR"/>
        </w:rPr>
      </w:pPr>
    </w:p>
    <w:p w14:paraId="29368C66" w14:textId="77777777" w:rsidR="006018AA" w:rsidRPr="00C91EA2" w:rsidRDefault="006018AA" w:rsidP="006018AA">
      <w:pPr>
        <w:pStyle w:val="Heading4"/>
        <w:rPr>
          <w:rFonts w:ascii="Times New Roman" w:hAnsi="Times New Roman" w:cs="Times New Roman"/>
        </w:rPr>
      </w:pPr>
      <w:r>
        <w:rPr>
          <w:rFonts w:ascii="Times New Roman" w:hAnsi="Times New Roman" w:cs="Times New Roman"/>
        </w:rPr>
        <w:t>The I</w:t>
      </w:r>
      <w:r w:rsidRPr="00C91EA2">
        <w:rPr>
          <w:rFonts w:ascii="Times New Roman" w:hAnsi="Times New Roman" w:cs="Times New Roman"/>
        </w:rPr>
        <w:t xml:space="preserve">mportance of </w:t>
      </w:r>
      <w:r>
        <w:rPr>
          <w:rFonts w:ascii="Times New Roman" w:hAnsi="Times New Roman" w:cs="Times New Roman"/>
        </w:rPr>
        <w:t>C</w:t>
      </w:r>
      <w:r w:rsidRPr="00C91EA2">
        <w:rPr>
          <w:rFonts w:ascii="Times New Roman" w:hAnsi="Times New Roman" w:cs="Times New Roman"/>
        </w:rPr>
        <w:t xml:space="preserve">ompetition in the </w:t>
      </w:r>
      <w:r>
        <w:rPr>
          <w:rFonts w:ascii="Times New Roman" w:hAnsi="Times New Roman" w:cs="Times New Roman"/>
        </w:rPr>
        <w:t>T</w:t>
      </w:r>
      <w:r w:rsidRPr="00C91EA2">
        <w:rPr>
          <w:rFonts w:ascii="Times New Roman" w:hAnsi="Times New Roman" w:cs="Times New Roman"/>
        </w:rPr>
        <w:t xml:space="preserve">elecoms </w:t>
      </w:r>
      <w:r>
        <w:rPr>
          <w:rFonts w:ascii="Times New Roman" w:hAnsi="Times New Roman" w:cs="Times New Roman"/>
        </w:rPr>
        <w:t>S</w:t>
      </w:r>
      <w:r w:rsidRPr="00C91EA2">
        <w:rPr>
          <w:rFonts w:ascii="Times New Roman" w:hAnsi="Times New Roman" w:cs="Times New Roman"/>
        </w:rPr>
        <w:t>ector</w:t>
      </w:r>
    </w:p>
    <w:p w14:paraId="2CB4FC6C" w14:textId="77777777" w:rsidR="006018AA" w:rsidRPr="00C91EA2" w:rsidRDefault="006018AA" w:rsidP="006018AA">
      <w:pPr>
        <w:rPr>
          <w:rFonts w:ascii="Times New Roman" w:hAnsi="Times New Roman" w:cs="Times New Roman"/>
        </w:rPr>
      </w:pPr>
    </w:p>
    <w:p w14:paraId="36448D22"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Opening mobile, wireless, and international calling markets to more competition can have an important impact on growth and competitiveness</w:t>
      </w:r>
      <w:r w:rsidRPr="00C91EA2">
        <w:rPr>
          <w:rFonts w:ascii="Times New Roman" w:hAnsi="Times New Roman" w:cs="Times New Roman"/>
        </w:rPr>
        <w:t>. Previous research has found that, in a sample of 40 African countries, the entry of an additional operator led to a 57 percent increase in mobile subscriptions (</w:t>
      </w:r>
      <w:proofErr w:type="spellStart"/>
      <w:r w:rsidRPr="00C91EA2">
        <w:rPr>
          <w:rFonts w:ascii="Times New Roman" w:hAnsi="Times New Roman" w:cs="Times New Roman"/>
        </w:rPr>
        <w:t>Gebreab</w:t>
      </w:r>
      <w:proofErr w:type="spellEnd"/>
      <w:r w:rsidRPr="00C91EA2">
        <w:rPr>
          <w:rFonts w:ascii="Times New Roman" w:hAnsi="Times New Roman" w:cs="Times New Roman"/>
        </w:rPr>
        <w:t xml:space="preserve"> 2002). Meanwhile, </w:t>
      </w:r>
      <w:proofErr w:type="gramStart"/>
      <w:r w:rsidRPr="00C91EA2">
        <w:rPr>
          <w:rFonts w:ascii="Times New Roman" w:hAnsi="Times New Roman" w:cs="Times New Roman"/>
        </w:rPr>
        <w:t>opening up</w:t>
      </w:r>
      <w:proofErr w:type="gramEnd"/>
      <w:r w:rsidRPr="00C91EA2">
        <w:rPr>
          <w:rFonts w:ascii="Times New Roman" w:hAnsi="Times New Roman" w:cs="Times New Roman"/>
        </w:rPr>
        <w:t xml:space="preserve"> international calling services to competition was found to reduce prices by 90 percent and increase call volumes by </w:t>
      </w:r>
      <w:r w:rsidR="005822D4">
        <w:rPr>
          <w:rFonts w:ascii="Times New Roman" w:hAnsi="Times New Roman" w:cs="Times New Roman"/>
        </w:rPr>
        <w:t xml:space="preserve">anywhere from </w:t>
      </w:r>
      <w:r w:rsidRPr="00C91EA2">
        <w:rPr>
          <w:rFonts w:ascii="Times New Roman" w:hAnsi="Times New Roman" w:cs="Times New Roman"/>
        </w:rPr>
        <w:t>32 to 104 percent (GSMA 2012).</w:t>
      </w:r>
    </w:p>
    <w:p w14:paraId="7EE71947" w14:textId="77777777" w:rsidR="006018AA" w:rsidRPr="00C91EA2" w:rsidRDefault="006018AA" w:rsidP="006018AA">
      <w:pPr>
        <w:pStyle w:val="ListParagraph"/>
        <w:ind w:left="0"/>
        <w:jc w:val="both"/>
        <w:rPr>
          <w:rFonts w:ascii="Times New Roman" w:hAnsi="Times New Roman" w:cs="Times New Roman"/>
        </w:rPr>
      </w:pPr>
    </w:p>
    <w:p w14:paraId="02C1C763" w14:textId="7EF5834A" w:rsidR="006018AA" w:rsidRPr="00C91EA2" w:rsidRDefault="00366ED6" w:rsidP="006018AA">
      <w:pPr>
        <w:pStyle w:val="ListParagraph"/>
        <w:numPr>
          <w:ilvl w:val="0"/>
          <w:numId w:val="71"/>
        </w:numPr>
        <w:ind w:left="0" w:firstLine="0"/>
        <w:jc w:val="both"/>
        <w:rPr>
          <w:rFonts w:ascii="Times New Roman" w:hAnsi="Times New Roman" w:cs="Times New Roman"/>
        </w:rPr>
      </w:pPr>
      <w:r>
        <w:rPr>
          <w:rFonts w:ascii="Times New Roman" w:eastAsiaTheme="majorEastAsia" w:hAnsi="Times New Roman" w:cs="Times New Roman"/>
          <w:b/>
          <w:bCs/>
        </w:rPr>
        <w:t xml:space="preserve">Improving </w:t>
      </w:r>
      <w:r w:rsidR="006018AA" w:rsidRPr="00C91EA2">
        <w:rPr>
          <w:rFonts w:ascii="Times New Roman" w:eastAsiaTheme="majorEastAsia" w:hAnsi="Times New Roman" w:cs="Times New Roman"/>
          <w:b/>
          <w:bCs/>
        </w:rPr>
        <w:t xml:space="preserve">competition in Senegal’s telecoms markets might contribute to </w:t>
      </w:r>
      <w:r>
        <w:rPr>
          <w:rFonts w:ascii="Times New Roman" w:eastAsiaTheme="majorEastAsia" w:hAnsi="Times New Roman" w:cs="Times New Roman"/>
          <w:b/>
          <w:bCs/>
        </w:rPr>
        <w:t xml:space="preserve">better market </w:t>
      </w:r>
      <w:r w:rsidR="006018AA" w:rsidRPr="00C91EA2">
        <w:rPr>
          <w:rFonts w:ascii="Times New Roman" w:eastAsiaTheme="majorEastAsia" w:hAnsi="Times New Roman" w:cs="Times New Roman"/>
          <w:b/>
          <w:bCs/>
        </w:rPr>
        <w:t>outcomes</w:t>
      </w:r>
      <w:r w:rsidR="006018AA" w:rsidRPr="00C91EA2">
        <w:rPr>
          <w:rFonts w:ascii="Times New Roman" w:hAnsi="Times New Roman" w:cs="Times New Roman"/>
          <w:b/>
        </w:rPr>
        <w:t xml:space="preserve">. </w:t>
      </w:r>
      <w:r w:rsidR="006018AA" w:rsidRPr="00C91EA2">
        <w:rPr>
          <w:rFonts w:ascii="Times New Roman" w:hAnsi="Times New Roman" w:cs="Times New Roman"/>
        </w:rPr>
        <w:t xml:space="preserve">According to </w:t>
      </w:r>
      <w:r w:rsidR="006018AA" w:rsidRPr="00C91EA2">
        <w:rPr>
          <w:rFonts w:ascii="Times New Roman" w:hAnsi="Times New Roman" w:cs="Times New Roman"/>
          <w:bCs/>
        </w:rPr>
        <w:t>PMR indicators</w:t>
      </w:r>
      <w:r w:rsidR="006018AA" w:rsidRPr="00C91EA2">
        <w:rPr>
          <w:rFonts w:ascii="Times New Roman" w:hAnsi="Times New Roman" w:cs="Times New Roman"/>
        </w:rPr>
        <w:t xml:space="preserve">, Senegal’s telecommunications regulations </w:t>
      </w:r>
      <w:r w:rsidR="005822D4">
        <w:rPr>
          <w:rFonts w:ascii="Times New Roman" w:hAnsi="Times New Roman" w:cs="Times New Roman"/>
        </w:rPr>
        <w:t>are</w:t>
      </w:r>
      <w:r w:rsidR="006018AA" w:rsidRPr="00C91EA2">
        <w:rPr>
          <w:rFonts w:ascii="Times New Roman" w:hAnsi="Times New Roman" w:cs="Times New Roman"/>
          <w:bCs/>
        </w:rPr>
        <w:t xml:space="preserve"> relatively restrictive compared to comparator countries (</w:t>
      </w:r>
      <w:r w:rsidR="006018AA" w:rsidRPr="00C91EA2">
        <w:rPr>
          <w:rFonts w:ascii="Times New Roman" w:hAnsi="Times New Roman" w:cs="Times New Roman"/>
          <w:bCs/>
        </w:rPr>
        <w:fldChar w:fldCharType="begin"/>
      </w:r>
      <w:r w:rsidR="006018AA" w:rsidRPr="00C91EA2">
        <w:rPr>
          <w:rFonts w:ascii="Times New Roman" w:hAnsi="Times New Roman" w:cs="Times New Roman"/>
          <w:bCs/>
        </w:rPr>
        <w:instrText xml:space="preserve"> REF _Ref497301910 \h  \* MERGEFORMAT </w:instrText>
      </w:r>
      <w:r w:rsidR="006018AA" w:rsidRPr="00C91EA2">
        <w:rPr>
          <w:rFonts w:ascii="Times New Roman" w:hAnsi="Times New Roman" w:cs="Times New Roman"/>
          <w:bCs/>
        </w:rPr>
      </w:r>
      <w:r w:rsidR="006018AA" w:rsidRPr="00C91EA2">
        <w:rPr>
          <w:rFonts w:ascii="Times New Roman" w:hAnsi="Times New Roman" w:cs="Times New Roman"/>
          <w:bCs/>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61</w:t>
      </w:r>
      <w:r w:rsidR="006018AA" w:rsidRPr="00C91EA2">
        <w:rPr>
          <w:rFonts w:ascii="Times New Roman" w:hAnsi="Times New Roman" w:cs="Times New Roman"/>
          <w:bCs/>
        </w:rPr>
        <w:fldChar w:fldCharType="end"/>
      </w:r>
      <w:r w:rsidR="006018AA" w:rsidRPr="00C91EA2">
        <w:rPr>
          <w:rFonts w:ascii="Times New Roman" w:hAnsi="Times New Roman" w:cs="Times New Roman"/>
          <w:bCs/>
        </w:rPr>
        <w:t>).</w:t>
      </w:r>
      <w:r w:rsidR="006018AA" w:rsidRPr="00C91EA2">
        <w:rPr>
          <w:rFonts w:ascii="Times New Roman" w:hAnsi="Times New Roman" w:cs="Times New Roman"/>
        </w:rPr>
        <w:t xml:space="preserve"> Senegal’s score of 1.85 places the country in the bottom </w:t>
      </w:r>
      <w:r w:rsidR="00732565">
        <w:rPr>
          <w:rFonts w:ascii="Times New Roman" w:hAnsi="Times New Roman" w:cs="Times New Roman"/>
        </w:rPr>
        <w:t xml:space="preserve">half </w:t>
      </w:r>
      <w:r w:rsidR="006018AA" w:rsidRPr="00C91EA2">
        <w:rPr>
          <w:rFonts w:ascii="Times New Roman" w:hAnsi="Times New Roman" w:cs="Times New Roman"/>
        </w:rPr>
        <w:t xml:space="preserve">of comparators. Restrictions on entry </w:t>
      </w:r>
      <w:r w:rsidR="00CF269A">
        <w:rPr>
          <w:rFonts w:ascii="Times New Roman" w:hAnsi="Times New Roman" w:cs="Times New Roman"/>
        </w:rPr>
        <w:t xml:space="preserve">and </w:t>
      </w:r>
      <w:r w:rsidR="006018AA" w:rsidRPr="00C91EA2">
        <w:rPr>
          <w:rFonts w:ascii="Times New Roman" w:hAnsi="Times New Roman" w:cs="Times New Roman"/>
        </w:rPr>
        <w:t xml:space="preserve">the partial public ownership of </w:t>
      </w:r>
      <w:proofErr w:type="spellStart"/>
      <w:r w:rsidR="006018AA" w:rsidRPr="00C91EA2">
        <w:rPr>
          <w:rFonts w:ascii="Times New Roman" w:hAnsi="Times New Roman" w:cs="Times New Roman"/>
        </w:rPr>
        <w:t>Sonatel</w:t>
      </w:r>
      <w:proofErr w:type="spellEnd"/>
      <w:r w:rsidR="006018AA" w:rsidRPr="00C91EA2">
        <w:rPr>
          <w:rFonts w:ascii="Times New Roman" w:hAnsi="Times New Roman" w:cs="Times New Roman"/>
        </w:rPr>
        <w:t xml:space="preserve"> </w:t>
      </w:r>
      <w:r w:rsidR="00CF269A">
        <w:rPr>
          <w:rFonts w:ascii="Times New Roman" w:hAnsi="Times New Roman" w:cs="Times New Roman"/>
        </w:rPr>
        <w:t>are the main contributors to the PMR score</w:t>
      </w:r>
      <w:r w:rsidR="006018AA" w:rsidRPr="00C91EA2">
        <w:rPr>
          <w:rFonts w:ascii="Times New Roman" w:hAnsi="Times New Roman" w:cs="Times New Roman"/>
        </w:rPr>
        <w:t xml:space="preserve">. The ICT sector in Senegal </w:t>
      </w:r>
      <w:r w:rsidR="006018AA">
        <w:rPr>
          <w:rFonts w:ascii="Times New Roman" w:hAnsi="Times New Roman" w:cs="Times New Roman"/>
        </w:rPr>
        <w:t>is</w:t>
      </w:r>
      <w:r w:rsidR="006018AA" w:rsidRPr="00C91EA2">
        <w:rPr>
          <w:rFonts w:ascii="Times New Roman" w:hAnsi="Times New Roman" w:cs="Times New Roman"/>
        </w:rPr>
        <w:t xml:space="preserve"> characterized by a strong </w:t>
      </w:r>
      <w:r w:rsidR="003B24ED">
        <w:rPr>
          <w:rFonts w:ascii="Times New Roman" w:hAnsi="Times New Roman" w:cs="Times New Roman"/>
        </w:rPr>
        <w:t>Government</w:t>
      </w:r>
      <w:r w:rsidR="006018AA" w:rsidRPr="00C91EA2">
        <w:rPr>
          <w:rFonts w:ascii="Times New Roman" w:hAnsi="Times New Roman" w:cs="Times New Roman"/>
        </w:rPr>
        <w:t xml:space="preserve">al presence: </w:t>
      </w:r>
      <w:proofErr w:type="gramStart"/>
      <w:r w:rsidR="006018AA" w:rsidRPr="00C91EA2">
        <w:rPr>
          <w:rFonts w:ascii="Times New Roman" w:hAnsi="Times New Roman" w:cs="Times New Roman"/>
        </w:rPr>
        <w:t>the</w:t>
      </w:r>
      <w:proofErr w:type="gramEnd"/>
      <w:r w:rsidR="006018AA" w:rsidRPr="00C91EA2">
        <w:rPr>
          <w:rFonts w:ascii="Times New Roman" w:hAnsi="Times New Roman" w:cs="Times New Roman"/>
        </w:rPr>
        <w:t xml:space="preserve"> State maintains a 27 percent shareholding </w:t>
      </w:r>
      <w:r w:rsidR="005822D4">
        <w:rPr>
          <w:rFonts w:ascii="Times New Roman" w:hAnsi="Times New Roman" w:cs="Times New Roman"/>
        </w:rPr>
        <w:t>in</w:t>
      </w:r>
      <w:r w:rsidR="005822D4" w:rsidRPr="00C91EA2">
        <w:rPr>
          <w:rFonts w:ascii="Times New Roman" w:hAnsi="Times New Roman" w:cs="Times New Roman"/>
        </w:rPr>
        <w:t xml:space="preserve"> </w:t>
      </w:r>
      <w:proofErr w:type="spellStart"/>
      <w:r w:rsidR="006018AA" w:rsidRPr="00C91EA2">
        <w:rPr>
          <w:rFonts w:ascii="Times New Roman" w:hAnsi="Times New Roman" w:cs="Times New Roman"/>
        </w:rPr>
        <w:t>Sonatel</w:t>
      </w:r>
      <w:proofErr w:type="spellEnd"/>
      <w:r w:rsidR="006018AA" w:rsidRPr="00C91EA2">
        <w:rPr>
          <w:rFonts w:ascii="Times New Roman" w:hAnsi="Times New Roman" w:cs="Times New Roman"/>
        </w:rPr>
        <w:t>, the former incumbent. Furthermore, Senegalese ICT markets are characterized by high barriers to entry and high concentration levels. In addition, the regulatory framework has not contributed to boosting service and infrastructure-based competition (e.g. no pro-competitive radio spectrum assignments</w:t>
      </w:r>
      <w:r w:rsidR="00735C35">
        <w:rPr>
          <w:rFonts w:ascii="Times New Roman" w:hAnsi="Times New Roman" w:cs="Times New Roman"/>
        </w:rPr>
        <w:t xml:space="preserve"> and weak access regulation framework</w:t>
      </w:r>
      <w:r w:rsidR="006018AA" w:rsidRPr="00C91EA2">
        <w:rPr>
          <w:rFonts w:ascii="Times New Roman" w:hAnsi="Times New Roman" w:cs="Times New Roman"/>
        </w:rPr>
        <w:t>).</w:t>
      </w:r>
    </w:p>
    <w:p w14:paraId="5F0AC78D" w14:textId="77777777" w:rsidR="006018AA" w:rsidRPr="00C91EA2" w:rsidRDefault="006018AA" w:rsidP="006018AA">
      <w:pPr>
        <w:pStyle w:val="ListParagraph"/>
        <w:ind w:left="0"/>
        <w:jc w:val="both"/>
        <w:rPr>
          <w:rFonts w:ascii="Times New Roman" w:hAnsi="Times New Roman" w:cs="Times New Roman"/>
        </w:rPr>
      </w:pPr>
    </w:p>
    <w:p w14:paraId="755490DC" w14:textId="12EF159E" w:rsidR="00674D59" w:rsidRPr="007575D7" w:rsidRDefault="00674D59" w:rsidP="007575D7">
      <w:pPr>
        <w:pStyle w:val="Caption"/>
        <w:keepNext/>
        <w:rPr>
          <w:rFonts w:ascii="Times New Roman" w:eastAsiaTheme="minorHAnsi" w:hAnsi="Times New Roman"/>
        </w:rPr>
      </w:pPr>
    </w:p>
    <w:tbl>
      <w:tblPr>
        <w:tblStyle w:val="TableGrid"/>
        <w:tblW w:w="0" w:type="auto"/>
        <w:tblLook w:val="04A0" w:firstRow="1" w:lastRow="0" w:firstColumn="1" w:lastColumn="0" w:noHBand="0" w:noVBand="1"/>
      </w:tblPr>
      <w:tblGrid>
        <w:gridCol w:w="8630"/>
      </w:tblGrid>
      <w:tr w:rsidR="006018AA" w:rsidRPr="00C91EA2" w14:paraId="122CB869" w14:textId="77777777" w:rsidTr="008670D8">
        <w:tc>
          <w:tcPr>
            <w:tcW w:w="8630" w:type="dxa"/>
            <w:tcBorders>
              <w:top w:val="single" w:sz="4" w:space="0" w:color="auto"/>
              <w:left w:val="single" w:sz="4" w:space="0" w:color="auto"/>
              <w:bottom w:val="single" w:sz="4" w:space="0" w:color="auto"/>
              <w:right w:val="single" w:sz="4" w:space="0" w:color="auto"/>
            </w:tcBorders>
            <w:hideMark/>
          </w:tcPr>
          <w:p w14:paraId="3B965AF8" w14:textId="4C4AD4DD" w:rsidR="006018AA" w:rsidRPr="00C91EA2" w:rsidRDefault="00674D59" w:rsidP="00FA09FE">
            <w:pPr>
              <w:pStyle w:val="Caption"/>
              <w:keepNext/>
              <w:rPr>
                <w:rFonts w:ascii="Times New Roman" w:hAnsi="Times New Roman"/>
              </w:rPr>
            </w:pPr>
            <w:bookmarkStart w:id="272" w:name="_Ref497301910"/>
            <w:bookmarkStart w:id="273" w:name="_Toc520725617"/>
            <w:r w:rsidRPr="00B57E98">
              <w:rPr>
                <w:rFonts w:ascii="Times New Roman" w:hAnsi="Times New Roman"/>
              </w:rPr>
              <w:t xml:space="preserve">Figure </w:t>
            </w:r>
            <w:r w:rsidRPr="00B57E98">
              <w:rPr>
                <w:rFonts w:ascii="Times New Roman" w:hAnsi="Times New Roman"/>
              </w:rPr>
              <w:fldChar w:fldCharType="begin"/>
            </w:r>
            <w:r w:rsidRPr="00B57E98">
              <w:rPr>
                <w:rFonts w:ascii="Times New Roman" w:hAnsi="Times New Roman"/>
              </w:rPr>
              <w:instrText xml:space="preserve"> SEQ Figure \* ARABIC </w:instrText>
            </w:r>
            <w:r w:rsidRPr="00B57E98">
              <w:rPr>
                <w:rFonts w:ascii="Times New Roman" w:hAnsi="Times New Roman"/>
              </w:rPr>
              <w:fldChar w:fldCharType="separate"/>
            </w:r>
            <w:r w:rsidR="008261B2">
              <w:rPr>
                <w:rFonts w:ascii="Times New Roman" w:hAnsi="Times New Roman"/>
                <w:noProof/>
              </w:rPr>
              <w:t>61</w:t>
            </w:r>
            <w:r w:rsidRPr="00B57E98">
              <w:rPr>
                <w:rFonts w:ascii="Times New Roman" w:hAnsi="Times New Roman"/>
              </w:rPr>
              <w:fldChar w:fldCharType="end"/>
            </w:r>
            <w:bookmarkEnd w:id="272"/>
            <w:r w:rsidR="006018AA" w:rsidRPr="00C91EA2">
              <w:rPr>
                <w:rFonts w:ascii="Times New Roman" w:hAnsi="Times New Roman"/>
              </w:rPr>
              <w:t>: Restrictions in the Telecommunications Sector by Country</w:t>
            </w:r>
            <w:bookmarkEnd w:id="273"/>
          </w:p>
        </w:tc>
      </w:tr>
      <w:tr w:rsidR="006018AA" w:rsidRPr="00C91EA2" w14:paraId="3CA57EEB" w14:textId="77777777" w:rsidTr="0070712E">
        <w:tc>
          <w:tcPr>
            <w:tcW w:w="8630" w:type="dxa"/>
            <w:tcBorders>
              <w:top w:val="single" w:sz="4" w:space="0" w:color="auto"/>
              <w:left w:val="single" w:sz="4" w:space="0" w:color="auto"/>
              <w:bottom w:val="single" w:sz="4" w:space="0" w:color="auto"/>
              <w:right w:val="single" w:sz="4" w:space="0" w:color="auto"/>
            </w:tcBorders>
            <w:hideMark/>
          </w:tcPr>
          <w:p w14:paraId="58AB3F3A" w14:textId="77777777" w:rsidR="006018AA" w:rsidRPr="00C91EA2" w:rsidRDefault="0070712E" w:rsidP="00FA09FE">
            <w:pPr>
              <w:rPr>
                <w:rFonts w:ascii="Times New Roman" w:hAnsi="Times New Roman" w:cs="Times New Roman"/>
              </w:rPr>
            </w:pPr>
            <w:r>
              <w:rPr>
                <w:noProof/>
              </w:rPr>
              <w:drawing>
                <wp:inline distT="0" distB="0" distL="0" distR="0" wp14:anchorId="51EC27EB" wp14:editId="6BC4505D">
                  <wp:extent cx="5486400" cy="3545205"/>
                  <wp:effectExtent l="0" t="0" r="0" b="0"/>
                  <wp:docPr id="140" name="Chart 140">
                    <a:extLst xmlns:a="http://schemas.openxmlformats.org/drawingml/2006/main">
                      <a:ext uri="{FF2B5EF4-FFF2-40B4-BE49-F238E27FC236}">
                        <a16:creationId xmlns:a16="http://schemas.microsoft.com/office/drawing/2014/main" id="{359A6AE3-CBE8-40C2-9997-97B9E60BF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6018AA" w:rsidRPr="00C91EA2" w14:paraId="32FC872E" w14:textId="77777777" w:rsidTr="008670D8">
        <w:tc>
          <w:tcPr>
            <w:tcW w:w="8630" w:type="dxa"/>
            <w:tcBorders>
              <w:top w:val="single" w:sz="4" w:space="0" w:color="auto"/>
              <w:left w:val="single" w:sz="4" w:space="0" w:color="auto"/>
              <w:bottom w:val="single" w:sz="4" w:space="0" w:color="auto"/>
              <w:right w:val="single" w:sz="4" w:space="0" w:color="auto"/>
            </w:tcBorders>
            <w:hideMark/>
          </w:tcPr>
          <w:p w14:paraId="3402D7F6" w14:textId="77777777" w:rsidR="006018AA" w:rsidRPr="00C91EA2" w:rsidRDefault="006018AA" w:rsidP="00FA09FE">
            <w:pPr>
              <w:rPr>
                <w:rFonts w:ascii="Times New Roman" w:hAnsi="Times New Roman" w:cs="Times New Roman"/>
                <w:sz w:val="20"/>
              </w:rPr>
            </w:pPr>
            <w:r w:rsidRPr="00C91EA2">
              <w:rPr>
                <w:rFonts w:ascii="Times New Roman" w:hAnsi="Times New Roman" w:cs="Times New Roman"/>
                <w:sz w:val="20"/>
              </w:rPr>
              <w:t xml:space="preserve">Source: </w:t>
            </w:r>
            <w:r w:rsidR="00A4434F">
              <w:rPr>
                <w:rFonts w:ascii="Times New Roman" w:hAnsi="Times New Roman" w:cs="Times New Roman"/>
                <w:sz w:val="20"/>
              </w:rPr>
              <w:t>OECD-WBG PMR (2017)</w:t>
            </w:r>
          </w:p>
          <w:p w14:paraId="6C23C2FE" w14:textId="77777777" w:rsidR="006018AA" w:rsidRPr="00C91EA2" w:rsidRDefault="006018AA" w:rsidP="00FA09FE">
            <w:pPr>
              <w:rPr>
                <w:rFonts w:ascii="Times New Roman" w:hAnsi="Times New Roman" w:cs="Times New Roman"/>
              </w:rPr>
            </w:pPr>
            <w:r w:rsidRPr="00C91EA2">
              <w:rPr>
                <w:rFonts w:ascii="Times New Roman" w:hAnsi="Times New Roman" w:cs="Times New Roman"/>
                <w:sz w:val="20"/>
              </w:rPr>
              <w:t>Note: The top 5 performers are the United Kingdom, the United States, Malta, Poland and Italy</w:t>
            </w:r>
          </w:p>
        </w:tc>
      </w:tr>
    </w:tbl>
    <w:p w14:paraId="1CDAC1C3" w14:textId="77777777" w:rsidR="006018AA" w:rsidRDefault="006018AA" w:rsidP="006018AA">
      <w:pPr>
        <w:jc w:val="both"/>
        <w:rPr>
          <w:rFonts w:ascii="Times New Roman" w:hAnsi="Times New Roman" w:cs="Times New Roman"/>
        </w:rPr>
      </w:pPr>
    </w:p>
    <w:p w14:paraId="0F480559" w14:textId="77777777" w:rsidR="00711D1F" w:rsidRPr="00C91EA2" w:rsidRDefault="00711D1F" w:rsidP="006018AA">
      <w:pPr>
        <w:jc w:val="both"/>
        <w:rPr>
          <w:rFonts w:ascii="Times New Roman" w:hAnsi="Times New Roman" w:cs="Times New Roman"/>
        </w:rPr>
      </w:pPr>
    </w:p>
    <w:p w14:paraId="489F35A8" w14:textId="4C2EF73E" w:rsidR="00960DD3" w:rsidRDefault="006018AA" w:rsidP="00960DD3">
      <w:pPr>
        <w:pStyle w:val="ListParagraph"/>
        <w:numPr>
          <w:ilvl w:val="0"/>
          <w:numId w:val="71"/>
        </w:numPr>
        <w:ind w:left="0" w:firstLine="0"/>
        <w:jc w:val="both"/>
        <w:rPr>
          <w:rFonts w:ascii="Times New Roman" w:hAnsi="Times New Roman" w:cs="Times New Roman"/>
          <w:bCs/>
        </w:rPr>
      </w:pPr>
      <w:r w:rsidRPr="00C91EA2">
        <w:rPr>
          <w:rFonts w:ascii="Times New Roman" w:hAnsi="Times New Roman" w:cs="Times New Roman"/>
          <w:b/>
        </w:rPr>
        <w:t xml:space="preserve">High market concentration is </w:t>
      </w:r>
      <w:r w:rsidR="00366ED6">
        <w:rPr>
          <w:rFonts w:ascii="Times New Roman" w:hAnsi="Times New Roman" w:cs="Times New Roman"/>
          <w:b/>
        </w:rPr>
        <w:t xml:space="preserve">currently </w:t>
      </w:r>
      <w:r w:rsidRPr="00C91EA2">
        <w:rPr>
          <w:rFonts w:ascii="Times New Roman" w:hAnsi="Times New Roman" w:cs="Times New Roman"/>
          <w:b/>
        </w:rPr>
        <w:t>the main contributor to Senegal’s high score regarding the regulation of the telecoms sector</w:t>
      </w:r>
      <w:r w:rsidRPr="00C91EA2">
        <w:rPr>
          <w:rFonts w:ascii="Times New Roman" w:hAnsi="Times New Roman" w:cs="Times New Roman"/>
        </w:rPr>
        <w:t xml:space="preserve">. More than half of the PMR indicator derives itself from the </w:t>
      </w:r>
      <w:r w:rsidR="00933D48" w:rsidRPr="00C91EA2">
        <w:rPr>
          <w:rFonts w:ascii="Times New Roman" w:hAnsi="Times New Roman" w:cs="Times New Roman"/>
        </w:rPr>
        <w:t>highly-concentrated</w:t>
      </w:r>
      <w:r w:rsidRPr="00C91EA2">
        <w:rPr>
          <w:rFonts w:ascii="Times New Roman" w:hAnsi="Times New Roman" w:cs="Times New Roman"/>
        </w:rPr>
        <w:t xml:space="preserve"> market structure Senegal faces. </w:t>
      </w:r>
      <w:r w:rsidRPr="00C91EA2">
        <w:rPr>
          <w:rFonts w:ascii="Times New Roman" w:hAnsi="Times New Roman" w:cs="Times New Roman"/>
          <w:bCs/>
        </w:rPr>
        <w:t xml:space="preserve">All market segments are highly concentrated and dominated by </w:t>
      </w:r>
      <w:proofErr w:type="spellStart"/>
      <w:r w:rsidRPr="00C91EA2">
        <w:rPr>
          <w:rFonts w:ascii="Times New Roman" w:hAnsi="Times New Roman" w:cs="Times New Roman"/>
          <w:bCs/>
        </w:rPr>
        <w:t>Sonatel</w:t>
      </w:r>
      <w:proofErr w:type="spellEnd"/>
      <w:r w:rsidRPr="00C91EA2">
        <w:rPr>
          <w:rFonts w:ascii="Times New Roman" w:hAnsi="Times New Roman" w:cs="Times New Roman"/>
          <w:bCs/>
        </w:rPr>
        <w:t>, which is co-owned by Orange and the Senegalese state. The Herfindahl-Hirschman Indices (HHI) for the Senegalese mobile market</w:t>
      </w:r>
      <w:r>
        <w:rPr>
          <w:rFonts w:ascii="Times New Roman" w:hAnsi="Times New Roman" w:cs="Times New Roman"/>
          <w:bCs/>
        </w:rPr>
        <w:t>s</w:t>
      </w:r>
      <w:r w:rsidRPr="00C91EA2">
        <w:rPr>
          <w:rFonts w:ascii="Times New Roman" w:hAnsi="Times New Roman" w:cs="Times New Roman"/>
          <w:bCs/>
        </w:rPr>
        <w:t xml:space="preserve"> are comparatively high. For mobile telephony, they are at 3,864 and 4,254 measured by subscribers or by value, respectively, while the HHI for mobile internet reaches 4,982 (</w:t>
      </w:r>
      <w:r w:rsidRPr="00C91EA2">
        <w:rPr>
          <w:rFonts w:ascii="Times New Roman" w:hAnsi="Times New Roman" w:cs="Times New Roman"/>
          <w:bCs/>
        </w:rPr>
        <w:fldChar w:fldCharType="begin"/>
      </w:r>
      <w:r w:rsidRPr="00C91EA2">
        <w:rPr>
          <w:rFonts w:ascii="Times New Roman" w:hAnsi="Times New Roman" w:cs="Times New Roman"/>
          <w:bCs/>
        </w:rPr>
        <w:instrText xml:space="preserve"> REF _Ref497309084 \h  \* MERGEFORMAT </w:instrText>
      </w:r>
      <w:r w:rsidRPr="00C91EA2">
        <w:rPr>
          <w:rFonts w:ascii="Times New Roman" w:hAnsi="Times New Roman" w:cs="Times New Roman"/>
          <w:bCs/>
        </w:rPr>
      </w:r>
      <w:r w:rsidRPr="00C91EA2">
        <w:rPr>
          <w:rFonts w:ascii="Times New Roman" w:hAnsi="Times New Roman" w:cs="Times New Roman"/>
          <w:bCs/>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62</w:t>
      </w:r>
      <w:r w:rsidRPr="00C91EA2">
        <w:rPr>
          <w:rFonts w:ascii="Times New Roman" w:hAnsi="Times New Roman" w:cs="Times New Roman"/>
          <w:bCs/>
        </w:rPr>
        <w:fldChar w:fldCharType="end"/>
      </w:r>
      <w:r w:rsidRPr="00C91EA2">
        <w:rPr>
          <w:rFonts w:ascii="Times New Roman" w:hAnsi="Times New Roman" w:cs="Times New Roman"/>
          <w:bCs/>
        </w:rPr>
        <w:t xml:space="preserve">). </w:t>
      </w:r>
      <w:r w:rsidR="00C92AEA">
        <w:rPr>
          <w:rFonts w:ascii="Times New Roman" w:hAnsi="Times New Roman" w:cs="Times New Roman"/>
          <w:bCs/>
        </w:rPr>
        <w:t>Market share distribution among operators and HHI figures have remained stable, despite the general decrease in ARPU observed during the last decade (</w:t>
      </w:r>
      <w:r w:rsidR="00995A66">
        <w:rPr>
          <w:rFonts w:ascii="Times New Roman" w:hAnsi="Times New Roman" w:cs="Times New Roman"/>
          <w:bCs/>
        </w:rPr>
        <w:fldChar w:fldCharType="begin"/>
      </w:r>
      <w:r w:rsidR="00995A66">
        <w:rPr>
          <w:rFonts w:ascii="Times New Roman" w:hAnsi="Times New Roman" w:cs="Times New Roman"/>
          <w:bCs/>
        </w:rPr>
        <w:instrText xml:space="preserve"> REF _Ref520478860 \h </w:instrText>
      </w:r>
      <w:r w:rsidR="00995A66">
        <w:rPr>
          <w:rFonts w:ascii="Times New Roman" w:hAnsi="Times New Roman" w:cs="Times New Roman"/>
          <w:bCs/>
        </w:rPr>
      </w:r>
      <w:r w:rsidR="00995A66">
        <w:rPr>
          <w:rFonts w:ascii="Times New Roman" w:hAnsi="Times New Roman" w:cs="Times New Roman"/>
          <w:bCs/>
        </w:rPr>
        <w:fldChar w:fldCharType="separate"/>
      </w:r>
      <w:r w:rsidR="008261B2" w:rsidRPr="00B57E98">
        <w:rPr>
          <w:rFonts w:ascii="Times New Roman" w:hAnsi="Times New Roman"/>
        </w:rPr>
        <w:t xml:space="preserve">Figure </w:t>
      </w:r>
      <w:r w:rsidR="008261B2">
        <w:rPr>
          <w:rFonts w:ascii="Times New Roman" w:hAnsi="Times New Roman"/>
          <w:noProof/>
        </w:rPr>
        <w:t>63</w:t>
      </w:r>
      <w:r w:rsidR="00995A66">
        <w:rPr>
          <w:rFonts w:ascii="Times New Roman" w:hAnsi="Times New Roman" w:cs="Times New Roman"/>
          <w:bCs/>
        </w:rPr>
        <w:fldChar w:fldCharType="end"/>
      </w:r>
      <w:r w:rsidR="00995A66">
        <w:rPr>
          <w:rFonts w:ascii="Times New Roman" w:hAnsi="Times New Roman" w:cs="Times New Roman"/>
          <w:bCs/>
        </w:rPr>
        <w:t xml:space="preserve"> and </w:t>
      </w:r>
      <w:r w:rsidR="00995A66" w:rsidRPr="00995A66">
        <w:rPr>
          <w:rFonts w:ascii="Times New Roman" w:hAnsi="Times New Roman" w:cs="Times New Roman"/>
          <w:bCs/>
        </w:rPr>
        <w:fldChar w:fldCharType="begin"/>
      </w:r>
      <w:r w:rsidR="00995A66" w:rsidRPr="00995A66">
        <w:rPr>
          <w:rFonts w:ascii="Times New Roman" w:hAnsi="Times New Roman" w:cs="Times New Roman"/>
          <w:bCs/>
        </w:rPr>
        <w:instrText xml:space="preserve"> REF _Ref520478863 \h </w:instrText>
      </w:r>
      <w:r w:rsidR="00995A66" w:rsidRPr="007575D7">
        <w:rPr>
          <w:rFonts w:ascii="Times New Roman" w:hAnsi="Times New Roman" w:cs="Times New Roman"/>
          <w:bCs/>
        </w:rPr>
        <w:instrText xml:space="preserve"> \* MERGEFORMAT </w:instrText>
      </w:r>
      <w:r w:rsidR="00995A66" w:rsidRPr="00995A66">
        <w:rPr>
          <w:rFonts w:ascii="Times New Roman" w:hAnsi="Times New Roman" w:cs="Times New Roman"/>
          <w:bCs/>
        </w:rPr>
      </w:r>
      <w:r w:rsidR="00995A66" w:rsidRPr="00995A66">
        <w:rPr>
          <w:rFonts w:ascii="Times New Roman" w:hAnsi="Times New Roman" w:cs="Times New Roman"/>
          <w:bCs/>
        </w:rPr>
        <w:fldChar w:fldCharType="separate"/>
      </w:r>
      <w:r w:rsidR="008261B2" w:rsidRPr="008261B2">
        <w:rPr>
          <w:rFonts w:ascii="Times New Roman" w:hAnsi="Times New Roman"/>
        </w:rPr>
        <w:t xml:space="preserve">Figure </w:t>
      </w:r>
      <w:r w:rsidR="008261B2" w:rsidRPr="008261B2">
        <w:rPr>
          <w:rFonts w:ascii="Times New Roman" w:hAnsi="Times New Roman"/>
          <w:noProof/>
        </w:rPr>
        <w:t>64</w:t>
      </w:r>
      <w:r w:rsidR="00995A66" w:rsidRPr="00995A66">
        <w:rPr>
          <w:rFonts w:ascii="Times New Roman" w:hAnsi="Times New Roman" w:cs="Times New Roman"/>
          <w:bCs/>
        </w:rPr>
        <w:fldChar w:fldCharType="end"/>
      </w:r>
      <w:r w:rsidR="00C92AEA">
        <w:rPr>
          <w:rFonts w:ascii="Times New Roman" w:hAnsi="Times New Roman" w:cs="Times New Roman"/>
          <w:bCs/>
        </w:rPr>
        <w:t xml:space="preserve">). </w:t>
      </w:r>
      <w:r w:rsidRPr="00C91EA2">
        <w:rPr>
          <w:rFonts w:ascii="Times New Roman" w:hAnsi="Times New Roman" w:cs="Times New Roman"/>
          <w:bCs/>
        </w:rPr>
        <w:t>These HHI numbers are high also in comparison to peer countries (</w:t>
      </w:r>
      <w:r w:rsidRPr="00C91EA2">
        <w:rPr>
          <w:rFonts w:ascii="Times New Roman" w:hAnsi="Times New Roman" w:cs="Times New Roman"/>
          <w:bCs/>
        </w:rPr>
        <w:fldChar w:fldCharType="begin"/>
      </w:r>
      <w:r w:rsidRPr="00C91EA2">
        <w:rPr>
          <w:rFonts w:ascii="Times New Roman" w:hAnsi="Times New Roman" w:cs="Times New Roman"/>
          <w:bCs/>
        </w:rPr>
        <w:instrText xml:space="preserve"> REF _Ref497925842 \h  \* MERGEFORMAT </w:instrText>
      </w:r>
      <w:r w:rsidRPr="00C91EA2">
        <w:rPr>
          <w:rFonts w:ascii="Times New Roman" w:hAnsi="Times New Roman" w:cs="Times New Roman"/>
          <w:bCs/>
        </w:rPr>
      </w:r>
      <w:r w:rsidRPr="00C91EA2">
        <w:rPr>
          <w:rFonts w:ascii="Times New Roman" w:hAnsi="Times New Roman" w:cs="Times New Roman"/>
          <w:bCs/>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65</w:t>
      </w:r>
      <w:r w:rsidRPr="00C91EA2">
        <w:rPr>
          <w:rFonts w:ascii="Times New Roman" w:hAnsi="Times New Roman" w:cs="Times New Roman"/>
          <w:bCs/>
        </w:rPr>
        <w:fldChar w:fldCharType="end"/>
      </w:r>
      <w:r w:rsidRPr="00C91EA2">
        <w:rPr>
          <w:rFonts w:ascii="Times New Roman" w:hAnsi="Times New Roman" w:cs="Times New Roman"/>
          <w:bCs/>
        </w:rPr>
        <w:t xml:space="preserve">). While it is not unusual for certain telecom market segments to be concentrated, some segments in Senegal have </w:t>
      </w:r>
      <w:proofErr w:type="gramStart"/>
      <w:r w:rsidRPr="00C91EA2">
        <w:rPr>
          <w:rFonts w:ascii="Times New Roman" w:hAnsi="Times New Roman" w:cs="Times New Roman"/>
          <w:bCs/>
        </w:rPr>
        <w:t>actually become</w:t>
      </w:r>
      <w:proofErr w:type="gramEnd"/>
      <w:r w:rsidRPr="00C91EA2">
        <w:rPr>
          <w:rFonts w:ascii="Times New Roman" w:hAnsi="Times New Roman" w:cs="Times New Roman"/>
          <w:bCs/>
        </w:rPr>
        <w:t xml:space="preserve"> more concentrated over time. For example, </w:t>
      </w:r>
      <w:r>
        <w:rPr>
          <w:rFonts w:ascii="Times New Roman" w:hAnsi="Times New Roman" w:cs="Times New Roman"/>
          <w:bCs/>
        </w:rPr>
        <w:t xml:space="preserve">whilst </w:t>
      </w:r>
      <w:r w:rsidRPr="00C91EA2">
        <w:rPr>
          <w:rFonts w:ascii="Times New Roman" w:hAnsi="Times New Roman" w:cs="Times New Roman"/>
          <w:bCs/>
        </w:rPr>
        <w:t>in the late 1990s, there were more than 15 internet service providers (ISPs)</w:t>
      </w:r>
      <w:r>
        <w:rPr>
          <w:rFonts w:ascii="Times New Roman" w:hAnsi="Times New Roman" w:cs="Times New Roman"/>
          <w:bCs/>
        </w:rPr>
        <w:t>,</w:t>
      </w:r>
      <w:r w:rsidRPr="00C91EA2">
        <w:rPr>
          <w:rFonts w:ascii="Times New Roman" w:hAnsi="Times New Roman" w:cs="Times New Roman"/>
          <w:bCs/>
        </w:rPr>
        <w:t xml:space="preserve"> </w:t>
      </w:r>
      <w:r w:rsidR="00701296">
        <w:rPr>
          <w:rFonts w:ascii="Times New Roman" w:hAnsi="Times New Roman" w:cs="Times New Roman"/>
          <w:bCs/>
        </w:rPr>
        <w:t>four</w:t>
      </w:r>
      <w:r>
        <w:rPr>
          <w:rFonts w:ascii="Times New Roman" w:hAnsi="Times New Roman" w:cs="Times New Roman"/>
          <w:bCs/>
        </w:rPr>
        <w:t xml:space="preserve"> </w:t>
      </w:r>
      <w:r w:rsidR="00BE726B">
        <w:rPr>
          <w:rFonts w:ascii="Times New Roman" w:hAnsi="Times New Roman" w:cs="Times New Roman"/>
          <w:bCs/>
        </w:rPr>
        <w:t>ISPs are in the market</w:t>
      </w:r>
      <w:r w:rsidRPr="00C91EA2">
        <w:rPr>
          <w:rFonts w:ascii="Times New Roman" w:hAnsi="Times New Roman" w:cs="Times New Roman"/>
          <w:bCs/>
        </w:rPr>
        <w:t xml:space="preserve"> today</w:t>
      </w:r>
      <w:r>
        <w:rPr>
          <w:rFonts w:ascii="Times New Roman" w:hAnsi="Times New Roman" w:cs="Times New Roman"/>
          <w:bCs/>
        </w:rPr>
        <w:t xml:space="preserve">, primarily because ISPs were not authorized </w:t>
      </w:r>
      <w:r w:rsidRPr="00530B72">
        <w:rPr>
          <w:rFonts w:ascii="Times New Roman" w:hAnsi="Times New Roman" w:cs="Times New Roman"/>
          <w:bCs/>
        </w:rPr>
        <w:t>to deploy their own infrastructure</w:t>
      </w:r>
      <w:r>
        <w:rPr>
          <w:rFonts w:ascii="Times New Roman" w:hAnsi="Times New Roman" w:cs="Times New Roman"/>
          <w:bCs/>
        </w:rPr>
        <w:t xml:space="preserve">, thus having to rent </w:t>
      </w:r>
      <w:proofErr w:type="spellStart"/>
      <w:r w:rsidRPr="00530B72">
        <w:rPr>
          <w:rFonts w:ascii="Times New Roman" w:hAnsi="Times New Roman" w:cs="Times New Roman"/>
          <w:bCs/>
        </w:rPr>
        <w:t>Sonatel’s</w:t>
      </w:r>
      <w:proofErr w:type="spellEnd"/>
      <w:r w:rsidRPr="00530B72">
        <w:rPr>
          <w:rFonts w:ascii="Times New Roman" w:hAnsi="Times New Roman" w:cs="Times New Roman"/>
          <w:bCs/>
        </w:rPr>
        <w:t xml:space="preserve"> infrastructure</w:t>
      </w:r>
      <w:r>
        <w:rPr>
          <w:rFonts w:ascii="Times New Roman" w:hAnsi="Times New Roman" w:cs="Times New Roman"/>
          <w:bCs/>
        </w:rPr>
        <w:t xml:space="preserve"> for excessive prices that inevitably led to market foreclosure</w:t>
      </w:r>
      <w:r w:rsidRPr="00C91EA2">
        <w:rPr>
          <w:rFonts w:ascii="Times New Roman" w:hAnsi="Times New Roman" w:cs="Times New Roman"/>
          <w:bCs/>
        </w:rPr>
        <w:t>.</w:t>
      </w:r>
    </w:p>
    <w:p w14:paraId="132DE9B7" w14:textId="77777777" w:rsidR="00960DD3" w:rsidRDefault="00960DD3" w:rsidP="00960DD3">
      <w:pPr>
        <w:pStyle w:val="ListParagraph"/>
        <w:ind w:left="0"/>
        <w:jc w:val="both"/>
        <w:rPr>
          <w:rFonts w:ascii="Times New Roman" w:hAnsi="Times New Roman" w:cs="Times New Roman"/>
          <w:bCs/>
        </w:rPr>
      </w:pPr>
    </w:p>
    <w:p w14:paraId="446E5A19" w14:textId="7618B939" w:rsidR="00960DD3" w:rsidRPr="00960DD3" w:rsidRDefault="00960DD3" w:rsidP="006018AA">
      <w:pPr>
        <w:pStyle w:val="ListParagraph"/>
        <w:numPr>
          <w:ilvl w:val="0"/>
          <w:numId w:val="71"/>
        </w:numPr>
        <w:ind w:left="0" w:firstLine="0"/>
        <w:jc w:val="both"/>
        <w:rPr>
          <w:rFonts w:ascii="Times New Roman" w:hAnsi="Times New Roman" w:cs="Times New Roman"/>
        </w:rPr>
      </w:pPr>
      <w:r w:rsidRPr="00960DD3">
        <w:rPr>
          <w:rFonts w:ascii="Times New Roman" w:hAnsi="Times New Roman" w:cs="Times New Roman"/>
          <w:b/>
        </w:rPr>
        <w:t xml:space="preserve">Furthermore, markets that are not yet fully-functioning may hinder the incentives and ability for the market players to roll out improved technologies. </w:t>
      </w:r>
      <w:r w:rsidRPr="00960DD3">
        <w:rPr>
          <w:rFonts w:ascii="Times New Roman" w:hAnsi="Times New Roman" w:cs="Times New Roman"/>
        </w:rPr>
        <w:t xml:space="preserve">For instance, while 32 African countries had already developed next generation 4G networks in 2016, including neighboring countries such as Cote D’Ivoire, Ghana, Gambia, Benin (see </w:t>
      </w:r>
      <w:r w:rsidRPr="00960DD3">
        <w:rPr>
          <w:rFonts w:ascii="Times New Roman" w:hAnsi="Times New Roman" w:cs="Times New Roman"/>
        </w:rPr>
        <w:fldChar w:fldCharType="begin"/>
      </w:r>
      <w:r w:rsidRPr="00960DD3">
        <w:rPr>
          <w:rFonts w:ascii="Times New Roman" w:hAnsi="Times New Roman" w:cs="Times New Roman"/>
        </w:rPr>
        <w:instrText xml:space="preserve"> REF _Ref497311098 \h  \* MERGEFORMAT </w:instrText>
      </w:r>
      <w:r w:rsidRPr="00960DD3">
        <w:rPr>
          <w:rFonts w:ascii="Times New Roman" w:hAnsi="Times New Roman" w:cs="Times New Roman"/>
        </w:rPr>
      </w:r>
      <w:r w:rsidRPr="00960DD3">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66</w:t>
      </w:r>
      <w:r w:rsidRPr="00960DD3">
        <w:rPr>
          <w:rFonts w:ascii="Times New Roman" w:hAnsi="Times New Roman" w:cs="Times New Roman"/>
        </w:rPr>
        <w:fldChar w:fldCharType="end"/>
      </w:r>
      <w:r w:rsidRPr="00960DD3">
        <w:rPr>
          <w:rFonts w:ascii="Times New Roman" w:hAnsi="Times New Roman" w:cs="Times New Roman"/>
        </w:rPr>
        <w:t>), Senegal is still awaiting the full development of its own 4G network. By 2016, 74 4G networks were available in 32 African countries, compared to only 1 country in 2011, a trend largely missed by Senegal (</w:t>
      </w:r>
      <w:r w:rsidRPr="00960DD3">
        <w:rPr>
          <w:rFonts w:ascii="Times New Roman" w:hAnsi="Times New Roman" w:cs="Times New Roman"/>
        </w:rPr>
        <w:fldChar w:fldCharType="begin"/>
      </w:r>
      <w:r w:rsidRPr="00960DD3">
        <w:rPr>
          <w:rFonts w:ascii="Times New Roman" w:hAnsi="Times New Roman" w:cs="Times New Roman"/>
        </w:rPr>
        <w:instrText xml:space="preserve"> REF _Ref497310942 \h  \* MERGEFORMAT </w:instrText>
      </w:r>
      <w:r w:rsidRPr="00960DD3">
        <w:rPr>
          <w:rFonts w:ascii="Times New Roman" w:hAnsi="Times New Roman" w:cs="Times New Roman"/>
        </w:rPr>
      </w:r>
      <w:r w:rsidRPr="00960DD3">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80</w:t>
      </w:r>
      <w:r w:rsidRPr="00960DD3">
        <w:rPr>
          <w:rFonts w:ascii="Times New Roman" w:hAnsi="Times New Roman" w:cs="Times New Roman"/>
        </w:rPr>
        <w:fldChar w:fldCharType="end"/>
      </w:r>
      <w:r w:rsidRPr="00960DD3">
        <w:rPr>
          <w:rFonts w:ascii="Times New Roman" w:hAnsi="Times New Roman" w:cs="Times New Roman"/>
        </w:rPr>
        <w:t xml:space="preserve"> in Annex 6). Spectrum for 4G is still available in Senegal - and a plan to assign this spectrum under a process that can promote competition will be key for the effectiveness of 4G network deployment. Section 5.2.3 covers this issue in more detail.</w:t>
      </w:r>
    </w:p>
    <w:p w14:paraId="47C1356C" w14:textId="77777777" w:rsidR="00674D59" w:rsidRPr="007575D7" w:rsidRDefault="00674D59" w:rsidP="007575D7">
      <w:pPr>
        <w:pStyle w:val="Caption"/>
        <w:keepNext/>
        <w:rPr>
          <w:rFonts w:ascii="Times New Roman" w:eastAsiaTheme="minorHAnsi" w:hAnsi="Times New Roman"/>
        </w:rPr>
      </w:pPr>
    </w:p>
    <w:tbl>
      <w:tblPr>
        <w:tblStyle w:val="TableGrid"/>
        <w:tblW w:w="0" w:type="auto"/>
        <w:tblLook w:val="04A0" w:firstRow="1" w:lastRow="0" w:firstColumn="1" w:lastColumn="0" w:noHBand="0" w:noVBand="1"/>
      </w:tblPr>
      <w:tblGrid>
        <w:gridCol w:w="3413"/>
        <w:gridCol w:w="2630"/>
        <w:gridCol w:w="2587"/>
      </w:tblGrid>
      <w:tr w:rsidR="006018AA" w:rsidRPr="00C91EA2" w14:paraId="2136EA46" w14:textId="77777777" w:rsidTr="00FA09FE">
        <w:tc>
          <w:tcPr>
            <w:tcW w:w="8630" w:type="dxa"/>
            <w:gridSpan w:val="3"/>
            <w:tcBorders>
              <w:top w:val="single" w:sz="4" w:space="0" w:color="auto"/>
              <w:left w:val="single" w:sz="4" w:space="0" w:color="auto"/>
              <w:bottom w:val="single" w:sz="4" w:space="0" w:color="auto"/>
              <w:right w:val="single" w:sz="4" w:space="0" w:color="auto"/>
            </w:tcBorders>
            <w:hideMark/>
          </w:tcPr>
          <w:p w14:paraId="34D31770" w14:textId="5CC1F986" w:rsidR="006018AA" w:rsidRPr="00C91EA2" w:rsidRDefault="00674D59" w:rsidP="00FA09FE">
            <w:pPr>
              <w:pStyle w:val="Caption"/>
              <w:keepNext/>
              <w:jc w:val="both"/>
              <w:rPr>
                <w:rFonts w:ascii="Times New Roman" w:hAnsi="Times New Roman"/>
              </w:rPr>
            </w:pPr>
            <w:bookmarkStart w:id="274" w:name="_Ref497309084"/>
            <w:bookmarkStart w:id="275" w:name="_Toc520725618"/>
            <w:r w:rsidRPr="00B57E98">
              <w:rPr>
                <w:rFonts w:ascii="Times New Roman" w:hAnsi="Times New Roman"/>
              </w:rPr>
              <w:t xml:space="preserve">Figure </w:t>
            </w:r>
            <w:r w:rsidRPr="00B57E98">
              <w:rPr>
                <w:rFonts w:ascii="Times New Roman" w:hAnsi="Times New Roman"/>
              </w:rPr>
              <w:fldChar w:fldCharType="begin"/>
            </w:r>
            <w:r w:rsidRPr="00B57E98">
              <w:rPr>
                <w:rFonts w:ascii="Times New Roman" w:hAnsi="Times New Roman"/>
              </w:rPr>
              <w:instrText xml:space="preserve"> SEQ Figure \* ARABIC </w:instrText>
            </w:r>
            <w:r w:rsidRPr="00B57E98">
              <w:rPr>
                <w:rFonts w:ascii="Times New Roman" w:hAnsi="Times New Roman"/>
              </w:rPr>
              <w:fldChar w:fldCharType="separate"/>
            </w:r>
            <w:r w:rsidR="008261B2">
              <w:rPr>
                <w:rFonts w:ascii="Times New Roman" w:hAnsi="Times New Roman"/>
                <w:noProof/>
              </w:rPr>
              <w:t>62</w:t>
            </w:r>
            <w:r w:rsidRPr="00B57E98">
              <w:rPr>
                <w:rFonts w:ascii="Times New Roman" w:hAnsi="Times New Roman"/>
              </w:rPr>
              <w:fldChar w:fldCharType="end"/>
            </w:r>
            <w:bookmarkEnd w:id="274"/>
            <w:r w:rsidR="006018AA" w:rsidRPr="00C91EA2">
              <w:rPr>
                <w:rFonts w:ascii="Times New Roman" w:hAnsi="Times New Roman"/>
              </w:rPr>
              <w:t>: Market Shares of Mobile Operators as of December 2016</w:t>
            </w:r>
            <w:bookmarkEnd w:id="275"/>
          </w:p>
        </w:tc>
      </w:tr>
      <w:tr w:rsidR="006018AA" w:rsidRPr="00C91EA2" w14:paraId="53226514" w14:textId="77777777" w:rsidTr="007575D7">
        <w:tc>
          <w:tcPr>
            <w:tcW w:w="3396" w:type="dxa"/>
            <w:tcBorders>
              <w:top w:val="single" w:sz="4" w:space="0" w:color="auto"/>
              <w:left w:val="single" w:sz="4" w:space="0" w:color="auto"/>
              <w:bottom w:val="single" w:sz="4" w:space="0" w:color="auto"/>
              <w:right w:val="nil"/>
            </w:tcBorders>
            <w:hideMark/>
          </w:tcPr>
          <w:p w14:paraId="52C636F3" w14:textId="77777777" w:rsidR="006018AA" w:rsidRPr="00C91EA2" w:rsidRDefault="006018AA" w:rsidP="00FA09FE">
            <w:pPr>
              <w:jc w:val="both"/>
              <w:rPr>
                <w:rFonts w:ascii="Times New Roman" w:hAnsi="Times New Roman" w:cs="Times New Roman"/>
              </w:rPr>
            </w:pPr>
            <w:r>
              <w:rPr>
                <w:noProof/>
              </w:rPr>
              <w:drawing>
                <wp:inline distT="0" distB="0" distL="0" distR="0" wp14:anchorId="654BF280" wp14:editId="2DA2F5F0">
                  <wp:extent cx="2000250" cy="1504950"/>
                  <wp:effectExtent l="0" t="0" r="6350" b="0"/>
                  <wp:docPr id="3" name="Chart 3">
                    <a:extLst xmlns:a="http://schemas.openxmlformats.org/drawingml/2006/main">
                      <a:ext uri="{FF2B5EF4-FFF2-40B4-BE49-F238E27FC236}">
                        <a16:creationId xmlns:a16="http://schemas.microsoft.com/office/drawing/2014/main" id="{DDE70DE1-1B1B-4900-ADAD-7E51F61DC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2661" w:type="dxa"/>
            <w:tcBorders>
              <w:top w:val="single" w:sz="4" w:space="0" w:color="auto"/>
              <w:left w:val="nil"/>
              <w:bottom w:val="single" w:sz="4" w:space="0" w:color="auto"/>
              <w:right w:val="nil"/>
            </w:tcBorders>
            <w:hideMark/>
          </w:tcPr>
          <w:p w14:paraId="1936F8F9" w14:textId="77777777" w:rsidR="006018AA" w:rsidRPr="00C91EA2" w:rsidRDefault="006018AA" w:rsidP="00FA09FE">
            <w:pPr>
              <w:jc w:val="both"/>
              <w:rPr>
                <w:rFonts w:ascii="Times New Roman" w:hAnsi="Times New Roman" w:cs="Times New Roman"/>
              </w:rPr>
            </w:pPr>
            <w:r w:rsidRPr="00C91EA2">
              <w:rPr>
                <w:rFonts w:ascii="Times New Roman" w:hAnsi="Times New Roman" w:cs="Times New Roman"/>
                <w:noProof/>
              </w:rPr>
              <w:drawing>
                <wp:inline distT="0" distB="0" distL="0" distR="0" wp14:anchorId="5FC1BF11" wp14:editId="26CBE8F0">
                  <wp:extent cx="1485900" cy="1466850"/>
                  <wp:effectExtent l="0" t="0" r="0" b="0"/>
                  <wp:docPr id="112" name="Chart 112">
                    <a:extLst xmlns:a="http://schemas.openxmlformats.org/drawingml/2006/main">
                      <a:ext uri="{FF2B5EF4-FFF2-40B4-BE49-F238E27FC236}">
                        <a16:creationId xmlns:a16="http://schemas.microsoft.com/office/drawing/2014/main" id="{10E03092-66EE-4F8F-AF35-C9C134708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2573" w:type="dxa"/>
            <w:tcBorders>
              <w:top w:val="single" w:sz="4" w:space="0" w:color="auto"/>
              <w:left w:val="nil"/>
              <w:bottom w:val="single" w:sz="4" w:space="0" w:color="auto"/>
              <w:right w:val="single" w:sz="4" w:space="0" w:color="auto"/>
            </w:tcBorders>
            <w:hideMark/>
          </w:tcPr>
          <w:p w14:paraId="6CFA2320" w14:textId="77777777" w:rsidR="006018AA" w:rsidRPr="00C91EA2" w:rsidRDefault="006018AA" w:rsidP="00FA09FE">
            <w:pPr>
              <w:jc w:val="both"/>
              <w:rPr>
                <w:rFonts w:ascii="Times New Roman" w:hAnsi="Times New Roman" w:cs="Times New Roman"/>
                <w:noProof/>
              </w:rPr>
            </w:pPr>
            <w:r w:rsidRPr="00C91EA2">
              <w:rPr>
                <w:rFonts w:ascii="Times New Roman" w:hAnsi="Times New Roman" w:cs="Times New Roman"/>
                <w:noProof/>
              </w:rPr>
              <w:drawing>
                <wp:inline distT="0" distB="0" distL="0" distR="0" wp14:anchorId="77B3F907" wp14:editId="4E658A70">
                  <wp:extent cx="1485900" cy="1543050"/>
                  <wp:effectExtent l="0" t="0" r="0" b="0"/>
                  <wp:docPr id="110" name="Chart 110">
                    <a:extLst xmlns:a="http://schemas.openxmlformats.org/drawingml/2006/main">
                      <a:ext uri="{FF2B5EF4-FFF2-40B4-BE49-F238E27FC236}">
                        <a16:creationId xmlns:a16="http://schemas.microsoft.com/office/drawing/2014/main" id="{540A88F0-167C-4BA0-B00B-49B18E37E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6018AA" w:rsidRPr="00C91EA2" w14:paraId="6FFFDD05" w14:textId="77777777" w:rsidTr="00FA09FE">
        <w:tc>
          <w:tcPr>
            <w:tcW w:w="8630" w:type="dxa"/>
            <w:gridSpan w:val="3"/>
            <w:tcBorders>
              <w:top w:val="single" w:sz="4" w:space="0" w:color="auto"/>
              <w:left w:val="single" w:sz="4" w:space="0" w:color="auto"/>
              <w:bottom w:val="single" w:sz="4" w:space="0" w:color="auto"/>
              <w:right w:val="single" w:sz="4" w:space="0" w:color="auto"/>
            </w:tcBorders>
            <w:hideMark/>
          </w:tcPr>
          <w:p w14:paraId="698CA42D" w14:textId="77777777" w:rsidR="006018AA" w:rsidRPr="00C91EA2" w:rsidRDefault="006018AA" w:rsidP="00FA09FE">
            <w:pPr>
              <w:jc w:val="both"/>
              <w:rPr>
                <w:rFonts w:ascii="Times New Roman" w:hAnsi="Times New Roman" w:cs="Times New Roman"/>
                <w:noProof/>
                <w:sz w:val="20"/>
              </w:rPr>
            </w:pPr>
            <w:r w:rsidRPr="00C91EA2">
              <w:rPr>
                <w:rFonts w:ascii="Times New Roman" w:hAnsi="Times New Roman" w:cs="Times New Roman"/>
                <w:noProof/>
                <w:sz w:val="20"/>
              </w:rPr>
              <w:t>Source: ARTP (2016) and authors’ estimations based on World Bank Survey</w:t>
            </w:r>
          </w:p>
          <w:p w14:paraId="53835279" w14:textId="02C87F7B" w:rsidR="006018AA" w:rsidRPr="00C91EA2" w:rsidRDefault="006018AA" w:rsidP="00FA09FE">
            <w:pPr>
              <w:jc w:val="both"/>
              <w:rPr>
                <w:rFonts w:ascii="Times New Roman" w:hAnsi="Times New Roman" w:cs="Times New Roman"/>
                <w:noProof/>
                <w:sz w:val="20"/>
              </w:rPr>
            </w:pPr>
            <w:r w:rsidRPr="00C91EA2">
              <w:rPr>
                <w:rFonts w:ascii="Times New Roman" w:hAnsi="Times New Roman" w:cs="Times New Roman"/>
                <w:noProof/>
                <w:sz w:val="20"/>
              </w:rPr>
              <w:t>Note: the two graphs on the left represent market shares for mobile telephony by subscribers and by value, respectively; the graph on the righ</w:t>
            </w:r>
            <w:r w:rsidR="00F72D6A">
              <w:rPr>
                <w:rFonts w:ascii="Times New Roman" w:hAnsi="Times New Roman" w:cs="Times New Roman"/>
                <w:noProof/>
                <w:sz w:val="20"/>
              </w:rPr>
              <w:t>t</w:t>
            </w:r>
            <w:r w:rsidRPr="00C91EA2">
              <w:rPr>
                <w:rFonts w:ascii="Times New Roman" w:hAnsi="Times New Roman" w:cs="Times New Roman"/>
                <w:noProof/>
                <w:sz w:val="20"/>
              </w:rPr>
              <w:t xml:space="preserve"> shows market shares for mobile internet based on value</w:t>
            </w:r>
          </w:p>
        </w:tc>
      </w:tr>
      <w:tr w:rsidR="004353F2" w:rsidRPr="00C91EA2" w14:paraId="3326B027" w14:textId="77777777" w:rsidTr="00FA09FE">
        <w:tc>
          <w:tcPr>
            <w:tcW w:w="8630" w:type="dxa"/>
            <w:gridSpan w:val="3"/>
            <w:tcBorders>
              <w:top w:val="single" w:sz="4" w:space="0" w:color="auto"/>
              <w:left w:val="single" w:sz="4" w:space="0" w:color="auto"/>
              <w:bottom w:val="single" w:sz="4" w:space="0" w:color="auto"/>
              <w:right w:val="single" w:sz="4" w:space="0" w:color="auto"/>
            </w:tcBorders>
          </w:tcPr>
          <w:p w14:paraId="45CF0CB1" w14:textId="78CE233D" w:rsidR="00674D59" w:rsidRPr="007575D7" w:rsidRDefault="00F663A2" w:rsidP="00674D59">
            <w:pPr>
              <w:pStyle w:val="Caption"/>
              <w:keepNext/>
              <w:jc w:val="both"/>
            </w:pPr>
            <w:bookmarkStart w:id="276" w:name="_Ref520478860"/>
            <w:bookmarkStart w:id="277" w:name="_Toc520725619"/>
            <w:r w:rsidRPr="00B57E98">
              <w:rPr>
                <w:rFonts w:ascii="Times New Roman" w:hAnsi="Times New Roman"/>
              </w:rPr>
              <w:t xml:space="preserve">Figure </w:t>
            </w:r>
            <w:r w:rsidRPr="00B57E98">
              <w:rPr>
                <w:rFonts w:ascii="Times New Roman" w:hAnsi="Times New Roman"/>
              </w:rPr>
              <w:fldChar w:fldCharType="begin"/>
            </w:r>
            <w:r w:rsidRPr="00B57E98">
              <w:rPr>
                <w:rFonts w:ascii="Times New Roman" w:hAnsi="Times New Roman"/>
              </w:rPr>
              <w:instrText xml:space="preserve"> SEQ Figure \* ARABIC </w:instrText>
            </w:r>
            <w:r w:rsidRPr="00B57E98">
              <w:rPr>
                <w:rFonts w:ascii="Times New Roman" w:hAnsi="Times New Roman"/>
              </w:rPr>
              <w:fldChar w:fldCharType="separate"/>
            </w:r>
            <w:r w:rsidR="008261B2">
              <w:rPr>
                <w:rFonts w:ascii="Times New Roman" w:hAnsi="Times New Roman"/>
                <w:noProof/>
              </w:rPr>
              <w:t>63</w:t>
            </w:r>
            <w:r w:rsidRPr="00B57E98">
              <w:rPr>
                <w:rFonts w:ascii="Times New Roman" w:hAnsi="Times New Roman"/>
              </w:rPr>
              <w:fldChar w:fldCharType="end"/>
            </w:r>
            <w:bookmarkEnd w:id="276"/>
            <w:r w:rsidRPr="00C91EA2">
              <w:rPr>
                <w:rFonts w:ascii="Times New Roman" w:hAnsi="Times New Roman"/>
              </w:rPr>
              <w:t xml:space="preserve">: </w:t>
            </w:r>
            <w:r w:rsidRPr="00C92AEA">
              <w:rPr>
                <w:rFonts w:ascii="Times New Roman" w:hAnsi="Times New Roman"/>
              </w:rPr>
              <w:t>Market share distribution among operators and market concentration index in the mobile phone market</w:t>
            </w:r>
            <w:bookmarkEnd w:id="277"/>
            <w:r w:rsidRPr="00C91EA2" w:rsidDel="00674D59">
              <w:rPr>
                <w:rFonts w:ascii="Times New Roman" w:hAnsi="Times New Roman"/>
              </w:rPr>
              <w:t xml:space="preserve"> </w:t>
            </w:r>
          </w:p>
        </w:tc>
      </w:tr>
      <w:tr w:rsidR="004353F2" w:rsidRPr="00C91EA2" w14:paraId="3EFEAAA2" w14:textId="77777777" w:rsidTr="007575D7">
        <w:trPr>
          <w:trHeight w:val="4070"/>
        </w:trPr>
        <w:tc>
          <w:tcPr>
            <w:tcW w:w="8630" w:type="dxa"/>
            <w:gridSpan w:val="3"/>
            <w:tcBorders>
              <w:top w:val="single" w:sz="4" w:space="0" w:color="auto"/>
              <w:left w:val="single" w:sz="4" w:space="0" w:color="auto"/>
              <w:bottom w:val="single" w:sz="4" w:space="0" w:color="auto"/>
              <w:right w:val="single" w:sz="4" w:space="0" w:color="auto"/>
            </w:tcBorders>
          </w:tcPr>
          <w:p w14:paraId="6E409771" w14:textId="77777777" w:rsidR="004353F2" w:rsidRPr="00C91EA2" w:rsidRDefault="00C92AEA" w:rsidP="004353F2">
            <w:pPr>
              <w:pStyle w:val="Caption"/>
              <w:keepNext/>
              <w:jc w:val="both"/>
              <w:rPr>
                <w:rFonts w:ascii="Times New Roman" w:hAnsi="Times New Roman"/>
              </w:rPr>
            </w:pPr>
            <w:r>
              <w:rPr>
                <w:noProof/>
              </w:rPr>
              <w:drawing>
                <wp:inline distT="0" distB="0" distL="0" distR="0" wp14:anchorId="287CBF22" wp14:editId="54BD4A06">
                  <wp:extent cx="5407378" cy="2517140"/>
                  <wp:effectExtent l="0" t="0" r="3175" b="0"/>
                  <wp:docPr id="68" name="Chart 68">
                    <a:extLst xmlns:a="http://schemas.openxmlformats.org/drawingml/2006/main">
                      <a:ext uri="{FF2B5EF4-FFF2-40B4-BE49-F238E27FC236}">
                        <a16:creationId xmlns:a16="http://schemas.microsoft.com/office/drawing/2014/main" id="{6D3B5F3A-38F4-4E0B-843D-BE3A8D0B6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C92AEA" w:rsidRPr="00C91EA2" w14:paraId="4AA2A8EB" w14:textId="77777777" w:rsidTr="00FA09FE">
        <w:tc>
          <w:tcPr>
            <w:tcW w:w="8630" w:type="dxa"/>
            <w:gridSpan w:val="3"/>
            <w:tcBorders>
              <w:top w:val="single" w:sz="4" w:space="0" w:color="auto"/>
              <w:left w:val="single" w:sz="4" w:space="0" w:color="auto"/>
              <w:bottom w:val="single" w:sz="4" w:space="0" w:color="auto"/>
              <w:right w:val="single" w:sz="4" w:space="0" w:color="auto"/>
            </w:tcBorders>
          </w:tcPr>
          <w:p w14:paraId="4AE4E7EF" w14:textId="699CE5B4" w:rsidR="005C5CDE" w:rsidRPr="007575D7" w:rsidRDefault="005C5CDE" w:rsidP="005C5CDE">
            <w:pPr>
              <w:rPr>
                <w:b/>
                <w:sz w:val="20"/>
                <w:szCs w:val="20"/>
              </w:rPr>
            </w:pPr>
            <w:bookmarkStart w:id="278" w:name="_Ref520478863"/>
            <w:bookmarkStart w:id="279" w:name="_Toc520725620"/>
            <w:r w:rsidRPr="005C5CDE">
              <w:rPr>
                <w:rFonts w:ascii="Times New Roman" w:hAnsi="Times New Roman"/>
                <w:b/>
                <w:sz w:val="20"/>
                <w:szCs w:val="20"/>
              </w:rPr>
              <w:t xml:space="preserve">Figure </w:t>
            </w:r>
            <w:r w:rsidRPr="005C5CDE">
              <w:rPr>
                <w:rFonts w:ascii="Times New Roman" w:hAnsi="Times New Roman"/>
                <w:b/>
                <w:sz w:val="20"/>
                <w:szCs w:val="20"/>
              </w:rPr>
              <w:fldChar w:fldCharType="begin"/>
            </w:r>
            <w:r w:rsidRPr="005C5CDE">
              <w:rPr>
                <w:rFonts w:ascii="Times New Roman" w:hAnsi="Times New Roman"/>
                <w:b/>
                <w:sz w:val="20"/>
                <w:szCs w:val="20"/>
              </w:rPr>
              <w:instrText xml:space="preserve"> SEQ Figure \* ARABIC </w:instrText>
            </w:r>
            <w:r w:rsidRPr="005C5CDE">
              <w:rPr>
                <w:rFonts w:ascii="Times New Roman" w:hAnsi="Times New Roman"/>
                <w:b/>
                <w:sz w:val="20"/>
                <w:szCs w:val="20"/>
              </w:rPr>
              <w:fldChar w:fldCharType="separate"/>
            </w:r>
            <w:r w:rsidR="008261B2">
              <w:rPr>
                <w:rFonts w:ascii="Times New Roman" w:hAnsi="Times New Roman"/>
                <w:b/>
                <w:noProof/>
                <w:sz w:val="20"/>
                <w:szCs w:val="20"/>
              </w:rPr>
              <w:t>64</w:t>
            </w:r>
            <w:r w:rsidRPr="005C5CDE">
              <w:rPr>
                <w:rFonts w:ascii="Times New Roman" w:hAnsi="Times New Roman"/>
                <w:b/>
                <w:sz w:val="20"/>
                <w:szCs w:val="20"/>
              </w:rPr>
              <w:fldChar w:fldCharType="end"/>
            </w:r>
            <w:bookmarkEnd w:id="278"/>
            <w:r w:rsidRPr="007575D7">
              <w:rPr>
                <w:rFonts w:ascii="Times New Roman" w:hAnsi="Times New Roman"/>
                <w:b/>
                <w:sz w:val="20"/>
                <w:szCs w:val="20"/>
              </w:rPr>
              <w:t>: Evolution of market concentration (HHI) and ARPU levels in the mobile phone market</w:t>
            </w:r>
            <w:bookmarkEnd w:id="279"/>
          </w:p>
        </w:tc>
      </w:tr>
      <w:tr w:rsidR="00C92AEA" w:rsidRPr="00C91EA2" w14:paraId="2880DF41" w14:textId="77777777" w:rsidTr="007575D7">
        <w:trPr>
          <w:trHeight w:val="4288"/>
        </w:trPr>
        <w:tc>
          <w:tcPr>
            <w:tcW w:w="8630" w:type="dxa"/>
            <w:gridSpan w:val="3"/>
            <w:tcBorders>
              <w:top w:val="single" w:sz="4" w:space="0" w:color="auto"/>
              <w:left w:val="single" w:sz="4" w:space="0" w:color="auto"/>
              <w:bottom w:val="single" w:sz="4" w:space="0" w:color="auto"/>
              <w:right w:val="single" w:sz="4" w:space="0" w:color="auto"/>
            </w:tcBorders>
          </w:tcPr>
          <w:p w14:paraId="5D372B31" w14:textId="77777777" w:rsidR="00C92AEA" w:rsidRPr="00C91EA2" w:rsidRDefault="00C92AEA" w:rsidP="004353F2">
            <w:pPr>
              <w:pStyle w:val="Caption"/>
              <w:keepNext/>
              <w:jc w:val="both"/>
              <w:rPr>
                <w:rFonts w:ascii="Times New Roman" w:hAnsi="Times New Roman"/>
              </w:rPr>
            </w:pPr>
            <w:r>
              <w:rPr>
                <w:noProof/>
              </w:rPr>
              <w:drawing>
                <wp:inline distT="0" distB="0" distL="0" distR="0" wp14:anchorId="7CCDBDBD" wp14:editId="7BF4FBA2">
                  <wp:extent cx="5317067" cy="2675467"/>
                  <wp:effectExtent l="0" t="0" r="4445" b="4445"/>
                  <wp:docPr id="69" name="Chart 69">
                    <a:extLst xmlns:a="http://schemas.openxmlformats.org/drawingml/2006/main">
                      <a:ext uri="{FF2B5EF4-FFF2-40B4-BE49-F238E27FC236}">
                        <a16:creationId xmlns:a16="http://schemas.microsoft.com/office/drawing/2014/main" id="{264E9625-C18E-4821-A9D6-245022CB9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4353F2" w:rsidRPr="00C91EA2" w14:paraId="1B001A52" w14:textId="77777777" w:rsidTr="00FA09FE">
        <w:tc>
          <w:tcPr>
            <w:tcW w:w="8630" w:type="dxa"/>
            <w:gridSpan w:val="3"/>
            <w:tcBorders>
              <w:top w:val="single" w:sz="4" w:space="0" w:color="auto"/>
              <w:left w:val="single" w:sz="4" w:space="0" w:color="auto"/>
              <w:bottom w:val="single" w:sz="4" w:space="0" w:color="auto"/>
              <w:right w:val="single" w:sz="4" w:space="0" w:color="auto"/>
            </w:tcBorders>
            <w:hideMark/>
          </w:tcPr>
          <w:p w14:paraId="73017C07" w14:textId="53DF121A" w:rsidR="004353F2" w:rsidRPr="00C91EA2" w:rsidRDefault="004353F2" w:rsidP="004353F2">
            <w:pPr>
              <w:pStyle w:val="Caption"/>
              <w:keepNext/>
              <w:jc w:val="both"/>
              <w:rPr>
                <w:rFonts w:ascii="Times New Roman" w:hAnsi="Times New Roman"/>
              </w:rPr>
            </w:pPr>
            <w:bookmarkStart w:id="280" w:name="_Ref497925842"/>
            <w:bookmarkStart w:id="281" w:name="_Toc520725621"/>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65</w:t>
            </w:r>
            <w:r w:rsidR="00D91B27">
              <w:rPr>
                <w:rFonts w:ascii="Times New Roman" w:hAnsi="Times New Roman"/>
              </w:rPr>
              <w:fldChar w:fldCharType="end"/>
            </w:r>
            <w:bookmarkEnd w:id="280"/>
            <w:r w:rsidRPr="00C91EA2">
              <w:rPr>
                <w:rFonts w:ascii="Times New Roman" w:hAnsi="Times New Roman"/>
              </w:rPr>
              <w:t>: Mobile market concentration in selected countries (HHI based on subscribers)</w:t>
            </w:r>
            <w:bookmarkEnd w:id="281"/>
          </w:p>
        </w:tc>
      </w:tr>
      <w:tr w:rsidR="004353F2" w:rsidRPr="00C91EA2" w14:paraId="5874AD8B" w14:textId="77777777" w:rsidTr="00FA09FE">
        <w:tc>
          <w:tcPr>
            <w:tcW w:w="8630" w:type="dxa"/>
            <w:gridSpan w:val="3"/>
            <w:tcBorders>
              <w:top w:val="single" w:sz="4" w:space="0" w:color="auto"/>
              <w:left w:val="single" w:sz="4" w:space="0" w:color="auto"/>
              <w:bottom w:val="single" w:sz="4" w:space="0" w:color="auto"/>
              <w:right w:val="single" w:sz="4" w:space="0" w:color="auto"/>
            </w:tcBorders>
            <w:hideMark/>
          </w:tcPr>
          <w:p w14:paraId="6DFE8657" w14:textId="77777777" w:rsidR="004353F2" w:rsidRPr="00C91EA2" w:rsidRDefault="004353F2" w:rsidP="004353F2">
            <w:pPr>
              <w:jc w:val="both"/>
              <w:rPr>
                <w:rFonts w:ascii="Times New Roman" w:hAnsi="Times New Roman" w:cs="Times New Roman"/>
                <w:noProof/>
                <w:sz w:val="20"/>
              </w:rPr>
            </w:pPr>
            <w:r w:rsidRPr="00C91EA2">
              <w:rPr>
                <w:rFonts w:ascii="Times New Roman" w:hAnsi="Times New Roman" w:cs="Times New Roman"/>
                <w:noProof/>
              </w:rPr>
              <mc:AlternateContent>
                <mc:Choice Requires="wps">
                  <w:drawing>
                    <wp:anchor distT="0" distB="0" distL="114300" distR="114300" simplePos="0" relativeHeight="251671040" behindDoc="0" locked="0" layoutInCell="1" allowOverlap="1" wp14:anchorId="00667F59" wp14:editId="773038CB">
                      <wp:simplePos x="0" y="0"/>
                      <wp:positionH relativeFrom="column">
                        <wp:posOffset>3233420</wp:posOffset>
                      </wp:positionH>
                      <wp:positionV relativeFrom="paragraph">
                        <wp:posOffset>375285</wp:posOffset>
                      </wp:positionV>
                      <wp:extent cx="914400" cy="361950"/>
                      <wp:effectExtent l="0" t="0" r="19050" b="209550"/>
                      <wp:wrapNone/>
                      <wp:docPr id="760" name="Speech Bubble: Rectangle 760"/>
                      <wp:cNvGraphicFramePr/>
                      <a:graphic xmlns:a="http://schemas.openxmlformats.org/drawingml/2006/main">
                        <a:graphicData uri="http://schemas.microsoft.com/office/word/2010/wordprocessingShape">
                          <wps:wsp>
                            <wps:cNvSpPr/>
                            <wps:spPr>
                              <a:xfrm>
                                <a:off x="0" y="0"/>
                                <a:ext cx="914400" cy="361950"/>
                              </a:xfrm>
                              <a:prstGeom prst="wedgeRectCallout">
                                <a:avLst>
                                  <a:gd name="adj1" fmla="val 50000"/>
                                  <a:gd name="adj2" fmla="val 101974"/>
                                </a:avLst>
                              </a:prstGeom>
                              <a:ln w="12700"/>
                            </wps:spPr>
                            <wps:style>
                              <a:lnRef idx="2">
                                <a:schemeClr val="dk1"/>
                              </a:lnRef>
                              <a:fillRef idx="1">
                                <a:schemeClr val="lt1"/>
                              </a:fillRef>
                              <a:effectRef idx="0">
                                <a:schemeClr val="dk1"/>
                              </a:effectRef>
                              <a:fontRef idx="minor">
                                <a:schemeClr val="dk1"/>
                              </a:fontRef>
                            </wps:style>
                            <wps:txbx>
                              <w:txbxContent>
                                <w:p w14:paraId="499FE6A8" w14:textId="77777777" w:rsidR="00B42297" w:rsidRDefault="00B42297" w:rsidP="006018AA">
                                  <w:pPr>
                                    <w:jc w:val="center"/>
                                  </w:pPr>
                                  <w:r>
                                    <w:t>3864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667F59" id="Speech Bubble: Rectangle 760" o:spid="_x0000_s1058" type="#_x0000_t61" style="position:absolute;left:0;text-align:left;margin-left:254.6pt;margin-top:29.55pt;width:1in;height:2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" adj="21600,32826" fillcolor="white [3201]" strokecolor="black [3200]" strokeweight="1pt">
                      <v:textbox>
                        <w:txbxContent>
                          <w:p w14:paraId="499FE6A8" w14:textId="77777777" w:rsidR="00B42297" w:rsidRDefault="00B42297" w:rsidP="006018AA">
                            <w:pPr>
                              <w:jc w:val="center"/>
                            </w:pPr>
                            <w:r>
                              <w:t>3864</w:t>
                            </w:r>
                          </w:p>
                        </w:txbxContent>
                      </v:textbox>
                    </v:shape>
                  </w:pict>
                </mc:Fallback>
              </mc:AlternateContent>
            </w:r>
            <w:r w:rsidRPr="00C91EA2">
              <w:rPr>
                <w:rFonts w:ascii="Times New Roman" w:hAnsi="Times New Roman" w:cs="Times New Roman"/>
                <w:noProof/>
              </w:rPr>
              <w:drawing>
                <wp:inline distT="0" distB="0" distL="0" distR="0" wp14:anchorId="0FFFBE2F" wp14:editId="612FCB4B">
                  <wp:extent cx="5372100" cy="2457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72100" cy="2457450"/>
                          </a:xfrm>
                          <a:prstGeom prst="rect">
                            <a:avLst/>
                          </a:prstGeom>
                          <a:noFill/>
                          <a:ln>
                            <a:noFill/>
                          </a:ln>
                        </pic:spPr>
                      </pic:pic>
                    </a:graphicData>
                  </a:graphic>
                </wp:inline>
              </w:drawing>
            </w:r>
          </w:p>
        </w:tc>
      </w:tr>
      <w:tr w:rsidR="004353F2" w:rsidRPr="00C91EA2" w14:paraId="1FF4C620" w14:textId="77777777" w:rsidTr="00FA09FE">
        <w:tc>
          <w:tcPr>
            <w:tcW w:w="8630" w:type="dxa"/>
            <w:gridSpan w:val="3"/>
            <w:tcBorders>
              <w:top w:val="single" w:sz="4" w:space="0" w:color="auto"/>
              <w:left w:val="single" w:sz="4" w:space="0" w:color="auto"/>
              <w:bottom w:val="single" w:sz="4" w:space="0" w:color="auto"/>
              <w:right w:val="single" w:sz="4" w:space="0" w:color="auto"/>
            </w:tcBorders>
            <w:hideMark/>
          </w:tcPr>
          <w:p w14:paraId="0F3283BE" w14:textId="77777777" w:rsidR="004353F2" w:rsidRPr="00C91EA2" w:rsidRDefault="004353F2" w:rsidP="004353F2">
            <w:pPr>
              <w:jc w:val="both"/>
              <w:rPr>
                <w:rFonts w:ascii="Times New Roman" w:hAnsi="Times New Roman" w:cs="Times New Roman"/>
                <w:noProof/>
                <w:sz w:val="20"/>
              </w:rPr>
            </w:pPr>
            <w:r w:rsidRPr="00C91EA2">
              <w:rPr>
                <w:rFonts w:ascii="Times New Roman" w:hAnsi="Times New Roman" w:cs="Times New Roman"/>
                <w:noProof/>
                <w:sz w:val="20"/>
              </w:rPr>
              <w:t>Source: ITU (2017)</w:t>
            </w:r>
          </w:p>
        </w:tc>
      </w:tr>
    </w:tbl>
    <w:p w14:paraId="0C6172A6" w14:textId="77777777" w:rsidR="006018AA" w:rsidRPr="00C91EA2" w:rsidRDefault="006018AA" w:rsidP="006018AA">
      <w:pPr>
        <w:jc w:val="both"/>
        <w:rPr>
          <w:rFonts w:ascii="Times New Roman" w:hAnsi="Times New Roman" w:cs="Times New Roman"/>
          <w:b/>
        </w:rPr>
      </w:pPr>
    </w:p>
    <w:p w14:paraId="1178068D" w14:textId="77777777" w:rsidR="006018AA" w:rsidRPr="00C91EA2" w:rsidRDefault="006018AA" w:rsidP="006018AA">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8630"/>
      </w:tblGrid>
      <w:tr w:rsidR="006018AA" w:rsidRPr="00C91EA2" w14:paraId="0EE86528" w14:textId="77777777" w:rsidTr="00FA09FE">
        <w:tc>
          <w:tcPr>
            <w:tcW w:w="8630" w:type="dxa"/>
            <w:tcBorders>
              <w:top w:val="single" w:sz="4" w:space="0" w:color="auto"/>
              <w:left w:val="single" w:sz="4" w:space="0" w:color="auto"/>
              <w:bottom w:val="single" w:sz="4" w:space="0" w:color="auto"/>
              <w:right w:val="single" w:sz="4" w:space="0" w:color="auto"/>
            </w:tcBorders>
            <w:hideMark/>
          </w:tcPr>
          <w:p w14:paraId="7982183A" w14:textId="07F70896" w:rsidR="006018AA" w:rsidRPr="00C91EA2" w:rsidRDefault="006018AA" w:rsidP="00FA09FE">
            <w:pPr>
              <w:pStyle w:val="Caption"/>
              <w:keepNext/>
              <w:jc w:val="both"/>
              <w:rPr>
                <w:rFonts w:ascii="Times New Roman" w:hAnsi="Times New Roman"/>
              </w:rPr>
            </w:pPr>
            <w:bookmarkStart w:id="282" w:name="_Ref497311098"/>
            <w:bookmarkStart w:id="283" w:name="_Toc520725622"/>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66</w:t>
            </w:r>
            <w:r w:rsidR="00D91B27">
              <w:rPr>
                <w:rFonts w:ascii="Times New Roman" w:hAnsi="Times New Roman"/>
              </w:rPr>
              <w:fldChar w:fldCharType="end"/>
            </w:r>
            <w:bookmarkEnd w:id="282"/>
            <w:r w:rsidRPr="00C91EA2">
              <w:rPr>
                <w:rFonts w:ascii="Times New Roman" w:hAnsi="Times New Roman"/>
              </w:rPr>
              <w:t>: Deployment of 4G Networks in Africa (2016)</w:t>
            </w:r>
            <w:bookmarkEnd w:id="283"/>
          </w:p>
        </w:tc>
      </w:tr>
      <w:tr w:rsidR="006018AA" w:rsidRPr="00C91EA2" w14:paraId="582122D9" w14:textId="77777777" w:rsidTr="00FA09FE">
        <w:tc>
          <w:tcPr>
            <w:tcW w:w="8630" w:type="dxa"/>
            <w:tcBorders>
              <w:top w:val="single" w:sz="4" w:space="0" w:color="auto"/>
              <w:left w:val="single" w:sz="4" w:space="0" w:color="auto"/>
              <w:bottom w:val="single" w:sz="4" w:space="0" w:color="auto"/>
              <w:right w:val="single" w:sz="4" w:space="0" w:color="auto"/>
            </w:tcBorders>
            <w:hideMark/>
          </w:tcPr>
          <w:p w14:paraId="047D5B38" w14:textId="77777777" w:rsidR="006018AA" w:rsidRPr="00C91EA2" w:rsidRDefault="006018AA" w:rsidP="00FA09FE">
            <w:pPr>
              <w:jc w:val="right"/>
              <w:rPr>
                <w:rFonts w:ascii="Times New Roman" w:hAnsi="Times New Roman" w:cs="Times New Roman"/>
              </w:rPr>
            </w:pPr>
            <w:r w:rsidRPr="00C91EA2">
              <w:rPr>
                <w:rFonts w:ascii="Times New Roman" w:hAnsi="Times New Roman" w:cs="Times New Roman"/>
                <w:noProof/>
              </w:rPr>
              <w:drawing>
                <wp:inline distT="0" distB="0" distL="0" distR="0" wp14:anchorId="0196DB42" wp14:editId="136632BE">
                  <wp:extent cx="2324100" cy="24098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24100" cy="2409825"/>
                          </a:xfrm>
                          <a:prstGeom prst="rect">
                            <a:avLst/>
                          </a:prstGeom>
                          <a:noFill/>
                          <a:ln>
                            <a:noFill/>
                          </a:ln>
                        </pic:spPr>
                      </pic:pic>
                    </a:graphicData>
                  </a:graphic>
                </wp:inline>
              </w:drawing>
            </w:r>
            <w:r w:rsidRPr="00C91EA2">
              <w:rPr>
                <w:rFonts w:ascii="Times New Roman" w:hAnsi="Times New Roman" w:cs="Times New Roman"/>
              </w:rPr>
              <w:t xml:space="preserve"> </w:t>
            </w:r>
            <w:r w:rsidRPr="00C91EA2">
              <w:rPr>
                <w:rFonts w:ascii="Times New Roman" w:hAnsi="Times New Roman" w:cs="Times New Roman"/>
                <w:noProof/>
              </w:rPr>
              <w:drawing>
                <wp:inline distT="0" distB="0" distL="0" distR="0" wp14:anchorId="52B56C9A" wp14:editId="15144386">
                  <wp:extent cx="1781175" cy="78105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1175" cy="781050"/>
                          </a:xfrm>
                          <a:prstGeom prst="rect">
                            <a:avLst/>
                          </a:prstGeom>
                          <a:noFill/>
                        </pic:spPr>
                      </pic:pic>
                    </a:graphicData>
                  </a:graphic>
                </wp:inline>
              </w:drawing>
            </w:r>
          </w:p>
        </w:tc>
      </w:tr>
      <w:tr w:rsidR="006018AA" w:rsidRPr="001164DA" w14:paraId="3D9F258D" w14:textId="77777777" w:rsidTr="00FA09FE">
        <w:tc>
          <w:tcPr>
            <w:tcW w:w="8630" w:type="dxa"/>
            <w:tcBorders>
              <w:top w:val="single" w:sz="4" w:space="0" w:color="auto"/>
              <w:left w:val="single" w:sz="4" w:space="0" w:color="auto"/>
              <w:bottom w:val="single" w:sz="4" w:space="0" w:color="auto"/>
              <w:right w:val="single" w:sz="4" w:space="0" w:color="auto"/>
            </w:tcBorders>
            <w:hideMark/>
          </w:tcPr>
          <w:p w14:paraId="0A42BED2" w14:textId="77777777" w:rsidR="006018AA" w:rsidRPr="007575D7" w:rsidRDefault="006018AA" w:rsidP="00FA09FE">
            <w:pPr>
              <w:jc w:val="both"/>
              <w:rPr>
                <w:rFonts w:ascii="Times New Roman" w:hAnsi="Times New Roman" w:cs="Times New Roman"/>
                <w:lang w:val="fr-FR"/>
              </w:rPr>
            </w:pPr>
            <w:proofErr w:type="gramStart"/>
            <w:r w:rsidRPr="007575D7">
              <w:rPr>
                <w:rFonts w:ascii="Times New Roman" w:hAnsi="Times New Roman" w:cs="Times New Roman"/>
                <w:sz w:val="20"/>
                <w:lang w:val="fr-FR"/>
              </w:rPr>
              <w:t>Source:</w:t>
            </w:r>
            <w:proofErr w:type="gramEnd"/>
            <w:r w:rsidRPr="007575D7">
              <w:rPr>
                <w:rFonts w:ascii="Times New Roman" w:hAnsi="Times New Roman" w:cs="Times New Roman"/>
                <w:sz w:val="20"/>
                <w:lang w:val="fr-FR"/>
              </w:rPr>
              <w:t xml:space="preserve"> </w:t>
            </w:r>
            <w:hyperlink r:id="rId82" w:history="1">
              <w:r w:rsidRPr="007575D7">
                <w:rPr>
                  <w:rStyle w:val="Hyperlink"/>
                  <w:rFonts w:ascii="Times New Roman" w:hAnsi="Times New Roman" w:cs="Times New Roman"/>
                  <w:sz w:val="20"/>
                  <w:lang w:val="fr-FR"/>
                </w:rPr>
                <w:t>https://opensignal.com/reports/2016/02/state-of-lte-q4-2015/</w:t>
              </w:r>
            </w:hyperlink>
          </w:p>
        </w:tc>
      </w:tr>
    </w:tbl>
    <w:p w14:paraId="1D7072F5" w14:textId="77777777" w:rsidR="006018AA" w:rsidRPr="007575D7" w:rsidRDefault="006018AA" w:rsidP="006018AA">
      <w:pPr>
        <w:jc w:val="both"/>
        <w:rPr>
          <w:rFonts w:ascii="Times New Roman" w:hAnsi="Times New Roman" w:cs="Times New Roman"/>
          <w:b/>
          <w:lang w:val="fr-FR"/>
        </w:rPr>
      </w:pPr>
    </w:p>
    <w:p w14:paraId="7DF6E795" w14:textId="77777777" w:rsidR="006018AA" w:rsidRPr="007575D7" w:rsidRDefault="006018AA" w:rsidP="006018AA">
      <w:pPr>
        <w:jc w:val="both"/>
        <w:rPr>
          <w:rFonts w:ascii="Times New Roman" w:hAnsi="Times New Roman" w:cs="Times New Roman"/>
          <w:b/>
          <w:lang w:val="fr-FR"/>
        </w:rPr>
      </w:pPr>
    </w:p>
    <w:p w14:paraId="041F4362" w14:textId="7FE1E6EB"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Pro</w:t>
      </w:r>
      <w:r>
        <w:rPr>
          <w:rFonts w:ascii="Times New Roman" w:hAnsi="Times New Roman" w:cs="Times New Roman"/>
          <w:b/>
        </w:rPr>
        <w:t>-</w:t>
      </w:r>
      <w:r w:rsidRPr="00C91EA2">
        <w:rPr>
          <w:rFonts w:ascii="Times New Roman" w:hAnsi="Times New Roman" w:cs="Times New Roman"/>
          <w:b/>
        </w:rPr>
        <w:t>competit</w:t>
      </w:r>
      <w:r>
        <w:rPr>
          <w:rFonts w:ascii="Times New Roman" w:hAnsi="Times New Roman" w:cs="Times New Roman"/>
          <w:b/>
        </w:rPr>
        <w:t>ion</w:t>
      </w:r>
      <w:r w:rsidRPr="00C91EA2">
        <w:rPr>
          <w:rFonts w:ascii="Times New Roman" w:hAnsi="Times New Roman" w:cs="Times New Roman"/>
          <w:b/>
        </w:rPr>
        <w:t xml:space="preserve"> policies in the telecom sector can help deploy ICT technologies and benefit consumers through lower tariffs and improved quality of service</w:t>
      </w:r>
      <w:r w:rsidRPr="00C91EA2">
        <w:rPr>
          <w:rFonts w:ascii="Times New Roman" w:hAnsi="Times New Roman" w:cs="Times New Roman"/>
        </w:rPr>
        <w:t xml:space="preserve">. </w:t>
      </w:r>
      <w:proofErr w:type="spellStart"/>
      <w:r w:rsidRPr="00693AF8">
        <w:rPr>
          <w:rFonts w:ascii="Times New Roman" w:hAnsi="Times New Roman" w:cs="Times New Roman"/>
          <w:bCs/>
          <w:i/>
        </w:rPr>
        <w:t>Stratégie</w:t>
      </w:r>
      <w:proofErr w:type="spellEnd"/>
      <w:r w:rsidRPr="00693AF8">
        <w:rPr>
          <w:rFonts w:ascii="Times New Roman" w:hAnsi="Times New Roman" w:cs="Times New Roman"/>
          <w:bCs/>
          <w:i/>
        </w:rPr>
        <w:t xml:space="preserve"> </w:t>
      </w:r>
      <w:proofErr w:type="spellStart"/>
      <w:r w:rsidRPr="00693AF8">
        <w:rPr>
          <w:rFonts w:ascii="Times New Roman" w:hAnsi="Times New Roman" w:cs="Times New Roman"/>
          <w:bCs/>
          <w:i/>
        </w:rPr>
        <w:t>Sénégal</w:t>
      </w:r>
      <w:proofErr w:type="spellEnd"/>
      <w:r w:rsidRPr="00693AF8">
        <w:rPr>
          <w:rFonts w:ascii="Times New Roman" w:hAnsi="Times New Roman" w:cs="Times New Roman"/>
          <w:bCs/>
          <w:i/>
        </w:rPr>
        <w:t xml:space="preserve"> </w:t>
      </w:r>
      <w:proofErr w:type="spellStart"/>
      <w:r w:rsidRPr="00693AF8">
        <w:rPr>
          <w:rFonts w:ascii="Times New Roman" w:hAnsi="Times New Roman" w:cs="Times New Roman"/>
          <w:bCs/>
          <w:i/>
        </w:rPr>
        <w:t>Numérique</w:t>
      </w:r>
      <w:proofErr w:type="spellEnd"/>
      <w:r w:rsidRPr="00693AF8">
        <w:rPr>
          <w:rFonts w:ascii="Times New Roman" w:hAnsi="Times New Roman" w:cs="Times New Roman"/>
          <w:bCs/>
          <w:i/>
        </w:rPr>
        <w:t xml:space="preserve"> 2025</w:t>
      </w:r>
      <w:r w:rsidRPr="00C91EA2">
        <w:rPr>
          <w:rFonts w:ascii="Times New Roman" w:hAnsi="Times New Roman" w:cs="Times New Roman"/>
        </w:rPr>
        <w:t xml:space="preserve">, the </w:t>
      </w:r>
      <w:r w:rsidR="003B24ED">
        <w:rPr>
          <w:rFonts w:ascii="Times New Roman" w:hAnsi="Times New Roman" w:cs="Times New Roman"/>
        </w:rPr>
        <w:t>Government</w:t>
      </w:r>
      <w:r w:rsidRPr="00C91EA2">
        <w:rPr>
          <w:rFonts w:ascii="Times New Roman" w:hAnsi="Times New Roman" w:cs="Times New Roman"/>
        </w:rPr>
        <w:t xml:space="preserve">’s ICT strategy published in 2016, reacts to these challenges and </w:t>
      </w:r>
      <w:r w:rsidRPr="00C91EA2">
        <w:rPr>
          <w:rFonts w:ascii="Times New Roman" w:hAnsi="Times New Roman" w:cs="Times New Roman"/>
          <w:bCs/>
        </w:rPr>
        <w:t>calls for a more vibrant and innovative private sector</w:t>
      </w:r>
      <w:r w:rsidRPr="00C91EA2">
        <w:rPr>
          <w:rFonts w:ascii="Times New Roman" w:hAnsi="Times New Roman" w:cs="Times New Roman"/>
        </w:rPr>
        <w:t>. T</w:t>
      </w:r>
      <w:r w:rsidRPr="00C91EA2">
        <w:rPr>
          <w:rFonts w:ascii="Times New Roman" w:hAnsi="Times New Roman" w:cs="Times New Roman"/>
          <w:bCs/>
        </w:rPr>
        <w:t xml:space="preserve">his, however, requires a strong regulatory and institutional framework that fosters competition. Indeed, the </w:t>
      </w:r>
      <w:proofErr w:type="spellStart"/>
      <w:r w:rsidRPr="00C538DB">
        <w:rPr>
          <w:rFonts w:ascii="Times New Roman" w:hAnsi="Times New Roman" w:cs="Times New Roman"/>
          <w:bCs/>
          <w:i/>
        </w:rPr>
        <w:t>Stratégie</w:t>
      </w:r>
      <w:proofErr w:type="spellEnd"/>
      <w:r w:rsidRPr="00C538DB">
        <w:rPr>
          <w:rFonts w:ascii="Times New Roman" w:hAnsi="Times New Roman" w:cs="Times New Roman"/>
          <w:bCs/>
          <w:i/>
        </w:rPr>
        <w:t xml:space="preserve"> </w:t>
      </w:r>
      <w:proofErr w:type="spellStart"/>
      <w:r w:rsidRPr="00C538DB">
        <w:rPr>
          <w:rFonts w:ascii="Times New Roman" w:hAnsi="Times New Roman" w:cs="Times New Roman"/>
          <w:bCs/>
          <w:i/>
        </w:rPr>
        <w:t>Sénégal</w:t>
      </w:r>
      <w:proofErr w:type="spellEnd"/>
      <w:r w:rsidRPr="00C538DB">
        <w:rPr>
          <w:rFonts w:ascii="Times New Roman" w:hAnsi="Times New Roman" w:cs="Times New Roman"/>
          <w:bCs/>
          <w:i/>
        </w:rPr>
        <w:t xml:space="preserve"> </w:t>
      </w:r>
      <w:proofErr w:type="spellStart"/>
      <w:r w:rsidRPr="00C538DB">
        <w:rPr>
          <w:rFonts w:ascii="Times New Roman" w:hAnsi="Times New Roman" w:cs="Times New Roman"/>
          <w:bCs/>
          <w:i/>
        </w:rPr>
        <w:t>Numérique</w:t>
      </w:r>
      <w:proofErr w:type="spellEnd"/>
      <w:r w:rsidRPr="00C91EA2">
        <w:rPr>
          <w:rFonts w:ascii="Times New Roman" w:hAnsi="Times New Roman" w:cs="Times New Roman"/>
          <w:bCs/>
        </w:rPr>
        <w:t xml:space="preserve"> </w:t>
      </w:r>
      <w:r w:rsidRPr="00C91EA2">
        <w:rPr>
          <w:rFonts w:ascii="Times New Roman" w:hAnsi="Times New Roman" w:cs="Times New Roman"/>
        </w:rPr>
        <w:t>analyses several factors which constrain competition, which have not been adequately tackled due to the lack of effective regulatory and competition law. The remainder of this section describes these key competition bottlenecks along the Senegalese telecom value chain and provides recommendations for alleviating these bottlenecks to create better functioning markets.</w:t>
      </w:r>
    </w:p>
    <w:p w14:paraId="3E68AAA4" w14:textId="77777777" w:rsidR="006018AA" w:rsidRPr="00C91EA2" w:rsidRDefault="006018AA" w:rsidP="006018AA">
      <w:pPr>
        <w:jc w:val="both"/>
        <w:rPr>
          <w:rFonts w:ascii="Times New Roman" w:hAnsi="Times New Roman" w:cs="Times New Roman"/>
        </w:rPr>
      </w:pPr>
    </w:p>
    <w:p w14:paraId="50673D94" w14:textId="77777777" w:rsidR="006018AA" w:rsidRPr="00C91EA2" w:rsidRDefault="006018AA" w:rsidP="006018AA">
      <w:pPr>
        <w:pStyle w:val="Heading4"/>
        <w:rPr>
          <w:rFonts w:ascii="Times New Roman" w:hAnsi="Times New Roman" w:cs="Times New Roman"/>
        </w:rPr>
      </w:pPr>
      <w:bookmarkStart w:id="284" w:name="_Toc494097786"/>
      <w:r w:rsidRPr="00C91EA2">
        <w:rPr>
          <w:rFonts w:ascii="Times New Roman" w:hAnsi="Times New Roman" w:cs="Times New Roman"/>
        </w:rPr>
        <w:t xml:space="preserve">Main </w:t>
      </w:r>
      <w:r>
        <w:rPr>
          <w:rFonts w:ascii="Times New Roman" w:hAnsi="Times New Roman" w:cs="Times New Roman"/>
        </w:rPr>
        <w:t>F</w:t>
      </w:r>
      <w:r w:rsidRPr="00C91EA2">
        <w:rPr>
          <w:rFonts w:ascii="Times New Roman" w:hAnsi="Times New Roman" w:cs="Times New Roman"/>
        </w:rPr>
        <w:t xml:space="preserve">eatures and </w:t>
      </w:r>
      <w:r>
        <w:rPr>
          <w:rFonts w:ascii="Times New Roman" w:hAnsi="Times New Roman" w:cs="Times New Roman"/>
        </w:rPr>
        <w:t>C</w:t>
      </w:r>
      <w:r w:rsidRPr="00C91EA2">
        <w:rPr>
          <w:rFonts w:ascii="Times New Roman" w:hAnsi="Times New Roman" w:cs="Times New Roman"/>
        </w:rPr>
        <w:t xml:space="preserve">ompetition </w:t>
      </w:r>
      <w:r>
        <w:rPr>
          <w:rFonts w:ascii="Times New Roman" w:hAnsi="Times New Roman" w:cs="Times New Roman"/>
        </w:rPr>
        <w:t>I</w:t>
      </w:r>
      <w:r w:rsidRPr="00C91EA2">
        <w:rPr>
          <w:rFonts w:ascii="Times New Roman" w:hAnsi="Times New Roman" w:cs="Times New Roman"/>
        </w:rPr>
        <w:t xml:space="preserve">ssues of the </w:t>
      </w:r>
      <w:r>
        <w:rPr>
          <w:rFonts w:ascii="Times New Roman" w:hAnsi="Times New Roman" w:cs="Times New Roman"/>
        </w:rPr>
        <w:t>T</w:t>
      </w:r>
      <w:r w:rsidRPr="00C91EA2">
        <w:rPr>
          <w:rFonts w:ascii="Times New Roman" w:hAnsi="Times New Roman" w:cs="Times New Roman"/>
        </w:rPr>
        <w:t xml:space="preserve">elecoms </w:t>
      </w:r>
      <w:r>
        <w:rPr>
          <w:rFonts w:ascii="Times New Roman" w:hAnsi="Times New Roman" w:cs="Times New Roman"/>
        </w:rPr>
        <w:t>S</w:t>
      </w:r>
      <w:r w:rsidRPr="00C91EA2">
        <w:rPr>
          <w:rFonts w:ascii="Times New Roman" w:hAnsi="Times New Roman" w:cs="Times New Roman"/>
        </w:rPr>
        <w:t>ector</w:t>
      </w:r>
    </w:p>
    <w:p w14:paraId="23B2351A" w14:textId="77777777" w:rsidR="006018AA" w:rsidRPr="00C91EA2" w:rsidRDefault="006018AA" w:rsidP="006018AA">
      <w:pPr>
        <w:pStyle w:val="ListParagraph"/>
        <w:ind w:left="0"/>
        <w:jc w:val="both"/>
        <w:rPr>
          <w:rFonts w:ascii="Times New Roman" w:hAnsi="Times New Roman" w:cs="Times New Roman"/>
          <w:b/>
        </w:rPr>
      </w:pPr>
    </w:p>
    <w:p w14:paraId="06ABF43A" w14:textId="3D40C7D2"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A functioning telecom value chain would require dynamic market conditions and pro-competition regulation</w:t>
      </w:r>
      <w:r w:rsidRPr="00C91EA2">
        <w:rPr>
          <w:rFonts w:ascii="Times New Roman" w:hAnsi="Times New Roman" w:cs="Times New Roman"/>
        </w:rPr>
        <w:t xml:space="preserve"> </w:t>
      </w:r>
      <w:r w:rsidRPr="007575D7">
        <w:rPr>
          <w:rFonts w:ascii="Times New Roman" w:hAnsi="Times New Roman" w:cs="Times New Roman"/>
          <w:b/>
        </w:rPr>
        <w:t>at the all levels</w:t>
      </w:r>
      <w:r w:rsidRPr="00C91EA2">
        <w:rPr>
          <w:rFonts w:ascii="Times New Roman" w:hAnsi="Times New Roman" w:cs="Times New Roman"/>
        </w:rPr>
        <w:t xml:space="preserve"> (see </w:t>
      </w:r>
      <w:r w:rsidRPr="00C91EA2">
        <w:rPr>
          <w:rFonts w:ascii="Times New Roman" w:hAnsi="Times New Roman" w:cs="Times New Roman"/>
        </w:rPr>
        <w:fldChar w:fldCharType="begin"/>
      </w:r>
      <w:r w:rsidRPr="00C91EA2">
        <w:rPr>
          <w:rFonts w:ascii="Times New Roman" w:hAnsi="Times New Roman" w:cs="Times New Roman"/>
        </w:rPr>
        <w:instrText xml:space="preserve"> REF _Ref497761656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67</w:t>
      </w:r>
      <w:r w:rsidRPr="00C91EA2">
        <w:rPr>
          <w:rFonts w:ascii="Times New Roman" w:hAnsi="Times New Roman" w:cs="Times New Roman"/>
        </w:rPr>
        <w:fldChar w:fldCharType="end"/>
      </w:r>
      <w:r w:rsidRPr="00C91EA2">
        <w:rPr>
          <w:rFonts w:ascii="Times New Roman" w:hAnsi="Times New Roman" w:cs="Times New Roman"/>
        </w:rPr>
        <w:t>).</w:t>
      </w:r>
    </w:p>
    <w:p w14:paraId="0DC4F704" w14:textId="77777777" w:rsidR="006018AA" w:rsidRPr="00C91EA2" w:rsidRDefault="006018AA" w:rsidP="006018AA">
      <w:pPr>
        <w:jc w:val="both"/>
        <w:rPr>
          <w:rFonts w:ascii="Times New Roman" w:hAnsi="Times New Roman" w:cs="Times New Roman"/>
        </w:rPr>
      </w:pPr>
    </w:p>
    <w:p w14:paraId="584512CB" w14:textId="146AE685" w:rsidR="006018AA" w:rsidRPr="00C91EA2" w:rsidRDefault="006018AA" w:rsidP="006018AA">
      <w:pPr>
        <w:pStyle w:val="Caption"/>
        <w:keepNext/>
        <w:jc w:val="both"/>
        <w:rPr>
          <w:rFonts w:ascii="Times New Roman" w:hAnsi="Times New Roman"/>
        </w:rPr>
      </w:pPr>
      <w:bookmarkStart w:id="285" w:name="_Ref497761656"/>
      <w:bookmarkStart w:id="286" w:name="_Toc497763557"/>
      <w:bookmarkStart w:id="287" w:name="_Toc520725623"/>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67</w:t>
      </w:r>
      <w:r w:rsidR="00D91B27">
        <w:rPr>
          <w:rFonts w:ascii="Times New Roman" w:hAnsi="Times New Roman"/>
        </w:rPr>
        <w:fldChar w:fldCharType="end"/>
      </w:r>
      <w:bookmarkEnd w:id="285"/>
      <w:r w:rsidRPr="00C91EA2">
        <w:rPr>
          <w:rFonts w:ascii="Times New Roman" w:hAnsi="Times New Roman"/>
        </w:rPr>
        <w:t>: Competition along the Telecom Value Chain</w:t>
      </w:r>
      <w:bookmarkEnd w:id="286"/>
      <w:bookmarkEnd w:id="287"/>
      <w:r w:rsidRPr="00C91EA2">
        <w:rPr>
          <w:rFonts w:ascii="Times New Roman" w:hAnsi="Times New Roman"/>
        </w:rPr>
        <w:t xml:space="preserve"> </w:t>
      </w:r>
    </w:p>
    <w:p w14:paraId="6CEED461" w14:textId="77777777" w:rsidR="006018AA" w:rsidRPr="00C91EA2" w:rsidRDefault="006018AA" w:rsidP="006018AA">
      <w:pPr>
        <w:jc w:val="both"/>
        <w:rPr>
          <w:rFonts w:ascii="Times New Roman" w:hAnsi="Times New Roman" w:cs="Times New Roman"/>
        </w:rPr>
      </w:pPr>
      <w:r w:rsidRPr="00C91EA2">
        <w:rPr>
          <w:rFonts w:ascii="Times New Roman" w:hAnsi="Times New Roman" w:cs="Times New Roman"/>
          <w:noProof/>
        </w:rPr>
        <w:drawing>
          <wp:inline distT="0" distB="0" distL="0" distR="0" wp14:anchorId="456F394E" wp14:editId="56F64611">
            <wp:extent cx="5483369" cy="4248150"/>
            <wp:effectExtent l="0" t="0" r="317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93938" cy="4256338"/>
                    </a:xfrm>
                    <a:prstGeom prst="rect">
                      <a:avLst/>
                    </a:prstGeom>
                    <a:noFill/>
                  </pic:spPr>
                </pic:pic>
              </a:graphicData>
            </a:graphic>
          </wp:inline>
        </w:drawing>
      </w:r>
    </w:p>
    <w:p w14:paraId="215676E4" w14:textId="77777777" w:rsidR="006018AA" w:rsidRPr="00C91EA2" w:rsidRDefault="006018AA" w:rsidP="006018AA">
      <w:pPr>
        <w:pStyle w:val="ListParagraph"/>
        <w:ind w:left="0"/>
        <w:jc w:val="both"/>
        <w:rPr>
          <w:rFonts w:ascii="Times New Roman" w:hAnsi="Times New Roman" w:cs="Times New Roman"/>
        </w:rPr>
      </w:pPr>
      <w:r w:rsidRPr="00C91EA2">
        <w:rPr>
          <w:rFonts w:ascii="Times New Roman" w:hAnsi="Times New Roman" w:cs="Times New Roman"/>
          <w:i/>
          <w:sz w:val="20"/>
        </w:rPr>
        <w:t xml:space="preserve">Source: </w:t>
      </w:r>
      <w:r w:rsidRPr="00C91EA2">
        <w:rPr>
          <w:rFonts w:ascii="Times New Roman" w:hAnsi="Times New Roman" w:cs="Times New Roman"/>
          <w:sz w:val="20"/>
        </w:rPr>
        <w:t>World Bank Group’s Market and Competition Policy Assessment Toolkit</w:t>
      </w:r>
      <w:r w:rsidR="000D2C43">
        <w:rPr>
          <w:rFonts w:ascii="Times New Roman" w:hAnsi="Times New Roman" w:cs="Times New Roman"/>
          <w:sz w:val="20"/>
        </w:rPr>
        <w:t xml:space="preserve"> (forthcoming)</w:t>
      </w:r>
      <w:r w:rsidR="00365CB3">
        <w:rPr>
          <w:rFonts w:ascii="Times New Roman" w:hAnsi="Times New Roman" w:cs="Times New Roman"/>
          <w:sz w:val="20"/>
        </w:rPr>
        <w:t>.</w:t>
      </w:r>
      <w:r w:rsidRPr="00C91EA2">
        <w:rPr>
          <w:rFonts w:ascii="Times New Roman" w:hAnsi="Times New Roman" w:cs="Times New Roman"/>
          <w:sz w:val="20"/>
        </w:rPr>
        <w:t xml:space="preserve"> </w:t>
      </w:r>
    </w:p>
    <w:bookmarkEnd w:id="284"/>
    <w:p w14:paraId="0D1BC0CE" w14:textId="77777777" w:rsidR="006018AA" w:rsidRPr="00C91EA2" w:rsidRDefault="006018AA" w:rsidP="006018AA">
      <w:pPr>
        <w:rPr>
          <w:rFonts w:ascii="Times New Roman" w:hAnsi="Times New Roman" w:cs="Times New Roman"/>
          <w:highlight w:val="red"/>
        </w:rPr>
      </w:pPr>
    </w:p>
    <w:p w14:paraId="7CC0463F" w14:textId="77777777" w:rsidR="006018AA" w:rsidRPr="00C91EA2" w:rsidRDefault="006018AA" w:rsidP="006018AA">
      <w:pPr>
        <w:rPr>
          <w:rFonts w:ascii="Times New Roman" w:hAnsi="Times New Roman" w:cs="Times New Roman"/>
          <w:highlight w:val="red"/>
        </w:rPr>
      </w:pPr>
    </w:p>
    <w:p w14:paraId="7753CD8E" w14:textId="1979EDF1"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The telecommunications sector is characterized by disruptive technology and continues to evolve at a fast pace</w:t>
      </w:r>
      <w:r w:rsidRPr="00C91EA2">
        <w:rPr>
          <w:rFonts w:ascii="Times New Roman" w:hAnsi="Times New Roman" w:cs="Times New Roman"/>
        </w:rPr>
        <w:t>. Technology changes lead to constant innovation and evolution of services and markets, which create new rivals and shifts the economic strength of existing rivals.</w:t>
      </w:r>
    </w:p>
    <w:p w14:paraId="6501A55D" w14:textId="77777777" w:rsidR="006018AA" w:rsidRPr="00C91EA2" w:rsidRDefault="006018AA" w:rsidP="006018AA">
      <w:pPr>
        <w:jc w:val="both"/>
        <w:rPr>
          <w:rFonts w:ascii="Times New Roman" w:hAnsi="Times New Roman" w:cs="Times New Roman"/>
          <w:b/>
        </w:rPr>
      </w:pPr>
    </w:p>
    <w:p w14:paraId="0B31C677" w14:textId="2D5571D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Telecommunications markets </w:t>
      </w:r>
      <w:r w:rsidR="00AF3F8D">
        <w:rPr>
          <w:rFonts w:ascii="Times New Roman" w:hAnsi="Times New Roman" w:cs="Times New Roman"/>
          <w:b/>
        </w:rPr>
        <w:t>also feature</w:t>
      </w:r>
      <w:r w:rsidRPr="00C91EA2">
        <w:rPr>
          <w:rFonts w:ascii="Times New Roman" w:hAnsi="Times New Roman" w:cs="Times New Roman"/>
          <w:b/>
        </w:rPr>
        <w:t xml:space="preserve"> well-known industry characteristics that make the sector more prone to market concentration and potential anticompetitive practices </w:t>
      </w:r>
      <w:r w:rsidRPr="00C91EA2">
        <w:rPr>
          <w:rFonts w:ascii="Times New Roman" w:hAnsi="Times New Roman" w:cs="Times New Roman"/>
        </w:rPr>
        <w:t>(</w:t>
      </w:r>
      <w:r w:rsidRPr="00C91EA2">
        <w:rPr>
          <w:rFonts w:ascii="Times New Roman" w:hAnsi="Times New Roman" w:cs="Times New Roman"/>
        </w:rPr>
        <w:fldChar w:fldCharType="begin"/>
      </w:r>
      <w:r w:rsidRPr="00C91EA2">
        <w:rPr>
          <w:rFonts w:ascii="Times New Roman" w:hAnsi="Times New Roman" w:cs="Times New Roman"/>
        </w:rPr>
        <w:instrText xml:space="preserve"> REF _Ref497924197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68</w:t>
      </w:r>
      <w:r w:rsidRPr="00C91EA2">
        <w:rPr>
          <w:rFonts w:ascii="Times New Roman" w:hAnsi="Times New Roman" w:cs="Times New Roman"/>
        </w:rPr>
        <w:fldChar w:fldCharType="end"/>
      </w:r>
      <w:r w:rsidRPr="00C91EA2">
        <w:rPr>
          <w:rFonts w:ascii="Times New Roman" w:hAnsi="Times New Roman" w:cs="Times New Roman"/>
        </w:rPr>
        <w:t xml:space="preserve">). These </w:t>
      </w:r>
      <w:r>
        <w:rPr>
          <w:rFonts w:ascii="Times New Roman" w:hAnsi="Times New Roman" w:cs="Times New Roman"/>
        </w:rPr>
        <w:t xml:space="preserve">characteristics </w:t>
      </w:r>
      <w:r w:rsidRPr="00C91EA2">
        <w:rPr>
          <w:rFonts w:ascii="Times New Roman" w:hAnsi="Times New Roman" w:cs="Times New Roman"/>
        </w:rPr>
        <w:t xml:space="preserve">include significant fixed costs and sunk investments, economies of scale and scope, essential facilities and bottlenecks of network industries, and a reliance on scarce resources, including spectrum. Entrants in some segments face high fixed costs due to upfront investments in infrastructure, as well as commercial investments in sales and distribution channels. These high initial fixed costs, particularly in upstream segments, give incumbents a strategic advantage over new </w:t>
      </w:r>
      <w:proofErr w:type="gramStart"/>
      <w:r w:rsidRPr="00C91EA2">
        <w:rPr>
          <w:rFonts w:ascii="Times New Roman" w:hAnsi="Times New Roman" w:cs="Times New Roman"/>
        </w:rPr>
        <w:t>entrants, because</w:t>
      </w:r>
      <w:proofErr w:type="gramEnd"/>
      <w:r w:rsidRPr="00C91EA2">
        <w:rPr>
          <w:rFonts w:ascii="Times New Roman" w:hAnsi="Times New Roman" w:cs="Times New Roman"/>
        </w:rPr>
        <w:t xml:space="preserve"> the latter have fewer clients to spread their fixed costs. </w:t>
      </w:r>
    </w:p>
    <w:p w14:paraId="0F97895E" w14:textId="77777777" w:rsidR="006018AA" w:rsidRPr="00C91EA2" w:rsidRDefault="006018AA" w:rsidP="006018AA">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6018AA" w:rsidRPr="00C91EA2" w14:paraId="42EC60C3" w14:textId="77777777" w:rsidTr="00FA09FE">
        <w:tc>
          <w:tcPr>
            <w:tcW w:w="8630" w:type="dxa"/>
            <w:tcBorders>
              <w:top w:val="single" w:sz="4" w:space="0" w:color="auto"/>
              <w:left w:val="single" w:sz="4" w:space="0" w:color="auto"/>
              <w:bottom w:val="single" w:sz="4" w:space="0" w:color="auto"/>
              <w:right w:val="single" w:sz="4" w:space="0" w:color="auto"/>
            </w:tcBorders>
            <w:hideMark/>
          </w:tcPr>
          <w:p w14:paraId="437D8F39" w14:textId="64A6B7EF" w:rsidR="006018AA" w:rsidRPr="00C91EA2" w:rsidRDefault="006018AA" w:rsidP="00FA09FE">
            <w:pPr>
              <w:pStyle w:val="Caption"/>
              <w:keepNext/>
              <w:jc w:val="both"/>
              <w:rPr>
                <w:rFonts w:ascii="Times New Roman" w:hAnsi="Times New Roman"/>
              </w:rPr>
            </w:pPr>
            <w:bookmarkStart w:id="288" w:name="_Ref497924197"/>
            <w:bookmarkStart w:id="289" w:name="_Toc520725624"/>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68</w:t>
            </w:r>
            <w:r w:rsidR="00D91B27">
              <w:rPr>
                <w:rFonts w:ascii="Times New Roman" w:hAnsi="Times New Roman"/>
              </w:rPr>
              <w:fldChar w:fldCharType="end"/>
            </w:r>
            <w:bookmarkEnd w:id="288"/>
            <w:r w:rsidRPr="00C91EA2">
              <w:rPr>
                <w:rFonts w:ascii="Times New Roman" w:hAnsi="Times New Roman"/>
              </w:rPr>
              <w:t>: Telecommunications Industry Features and Competition Dynamics</w:t>
            </w:r>
            <w:bookmarkEnd w:id="289"/>
          </w:p>
        </w:tc>
      </w:tr>
      <w:tr w:rsidR="006018AA" w:rsidRPr="00C91EA2" w14:paraId="67508658" w14:textId="77777777" w:rsidTr="00FA09FE">
        <w:tc>
          <w:tcPr>
            <w:tcW w:w="8630" w:type="dxa"/>
            <w:tcBorders>
              <w:top w:val="single" w:sz="4" w:space="0" w:color="auto"/>
              <w:left w:val="single" w:sz="4" w:space="0" w:color="auto"/>
              <w:bottom w:val="single" w:sz="4" w:space="0" w:color="auto"/>
              <w:right w:val="single" w:sz="4" w:space="0" w:color="auto"/>
            </w:tcBorders>
          </w:tcPr>
          <w:p w14:paraId="0148F7A1" w14:textId="77777777" w:rsidR="006018AA" w:rsidRPr="0077376C" w:rsidRDefault="000D7B37" w:rsidP="00365CB3">
            <w:pPr>
              <w:jc w:val="center"/>
              <w:rPr>
                <w:rFonts w:ascii="Times New Roman" w:hAnsi="Times New Roman" w:cs="Times New Roman"/>
              </w:rPr>
            </w:pPr>
            <w:r w:rsidRPr="00C538DB">
              <w:rPr>
                <w:rFonts w:ascii="Times New Roman" w:hAnsi="Times New Roman" w:cs="Times New Roman"/>
                <w:noProof/>
              </w:rPr>
              <w:drawing>
                <wp:inline distT="0" distB="0" distL="0" distR="0" wp14:anchorId="40EAE71F" wp14:editId="0EB16E26">
                  <wp:extent cx="4936976" cy="422214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12-18 at 22.10.22.png"/>
                          <pic:cNvPicPr/>
                        </pic:nvPicPr>
                        <pic:blipFill>
                          <a:blip r:embed="rId84">
                            <a:extLst>
                              <a:ext uri="{28A0092B-C50C-407E-A947-70E740481C1C}">
                                <a14:useLocalDpi xmlns:a14="http://schemas.microsoft.com/office/drawing/2010/main" val="0"/>
                              </a:ext>
                            </a:extLst>
                          </a:blip>
                          <a:stretch>
                            <a:fillRect/>
                          </a:stretch>
                        </pic:blipFill>
                        <pic:spPr>
                          <a:xfrm>
                            <a:off x="0" y="0"/>
                            <a:ext cx="4949902" cy="4233198"/>
                          </a:xfrm>
                          <a:prstGeom prst="rect">
                            <a:avLst/>
                          </a:prstGeom>
                        </pic:spPr>
                      </pic:pic>
                    </a:graphicData>
                  </a:graphic>
                </wp:inline>
              </w:drawing>
            </w:r>
          </w:p>
        </w:tc>
      </w:tr>
      <w:tr w:rsidR="006018AA" w:rsidRPr="00C91EA2" w14:paraId="6148A1D8" w14:textId="77777777" w:rsidTr="00FA09FE">
        <w:tc>
          <w:tcPr>
            <w:tcW w:w="8630" w:type="dxa"/>
            <w:tcBorders>
              <w:top w:val="single" w:sz="4" w:space="0" w:color="auto"/>
              <w:left w:val="single" w:sz="4" w:space="0" w:color="auto"/>
              <w:bottom w:val="single" w:sz="4" w:space="0" w:color="auto"/>
              <w:right w:val="single" w:sz="4" w:space="0" w:color="auto"/>
            </w:tcBorders>
            <w:hideMark/>
          </w:tcPr>
          <w:p w14:paraId="173EDA47" w14:textId="77777777" w:rsidR="006018AA" w:rsidRPr="00D72C42" w:rsidRDefault="006018AA" w:rsidP="00FA09FE">
            <w:pPr>
              <w:rPr>
                <w:rFonts w:ascii="Times New Roman" w:hAnsi="Times New Roman" w:cs="Times New Roman"/>
                <w:sz w:val="20"/>
              </w:rPr>
            </w:pPr>
            <w:r w:rsidRPr="00D72C42">
              <w:rPr>
                <w:rFonts w:ascii="Times New Roman" w:hAnsi="Times New Roman" w:cs="Times New Roman"/>
                <w:sz w:val="20"/>
              </w:rPr>
              <w:t xml:space="preserve">Source: </w:t>
            </w:r>
            <w:r w:rsidR="00365CB3">
              <w:rPr>
                <w:rFonts w:ascii="Times New Roman" w:hAnsi="Times New Roman" w:cs="Times New Roman"/>
                <w:sz w:val="20"/>
              </w:rPr>
              <w:t xml:space="preserve">WBG Markets and </w:t>
            </w:r>
            <w:r w:rsidRPr="00D72C42">
              <w:rPr>
                <w:rFonts w:ascii="Times New Roman" w:hAnsi="Times New Roman" w:cs="Times New Roman"/>
                <w:sz w:val="20"/>
              </w:rPr>
              <w:t>Competition Team.</w:t>
            </w:r>
          </w:p>
        </w:tc>
      </w:tr>
    </w:tbl>
    <w:p w14:paraId="3A75C352" w14:textId="77777777" w:rsidR="006018AA" w:rsidRDefault="006018AA" w:rsidP="006018AA">
      <w:pPr>
        <w:jc w:val="both"/>
        <w:rPr>
          <w:rFonts w:ascii="Times New Roman" w:hAnsi="Times New Roman" w:cs="Times New Roman"/>
        </w:rPr>
      </w:pPr>
    </w:p>
    <w:p w14:paraId="52D2F130" w14:textId="77777777" w:rsidR="00021E5E" w:rsidRPr="00C91EA2" w:rsidRDefault="00021E5E" w:rsidP="006018AA">
      <w:pPr>
        <w:jc w:val="both"/>
        <w:rPr>
          <w:rFonts w:ascii="Times New Roman" w:hAnsi="Times New Roman" w:cs="Times New Roman"/>
        </w:rPr>
      </w:pPr>
    </w:p>
    <w:p w14:paraId="017B9476"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High infrastructure costs limit the economic viability of replicating some facilities and thus limits the number of entrants</w:t>
      </w:r>
      <w:r w:rsidRPr="00C91EA2">
        <w:rPr>
          <w:rFonts w:ascii="Times New Roman" w:hAnsi="Times New Roman" w:cs="Times New Roman"/>
        </w:rPr>
        <w:t>. This can lead to the emergence of a dominant wholesale infrastructure supplier or a small number of retail suppliers with their own duplicated infrastructure.</w:t>
      </w:r>
      <w:r w:rsidR="00C40A69">
        <w:rPr>
          <w:rFonts w:ascii="Times New Roman" w:hAnsi="Times New Roman" w:cs="Times New Roman"/>
        </w:rPr>
        <w:t xml:space="preserve"> </w:t>
      </w:r>
    </w:p>
    <w:p w14:paraId="7CFB140F" w14:textId="77777777" w:rsidR="006018AA" w:rsidRPr="00C91EA2" w:rsidRDefault="006018AA" w:rsidP="006018AA">
      <w:pPr>
        <w:jc w:val="both"/>
        <w:rPr>
          <w:rFonts w:ascii="Times New Roman" w:hAnsi="Times New Roman" w:cs="Times New Roman"/>
          <w:i/>
        </w:rPr>
      </w:pPr>
    </w:p>
    <w:p w14:paraId="473D6F32"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As a network industry, telecommunications networks present essential facilities and bottlenecks that lead to market concentration</w:t>
      </w:r>
      <w:r w:rsidRPr="00C91EA2">
        <w:rPr>
          <w:rFonts w:ascii="Times New Roman" w:hAnsi="Times New Roman" w:cs="Times New Roman"/>
        </w:rPr>
        <w:t xml:space="preserve">. Market entry in the retail supply of telecom services requires </w:t>
      </w:r>
      <w:r w:rsidR="008B45B1">
        <w:rPr>
          <w:rFonts w:ascii="Times New Roman" w:hAnsi="Times New Roman" w:cs="Times New Roman"/>
        </w:rPr>
        <w:t xml:space="preserve">either </w:t>
      </w:r>
      <w:r w:rsidRPr="00C91EA2">
        <w:rPr>
          <w:rFonts w:ascii="Times New Roman" w:hAnsi="Times New Roman" w:cs="Times New Roman"/>
        </w:rPr>
        <w:t>access to infrastructure</w:t>
      </w:r>
      <w:r w:rsidR="008B45B1">
        <w:rPr>
          <w:rFonts w:ascii="Times New Roman" w:hAnsi="Times New Roman" w:cs="Times New Roman"/>
        </w:rPr>
        <w:t xml:space="preserve"> or the ability to resell services (e.g. pure service MVNO)</w:t>
      </w:r>
      <w:r w:rsidRPr="00C91EA2">
        <w:rPr>
          <w:rFonts w:ascii="Times New Roman" w:hAnsi="Times New Roman" w:cs="Times New Roman"/>
        </w:rPr>
        <w:t xml:space="preserve">. </w:t>
      </w:r>
    </w:p>
    <w:p w14:paraId="1ADFBE30" w14:textId="77777777" w:rsidR="006018AA" w:rsidRPr="00C91EA2" w:rsidRDefault="006018AA" w:rsidP="006018AA">
      <w:pPr>
        <w:jc w:val="both"/>
        <w:rPr>
          <w:rFonts w:ascii="Times New Roman" w:hAnsi="Times New Roman" w:cs="Times New Roman"/>
        </w:rPr>
      </w:pPr>
    </w:p>
    <w:p w14:paraId="148FF5EE" w14:textId="6A7FD42A"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inherent features of telecommunications networks result in competition dynamics that create </w:t>
      </w:r>
      <w:r w:rsidR="008B45B1">
        <w:rPr>
          <w:rFonts w:ascii="Times New Roman" w:hAnsi="Times New Roman" w:cs="Times New Roman"/>
          <w:b/>
        </w:rPr>
        <w:t xml:space="preserve">strategic </w:t>
      </w:r>
      <w:r w:rsidRPr="00C91EA2">
        <w:rPr>
          <w:rFonts w:ascii="Times New Roman" w:hAnsi="Times New Roman" w:cs="Times New Roman"/>
          <w:b/>
        </w:rPr>
        <w:t xml:space="preserve">barriers to entry and that require both </w:t>
      </w:r>
      <w:r w:rsidRPr="00C91EA2">
        <w:rPr>
          <w:rFonts w:ascii="Times New Roman" w:hAnsi="Times New Roman" w:cs="Times New Roman"/>
          <w:b/>
          <w:i/>
        </w:rPr>
        <w:t>ex ante</w:t>
      </w:r>
      <w:r w:rsidRPr="00C91EA2">
        <w:rPr>
          <w:rFonts w:ascii="Times New Roman" w:hAnsi="Times New Roman" w:cs="Times New Roman"/>
          <w:b/>
        </w:rPr>
        <w:t xml:space="preserve"> and </w:t>
      </w:r>
      <w:r w:rsidRPr="00C91EA2">
        <w:rPr>
          <w:rFonts w:ascii="Times New Roman" w:hAnsi="Times New Roman" w:cs="Times New Roman"/>
          <w:b/>
          <w:i/>
        </w:rPr>
        <w:t>ex post</w:t>
      </w:r>
      <w:r w:rsidRPr="00C91EA2">
        <w:rPr>
          <w:rFonts w:ascii="Times New Roman" w:hAnsi="Times New Roman" w:cs="Times New Roman"/>
          <w:b/>
        </w:rPr>
        <w:t xml:space="preserve"> regulatory intervention to assure market efficiency and protect consumers and competitors from abuses of market power (see </w:t>
      </w:r>
      <w:r w:rsidRPr="00C91EA2">
        <w:rPr>
          <w:rFonts w:ascii="Times New Roman" w:hAnsi="Times New Roman" w:cs="Times New Roman"/>
          <w:b/>
        </w:rPr>
        <w:fldChar w:fldCharType="begin"/>
      </w:r>
      <w:r w:rsidRPr="00C91EA2">
        <w:rPr>
          <w:rFonts w:ascii="Times New Roman" w:hAnsi="Times New Roman" w:cs="Times New Roman"/>
          <w:b/>
        </w:rPr>
        <w:instrText xml:space="preserve"> REF _Ref497316966 \h  \* MERGEFORMAT </w:instrText>
      </w:r>
      <w:r w:rsidRPr="00C91EA2">
        <w:rPr>
          <w:rFonts w:ascii="Times New Roman" w:hAnsi="Times New Roman" w:cs="Times New Roman"/>
          <w:b/>
        </w:rPr>
      </w:r>
      <w:r w:rsidRPr="00C91EA2">
        <w:rPr>
          <w:rFonts w:ascii="Times New Roman" w:hAnsi="Times New Roman" w:cs="Times New Roman"/>
          <w:b/>
        </w:rPr>
        <w:fldChar w:fldCharType="separate"/>
      </w:r>
      <w:r w:rsidR="008261B2" w:rsidRPr="008261B2">
        <w:rPr>
          <w:rFonts w:ascii="Times New Roman" w:hAnsi="Times New Roman" w:cs="Times New Roman"/>
          <w:b/>
        </w:rPr>
        <w:t xml:space="preserve">Box </w:t>
      </w:r>
      <w:r w:rsidR="008261B2" w:rsidRPr="008261B2">
        <w:rPr>
          <w:rFonts w:ascii="Times New Roman" w:hAnsi="Times New Roman" w:cs="Times New Roman"/>
          <w:b/>
          <w:noProof/>
        </w:rPr>
        <w:t>17</w:t>
      </w:r>
      <w:r w:rsidRPr="00C91EA2">
        <w:rPr>
          <w:rFonts w:ascii="Times New Roman" w:hAnsi="Times New Roman" w:cs="Times New Roman"/>
          <w:b/>
        </w:rPr>
        <w:fldChar w:fldCharType="end"/>
      </w:r>
      <w:r w:rsidRPr="00C91EA2">
        <w:rPr>
          <w:rFonts w:ascii="Times New Roman" w:hAnsi="Times New Roman" w:cs="Times New Roman"/>
          <w:b/>
        </w:rPr>
        <w:t xml:space="preserve"> below)</w:t>
      </w:r>
      <w:r w:rsidRPr="00C91EA2">
        <w:rPr>
          <w:rFonts w:ascii="Times New Roman" w:hAnsi="Times New Roman" w:cs="Times New Roman"/>
        </w:rPr>
        <w:t xml:space="preserve">. The telecommunications sector requires a strong regulatory framework that enables the management of scarce resources (e.g. radio spectrum), ensures access to bottlenecks and overcomes the lack of private initiative in some areas of the country where commercial participation may otherwise be unviable. An ineffective regulatory framework will allow players with substantial market power to distort competition and prolong the market power historically gained prior to the liberalization of the sector. </w:t>
      </w:r>
    </w:p>
    <w:p w14:paraId="71DA71AB" w14:textId="77777777" w:rsidR="00517BF6" w:rsidRPr="00C538DB" w:rsidRDefault="00517BF6" w:rsidP="00C538DB">
      <w:pPr>
        <w:jc w:val="both"/>
        <w:rPr>
          <w:rFonts w:ascii="Times New Roman" w:hAnsi="Times New Roman" w:cs="Times New Roman"/>
        </w:rPr>
      </w:pPr>
    </w:p>
    <w:p w14:paraId="64478E87" w14:textId="6A46C922" w:rsidR="00517BF6" w:rsidRDefault="00517BF6" w:rsidP="006018AA">
      <w:pPr>
        <w:pStyle w:val="ListParagraph"/>
        <w:numPr>
          <w:ilvl w:val="0"/>
          <w:numId w:val="71"/>
        </w:numPr>
        <w:ind w:left="0" w:firstLine="0"/>
        <w:jc w:val="both"/>
        <w:rPr>
          <w:rFonts w:ascii="Times New Roman" w:hAnsi="Times New Roman" w:cs="Times New Roman"/>
        </w:rPr>
      </w:pPr>
      <w:r w:rsidRPr="00C538DB">
        <w:rPr>
          <w:rFonts w:ascii="Times New Roman" w:hAnsi="Times New Roman" w:cs="Times New Roman"/>
          <w:b/>
        </w:rPr>
        <w:t xml:space="preserve">Moreover, because the incumbent has the incentive and the ability to discriminate in favor of </w:t>
      </w:r>
      <w:r>
        <w:rPr>
          <w:rFonts w:ascii="Times New Roman" w:hAnsi="Times New Roman" w:cs="Times New Roman"/>
          <w:b/>
        </w:rPr>
        <w:t xml:space="preserve">its </w:t>
      </w:r>
      <w:r w:rsidRPr="00C538DB">
        <w:rPr>
          <w:rFonts w:ascii="Times New Roman" w:hAnsi="Times New Roman" w:cs="Times New Roman"/>
          <w:b/>
        </w:rPr>
        <w:t xml:space="preserve">vertically integrated subsidiaries through control of non-replicable assets, </w:t>
      </w:r>
      <w:r w:rsidRPr="008C66DD">
        <w:rPr>
          <w:rFonts w:ascii="Times New Roman" w:hAnsi="Times New Roman" w:cs="Times New Roman"/>
        </w:rPr>
        <w:t>further regulatory intervention may be necessary to require a transparent separation betwee</w:t>
      </w:r>
      <w:r w:rsidRPr="00C538DB">
        <w:rPr>
          <w:rFonts w:ascii="Times New Roman" w:hAnsi="Times New Roman" w:cs="Times New Roman"/>
        </w:rPr>
        <w:t>n the parts of the incumbent controlling the bottleneck assets and the other divisions</w:t>
      </w:r>
      <w:r w:rsidRPr="00C91EA2">
        <w:rPr>
          <w:rFonts w:ascii="Times New Roman" w:hAnsi="Times New Roman" w:cs="Times New Roman"/>
        </w:rPr>
        <w:t xml:space="preserve"> (</w:t>
      </w:r>
      <w:r w:rsidR="005605DE">
        <w:rPr>
          <w:rFonts w:ascii="Times New Roman" w:hAnsi="Times New Roman" w:cs="Times New Roman"/>
        </w:rPr>
        <w:fldChar w:fldCharType="begin"/>
      </w:r>
      <w:r w:rsidR="005605DE">
        <w:rPr>
          <w:rFonts w:ascii="Times New Roman" w:hAnsi="Times New Roman" w:cs="Times New Roman"/>
        </w:rPr>
        <w:instrText xml:space="preserve"> REF _Ref520492591 \h </w:instrText>
      </w:r>
      <w:r w:rsidR="005605DE">
        <w:rPr>
          <w:rFonts w:ascii="Times New Roman" w:hAnsi="Times New Roman" w:cs="Times New Roman"/>
        </w:rPr>
      </w:r>
      <w:r w:rsidR="005605DE">
        <w:rPr>
          <w:rFonts w:ascii="Times New Roman" w:hAnsi="Times New Roman" w:cs="Times New Roman"/>
        </w:rPr>
        <w:fldChar w:fldCharType="separate"/>
      </w:r>
      <w:r w:rsidR="008261B2" w:rsidRPr="00C91EA2">
        <w:rPr>
          <w:rFonts w:ascii="Times New Roman" w:hAnsi="Times New Roman"/>
        </w:rPr>
        <w:t xml:space="preserve">Figure </w:t>
      </w:r>
      <w:r w:rsidR="008261B2">
        <w:rPr>
          <w:rFonts w:ascii="Times New Roman" w:hAnsi="Times New Roman"/>
          <w:noProof/>
        </w:rPr>
        <w:t>69</w:t>
      </w:r>
      <w:r w:rsidR="005605DE">
        <w:rPr>
          <w:rFonts w:ascii="Times New Roman" w:hAnsi="Times New Roman" w:cs="Times New Roman"/>
        </w:rPr>
        <w:fldChar w:fldCharType="end"/>
      </w:r>
      <w:r w:rsidRPr="00C91EA2">
        <w:rPr>
          <w:rFonts w:ascii="Times New Roman" w:hAnsi="Times New Roman" w:cs="Times New Roman"/>
        </w:rPr>
        <w:t>).</w:t>
      </w:r>
    </w:p>
    <w:p w14:paraId="2833AFFB" w14:textId="77777777" w:rsidR="00517BF6" w:rsidRDefault="00517BF6" w:rsidP="00517BF6">
      <w:pPr>
        <w:jc w:val="both"/>
        <w:rPr>
          <w:rFonts w:ascii="Times New Roman" w:hAnsi="Times New Roman" w:cs="Times New Roman"/>
        </w:rPr>
      </w:pPr>
    </w:p>
    <w:p w14:paraId="61F2E8FA" w14:textId="77777777" w:rsidR="00517BF6" w:rsidRPr="00C538DB" w:rsidRDefault="00517BF6" w:rsidP="00C538DB">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517BF6" w:rsidRPr="00C91EA2" w14:paraId="4D3B6FCD" w14:textId="77777777" w:rsidTr="00E264EA">
        <w:tc>
          <w:tcPr>
            <w:tcW w:w="8630" w:type="dxa"/>
            <w:tcBorders>
              <w:top w:val="single" w:sz="4" w:space="0" w:color="auto"/>
              <w:left w:val="single" w:sz="4" w:space="0" w:color="auto"/>
              <w:bottom w:val="single" w:sz="4" w:space="0" w:color="auto"/>
              <w:right w:val="single" w:sz="4" w:space="0" w:color="auto"/>
            </w:tcBorders>
            <w:hideMark/>
          </w:tcPr>
          <w:p w14:paraId="3EE0B2E2" w14:textId="21A8FB13" w:rsidR="00517BF6" w:rsidRPr="00C91EA2" w:rsidRDefault="00517BF6" w:rsidP="00E264EA">
            <w:pPr>
              <w:pStyle w:val="Caption"/>
              <w:keepNext/>
              <w:jc w:val="both"/>
              <w:rPr>
                <w:rFonts w:ascii="Times New Roman" w:hAnsi="Times New Roman"/>
              </w:rPr>
            </w:pPr>
            <w:bookmarkStart w:id="290" w:name="_Ref520492591"/>
            <w:bookmarkStart w:id="291" w:name="_Toc520725625"/>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69</w:t>
            </w:r>
            <w:r w:rsidR="00D91B27">
              <w:rPr>
                <w:rFonts w:ascii="Times New Roman" w:hAnsi="Times New Roman"/>
              </w:rPr>
              <w:fldChar w:fldCharType="end"/>
            </w:r>
            <w:bookmarkEnd w:id="290"/>
            <w:r w:rsidRPr="00C91EA2">
              <w:rPr>
                <w:rFonts w:ascii="Times New Roman" w:hAnsi="Times New Roman"/>
              </w:rPr>
              <w:t>: Examples of Business Separation</w:t>
            </w:r>
            <w:bookmarkEnd w:id="291"/>
          </w:p>
        </w:tc>
      </w:tr>
      <w:tr w:rsidR="00517BF6" w:rsidRPr="00C91EA2" w14:paraId="4974E5DE" w14:textId="77777777" w:rsidTr="00E264EA">
        <w:tc>
          <w:tcPr>
            <w:tcW w:w="8630" w:type="dxa"/>
            <w:tcBorders>
              <w:top w:val="single" w:sz="4" w:space="0" w:color="auto"/>
              <w:left w:val="single" w:sz="4" w:space="0" w:color="auto"/>
              <w:bottom w:val="single" w:sz="4" w:space="0" w:color="auto"/>
              <w:right w:val="single" w:sz="4" w:space="0" w:color="auto"/>
            </w:tcBorders>
            <w:hideMark/>
          </w:tcPr>
          <w:p w14:paraId="7C3CF44B" w14:textId="77777777" w:rsidR="00517BF6" w:rsidRPr="00C91EA2" w:rsidRDefault="00517BF6" w:rsidP="00E264EA">
            <w:pPr>
              <w:jc w:val="both"/>
              <w:rPr>
                <w:rFonts w:ascii="Times New Roman" w:hAnsi="Times New Roman" w:cs="Times New Roman"/>
              </w:rPr>
            </w:pPr>
            <w:r w:rsidRPr="00C538DB">
              <w:rPr>
                <w:rFonts w:ascii="Times New Roman" w:hAnsi="Times New Roman" w:cs="Times New Roman"/>
                <w:noProof/>
              </w:rPr>
              <w:drawing>
                <wp:inline distT="0" distB="0" distL="0" distR="0" wp14:anchorId="47DB7222" wp14:editId="48B66362">
                  <wp:extent cx="5429250" cy="1666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29250" cy="1666875"/>
                          </a:xfrm>
                          <a:prstGeom prst="rect">
                            <a:avLst/>
                          </a:prstGeom>
                          <a:noFill/>
                          <a:ln>
                            <a:noFill/>
                          </a:ln>
                        </pic:spPr>
                      </pic:pic>
                    </a:graphicData>
                  </a:graphic>
                </wp:inline>
              </w:drawing>
            </w:r>
          </w:p>
        </w:tc>
      </w:tr>
      <w:tr w:rsidR="00517BF6" w:rsidRPr="00C91EA2" w14:paraId="2B189E75" w14:textId="77777777" w:rsidTr="00E264EA">
        <w:tc>
          <w:tcPr>
            <w:tcW w:w="8630" w:type="dxa"/>
            <w:tcBorders>
              <w:top w:val="single" w:sz="4" w:space="0" w:color="auto"/>
              <w:left w:val="single" w:sz="4" w:space="0" w:color="auto"/>
              <w:bottom w:val="single" w:sz="4" w:space="0" w:color="auto"/>
              <w:right w:val="single" w:sz="4" w:space="0" w:color="auto"/>
            </w:tcBorders>
            <w:hideMark/>
          </w:tcPr>
          <w:p w14:paraId="24A362F9" w14:textId="77777777" w:rsidR="00517BF6" w:rsidRPr="00365CB3" w:rsidRDefault="00365CB3" w:rsidP="00E264EA">
            <w:pPr>
              <w:pStyle w:val="Normal1"/>
              <w:tabs>
                <w:tab w:val="left" w:pos="0"/>
                <w:tab w:val="left" w:pos="709"/>
                <w:tab w:val="left" w:pos="851"/>
              </w:tabs>
              <w:jc w:val="both"/>
              <w:rPr>
                <w:rFonts w:ascii="Times New Roman" w:eastAsia="Times New Roman" w:hAnsi="Times New Roman" w:cs="Times New Roman"/>
                <w:b/>
                <w:i/>
                <w:color w:val="365F91"/>
              </w:rPr>
            </w:pPr>
            <w:r w:rsidRPr="00365CB3">
              <w:rPr>
                <w:rFonts w:ascii="Times New Roman" w:eastAsia="Times New Roman" w:hAnsi="Times New Roman" w:cs="Times New Roman"/>
                <w:i/>
                <w:sz w:val="20"/>
                <w:szCs w:val="20"/>
              </w:rPr>
              <w:t xml:space="preserve">Source: </w:t>
            </w:r>
            <w:r w:rsidRPr="007575D7">
              <w:rPr>
                <w:rFonts w:ascii="Times New Roman" w:eastAsia="Times New Roman" w:hAnsi="Times New Roman" w:cs="Times New Roman"/>
                <w:sz w:val="20"/>
                <w:szCs w:val="20"/>
              </w:rPr>
              <w:t xml:space="preserve">WBG </w:t>
            </w:r>
            <w:r w:rsidR="00B2502A" w:rsidRPr="007575D7">
              <w:rPr>
                <w:rFonts w:ascii="Times New Roman" w:eastAsia="Times New Roman" w:hAnsi="Times New Roman" w:cs="Times New Roman"/>
                <w:sz w:val="20"/>
                <w:szCs w:val="20"/>
              </w:rPr>
              <w:t>Markets and Competition Team</w:t>
            </w:r>
            <w:r w:rsidRPr="007575D7">
              <w:rPr>
                <w:rFonts w:ascii="Times New Roman" w:eastAsia="Times New Roman" w:hAnsi="Times New Roman" w:cs="Times New Roman"/>
                <w:sz w:val="20"/>
                <w:szCs w:val="20"/>
              </w:rPr>
              <w:t xml:space="preserve"> </w:t>
            </w:r>
            <w:r w:rsidR="00517BF6" w:rsidRPr="007575D7">
              <w:rPr>
                <w:rFonts w:ascii="Times New Roman" w:eastAsia="Times New Roman" w:hAnsi="Times New Roman" w:cs="Times New Roman"/>
                <w:sz w:val="20"/>
                <w:szCs w:val="20"/>
              </w:rPr>
              <w:t>e</w:t>
            </w:r>
            <w:r w:rsidRPr="007575D7">
              <w:rPr>
                <w:rFonts w:ascii="Times New Roman" w:eastAsia="Times New Roman" w:hAnsi="Times New Roman" w:cs="Times New Roman"/>
                <w:sz w:val="20"/>
                <w:szCs w:val="20"/>
              </w:rPr>
              <w:t>laboration; OECD (2012).</w:t>
            </w:r>
          </w:p>
        </w:tc>
      </w:tr>
    </w:tbl>
    <w:p w14:paraId="6A83CA97" w14:textId="77777777" w:rsidR="00517BF6" w:rsidRPr="00C538DB" w:rsidRDefault="00517BF6" w:rsidP="00C538DB">
      <w:pPr>
        <w:jc w:val="both"/>
        <w:rPr>
          <w:rFonts w:ascii="Times New Roman" w:hAnsi="Times New Roman" w:cs="Times New Roman"/>
        </w:rPr>
      </w:pPr>
    </w:p>
    <w:p w14:paraId="5CFFE5C2" w14:textId="77777777" w:rsidR="006018AA" w:rsidRPr="00C91EA2" w:rsidRDefault="006018AA" w:rsidP="006018AA">
      <w:pPr>
        <w:jc w:val="both"/>
        <w:rPr>
          <w:rFonts w:ascii="Times New Roman" w:hAnsi="Times New Roman" w:cs="Times New Roman"/>
        </w:rPr>
      </w:pPr>
    </w:p>
    <w:p w14:paraId="601E3AB0" w14:textId="2DD0656E"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In addition to a strong regulatory framework it is also </w:t>
      </w:r>
      <w:r w:rsidR="00FA684F">
        <w:rPr>
          <w:rFonts w:ascii="Times New Roman" w:hAnsi="Times New Roman" w:cs="Times New Roman"/>
          <w:b/>
        </w:rPr>
        <w:t>crucial</w:t>
      </w:r>
      <w:r w:rsidR="00FA684F" w:rsidRPr="00C91EA2">
        <w:rPr>
          <w:rFonts w:ascii="Times New Roman" w:hAnsi="Times New Roman" w:cs="Times New Roman"/>
          <w:b/>
        </w:rPr>
        <w:t xml:space="preserve"> </w:t>
      </w:r>
      <w:r w:rsidRPr="00C91EA2">
        <w:rPr>
          <w:rFonts w:ascii="Times New Roman" w:hAnsi="Times New Roman" w:cs="Times New Roman"/>
          <w:b/>
        </w:rPr>
        <w:t xml:space="preserve">to have a strong and independent competition authority that effectively enforces competition rules </w:t>
      </w:r>
      <w:r w:rsidRPr="00C91EA2">
        <w:rPr>
          <w:rFonts w:ascii="Times New Roman" w:hAnsi="Times New Roman" w:cs="Times New Roman"/>
          <w:b/>
          <w:i/>
        </w:rPr>
        <w:t>ex post</w:t>
      </w:r>
      <w:r w:rsidRPr="00C91EA2">
        <w:rPr>
          <w:rFonts w:ascii="Times New Roman" w:hAnsi="Times New Roman" w:cs="Times New Roman"/>
        </w:rPr>
        <w:t xml:space="preserve">. Competition authorities across Africa have been active in pursuing investigations in the telecom sector. Tunisia launched </w:t>
      </w:r>
      <w:proofErr w:type="gramStart"/>
      <w:r w:rsidRPr="00C91EA2">
        <w:rPr>
          <w:rFonts w:ascii="Times New Roman" w:hAnsi="Times New Roman" w:cs="Times New Roman"/>
        </w:rPr>
        <w:t>a number of</w:t>
      </w:r>
      <w:proofErr w:type="gramEnd"/>
      <w:r w:rsidRPr="00C91EA2">
        <w:rPr>
          <w:rFonts w:ascii="Times New Roman" w:hAnsi="Times New Roman" w:cs="Times New Roman"/>
        </w:rPr>
        <w:t xml:space="preserve"> investigations in the past three years, of which eight resulted in sanctions. Egypt is currently investigating a price-fixing case against three large operators, which is in the prosecution phase. In South Africa, the dominant upstream fixed-line operator was found to have abused its dominance upstream to exclude competitors to its downstream retail division in the Internet segment. Investigations have also been carried out in Kenya, Malawi, and Mauritius</w:t>
      </w:r>
      <w:r w:rsidR="008C66DD">
        <w:rPr>
          <w:rFonts w:ascii="Times New Roman" w:hAnsi="Times New Roman" w:cs="Times New Roman"/>
        </w:rPr>
        <w:t>.</w:t>
      </w:r>
      <w:r w:rsidR="008B45B1">
        <w:rPr>
          <w:rStyle w:val="FootnoteReference"/>
          <w:rFonts w:ascii="Times New Roman" w:hAnsi="Times New Roman" w:cs="Times New Roman"/>
        </w:rPr>
        <w:footnoteReference w:id="204"/>
      </w:r>
    </w:p>
    <w:p w14:paraId="02BE4B68" w14:textId="77777777" w:rsidR="006018AA" w:rsidRPr="00C91EA2" w:rsidRDefault="006018AA" w:rsidP="006018AA">
      <w:pPr>
        <w:jc w:val="both"/>
        <w:rPr>
          <w:rFonts w:ascii="Times New Roman" w:hAnsi="Times New Roman" w:cs="Times New Roman"/>
        </w:rPr>
      </w:pPr>
    </w:p>
    <w:p w14:paraId="595F839C" w14:textId="1004A03E"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There are several possible </w:t>
      </w:r>
      <w:r w:rsidR="00503EF0">
        <w:rPr>
          <w:rFonts w:ascii="Times New Roman" w:hAnsi="Times New Roman" w:cs="Times New Roman"/>
          <w:b/>
        </w:rPr>
        <w:t>ways to harmonize</w:t>
      </w:r>
      <w:r w:rsidRPr="00C91EA2">
        <w:rPr>
          <w:rFonts w:ascii="Times New Roman" w:hAnsi="Times New Roman" w:cs="Times New Roman"/>
          <w:b/>
        </w:rPr>
        <w:t xml:space="preserve"> the enforcement of competition law with the enforcement of sector-specific regulation</w:t>
      </w:r>
      <w:r w:rsidRPr="00C91EA2">
        <w:rPr>
          <w:rFonts w:ascii="Times New Roman" w:hAnsi="Times New Roman" w:cs="Times New Roman"/>
        </w:rPr>
        <w:t xml:space="preserve">. There can be concurrent jurisdiction between the competition agency and the sector-specific regulator. This is the case in the UK, where sector-specific regulators, in addition to their own specific regulatory powers, are competent to deal with anti-competitive agreements or abuses of a dominant position which relate to activities in their respective sectors concurrently with the Competition and Markets Authority (CMA). </w:t>
      </w:r>
      <w:proofErr w:type="gramStart"/>
      <w:r w:rsidRPr="00C91EA2">
        <w:rPr>
          <w:rFonts w:ascii="Times New Roman" w:hAnsi="Times New Roman" w:cs="Times New Roman"/>
        </w:rPr>
        <w:t>In light of</w:t>
      </w:r>
      <w:proofErr w:type="gramEnd"/>
      <w:r w:rsidRPr="00C91EA2">
        <w:rPr>
          <w:rFonts w:ascii="Times New Roman" w:hAnsi="Times New Roman" w:cs="Times New Roman"/>
        </w:rPr>
        <w:t xml:space="preserve"> this overlap, sector-specific regulators are required to consider whether the use of Competition law is more appropriate before using their enforcement powers. </w:t>
      </w:r>
      <w:proofErr w:type="gramStart"/>
      <w:r w:rsidRPr="00C91EA2">
        <w:rPr>
          <w:rFonts w:ascii="Times New Roman" w:hAnsi="Times New Roman" w:cs="Times New Roman"/>
        </w:rPr>
        <w:t>In order to</w:t>
      </w:r>
      <w:proofErr w:type="gramEnd"/>
      <w:r w:rsidRPr="00C91EA2">
        <w:rPr>
          <w:rFonts w:ascii="Times New Roman" w:hAnsi="Times New Roman" w:cs="Times New Roman"/>
        </w:rPr>
        <w:t xml:space="preserve"> avoid institutional conflicts, the CMA and Regulators must put in place arrangements for sharing with each other certain minimum kinds of information. In this context, the CMA assumes a leadership role as the entity: (i) competent to issue guidance on commitments and to make procedural rules; (ii) competent to solve disputes with regulators; (iii) entrusted with the power to transfer a case from one authority to another or to take over a case; and (iv) </w:t>
      </w:r>
      <w:r w:rsidR="004D27C5">
        <w:rPr>
          <w:rFonts w:ascii="Times New Roman" w:hAnsi="Times New Roman" w:cs="Times New Roman"/>
        </w:rPr>
        <w:t>given</w:t>
      </w:r>
      <w:r w:rsidRPr="00C91EA2">
        <w:rPr>
          <w:rFonts w:ascii="Times New Roman" w:hAnsi="Times New Roman" w:cs="Times New Roman"/>
        </w:rPr>
        <w:t xml:space="preserve"> </w:t>
      </w:r>
      <w:r w:rsidR="004D27C5">
        <w:rPr>
          <w:rFonts w:ascii="Times New Roman" w:hAnsi="Times New Roman" w:cs="Times New Roman"/>
        </w:rPr>
        <w:t xml:space="preserve">the </w:t>
      </w:r>
      <w:r w:rsidRPr="00C91EA2">
        <w:rPr>
          <w:rFonts w:ascii="Times New Roman" w:hAnsi="Times New Roman" w:cs="Times New Roman"/>
        </w:rPr>
        <w:t>duty to report annually on the use of concurrent powers in the regulated sectors. Another solution has been to incorporate competition rules directly into the sector-specific legislation and then give the regulators explicit powers to enforce such rules (e.g. telecommunications and energy regulators in Germany). Several countries have seen competition and sector regulators developing memoranda of understanding (MoUs) on how they will exercise their functions when dealing with issues involving overlaps. Such protocols are common in Europe (Albania, Bulgaria, Croatia, Czech Republic, Hungary, Portugal, etc.), as well as in the U.S. (</w:t>
      </w:r>
      <w:r>
        <w:rPr>
          <w:rFonts w:ascii="Times New Roman" w:hAnsi="Times New Roman" w:cs="Times New Roman"/>
        </w:rPr>
        <w:t xml:space="preserve">The </w:t>
      </w:r>
      <w:r w:rsidRPr="00C91EA2">
        <w:rPr>
          <w:rFonts w:ascii="Times New Roman" w:hAnsi="Times New Roman" w:cs="Times New Roman"/>
        </w:rPr>
        <w:t>Federal Trade Commission and the Department of Justice often advise sector specific regulators on non-merger matters with a competition impact)</w:t>
      </w:r>
      <w:r w:rsidR="00F8326F">
        <w:rPr>
          <w:rFonts w:ascii="Times New Roman" w:hAnsi="Times New Roman" w:cs="Times New Roman"/>
        </w:rPr>
        <w:t xml:space="preserve"> and in some African countries</w:t>
      </w:r>
      <w:r w:rsidR="00A65D51">
        <w:rPr>
          <w:rFonts w:ascii="Times New Roman" w:hAnsi="Times New Roman" w:cs="Times New Roman"/>
        </w:rPr>
        <w:t>,</w:t>
      </w:r>
      <w:r w:rsidR="00F8326F">
        <w:rPr>
          <w:rFonts w:ascii="Times New Roman" w:hAnsi="Times New Roman" w:cs="Times New Roman"/>
        </w:rPr>
        <w:t xml:space="preserve"> including Kenya and Zambia.</w:t>
      </w:r>
    </w:p>
    <w:p w14:paraId="479FB47A" w14:textId="77777777" w:rsidR="006018AA" w:rsidRPr="00C91EA2" w:rsidRDefault="006018AA" w:rsidP="006018AA">
      <w:pPr>
        <w:jc w:val="both"/>
        <w:rPr>
          <w:rFonts w:ascii="Times New Roman" w:hAnsi="Times New Roman" w:cs="Times New Roman"/>
        </w:rPr>
      </w:pPr>
    </w:p>
    <w:p w14:paraId="54DB809D" w14:textId="2C1BA646" w:rsidR="006018AA" w:rsidRPr="00C91EA2" w:rsidRDefault="006018AA" w:rsidP="006018AA">
      <w:pPr>
        <w:pStyle w:val="Caption"/>
        <w:keepNext/>
        <w:rPr>
          <w:rFonts w:ascii="Times New Roman" w:hAnsi="Times New Roman"/>
        </w:rPr>
      </w:pPr>
      <w:bookmarkStart w:id="292" w:name="_Ref497316966"/>
      <w:bookmarkStart w:id="293" w:name="_Toc520725805"/>
      <w:r w:rsidRPr="00C91EA2">
        <w:rPr>
          <w:rFonts w:ascii="Times New Roman" w:hAnsi="Times New Roman"/>
        </w:rPr>
        <w:t xml:space="preserve">Box </w:t>
      </w:r>
      <w:r w:rsidR="009547FF">
        <w:rPr>
          <w:rFonts w:ascii="Times New Roman" w:hAnsi="Times New Roman"/>
        </w:rPr>
        <w:fldChar w:fldCharType="begin"/>
      </w:r>
      <w:r w:rsidR="009547FF">
        <w:rPr>
          <w:rFonts w:ascii="Times New Roman" w:hAnsi="Times New Roman"/>
        </w:rPr>
        <w:instrText xml:space="preserve"> SEQ Box \* ARABIC </w:instrText>
      </w:r>
      <w:r w:rsidR="009547FF">
        <w:rPr>
          <w:rFonts w:ascii="Times New Roman" w:hAnsi="Times New Roman"/>
        </w:rPr>
        <w:fldChar w:fldCharType="separate"/>
      </w:r>
      <w:r w:rsidR="008261B2">
        <w:rPr>
          <w:rFonts w:ascii="Times New Roman" w:hAnsi="Times New Roman"/>
          <w:noProof/>
        </w:rPr>
        <w:t>17</w:t>
      </w:r>
      <w:r w:rsidR="009547FF">
        <w:rPr>
          <w:rFonts w:ascii="Times New Roman" w:hAnsi="Times New Roman"/>
        </w:rPr>
        <w:fldChar w:fldCharType="end"/>
      </w:r>
      <w:bookmarkEnd w:id="292"/>
      <w:r w:rsidRPr="00C91EA2">
        <w:rPr>
          <w:rFonts w:ascii="Times New Roman" w:hAnsi="Times New Roman"/>
        </w:rPr>
        <w:t>: Setting the right combination of ex ante regulation and ex post competition enforcement</w:t>
      </w:r>
      <w:bookmarkEnd w:id="293"/>
    </w:p>
    <w:tbl>
      <w:tblPr>
        <w:tblStyle w:val="TableGrid"/>
        <w:tblW w:w="0" w:type="auto"/>
        <w:shd w:val="clear" w:color="auto" w:fill="F2F2F2" w:themeFill="background1" w:themeFillShade="F2"/>
        <w:tblLook w:val="04A0" w:firstRow="1" w:lastRow="0" w:firstColumn="1" w:lastColumn="0" w:noHBand="0" w:noVBand="1"/>
      </w:tblPr>
      <w:tblGrid>
        <w:gridCol w:w="8630"/>
      </w:tblGrid>
      <w:tr w:rsidR="006018AA" w:rsidRPr="00C91EA2" w14:paraId="400A19BB" w14:textId="77777777" w:rsidTr="00FA09FE">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E1EE24" w14:textId="70E0093E" w:rsidR="006018AA" w:rsidRPr="00C91EA2" w:rsidRDefault="006018AA" w:rsidP="00FA09FE">
            <w:pPr>
              <w:jc w:val="both"/>
              <w:rPr>
                <w:rFonts w:ascii="Times New Roman" w:hAnsi="Times New Roman" w:cs="Times New Roman"/>
                <w:sz w:val="20"/>
                <w:szCs w:val="20"/>
              </w:rPr>
            </w:pPr>
            <w:r w:rsidRPr="00C91EA2">
              <w:rPr>
                <w:rFonts w:ascii="Times New Roman" w:hAnsi="Times New Roman" w:cs="Times New Roman"/>
                <w:sz w:val="20"/>
              </w:rPr>
              <w:t xml:space="preserve">Managing the balance between </w:t>
            </w:r>
            <w:r w:rsidRPr="00C538DB">
              <w:rPr>
                <w:rFonts w:ascii="Times New Roman" w:hAnsi="Times New Roman" w:cs="Times New Roman"/>
                <w:i/>
                <w:sz w:val="20"/>
              </w:rPr>
              <w:t>ex ante</w:t>
            </w:r>
            <w:r w:rsidRPr="00C91EA2">
              <w:rPr>
                <w:rFonts w:ascii="Times New Roman" w:hAnsi="Times New Roman" w:cs="Times New Roman"/>
                <w:sz w:val="20"/>
              </w:rPr>
              <w:t xml:space="preserve"> </w:t>
            </w:r>
            <w:r w:rsidR="002B10F5">
              <w:rPr>
                <w:rFonts w:ascii="Times New Roman" w:hAnsi="Times New Roman" w:cs="Times New Roman"/>
                <w:sz w:val="20"/>
              </w:rPr>
              <w:t xml:space="preserve">asymmetric </w:t>
            </w:r>
            <w:r w:rsidRPr="00C91EA2">
              <w:rPr>
                <w:rFonts w:ascii="Times New Roman" w:hAnsi="Times New Roman" w:cs="Times New Roman"/>
                <w:sz w:val="20"/>
              </w:rPr>
              <w:t xml:space="preserve">regulation and </w:t>
            </w:r>
            <w:r w:rsidRPr="00C538DB">
              <w:rPr>
                <w:rFonts w:ascii="Times New Roman" w:hAnsi="Times New Roman" w:cs="Times New Roman"/>
                <w:i/>
                <w:sz w:val="20"/>
              </w:rPr>
              <w:t>ex post</w:t>
            </w:r>
            <w:r w:rsidRPr="00C91EA2">
              <w:rPr>
                <w:rFonts w:ascii="Times New Roman" w:hAnsi="Times New Roman" w:cs="Times New Roman"/>
                <w:sz w:val="20"/>
              </w:rPr>
              <w:t xml:space="preserve"> competition enforcement should follow the evolution of the opening of markets to </w:t>
            </w:r>
            <w:r w:rsidRPr="00C91EA2">
              <w:rPr>
                <w:rFonts w:ascii="Times New Roman" w:hAnsi="Times New Roman" w:cs="Times New Roman"/>
                <w:sz w:val="20"/>
                <w:szCs w:val="20"/>
              </w:rPr>
              <w:t>competition (</w:t>
            </w:r>
            <w:r w:rsidRPr="00C91EA2">
              <w:rPr>
                <w:rFonts w:ascii="Times New Roman" w:hAnsi="Times New Roman" w:cs="Times New Roman"/>
                <w:sz w:val="20"/>
                <w:szCs w:val="20"/>
              </w:rPr>
              <w:fldChar w:fldCharType="begin"/>
            </w:r>
            <w:r w:rsidRPr="00C91EA2">
              <w:rPr>
                <w:rFonts w:ascii="Times New Roman" w:hAnsi="Times New Roman" w:cs="Times New Roman"/>
                <w:sz w:val="20"/>
                <w:szCs w:val="20"/>
              </w:rPr>
              <w:instrText xml:space="preserve"> REF _Ref497316876 \h  \* MERGEFORMAT </w:instrText>
            </w:r>
            <w:r w:rsidRPr="00C91EA2">
              <w:rPr>
                <w:rFonts w:ascii="Times New Roman" w:hAnsi="Times New Roman" w:cs="Times New Roman"/>
                <w:sz w:val="20"/>
                <w:szCs w:val="20"/>
              </w:rPr>
            </w:r>
            <w:r w:rsidRPr="00C91EA2">
              <w:rPr>
                <w:rFonts w:ascii="Times New Roman" w:hAnsi="Times New Roman" w:cs="Times New Roman"/>
                <w:sz w:val="20"/>
                <w:szCs w:val="20"/>
              </w:rPr>
              <w:fldChar w:fldCharType="separate"/>
            </w:r>
            <w:r w:rsidR="008261B2" w:rsidRPr="008261B2">
              <w:rPr>
                <w:rFonts w:ascii="Times New Roman" w:hAnsi="Times New Roman" w:cs="Times New Roman"/>
                <w:sz w:val="20"/>
                <w:szCs w:val="20"/>
              </w:rPr>
              <w:t xml:space="preserve">Figure </w:t>
            </w:r>
            <w:r w:rsidR="008261B2" w:rsidRPr="008261B2">
              <w:rPr>
                <w:rFonts w:ascii="Times New Roman" w:hAnsi="Times New Roman" w:cs="Times New Roman"/>
                <w:noProof/>
                <w:sz w:val="20"/>
                <w:szCs w:val="20"/>
              </w:rPr>
              <w:t>70</w:t>
            </w:r>
            <w:r w:rsidRPr="00C91EA2">
              <w:rPr>
                <w:rFonts w:ascii="Times New Roman" w:hAnsi="Times New Roman" w:cs="Times New Roman"/>
                <w:sz w:val="20"/>
                <w:szCs w:val="20"/>
              </w:rPr>
              <w:fldChar w:fldCharType="end"/>
            </w:r>
            <w:r w:rsidRPr="00C91EA2">
              <w:rPr>
                <w:rFonts w:ascii="Times New Roman" w:hAnsi="Times New Roman" w:cs="Times New Roman"/>
                <w:sz w:val="20"/>
                <w:szCs w:val="20"/>
              </w:rPr>
              <w:t xml:space="preserve">). </w:t>
            </w:r>
          </w:p>
          <w:p w14:paraId="0D798C29" w14:textId="77777777" w:rsidR="006018AA" w:rsidRPr="00C91EA2" w:rsidRDefault="006018AA" w:rsidP="00FA09FE">
            <w:pPr>
              <w:jc w:val="both"/>
              <w:rPr>
                <w:rFonts w:ascii="Times New Roman" w:hAnsi="Times New Roman" w:cs="Times New Roman"/>
                <w:sz w:val="20"/>
                <w:szCs w:val="20"/>
              </w:rPr>
            </w:pPr>
          </w:p>
          <w:p w14:paraId="0B02B366" w14:textId="6B1B880E" w:rsidR="006018AA" w:rsidRPr="00C91EA2" w:rsidRDefault="006018AA" w:rsidP="00FA09FE">
            <w:pPr>
              <w:jc w:val="both"/>
              <w:rPr>
                <w:rFonts w:ascii="Times New Roman" w:hAnsi="Times New Roman" w:cs="Times New Roman"/>
                <w:sz w:val="20"/>
              </w:rPr>
            </w:pPr>
            <w:r w:rsidRPr="00C91EA2">
              <w:rPr>
                <w:rFonts w:ascii="Times New Roman" w:hAnsi="Times New Roman" w:cs="Times New Roman"/>
                <w:sz w:val="20"/>
                <w:szCs w:val="20"/>
              </w:rPr>
              <w:t xml:space="preserve">During the first phase of opening </w:t>
            </w:r>
            <w:r w:rsidR="0028321A">
              <w:rPr>
                <w:rFonts w:ascii="Times New Roman" w:hAnsi="Times New Roman" w:cs="Times New Roman"/>
                <w:sz w:val="20"/>
                <w:szCs w:val="20"/>
              </w:rPr>
              <w:t xml:space="preserve">markets </w:t>
            </w:r>
            <w:r w:rsidRPr="00C91EA2">
              <w:rPr>
                <w:rFonts w:ascii="Times New Roman" w:hAnsi="Times New Roman" w:cs="Times New Roman"/>
                <w:sz w:val="20"/>
                <w:szCs w:val="20"/>
              </w:rPr>
              <w:t>to competition, regulation is pro-active</w:t>
            </w:r>
            <w:r w:rsidR="000B7347">
              <w:rPr>
                <w:rFonts w:ascii="Times New Roman" w:hAnsi="Times New Roman" w:cs="Times New Roman"/>
                <w:sz w:val="20"/>
                <w:szCs w:val="20"/>
              </w:rPr>
              <w:t xml:space="preserve"> and asymmetric</w:t>
            </w:r>
            <w:r w:rsidRPr="00C91EA2">
              <w:rPr>
                <w:rFonts w:ascii="Times New Roman" w:hAnsi="Times New Roman" w:cs="Times New Roman"/>
                <w:sz w:val="20"/>
                <w:szCs w:val="20"/>
              </w:rPr>
              <w:t xml:space="preserve">, as it must put into place conditions for viable entry of new operators that </w:t>
            </w:r>
            <w:proofErr w:type="gramStart"/>
            <w:r w:rsidRPr="00C91EA2">
              <w:rPr>
                <w:rFonts w:ascii="Times New Roman" w:hAnsi="Times New Roman" w:cs="Times New Roman"/>
                <w:sz w:val="20"/>
                <w:szCs w:val="20"/>
              </w:rPr>
              <w:t>are capable of competing</w:t>
            </w:r>
            <w:proofErr w:type="gramEnd"/>
            <w:r w:rsidRPr="00C91EA2">
              <w:rPr>
                <w:rFonts w:ascii="Times New Roman" w:hAnsi="Times New Roman" w:cs="Times New Roman"/>
                <w:sz w:val="20"/>
                <w:szCs w:val="20"/>
              </w:rPr>
              <w:t xml:space="preserve"> with the historical incumbent in the long run. This first phase is characterized by a focus on tariff regulation at the wholesale level (i.e. for access to network infrastructure and termination rates)</w:t>
            </w:r>
            <w:r w:rsidRPr="00C91EA2">
              <w:rPr>
                <w:rFonts w:ascii="Times New Roman" w:hAnsi="Times New Roman" w:cs="Times New Roman"/>
                <w:sz w:val="20"/>
              </w:rPr>
              <w:t xml:space="preserve"> and, if necessary, at the retail level (phone subscriptions). Tariffs should be oriented towards the costs of an efficient operator, although this requires overcoming the asymmetry of information that exists between the former incumbent and the regulator in terms of the incumbent’s costs. The control of the costs of the operator by an independent auditor designated by the regulator and the design of ad hoc cost models by the regulator or by independent trustees designated by the regulator can enable the regulator to reduce information asymmetries and to establish regulated tariffs </w:t>
            </w:r>
            <w:proofErr w:type="gramStart"/>
            <w:r w:rsidRPr="00C91EA2">
              <w:rPr>
                <w:rFonts w:ascii="Times New Roman" w:hAnsi="Times New Roman" w:cs="Times New Roman"/>
                <w:sz w:val="20"/>
              </w:rPr>
              <w:t>on the basis of</w:t>
            </w:r>
            <w:proofErr w:type="gramEnd"/>
            <w:r w:rsidRPr="00C91EA2">
              <w:rPr>
                <w:rFonts w:ascii="Times New Roman" w:hAnsi="Times New Roman" w:cs="Times New Roman"/>
                <w:sz w:val="20"/>
              </w:rPr>
              <w:t xml:space="preserve"> objective and verifiable benchmarks.</w:t>
            </w:r>
          </w:p>
          <w:p w14:paraId="01A913DE" w14:textId="77777777" w:rsidR="006018AA" w:rsidRPr="00C91EA2" w:rsidRDefault="006018AA" w:rsidP="00FA09FE">
            <w:pPr>
              <w:jc w:val="both"/>
              <w:rPr>
                <w:rFonts w:ascii="Times New Roman" w:hAnsi="Times New Roman" w:cs="Times New Roman"/>
                <w:sz w:val="20"/>
              </w:rPr>
            </w:pPr>
          </w:p>
          <w:p w14:paraId="4E6BEDE2" w14:textId="77777777" w:rsidR="006018AA" w:rsidRPr="00C91EA2" w:rsidRDefault="006018AA" w:rsidP="00FA09FE">
            <w:pPr>
              <w:jc w:val="both"/>
              <w:rPr>
                <w:rFonts w:ascii="Times New Roman" w:hAnsi="Times New Roman" w:cs="Times New Roman"/>
                <w:sz w:val="20"/>
              </w:rPr>
            </w:pPr>
            <w:r w:rsidRPr="00C91EA2">
              <w:rPr>
                <w:rFonts w:ascii="Times New Roman" w:hAnsi="Times New Roman" w:cs="Times New Roman"/>
                <w:sz w:val="20"/>
              </w:rPr>
              <w:t xml:space="preserve">Once wholesale markets are adequately regulated, the freedom for players to choose their own tariffs and compete in this dimension can be introduced at the retail level in the second phase. Here it is important that an effective competition authority is in place to detect and deter potential abuses of dominance by the dominant operator in the non-regulated retail markets. </w:t>
            </w:r>
          </w:p>
          <w:p w14:paraId="1D91E6D3" w14:textId="77777777" w:rsidR="006018AA" w:rsidRPr="00C91EA2" w:rsidRDefault="006018AA" w:rsidP="00FA09FE">
            <w:pPr>
              <w:jc w:val="both"/>
              <w:rPr>
                <w:rFonts w:ascii="Times New Roman" w:hAnsi="Times New Roman" w:cs="Times New Roman"/>
                <w:sz w:val="20"/>
              </w:rPr>
            </w:pPr>
          </w:p>
          <w:p w14:paraId="0150E4ED" w14:textId="77777777" w:rsidR="006018AA" w:rsidRPr="00C91EA2" w:rsidRDefault="006018AA" w:rsidP="00FA09FE">
            <w:pPr>
              <w:jc w:val="both"/>
              <w:rPr>
                <w:rFonts w:ascii="Times New Roman" w:hAnsi="Times New Roman" w:cs="Times New Roman"/>
                <w:sz w:val="20"/>
              </w:rPr>
            </w:pPr>
            <w:r w:rsidRPr="00C91EA2">
              <w:rPr>
                <w:rFonts w:ascii="Times New Roman" w:hAnsi="Times New Roman" w:cs="Times New Roman"/>
                <w:sz w:val="20"/>
              </w:rPr>
              <w:t xml:space="preserve">Eventually, in the third phase the progressive establishment of viable operators can enable the creation of competitive wholesale markets in some segments (regulated primarily on an </w:t>
            </w:r>
            <w:r w:rsidRPr="00C538DB">
              <w:rPr>
                <w:rFonts w:ascii="Times New Roman" w:hAnsi="Times New Roman" w:cs="Times New Roman"/>
                <w:i/>
                <w:sz w:val="20"/>
              </w:rPr>
              <w:t>ex post</w:t>
            </w:r>
            <w:r w:rsidRPr="00C91EA2">
              <w:rPr>
                <w:rFonts w:ascii="Times New Roman" w:hAnsi="Times New Roman" w:cs="Times New Roman"/>
                <w:sz w:val="20"/>
              </w:rPr>
              <w:t xml:space="preserve"> basis through competition enforcement), as well as the identification of market segments where competition is highly difficult or impossible to foster</w:t>
            </w:r>
            <w:r w:rsidR="00AF29E8">
              <w:rPr>
                <w:rFonts w:ascii="Times New Roman" w:hAnsi="Times New Roman" w:cs="Times New Roman"/>
                <w:sz w:val="20"/>
              </w:rPr>
              <w:t>, where asymmetric regulation remains applicable</w:t>
            </w:r>
            <w:r w:rsidRPr="00C91EA2">
              <w:rPr>
                <w:rFonts w:ascii="Times New Roman" w:hAnsi="Times New Roman" w:cs="Times New Roman"/>
                <w:sz w:val="20"/>
              </w:rPr>
              <w:t xml:space="preserve">. This latter phenomenon may especially concern geographical areas with low density or certain capital assets (radio frequencies, passive infrastructure, capacity links) which cannot easily be </w:t>
            </w:r>
            <w:proofErr w:type="gramStart"/>
            <w:r w:rsidRPr="00C91EA2">
              <w:rPr>
                <w:rFonts w:ascii="Times New Roman" w:hAnsi="Times New Roman" w:cs="Times New Roman"/>
                <w:sz w:val="20"/>
              </w:rPr>
              <w:t>replicated</w:t>
            </w:r>
            <w:proofErr w:type="gramEnd"/>
            <w:r w:rsidRPr="00C91EA2">
              <w:rPr>
                <w:rFonts w:ascii="Times New Roman" w:hAnsi="Times New Roman" w:cs="Times New Roman"/>
                <w:sz w:val="20"/>
              </w:rPr>
              <w:t xml:space="preserve"> and which therefore may constitute essential facilities. The identification of these essential facilities allows the regulator to determine the parameters of long term regulation.</w:t>
            </w:r>
          </w:p>
          <w:p w14:paraId="176B1B63" w14:textId="77777777" w:rsidR="006018AA" w:rsidRPr="00C91EA2" w:rsidRDefault="006018AA" w:rsidP="00FA09FE">
            <w:pPr>
              <w:jc w:val="both"/>
              <w:rPr>
                <w:rFonts w:ascii="Times New Roman" w:hAnsi="Times New Roman" w:cs="Times New Roman"/>
                <w:sz w:val="20"/>
              </w:rPr>
            </w:pPr>
          </w:p>
          <w:p w14:paraId="03065CCB" w14:textId="77777777" w:rsidR="006018AA" w:rsidRPr="00C91EA2" w:rsidRDefault="006018AA" w:rsidP="00FA09FE">
            <w:pPr>
              <w:jc w:val="both"/>
              <w:rPr>
                <w:rFonts w:ascii="Times New Roman" w:hAnsi="Times New Roman" w:cs="Times New Roman"/>
                <w:sz w:val="20"/>
              </w:rPr>
            </w:pPr>
            <w:r w:rsidRPr="00C91EA2">
              <w:rPr>
                <w:rFonts w:ascii="Times New Roman" w:hAnsi="Times New Roman" w:cs="Times New Roman"/>
                <w:sz w:val="20"/>
              </w:rPr>
              <w:t xml:space="preserve">It should also be highlighted that, </w:t>
            </w:r>
            <w:proofErr w:type="gramStart"/>
            <w:r w:rsidRPr="00C91EA2">
              <w:rPr>
                <w:rFonts w:ascii="Times New Roman" w:hAnsi="Times New Roman" w:cs="Times New Roman"/>
                <w:sz w:val="20"/>
              </w:rPr>
              <w:t>as regards</w:t>
            </w:r>
            <w:proofErr w:type="gramEnd"/>
            <w:r w:rsidRPr="00C91EA2">
              <w:rPr>
                <w:rFonts w:ascii="Times New Roman" w:hAnsi="Times New Roman" w:cs="Times New Roman"/>
                <w:sz w:val="20"/>
              </w:rPr>
              <w:t xml:space="preserve"> scarce resources, such as spectrum, a competitive, transparent and objective process for the assignment of rights to such resources should be established. Competition in the market must remain active and service-based competition can complement infrastructure competition whenever the latter is not viable in the short to medium run.</w:t>
            </w:r>
          </w:p>
          <w:p w14:paraId="26227CBA" w14:textId="77777777" w:rsidR="006018AA" w:rsidRPr="00C91EA2" w:rsidRDefault="006018AA" w:rsidP="00FA09FE">
            <w:pPr>
              <w:jc w:val="both"/>
              <w:rPr>
                <w:rFonts w:ascii="Times New Roman" w:hAnsi="Times New Roman" w:cs="Times New Roman"/>
                <w:sz w:val="20"/>
              </w:rPr>
            </w:pPr>
          </w:p>
          <w:p w14:paraId="1417A469" w14:textId="36C37F52" w:rsidR="006018AA" w:rsidRPr="00C91EA2" w:rsidRDefault="006018AA" w:rsidP="00FA09FE">
            <w:pPr>
              <w:pStyle w:val="Caption"/>
              <w:keepNext/>
              <w:jc w:val="both"/>
              <w:rPr>
                <w:rFonts w:ascii="Times New Roman" w:hAnsi="Times New Roman"/>
              </w:rPr>
            </w:pPr>
            <w:bookmarkStart w:id="294" w:name="_Ref497316876"/>
            <w:bookmarkStart w:id="295" w:name="_Toc520725626"/>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70</w:t>
            </w:r>
            <w:r w:rsidR="00D91B27">
              <w:rPr>
                <w:rFonts w:ascii="Times New Roman" w:hAnsi="Times New Roman"/>
              </w:rPr>
              <w:fldChar w:fldCharType="end"/>
            </w:r>
            <w:bookmarkEnd w:id="294"/>
            <w:r w:rsidRPr="00C91EA2">
              <w:rPr>
                <w:rFonts w:ascii="Times New Roman" w:hAnsi="Times New Roman"/>
              </w:rPr>
              <w:t>: The three stages of opening telecommunications markets to competition</w:t>
            </w:r>
            <w:bookmarkEnd w:id="295"/>
          </w:p>
          <w:p w14:paraId="6A0AFEC9" w14:textId="77777777" w:rsidR="006018AA" w:rsidRPr="00C91EA2" w:rsidRDefault="006018AA" w:rsidP="00FA09FE">
            <w:pPr>
              <w:jc w:val="both"/>
              <w:rPr>
                <w:rFonts w:ascii="Times New Roman" w:hAnsi="Times New Roman" w:cs="Times New Roman"/>
                <w:sz w:val="20"/>
              </w:rPr>
            </w:pPr>
            <w:r w:rsidRPr="00C91EA2">
              <w:rPr>
                <w:rFonts w:ascii="Times New Roman" w:hAnsi="Times New Roman" w:cs="Times New Roman"/>
                <w:noProof/>
              </w:rPr>
              <w:drawing>
                <wp:inline distT="0" distB="0" distL="0" distR="0" wp14:anchorId="180F890F" wp14:editId="2709D1DA">
                  <wp:extent cx="4905375" cy="24765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05375" cy="2476500"/>
                          </a:xfrm>
                          <a:prstGeom prst="rect">
                            <a:avLst/>
                          </a:prstGeom>
                          <a:noFill/>
                          <a:ln>
                            <a:noFill/>
                          </a:ln>
                        </pic:spPr>
                      </pic:pic>
                    </a:graphicData>
                  </a:graphic>
                </wp:inline>
              </w:drawing>
            </w:r>
          </w:p>
          <w:p w14:paraId="42DD54C6" w14:textId="19FD8ABE" w:rsidR="006018AA" w:rsidRPr="00F66F82" w:rsidRDefault="00F66F82" w:rsidP="00FA09FE">
            <w:pPr>
              <w:jc w:val="both"/>
              <w:rPr>
                <w:rFonts w:ascii="Times New Roman" w:hAnsi="Times New Roman" w:cs="Times New Roman"/>
                <w:i/>
                <w:highlight w:val="red"/>
              </w:rPr>
            </w:pPr>
            <w:r>
              <w:rPr>
                <w:rFonts w:ascii="Times New Roman" w:hAnsi="Times New Roman" w:cs="Times New Roman"/>
                <w:i/>
                <w:sz w:val="20"/>
              </w:rPr>
              <w:t>Source</w:t>
            </w:r>
            <w:r w:rsidR="006018AA" w:rsidRPr="00F66F82">
              <w:rPr>
                <w:rFonts w:ascii="Times New Roman" w:hAnsi="Times New Roman" w:cs="Times New Roman"/>
                <w:i/>
                <w:sz w:val="20"/>
              </w:rPr>
              <w:t xml:space="preserve">: </w:t>
            </w:r>
            <w:r w:rsidR="006018AA" w:rsidRPr="007575D7">
              <w:rPr>
                <w:rFonts w:ascii="Times New Roman" w:hAnsi="Times New Roman" w:cs="Times New Roman"/>
                <w:sz w:val="20"/>
              </w:rPr>
              <w:t xml:space="preserve">WBG </w:t>
            </w:r>
            <w:r w:rsidR="00B2502A" w:rsidRPr="007575D7">
              <w:rPr>
                <w:rFonts w:ascii="Times New Roman" w:hAnsi="Times New Roman" w:cs="Times New Roman"/>
                <w:sz w:val="20"/>
              </w:rPr>
              <w:t xml:space="preserve">Markets and Competition Team </w:t>
            </w:r>
            <w:r w:rsidR="006018AA" w:rsidRPr="007575D7">
              <w:rPr>
                <w:rFonts w:ascii="Times New Roman" w:hAnsi="Times New Roman" w:cs="Times New Roman"/>
                <w:sz w:val="20"/>
              </w:rPr>
              <w:t>and Tera Consultants</w:t>
            </w:r>
            <w:r w:rsidR="00AD4191">
              <w:rPr>
                <w:rFonts w:ascii="Times New Roman" w:hAnsi="Times New Roman" w:cs="Times New Roman"/>
                <w:sz w:val="20"/>
              </w:rPr>
              <w:t>.</w:t>
            </w:r>
          </w:p>
        </w:tc>
      </w:tr>
    </w:tbl>
    <w:p w14:paraId="5E89E0B1" w14:textId="77777777" w:rsidR="00711D1F" w:rsidRPr="00C91EA2" w:rsidRDefault="00711D1F" w:rsidP="006018AA">
      <w:pPr>
        <w:jc w:val="both"/>
        <w:rPr>
          <w:rFonts w:ascii="Times New Roman" w:hAnsi="Times New Roman" w:cs="Times New Roman"/>
          <w:b/>
        </w:rPr>
      </w:pPr>
    </w:p>
    <w:p w14:paraId="6A7DC442" w14:textId="1F28E8A4" w:rsidR="002130E4"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Despite the existence of an independent telecommunications regulator and of a regulatory framework </w:t>
      </w:r>
      <w:r>
        <w:rPr>
          <w:rFonts w:ascii="Times New Roman" w:hAnsi="Times New Roman" w:cs="Times New Roman"/>
          <w:b/>
        </w:rPr>
        <w:t xml:space="preserve">updated </w:t>
      </w:r>
      <w:r w:rsidRPr="00C91EA2">
        <w:rPr>
          <w:rFonts w:ascii="Times New Roman" w:hAnsi="Times New Roman" w:cs="Times New Roman"/>
          <w:b/>
        </w:rPr>
        <w:t>in 2011, competition in the telecommunications sector remains weak</w:t>
      </w:r>
      <w:r w:rsidR="00B41724">
        <w:rPr>
          <w:rFonts w:ascii="Times New Roman" w:hAnsi="Times New Roman" w:cs="Times New Roman"/>
          <w:b/>
        </w:rPr>
        <w:t xml:space="preserve"> (see Boxes </w:t>
      </w:r>
      <w:r w:rsidR="005538DD">
        <w:rPr>
          <w:rFonts w:ascii="Times New Roman" w:hAnsi="Times New Roman" w:cs="Times New Roman"/>
          <w:b/>
        </w:rPr>
        <w:t xml:space="preserve">18 </w:t>
      </w:r>
      <w:r w:rsidR="00B41724">
        <w:rPr>
          <w:rFonts w:ascii="Times New Roman" w:hAnsi="Times New Roman" w:cs="Times New Roman"/>
          <w:b/>
        </w:rPr>
        <w:t xml:space="preserve">and </w:t>
      </w:r>
      <w:r w:rsidR="005538DD">
        <w:rPr>
          <w:rFonts w:ascii="Times New Roman" w:hAnsi="Times New Roman" w:cs="Times New Roman"/>
          <w:b/>
        </w:rPr>
        <w:t xml:space="preserve">19 </w:t>
      </w:r>
      <w:r w:rsidR="00B41724">
        <w:rPr>
          <w:rFonts w:ascii="Times New Roman" w:hAnsi="Times New Roman" w:cs="Times New Roman"/>
          <w:b/>
        </w:rPr>
        <w:t>below)</w:t>
      </w:r>
      <w:r w:rsidRPr="00C91EA2">
        <w:rPr>
          <w:rFonts w:ascii="Times New Roman" w:hAnsi="Times New Roman" w:cs="Times New Roman"/>
          <w:b/>
        </w:rPr>
        <w:t xml:space="preserve">. </w:t>
      </w:r>
      <w:r w:rsidRPr="00C91EA2">
        <w:rPr>
          <w:rFonts w:ascii="Times New Roman" w:hAnsi="Times New Roman" w:cs="Times New Roman"/>
        </w:rPr>
        <w:t>In 2001, Senegal established a sector-specific regulator, ARTP with powers over the telecommunications and postal services sectors through Law 2001-15, which approved the Telecommunications Code.</w:t>
      </w:r>
      <w:r w:rsidR="00774ABE" w:rsidRPr="00774ABE">
        <w:rPr>
          <w:rStyle w:val="FootnoteReference"/>
          <w:rFonts w:ascii="Times New Roman" w:hAnsi="Times New Roman" w:cs="Times New Roman"/>
        </w:rPr>
        <w:t xml:space="preserve"> </w:t>
      </w:r>
      <w:r w:rsidR="00774ABE" w:rsidRPr="00C91EA2">
        <w:rPr>
          <w:rStyle w:val="FootnoteReference"/>
          <w:rFonts w:ascii="Times New Roman" w:hAnsi="Times New Roman" w:cs="Times New Roman"/>
        </w:rPr>
        <w:footnoteReference w:id="205"/>
      </w:r>
      <w:r w:rsidRPr="00C91EA2">
        <w:rPr>
          <w:rFonts w:ascii="Times New Roman" w:hAnsi="Times New Roman" w:cs="Times New Roman"/>
        </w:rPr>
        <w:t xml:space="preserve"> This Law was replaced in 2011 by Law n° 2011-01, of 24 February 2011, which harmonized Senegal’s national law with the WAEMU and ECOWAS frameworks and introduced a series of substantive and institutional changes to the country’s telecommunications regulatory framework. The 2011 Telecommunications Code implements the concepts of relevant markets and of operators with significant market power (SMP)</w:t>
      </w:r>
      <w:r w:rsidR="006C620F">
        <w:rPr>
          <w:rFonts w:ascii="Times New Roman" w:hAnsi="Times New Roman" w:cs="Times New Roman"/>
        </w:rPr>
        <w:t xml:space="preserve">, </w:t>
      </w:r>
      <w:r w:rsidR="00F9509F">
        <w:rPr>
          <w:rFonts w:ascii="Times New Roman" w:hAnsi="Times New Roman" w:cs="Times New Roman"/>
        </w:rPr>
        <w:t xml:space="preserve">the existence of </w:t>
      </w:r>
      <w:r w:rsidR="006C620F">
        <w:rPr>
          <w:rFonts w:ascii="Times New Roman" w:hAnsi="Times New Roman" w:cs="Times New Roman"/>
        </w:rPr>
        <w:t>which trigger</w:t>
      </w:r>
      <w:r w:rsidR="00F9509F">
        <w:rPr>
          <w:rFonts w:ascii="Times New Roman" w:hAnsi="Times New Roman" w:cs="Times New Roman"/>
        </w:rPr>
        <w:t>s</w:t>
      </w:r>
      <w:r w:rsidR="006C620F">
        <w:rPr>
          <w:rFonts w:ascii="Times New Roman" w:hAnsi="Times New Roman" w:cs="Times New Roman"/>
        </w:rPr>
        <w:t xml:space="preserve"> the application of asymmetric regulation</w:t>
      </w:r>
      <w:r w:rsidRPr="00C91EA2">
        <w:rPr>
          <w:rFonts w:ascii="Times New Roman" w:hAnsi="Times New Roman" w:cs="Times New Roman"/>
        </w:rPr>
        <w:t xml:space="preserve">. </w:t>
      </w:r>
      <w:r w:rsidR="006C620F">
        <w:rPr>
          <w:rFonts w:ascii="Times New Roman" w:hAnsi="Times New Roman" w:cs="Times New Roman"/>
        </w:rPr>
        <w:t xml:space="preserve">However, the Telecommunications Code </w:t>
      </w:r>
      <w:r w:rsidR="006C620F" w:rsidRPr="006C620F">
        <w:rPr>
          <w:rFonts w:ascii="Times New Roman" w:hAnsi="Times New Roman" w:cs="Times New Roman"/>
        </w:rPr>
        <w:t xml:space="preserve">also includes unfair competition law provisions which aim to ensure fairness in the relation between businesses regardless of the </w:t>
      </w:r>
      <w:r w:rsidR="006C620F">
        <w:rPr>
          <w:rFonts w:ascii="Times New Roman" w:hAnsi="Times New Roman" w:cs="Times New Roman"/>
        </w:rPr>
        <w:t>existence of market power</w:t>
      </w:r>
      <w:r w:rsidR="006C620F" w:rsidRPr="006C620F">
        <w:rPr>
          <w:rFonts w:ascii="Times New Roman" w:hAnsi="Times New Roman" w:cs="Times New Roman"/>
        </w:rPr>
        <w:t xml:space="preserve">. </w:t>
      </w:r>
      <w:r w:rsidR="003C4BDE" w:rsidRPr="003C4BDE">
        <w:rPr>
          <w:rFonts w:ascii="Times New Roman" w:hAnsi="Times New Roman" w:cs="Times New Roman"/>
        </w:rPr>
        <w:t xml:space="preserve">In this regard, the Code establishes a general prohibition of abuse of economic dependency vis-à-vis </w:t>
      </w:r>
      <w:r w:rsidR="0043484B">
        <w:rPr>
          <w:rFonts w:ascii="Times New Roman" w:hAnsi="Times New Roman" w:cs="Times New Roman"/>
        </w:rPr>
        <w:t xml:space="preserve">a </w:t>
      </w:r>
      <w:r w:rsidR="003C4BDE" w:rsidRPr="003C4BDE">
        <w:rPr>
          <w:rFonts w:ascii="Times New Roman" w:hAnsi="Times New Roman" w:cs="Times New Roman"/>
        </w:rPr>
        <w:t xml:space="preserve">client or supplier without </w:t>
      </w:r>
      <w:r w:rsidR="0043484B">
        <w:rPr>
          <w:rFonts w:ascii="Times New Roman" w:hAnsi="Times New Roman" w:cs="Times New Roman"/>
        </w:rPr>
        <w:t xml:space="preserve">an </w:t>
      </w:r>
      <w:r w:rsidR="003C4BDE" w:rsidRPr="003C4BDE">
        <w:rPr>
          <w:rFonts w:ascii="Times New Roman" w:hAnsi="Times New Roman" w:cs="Times New Roman"/>
        </w:rPr>
        <w:t xml:space="preserve">equivalent alternative (e.g. breach of existing commercial relations or refusal to supply). Stemming from this prohibition, the Code then sets forth </w:t>
      </w:r>
      <w:r w:rsidR="0043484B">
        <w:rPr>
          <w:rFonts w:ascii="Times New Roman" w:hAnsi="Times New Roman" w:cs="Times New Roman"/>
        </w:rPr>
        <w:t xml:space="preserve">the </w:t>
      </w:r>
      <w:r w:rsidR="003C4BDE" w:rsidRPr="003C4BDE">
        <w:rPr>
          <w:rFonts w:ascii="Times New Roman" w:hAnsi="Times New Roman" w:cs="Times New Roman"/>
        </w:rPr>
        <w:t xml:space="preserve">duty to supply third parties </w:t>
      </w:r>
      <w:r w:rsidR="0043484B">
        <w:rPr>
          <w:rFonts w:ascii="Times New Roman" w:hAnsi="Times New Roman" w:cs="Times New Roman"/>
        </w:rPr>
        <w:t>under</w:t>
      </w:r>
      <w:r w:rsidR="0043484B" w:rsidRPr="003C4BDE">
        <w:rPr>
          <w:rFonts w:ascii="Times New Roman" w:hAnsi="Times New Roman" w:cs="Times New Roman"/>
        </w:rPr>
        <w:t xml:space="preserve"> </w:t>
      </w:r>
      <w:r w:rsidR="003C4BDE" w:rsidRPr="003C4BDE">
        <w:rPr>
          <w:rFonts w:ascii="Times New Roman" w:hAnsi="Times New Roman" w:cs="Times New Roman"/>
        </w:rPr>
        <w:t>transparent and non-discriminatory conditio</w:t>
      </w:r>
      <w:r w:rsidR="003C4BDE">
        <w:rPr>
          <w:rFonts w:ascii="Times New Roman" w:hAnsi="Times New Roman" w:cs="Times New Roman"/>
        </w:rPr>
        <w:t>ns identically to a subsidiary</w:t>
      </w:r>
      <w:r w:rsidR="003C4BDE" w:rsidRPr="003C4BDE">
        <w:rPr>
          <w:rFonts w:ascii="Times New Roman" w:hAnsi="Times New Roman" w:cs="Times New Roman"/>
        </w:rPr>
        <w:t>.</w:t>
      </w:r>
      <w:r w:rsidR="00A65D51">
        <w:rPr>
          <w:rStyle w:val="FootnoteReference"/>
          <w:rFonts w:ascii="Times New Roman" w:hAnsi="Times New Roman" w:cs="Times New Roman"/>
        </w:rPr>
        <w:footnoteReference w:id="206"/>
      </w:r>
      <w:r w:rsidR="003C4BDE" w:rsidRPr="003C4BDE">
        <w:rPr>
          <w:rFonts w:ascii="Times New Roman" w:hAnsi="Times New Roman" w:cs="Times New Roman"/>
        </w:rPr>
        <w:t xml:space="preserve"> By imposing this obligation upon all operators independently from the existence of SMP, the Telecommunications Code is blurring the distinction between symmetric and asymmetric regulation and ends up unduly burdening the smaller operators even though they lack market power.</w:t>
      </w:r>
      <w:r w:rsidR="003C4BDE">
        <w:rPr>
          <w:rFonts w:ascii="Times New Roman" w:hAnsi="Times New Roman" w:cs="Times New Roman"/>
        </w:rPr>
        <w:t xml:space="preserve"> </w:t>
      </w:r>
      <w:r w:rsidR="00D70A94">
        <w:rPr>
          <w:rFonts w:ascii="Times New Roman" w:hAnsi="Times New Roman" w:cs="Times New Roman"/>
        </w:rPr>
        <w:t xml:space="preserve"> </w:t>
      </w:r>
    </w:p>
    <w:p w14:paraId="75DF0FA2" w14:textId="77777777" w:rsidR="002130E4" w:rsidRDefault="002130E4" w:rsidP="00C538DB">
      <w:pPr>
        <w:pStyle w:val="ListParagraph"/>
        <w:ind w:left="0"/>
        <w:jc w:val="both"/>
        <w:rPr>
          <w:rFonts w:ascii="Times New Roman" w:hAnsi="Times New Roman" w:cs="Times New Roman"/>
        </w:rPr>
      </w:pPr>
    </w:p>
    <w:p w14:paraId="0967BD21" w14:textId="7F7190A0" w:rsidR="003C4BDE" w:rsidRDefault="00D70A94" w:rsidP="006018AA">
      <w:pPr>
        <w:pStyle w:val="ListParagraph"/>
        <w:numPr>
          <w:ilvl w:val="0"/>
          <w:numId w:val="71"/>
        </w:numPr>
        <w:ind w:left="0" w:firstLine="0"/>
        <w:jc w:val="both"/>
        <w:rPr>
          <w:rFonts w:ascii="Times New Roman" w:hAnsi="Times New Roman" w:cs="Times New Roman"/>
        </w:rPr>
      </w:pPr>
      <w:r w:rsidRPr="00C538DB">
        <w:rPr>
          <w:rFonts w:ascii="Times New Roman" w:hAnsi="Times New Roman" w:cs="Times New Roman"/>
          <w:b/>
        </w:rPr>
        <w:t xml:space="preserve">Further, the need for adequate resources of ARTP coupled with </w:t>
      </w:r>
      <w:r w:rsidR="002130E4" w:rsidRPr="00C538DB">
        <w:rPr>
          <w:rFonts w:ascii="Times New Roman" w:hAnsi="Times New Roman" w:cs="Times New Roman"/>
          <w:b/>
        </w:rPr>
        <w:t>an institutional structure</w:t>
      </w:r>
      <w:r w:rsidR="002130E4">
        <w:rPr>
          <w:rFonts w:ascii="Times New Roman" w:hAnsi="Times New Roman" w:cs="Times New Roman"/>
        </w:rPr>
        <w:t xml:space="preserve"> that is shielded from undue public and private influence would ensure a more effective application of the current regulatory framework (see also Box </w:t>
      </w:r>
      <w:r w:rsidR="00702088">
        <w:rPr>
          <w:rFonts w:ascii="Times New Roman" w:hAnsi="Times New Roman" w:cs="Times New Roman"/>
        </w:rPr>
        <w:t>19</w:t>
      </w:r>
      <w:r w:rsidR="002130E4">
        <w:rPr>
          <w:rFonts w:ascii="Times New Roman" w:hAnsi="Times New Roman" w:cs="Times New Roman"/>
        </w:rPr>
        <w:t>).</w:t>
      </w:r>
    </w:p>
    <w:p w14:paraId="6BCF5774" w14:textId="77777777" w:rsidR="007763FE" w:rsidRDefault="007763FE" w:rsidP="007763FE">
      <w:pPr>
        <w:pStyle w:val="ListParagraph"/>
        <w:ind w:left="0"/>
        <w:jc w:val="both"/>
        <w:rPr>
          <w:rFonts w:ascii="Times New Roman" w:hAnsi="Times New Roman" w:cs="Times New Roman"/>
        </w:rPr>
      </w:pPr>
    </w:p>
    <w:p w14:paraId="0C5AED63" w14:textId="1A589EDB" w:rsidR="00B41724" w:rsidRPr="00C91EA2" w:rsidRDefault="00B41724" w:rsidP="00B41724">
      <w:pPr>
        <w:pStyle w:val="Caption"/>
        <w:keepNext/>
        <w:rPr>
          <w:rFonts w:ascii="Times New Roman" w:hAnsi="Times New Roman"/>
        </w:rPr>
      </w:pPr>
      <w:bookmarkStart w:id="296" w:name="_Toc520725806"/>
      <w:r w:rsidRPr="00C91EA2">
        <w:rPr>
          <w:rFonts w:ascii="Times New Roman" w:hAnsi="Times New Roman"/>
        </w:rPr>
        <w:t xml:space="preserve">Box </w:t>
      </w:r>
      <w:r w:rsidR="009547FF">
        <w:rPr>
          <w:rFonts w:ascii="Times New Roman" w:hAnsi="Times New Roman"/>
        </w:rPr>
        <w:fldChar w:fldCharType="begin"/>
      </w:r>
      <w:r w:rsidR="009547FF">
        <w:rPr>
          <w:rFonts w:ascii="Times New Roman" w:hAnsi="Times New Roman"/>
        </w:rPr>
        <w:instrText xml:space="preserve"> SEQ Box \* ARABIC </w:instrText>
      </w:r>
      <w:r w:rsidR="009547FF">
        <w:rPr>
          <w:rFonts w:ascii="Times New Roman" w:hAnsi="Times New Roman"/>
        </w:rPr>
        <w:fldChar w:fldCharType="separate"/>
      </w:r>
      <w:r w:rsidR="008261B2">
        <w:rPr>
          <w:rFonts w:ascii="Times New Roman" w:hAnsi="Times New Roman"/>
          <w:noProof/>
        </w:rPr>
        <w:t>18</w:t>
      </w:r>
      <w:r w:rsidR="009547FF">
        <w:rPr>
          <w:rFonts w:ascii="Times New Roman" w:hAnsi="Times New Roman"/>
        </w:rPr>
        <w:fldChar w:fldCharType="end"/>
      </w:r>
      <w:r w:rsidRPr="00C91EA2">
        <w:rPr>
          <w:rFonts w:ascii="Times New Roman" w:hAnsi="Times New Roman"/>
        </w:rPr>
        <w:t>: Telecommunications Code Rules on Competition</w:t>
      </w:r>
      <w:bookmarkEnd w:id="296"/>
    </w:p>
    <w:tbl>
      <w:tblPr>
        <w:tblStyle w:val="TableGrid"/>
        <w:tblW w:w="0" w:type="auto"/>
        <w:shd w:val="clear" w:color="auto" w:fill="F2F2F2" w:themeFill="background1" w:themeFillShade="F2"/>
        <w:tblLook w:val="04A0" w:firstRow="1" w:lastRow="0" w:firstColumn="1" w:lastColumn="0" w:noHBand="0" w:noVBand="1"/>
      </w:tblPr>
      <w:tblGrid>
        <w:gridCol w:w="8630"/>
      </w:tblGrid>
      <w:tr w:rsidR="00B41724" w:rsidRPr="00C91EA2" w14:paraId="0489F66D" w14:textId="77777777" w:rsidTr="00E264EA">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51A657" w14:textId="5CB3CE1E" w:rsidR="00B41724" w:rsidRPr="00C91EA2" w:rsidRDefault="00B41724" w:rsidP="00E264EA">
            <w:pPr>
              <w:pStyle w:val="Caption"/>
              <w:jc w:val="both"/>
              <w:rPr>
                <w:rFonts w:ascii="Times New Roman" w:hAnsi="Times New Roman"/>
                <w:b w:val="0"/>
              </w:rPr>
            </w:pPr>
            <w:r w:rsidRPr="00C91EA2">
              <w:rPr>
                <w:rFonts w:ascii="Times New Roman" w:hAnsi="Times New Roman"/>
                <w:b w:val="0"/>
              </w:rPr>
              <w:t>In the specific case of the telecommunications sector, the Telecommunications Code includes specific rules on competition. First, in terms of the Code’s objectives, Article 4 states that its goals include attaining an effective competition in the telecommunications sector and ensuring a level</w:t>
            </w:r>
            <w:r w:rsidR="00CA27E1">
              <w:rPr>
                <w:rFonts w:ascii="Times New Roman" w:hAnsi="Times New Roman"/>
                <w:b w:val="0"/>
              </w:rPr>
              <w:t xml:space="preserve"> </w:t>
            </w:r>
            <w:r w:rsidRPr="00C91EA2">
              <w:rPr>
                <w:rFonts w:ascii="Times New Roman" w:hAnsi="Times New Roman"/>
                <w:b w:val="0"/>
              </w:rPr>
              <w:t>playing</w:t>
            </w:r>
            <w:r w:rsidR="00CA27E1">
              <w:rPr>
                <w:rFonts w:ascii="Times New Roman" w:hAnsi="Times New Roman"/>
                <w:b w:val="0"/>
              </w:rPr>
              <w:t xml:space="preserve"> </w:t>
            </w:r>
            <w:r w:rsidRPr="00C91EA2">
              <w:rPr>
                <w:rFonts w:ascii="Times New Roman" w:hAnsi="Times New Roman"/>
                <w:b w:val="0"/>
              </w:rPr>
              <w:t xml:space="preserve">field in the market without discrimination between players. Secondly, the Code </w:t>
            </w:r>
            <w:r>
              <w:rPr>
                <w:rFonts w:ascii="Times New Roman" w:hAnsi="Times New Roman"/>
                <w:b w:val="0"/>
              </w:rPr>
              <w:t>prohibits</w:t>
            </w:r>
            <w:r w:rsidRPr="00C91EA2">
              <w:rPr>
                <w:rFonts w:ascii="Times New Roman" w:hAnsi="Times New Roman"/>
                <w:b w:val="0"/>
              </w:rPr>
              <w:t xml:space="preserve"> practices having as their object or effect the prevention, restriction or distortion of competition in the telecommunications market, including:</w:t>
            </w:r>
          </w:p>
          <w:p w14:paraId="32671400" w14:textId="77777777" w:rsidR="00B41724" w:rsidRPr="00C91EA2" w:rsidRDefault="00B41724" w:rsidP="00E264EA">
            <w:pPr>
              <w:pStyle w:val="ListParagraph"/>
              <w:numPr>
                <w:ilvl w:val="0"/>
                <w:numId w:val="81"/>
              </w:numPr>
              <w:jc w:val="both"/>
              <w:rPr>
                <w:rFonts w:ascii="Times New Roman" w:hAnsi="Times New Roman" w:cs="Times New Roman"/>
                <w:sz w:val="20"/>
              </w:rPr>
            </w:pPr>
            <w:r w:rsidRPr="00C91EA2">
              <w:rPr>
                <w:rFonts w:ascii="Times New Roman" w:hAnsi="Times New Roman" w:cs="Times New Roman"/>
                <w:sz w:val="20"/>
              </w:rPr>
              <w:t>Limiting access to the market or the freedom of competition by other companies;</w:t>
            </w:r>
          </w:p>
          <w:p w14:paraId="377706E9" w14:textId="78F72BAA" w:rsidR="00B41724" w:rsidRPr="00C91EA2" w:rsidRDefault="00B41724" w:rsidP="00E264EA">
            <w:pPr>
              <w:pStyle w:val="ListParagraph"/>
              <w:numPr>
                <w:ilvl w:val="0"/>
                <w:numId w:val="81"/>
              </w:numPr>
              <w:jc w:val="both"/>
              <w:rPr>
                <w:rFonts w:ascii="Times New Roman" w:hAnsi="Times New Roman" w:cs="Times New Roman"/>
                <w:sz w:val="20"/>
              </w:rPr>
            </w:pPr>
            <w:r w:rsidRPr="00C91EA2">
              <w:rPr>
                <w:rFonts w:ascii="Times New Roman" w:hAnsi="Times New Roman" w:cs="Times New Roman"/>
                <w:sz w:val="20"/>
              </w:rPr>
              <w:t>Creation of obstacles to the market, namely through dumping and anticompetitive cross-subsidization;</w:t>
            </w:r>
          </w:p>
          <w:p w14:paraId="6C50FA59" w14:textId="77777777" w:rsidR="00B41724" w:rsidRPr="00C91EA2" w:rsidRDefault="00B41724" w:rsidP="00E264EA">
            <w:pPr>
              <w:pStyle w:val="ListParagraph"/>
              <w:numPr>
                <w:ilvl w:val="0"/>
                <w:numId w:val="81"/>
              </w:numPr>
              <w:jc w:val="both"/>
              <w:rPr>
                <w:rFonts w:ascii="Times New Roman" w:hAnsi="Times New Roman" w:cs="Times New Roman"/>
                <w:sz w:val="20"/>
              </w:rPr>
            </w:pPr>
            <w:r w:rsidRPr="00C91EA2">
              <w:rPr>
                <w:rFonts w:ascii="Times New Roman" w:hAnsi="Times New Roman" w:cs="Times New Roman"/>
                <w:sz w:val="20"/>
              </w:rPr>
              <w:t>Limiting or controlling production, investment or technical development;</w:t>
            </w:r>
          </w:p>
          <w:p w14:paraId="79A12323" w14:textId="77777777" w:rsidR="00B41724" w:rsidRPr="00C91EA2" w:rsidRDefault="00B41724" w:rsidP="00E264EA">
            <w:pPr>
              <w:pStyle w:val="ListParagraph"/>
              <w:numPr>
                <w:ilvl w:val="0"/>
                <w:numId w:val="81"/>
              </w:numPr>
              <w:jc w:val="both"/>
              <w:rPr>
                <w:rFonts w:ascii="Times New Roman" w:hAnsi="Times New Roman" w:cs="Times New Roman"/>
                <w:sz w:val="20"/>
              </w:rPr>
            </w:pPr>
            <w:r w:rsidRPr="00C91EA2">
              <w:rPr>
                <w:rFonts w:ascii="Times New Roman" w:hAnsi="Times New Roman" w:cs="Times New Roman"/>
                <w:sz w:val="20"/>
              </w:rPr>
              <w:t>Sharing markets or sources of supply;</w:t>
            </w:r>
          </w:p>
          <w:p w14:paraId="35CDEAD4" w14:textId="3D52FFA3" w:rsidR="00B41724" w:rsidRPr="00C91EA2" w:rsidRDefault="00B41724" w:rsidP="00E264EA">
            <w:pPr>
              <w:pStyle w:val="ListParagraph"/>
              <w:numPr>
                <w:ilvl w:val="0"/>
                <w:numId w:val="81"/>
              </w:numPr>
              <w:jc w:val="both"/>
              <w:rPr>
                <w:rFonts w:ascii="Times New Roman" w:hAnsi="Times New Roman" w:cs="Times New Roman"/>
                <w:sz w:val="20"/>
              </w:rPr>
            </w:pPr>
            <w:r w:rsidRPr="00C91EA2">
              <w:rPr>
                <w:rFonts w:ascii="Times New Roman" w:hAnsi="Times New Roman" w:cs="Times New Roman"/>
                <w:sz w:val="20"/>
              </w:rPr>
              <w:t>Refus</w:t>
            </w:r>
            <w:r>
              <w:rPr>
                <w:rFonts w:ascii="Times New Roman" w:hAnsi="Times New Roman" w:cs="Times New Roman"/>
                <w:sz w:val="20"/>
              </w:rPr>
              <w:t>ing</w:t>
            </w:r>
            <w:r w:rsidRPr="00C91EA2">
              <w:rPr>
                <w:rFonts w:ascii="Times New Roman" w:hAnsi="Times New Roman" w:cs="Times New Roman"/>
                <w:sz w:val="20"/>
              </w:rPr>
              <w:t xml:space="preserve"> to make available to other operators </w:t>
            </w:r>
            <w:r>
              <w:rPr>
                <w:rFonts w:ascii="Times New Roman" w:hAnsi="Times New Roman" w:cs="Times New Roman"/>
                <w:sz w:val="20"/>
              </w:rPr>
              <w:t xml:space="preserve">in a timely manner </w:t>
            </w:r>
            <w:r w:rsidRPr="00C91EA2">
              <w:rPr>
                <w:rFonts w:ascii="Times New Roman" w:hAnsi="Times New Roman" w:cs="Times New Roman"/>
                <w:sz w:val="20"/>
              </w:rPr>
              <w:t>technical information on essential facilities and relevant commercial information required for the development of their activity;</w:t>
            </w:r>
          </w:p>
          <w:p w14:paraId="37B69D42" w14:textId="77777777" w:rsidR="00B41724" w:rsidRPr="00C91EA2" w:rsidRDefault="00B41724" w:rsidP="00E264EA">
            <w:pPr>
              <w:pStyle w:val="ListParagraph"/>
              <w:numPr>
                <w:ilvl w:val="0"/>
                <w:numId w:val="81"/>
              </w:numPr>
              <w:jc w:val="both"/>
              <w:rPr>
                <w:rFonts w:ascii="Times New Roman" w:hAnsi="Times New Roman" w:cs="Times New Roman"/>
                <w:sz w:val="20"/>
              </w:rPr>
            </w:pPr>
            <w:r w:rsidRPr="00C91EA2">
              <w:rPr>
                <w:rFonts w:ascii="Times New Roman" w:hAnsi="Times New Roman" w:cs="Times New Roman"/>
                <w:sz w:val="20"/>
              </w:rPr>
              <w:t>Using information obtained from competitors for anticompetitive purposes; and</w:t>
            </w:r>
          </w:p>
          <w:p w14:paraId="73BBC96F" w14:textId="77777777" w:rsidR="00B41724" w:rsidRPr="00C91EA2" w:rsidRDefault="00B41724" w:rsidP="00E264EA">
            <w:pPr>
              <w:pStyle w:val="ListParagraph"/>
              <w:numPr>
                <w:ilvl w:val="0"/>
                <w:numId w:val="81"/>
              </w:numPr>
              <w:jc w:val="both"/>
              <w:rPr>
                <w:rFonts w:ascii="Times New Roman" w:hAnsi="Times New Roman" w:cs="Times New Roman"/>
                <w:sz w:val="20"/>
              </w:rPr>
            </w:pPr>
            <w:r w:rsidRPr="00C91EA2">
              <w:rPr>
                <w:rFonts w:ascii="Times New Roman" w:hAnsi="Times New Roman" w:cs="Times New Roman"/>
                <w:sz w:val="20"/>
              </w:rPr>
              <w:t>Abus</w:t>
            </w:r>
            <w:r>
              <w:rPr>
                <w:rFonts w:ascii="Times New Roman" w:hAnsi="Times New Roman" w:cs="Times New Roman"/>
                <w:sz w:val="20"/>
              </w:rPr>
              <w:t>ing</w:t>
            </w:r>
            <w:r w:rsidRPr="00C91EA2">
              <w:rPr>
                <w:rFonts w:ascii="Times New Roman" w:hAnsi="Times New Roman" w:cs="Times New Roman"/>
                <w:sz w:val="20"/>
              </w:rPr>
              <w:t xml:space="preserve"> </w:t>
            </w:r>
            <w:r w:rsidR="00A64AE2">
              <w:rPr>
                <w:rFonts w:ascii="Times New Roman" w:hAnsi="Times New Roman" w:cs="Times New Roman"/>
                <w:sz w:val="20"/>
              </w:rPr>
              <w:t xml:space="preserve">a </w:t>
            </w:r>
            <w:r w:rsidRPr="00C91EA2">
              <w:rPr>
                <w:rFonts w:ascii="Times New Roman" w:hAnsi="Times New Roman" w:cs="Times New Roman"/>
                <w:sz w:val="20"/>
              </w:rPr>
              <w:t>dominant position (Telecommunications Code, Article 43).</w:t>
            </w:r>
          </w:p>
          <w:p w14:paraId="062BAD13" w14:textId="77777777" w:rsidR="00B41724" w:rsidRPr="00C91EA2" w:rsidRDefault="00B41724" w:rsidP="00E264EA">
            <w:pPr>
              <w:jc w:val="both"/>
              <w:rPr>
                <w:rFonts w:ascii="Times New Roman" w:hAnsi="Times New Roman" w:cs="Times New Roman"/>
                <w:sz w:val="20"/>
              </w:rPr>
            </w:pPr>
          </w:p>
          <w:p w14:paraId="549B6E38" w14:textId="3425D2D4" w:rsidR="00B41724" w:rsidRPr="00C91EA2" w:rsidRDefault="00B41724" w:rsidP="00E264EA">
            <w:pPr>
              <w:jc w:val="both"/>
              <w:rPr>
                <w:rFonts w:ascii="Times New Roman" w:hAnsi="Times New Roman" w:cs="Times New Roman"/>
                <w:sz w:val="20"/>
              </w:rPr>
            </w:pPr>
            <w:r w:rsidRPr="00C91EA2">
              <w:rPr>
                <w:rFonts w:ascii="Times New Roman" w:hAnsi="Times New Roman" w:cs="Times New Roman"/>
                <w:sz w:val="20"/>
              </w:rPr>
              <w:t xml:space="preserve">Although the Telecommunications Code bestows ARTP with the powers to enforce the competition provisions of the Telecommunications Code and to issue decisions, there has been no enforcement so far (Telecommunications Code, Article 46). This enforcement gap can be explained by the delay in enacting the required bylaws to apply the relevant provisions: e.g. the Code leaves </w:t>
            </w:r>
            <w:r>
              <w:rPr>
                <w:rFonts w:ascii="Times New Roman" w:hAnsi="Times New Roman" w:cs="Times New Roman"/>
                <w:sz w:val="20"/>
              </w:rPr>
              <w:t xml:space="preserve">it </w:t>
            </w:r>
            <w:r w:rsidRPr="00C91EA2">
              <w:rPr>
                <w:rFonts w:ascii="Times New Roman" w:hAnsi="Times New Roman" w:cs="Times New Roman"/>
                <w:sz w:val="20"/>
              </w:rPr>
              <w:t xml:space="preserve">for a subsequent Decree to determine the relevant regulatory costs (Article 45). Moreover, even if ARTP </w:t>
            </w:r>
            <w:proofErr w:type="gramStart"/>
            <w:r w:rsidRPr="00C91EA2">
              <w:rPr>
                <w:rFonts w:ascii="Times New Roman" w:hAnsi="Times New Roman" w:cs="Times New Roman"/>
                <w:sz w:val="20"/>
              </w:rPr>
              <w:t>actually applied</w:t>
            </w:r>
            <w:proofErr w:type="gramEnd"/>
            <w:r w:rsidRPr="00C91EA2">
              <w:rPr>
                <w:rFonts w:ascii="Times New Roman" w:hAnsi="Times New Roman" w:cs="Times New Roman"/>
                <w:sz w:val="20"/>
              </w:rPr>
              <w:t xml:space="preserve"> the relevant competition rules, it is unclear whether it would be able to sanction the practices given that the Telecommunications Code does not </w:t>
            </w:r>
            <w:r w:rsidR="00481A2D">
              <w:rPr>
                <w:rFonts w:ascii="Times New Roman" w:hAnsi="Times New Roman" w:cs="Times New Roman"/>
                <w:sz w:val="20"/>
              </w:rPr>
              <w:t>lay out</w:t>
            </w:r>
            <w:r w:rsidR="00481A2D" w:rsidRPr="00C91EA2">
              <w:rPr>
                <w:rFonts w:ascii="Times New Roman" w:hAnsi="Times New Roman" w:cs="Times New Roman"/>
                <w:sz w:val="20"/>
              </w:rPr>
              <w:t xml:space="preserve"> </w:t>
            </w:r>
            <w:r w:rsidRPr="00C91EA2">
              <w:rPr>
                <w:rFonts w:ascii="Times New Roman" w:hAnsi="Times New Roman" w:cs="Times New Roman"/>
                <w:sz w:val="20"/>
              </w:rPr>
              <w:t>specific sanctions in case of breach of the competition rules.</w:t>
            </w:r>
          </w:p>
          <w:p w14:paraId="69E03CA6" w14:textId="77777777" w:rsidR="00B41724" w:rsidRPr="00C91EA2" w:rsidRDefault="00B41724" w:rsidP="00E264EA">
            <w:pPr>
              <w:jc w:val="both"/>
              <w:rPr>
                <w:rFonts w:ascii="Times New Roman" w:hAnsi="Times New Roman" w:cs="Times New Roman"/>
                <w:sz w:val="20"/>
              </w:rPr>
            </w:pPr>
          </w:p>
          <w:p w14:paraId="5A839222" w14:textId="77777777" w:rsidR="00B41724" w:rsidRPr="00C91EA2" w:rsidRDefault="00B41724" w:rsidP="00E264EA">
            <w:pPr>
              <w:rPr>
                <w:rFonts w:ascii="Times New Roman" w:hAnsi="Times New Roman" w:cs="Times New Roman"/>
                <w:i/>
                <w:sz w:val="20"/>
              </w:rPr>
            </w:pPr>
            <w:r w:rsidRPr="00C91EA2">
              <w:rPr>
                <w:rFonts w:ascii="Times New Roman" w:hAnsi="Times New Roman" w:cs="Times New Roman"/>
                <w:i/>
                <w:sz w:val="20"/>
              </w:rPr>
              <w:t xml:space="preserve">Source: </w:t>
            </w:r>
            <w:r w:rsidRPr="007575D7">
              <w:rPr>
                <w:rFonts w:ascii="Times New Roman" w:hAnsi="Times New Roman" w:cs="Times New Roman"/>
                <w:sz w:val="20"/>
              </w:rPr>
              <w:t xml:space="preserve">WBG </w:t>
            </w:r>
            <w:r w:rsidR="00B2502A" w:rsidRPr="007575D7">
              <w:rPr>
                <w:rFonts w:ascii="Times New Roman" w:hAnsi="Times New Roman" w:cs="Times New Roman"/>
                <w:sz w:val="20"/>
              </w:rPr>
              <w:t>Markets and Competition Team</w:t>
            </w:r>
            <w:r w:rsidR="00F66F82" w:rsidRPr="007575D7">
              <w:rPr>
                <w:rFonts w:ascii="Times New Roman" w:hAnsi="Times New Roman" w:cs="Times New Roman"/>
                <w:sz w:val="20"/>
              </w:rPr>
              <w:t xml:space="preserve"> </w:t>
            </w:r>
            <w:r w:rsidRPr="007575D7">
              <w:rPr>
                <w:rFonts w:ascii="Times New Roman" w:hAnsi="Times New Roman" w:cs="Times New Roman"/>
                <w:sz w:val="20"/>
              </w:rPr>
              <w:t>elaboration</w:t>
            </w:r>
          </w:p>
        </w:tc>
      </w:tr>
    </w:tbl>
    <w:p w14:paraId="3BBF5F6E" w14:textId="77777777" w:rsidR="00B41724" w:rsidRPr="00C91EA2" w:rsidRDefault="00B41724" w:rsidP="00B41724">
      <w:pPr>
        <w:jc w:val="both"/>
        <w:rPr>
          <w:rFonts w:ascii="Times New Roman" w:hAnsi="Times New Roman" w:cs="Times New Roman"/>
        </w:rPr>
      </w:pPr>
    </w:p>
    <w:p w14:paraId="37BCE2C4" w14:textId="77777777" w:rsidR="00B41724" w:rsidRPr="00C91EA2" w:rsidRDefault="00B41724" w:rsidP="00B41724">
      <w:pPr>
        <w:jc w:val="both"/>
        <w:rPr>
          <w:rFonts w:ascii="Times New Roman" w:hAnsi="Times New Roman" w:cs="Times New Roman"/>
        </w:rPr>
      </w:pPr>
    </w:p>
    <w:p w14:paraId="645450F1" w14:textId="1BCE8DD2" w:rsidR="00B41724" w:rsidRPr="00C91EA2" w:rsidRDefault="00B41724" w:rsidP="00B41724">
      <w:pPr>
        <w:pStyle w:val="Caption"/>
        <w:keepNext/>
        <w:rPr>
          <w:rFonts w:ascii="Times New Roman" w:hAnsi="Times New Roman"/>
        </w:rPr>
      </w:pPr>
      <w:bookmarkStart w:id="297" w:name="_Toc520725807"/>
      <w:r w:rsidRPr="00C91EA2">
        <w:rPr>
          <w:rFonts w:ascii="Times New Roman" w:hAnsi="Times New Roman"/>
        </w:rPr>
        <w:t xml:space="preserve">Box </w:t>
      </w:r>
      <w:r w:rsidR="009547FF">
        <w:rPr>
          <w:rFonts w:ascii="Times New Roman" w:hAnsi="Times New Roman"/>
        </w:rPr>
        <w:fldChar w:fldCharType="begin"/>
      </w:r>
      <w:r w:rsidR="009547FF">
        <w:rPr>
          <w:rFonts w:ascii="Times New Roman" w:hAnsi="Times New Roman"/>
        </w:rPr>
        <w:instrText xml:space="preserve"> SEQ Box \* ARABIC </w:instrText>
      </w:r>
      <w:r w:rsidR="009547FF">
        <w:rPr>
          <w:rFonts w:ascii="Times New Roman" w:hAnsi="Times New Roman"/>
        </w:rPr>
        <w:fldChar w:fldCharType="separate"/>
      </w:r>
      <w:r w:rsidR="008261B2">
        <w:rPr>
          <w:rFonts w:ascii="Times New Roman" w:hAnsi="Times New Roman"/>
          <w:noProof/>
        </w:rPr>
        <w:t>19</w:t>
      </w:r>
      <w:r w:rsidR="009547FF">
        <w:rPr>
          <w:rFonts w:ascii="Times New Roman" w:hAnsi="Times New Roman"/>
        </w:rPr>
        <w:fldChar w:fldCharType="end"/>
      </w:r>
      <w:r w:rsidRPr="00C91EA2">
        <w:rPr>
          <w:rFonts w:ascii="Times New Roman" w:hAnsi="Times New Roman"/>
        </w:rPr>
        <w:t>: The Governance of ARTP</w:t>
      </w:r>
      <w:bookmarkEnd w:id="297"/>
    </w:p>
    <w:tbl>
      <w:tblPr>
        <w:tblStyle w:val="TableGrid"/>
        <w:tblW w:w="0" w:type="auto"/>
        <w:tblLook w:val="04A0" w:firstRow="1" w:lastRow="0" w:firstColumn="1" w:lastColumn="0" w:noHBand="0" w:noVBand="1"/>
      </w:tblPr>
      <w:tblGrid>
        <w:gridCol w:w="8630"/>
      </w:tblGrid>
      <w:tr w:rsidR="00B41724" w:rsidRPr="00C91EA2" w14:paraId="36D103F3" w14:textId="77777777" w:rsidTr="00E264EA">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2224B" w14:textId="7DEAF1F6" w:rsidR="00B41724" w:rsidRPr="00C91EA2" w:rsidRDefault="00B41724" w:rsidP="00E264EA">
            <w:pPr>
              <w:jc w:val="both"/>
              <w:rPr>
                <w:rFonts w:ascii="Times New Roman" w:hAnsi="Times New Roman" w:cs="Times New Roman"/>
                <w:sz w:val="20"/>
              </w:rPr>
            </w:pPr>
            <w:r w:rsidRPr="00C91EA2">
              <w:rPr>
                <w:rFonts w:ascii="Times New Roman" w:hAnsi="Times New Roman" w:cs="Times New Roman"/>
                <w:sz w:val="20"/>
              </w:rPr>
              <w:t>Based on the existing legal framework in the Telecommunications Code, ARTP’s technical independence may be compromised by the existence of two bodies</w:t>
            </w:r>
            <w:r w:rsidR="00F24B6F">
              <w:rPr>
                <w:rFonts w:ascii="Times New Roman" w:hAnsi="Times New Roman" w:cs="Times New Roman"/>
                <w:sz w:val="20"/>
              </w:rPr>
              <w:t xml:space="preserve"> with </w:t>
            </w:r>
            <w:r w:rsidRPr="00C91EA2">
              <w:rPr>
                <w:rFonts w:ascii="Times New Roman" w:hAnsi="Times New Roman" w:cs="Times New Roman"/>
                <w:sz w:val="20"/>
              </w:rPr>
              <w:t xml:space="preserve">conflicting philosophies: </w:t>
            </w:r>
            <w:proofErr w:type="gramStart"/>
            <w:r>
              <w:rPr>
                <w:rFonts w:ascii="Times New Roman" w:hAnsi="Times New Roman" w:cs="Times New Roman"/>
                <w:sz w:val="20"/>
              </w:rPr>
              <w:t>the</w:t>
            </w:r>
            <w:proofErr w:type="gramEnd"/>
            <w:r>
              <w:rPr>
                <w:rFonts w:ascii="Times New Roman" w:hAnsi="Times New Roman" w:cs="Times New Roman"/>
                <w:sz w:val="20"/>
              </w:rPr>
              <w:t xml:space="preserve"> </w:t>
            </w:r>
            <w:r w:rsidRPr="00C91EA2">
              <w:rPr>
                <w:rFonts w:ascii="Times New Roman" w:hAnsi="Times New Roman" w:cs="Times New Roman"/>
                <w:sz w:val="20"/>
              </w:rPr>
              <w:t xml:space="preserve">Board and Director-General. The ARTP’s solution conflicts with international best practice since it does not prevent the exercise of undue influence over ARTP’s decisions by the </w:t>
            </w:r>
            <w:r w:rsidR="003B24ED">
              <w:rPr>
                <w:rFonts w:ascii="Times New Roman" w:hAnsi="Times New Roman" w:cs="Times New Roman"/>
                <w:sz w:val="20"/>
              </w:rPr>
              <w:t>Government</w:t>
            </w:r>
            <w:r w:rsidRPr="00C91EA2">
              <w:rPr>
                <w:rFonts w:ascii="Times New Roman" w:hAnsi="Times New Roman" w:cs="Times New Roman"/>
                <w:sz w:val="20"/>
              </w:rPr>
              <w:t xml:space="preserve"> (</w:t>
            </w:r>
            <w:r w:rsidRPr="00C91EA2">
              <w:rPr>
                <w:rFonts w:ascii="Times New Roman" w:hAnsi="Times New Roman" w:cs="Times New Roman"/>
                <w:i/>
                <w:sz w:val="20"/>
              </w:rPr>
              <w:t xml:space="preserve">see </w:t>
            </w:r>
            <w:r w:rsidRPr="00C91EA2">
              <w:rPr>
                <w:rFonts w:ascii="Times New Roman" w:hAnsi="Times New Roman" w:cs="Times New Roman"/>
                <w:sz w:val="20"/>
              </w:rPr>
              <w:t xml:space="preserve">OECD, “The Governance of Regulators”, Chapter 2). Examples of international best practice in this domain can be found in the U.S., South Africa and in most EU Member States (e.g. Germany, Portugal), with the European Commission challenging Member States who fail to guarantee the independence of telecommunications regulators vis-à-vis the </w:t>
            </w:r>
            <w:r w:rsidR="003B24ED">
              <w:rPr>
                <w:rFonts w:ascii="Times New Roman" w:hAnsi="Times New Roman" w:cs="Times New Roman"/>
                <w:sz w:val="20"/>
              </w:rPr>
              <w:t>Government</w:t>
            </w:r>
            <w:r w:rsidRPr="00C91EA2">
              <w:rPr>
                <w:rFonts w:ascii="Times New Roman" w:hAnsi="Times New Roman" w:cs="Times New Roman"/>
                <w:sz w:val="20"/>
              </w:rPr>
              <w:t xml:space="preserve"> (e.g., Belgium, Latvia and The Netherlands in 2014). On the other hand, in Africa there are several examples of countries where the </w:t>
            </w:r>
            <w:r w:rsidR="003B24ED">
              <w:rPr>
                <w:rFonts w:ascii="Times New Roman" w:hAnsi="Times New Roman" w:cs="Times New Roman"/>
                <w:sz w:val="20"/>
              </w:rPr>
              <w:t>Government</w:t>
            </w:r>
            <w:r w:rsidRPr="00C91EA2">
              <w:rPr>
                <w:rFonts w:ascii="Times New Roman" w:hAnsi="Times New Roman" w:cs="Times New Roman"/>
                <w:sz w:val="20"/>
              </w:rPr>
              <w:t xml:space="preserve"> has direct presence in the regulator or appoints some of its members (e.g. Egypt, Morocco, Rwanda, Kenya). To appropriately determine how effective a regulatory authority is in practice, it would be </w:t>
            </w:r>
            <w:r w:rsidR="004E3A32">
              <w:rPr>
                <w:rFonts w:ascii="Times New Roman" w:hAnsi="Times New Roman" w:cs="Times New Roman"/>
                <w:sz w:val="20"/>
              </w:rPr>
              <w:t>necessary</w:t>
            </w:r>
            <w:r w:rsidR="004E3A32" w:rsidRPr="00C91EA2">
              <w:rPr>
                <w:rFonts w:ascii="Times New Roman" w:hAnsi="Times New Roman" w:cs="Times New Roman"/>
                <w:sz w:val="20"/>
              </w:rPr>
              <w:t xml:space="preserve"> </w:t>
            </w:r>
            <w:r w:rsidRPr="00C91EA2">
              <w:rPr>
                <w:rFonts w:ascii="Times New Roman" w:hAnsi="Times New Roman" w:cs="Times New Roman"/>
                <w:sz w:val="20"/>
              </w:rPr>
              <w:t>to carry-out a functional review.</w:t>
            </w:r>
          </w:p>
          <w:p w14:paraId="79DA4A92" w14:textId="77777777" w:rsidR="00B41724" w:rsidRPr="00C91EA2" w:rsidRDefault="00B41724" w:rsidP="00E264EA">
            <w:pPr>
              <w:jc w:val="both"/>
              <w:rPr>
                <w:rFonts w:ascii="Times New Roman" w:hAnsi="Times New Roman" w:cs="Times New Roman"/>
                <w:sz w:val="20"/>
              </w:rPr>
            </w:pPr>
          </w:p>
          <w:p w14:paraId="466BAD23" w14:textId="01EB4661" w:rsidR="00B41724" w:rsidRPr="00C91EA2" w:rsidRDefault="00B41724" w:rsidP="00E264EA">
            <w:pPr>
              <w:jc w:val="both"/>
              <w:rPr>
                <w:rFonts w:ascii="Times New Roman" w:hAnsi="Times New Roman" w:cs="Times New Roman"/>
                <w:sz w:val="20"/>
              </w:rPr>
            </w:pPr>
            <w:r w:rsidRPr="00C91EA2">
              <w:rPr>
                <w:rFonts w:ascii="Times New Roman" w:hAnsi="Times New Roman" w:cs="Times New Roman"/>
                <w:sz w:val="20"/>
              </w:rPr>
              <w:t xml:space="preserve">ARTP’s Board </w:t>
            </w:r>
            <w:r w:rsidR="004E3A32">
              <w:rPr>
                <w:rFonts w:ascii="Times New Roman" w:hAnsi="Times New Roman" w:cs="Times New Roman"/>
                <w:sz w:val="20"/>
              </w:rPr>
              <w:t xml:space="preserve">is </w:t>
            </w:r>
            <w:r w:rsidRPr="00C91EA2">
              <w:rPr>
                <w:rFonts w:ascii="Times New Roman" w:hAnsi="Times New Roman" w:cs="Times New Roman"/>
                <w:sz w:val="20"/>
              </w:rPr>
              <w:t xml:space="preserve">composed of seven members, five with a five-year non-renewable mandate and two with a three-year non-renewable mandate (Telecommunications Code, Article 154). Board members are selected following an open tender launched by the </w:t>
            </w:r>
            <w:r w:rsidR="003B24ED">
              <w:rPr>
                <w:rFonts w:ascii="Times New Roman" w:hAnsi="Times New Roman" w:cs="Times New Roman"/>
                <w:sz w:val="20"/>
              </w:rPr>
              <w:t>Government</w:t>
            </w:r>
            <w:r w:rsidRPr="00C91EA2">
              <w:rPr>
                <w:rFonts w:ascii="Times New Roman" w:hAnsi="Times New Roman" w:cs="Times New Roman"/>
                <w:sz w:val="20"/>
              </w:rPr>
              <w:t xml:space="preserve"> and candidates are selected </w:t>
            </w:r>
            <w:proofErr w:type="gramStart"/>
            <w:r w:rsidRPr="00C91EA2">
              <w:rPr>
                <w:rFonts w:ascii="Times New Roman" w:hAnsi="Times New Roman" w:cs="Times New Roman"/>
                <w:sz w:val="20"/>
              </w:rPr>
              <w:t>on the basis of</w:t>
            </w:r>
            <w:proofErr w:type="gramEnd"/>
            <w:r w:rsidRPr="00C91EA2">
              <w:rPr>
                <w:rFonts w:ascii="Times New Roman" w:hAnsi="Times New Roman" w:cs="Times New Roman"/>
                <w:sz w:val="20"/>
              </w:rPr>
              <w:t xml:space="preserve"> their integrity, qualifications and expertise (Telecommunications Code, Article 155). Although Members of the Board are chosen by Decree, their President is appointed by the President of the Republic out of the seven members indicated (Telecommunications Code, Article 154). Furthermore, </w:t>
            </w:r>
            <w:r w:rsidR="00F514C9">
              <w:rPr>
                <w:rFonts w:ascii="Times New Roman" w:hAnsi="Times New Roman" w:cs="Times New Roman"/>
                <w:sz w:val="20"/>
              </w:rPr>
              <w:t xml:space="preserve">Board members are </w:t>
            </w:r>
            <w:r w:rsidRPr="00C91EA2">
              <w:rPr>
                <w:rFonts w:ascii="Times New Roman" w:hAnsi="Times New Roman" w:cs="Times New Roman"/>
                <w:sz w:val="20"/>
              </w:rPr>
              <w:t xml:space="preserve">subject to an incompatibilities regime with any other activity in regulated sectors and any </w:t>
            </w:r>
            <w:r w:rsidR="003B24ED">
              <w:rPr>
                <w:rFonts w:ascii="Times New Roman" w:hAnsi="Times New Roman" w:cs="Times New Roman"/>
                <w:sz w:val="20"/>
              </w:rPr>
              <w:t>Government</w:t>
            </w:r>
            <w:r w:rsidRPr="00C91EA2">
              <w:rPr>
                <w:rFonts w:ascii="Times New Roman" w:hAnsi="Times New Roman" w:cs="Times New Roman"/>
                <w:sz w:val="20"/>
              </w:rPr>
              <w:t>al role and cannot be dismissed except in the case of gross fault (Telecommunications Code, Article 156).</w:t>
            </w:r>
          </w:p>
          <w:p w14:paraId="2BDDF959" w14:textId="77777777" w:rsidR="00B41724" w:rsidRPr="00C91EA2" w:rsidRDefault="00B41724" w:rsidP="00E264EA">
            <w:pPr>
              <w:jc w:val="both"/>
              <w:rPr>
                <w:rFonts w:ascii="Times New Roman" w:hAnsi="Times New Roman" w:cs="Times New Roman"/>
                <w:sz w:val="20"/>
              </w:rPr>
            </w:pPr>
          </w:p>
          <w:p w14:paraId="7DB398CE" w14:textId="6C182EC4" w:rsidR="00B41724" w:rsidRPr="00C91EA2" w:rsidRDefault="00B41724" w:rsidP="00E264EA">
            <w:pPr>
              <w:jc w:val="both"/>
              <w:rPr>
                <w:rFonts w:ascii="Times New Roman" w:hAnsi="Times New Roman" w:cs="Times New Roman"/>
                <w:sz w:val="20"/>
              </w:rPr>
            </w:pPr>
            <w:r w:rsidRPr="00C91EA2">
              <w:rPr>
                <w:rFonts w:ascii="Times New Roman" w:hAnsi="Times New Roman" w:cs="Times New Roman"/>
                <w:sz w:val="20"/>
              </w:rPr>
              <w:t xml:space="preserve">In addition to the Board, the Telecommunications Code creates the position of the Director General. Although the Board is the decision-making body of ARTP, its decisions are based upon the files prepared by the Director General (Telecommunications Code, Article 159). The Director General has investigative powers in regulatory decisions and holds all the powers necessary to ensure the internal organization of ARTP (Telecommunications Code, Article 165). Furthermore, the </w:t>
            </w:r>
            <w:r w:rsidR="00F8326F">
              <w:rPr>
                <w:rFonts w:ascii="Times New Roman" w:hAnsi="Times New Roman" w:cs="Times New Roman"/>
                <w:sz w:val="20"/>
              </w:rPr>
              <w:t xml:space="preserve">Director General </w:t>
            </w:r>
            <w:r w:rsidRPr="00C91EA2">
              <w:rPr>
                <w:rFonts w:ascii="Times New Roman" w:hAnsi="Times New Roman" w:cs="Times New Roman"/>
                <w:sz w:val="20"/>
              </w:rPr>
              <w:t xml:space="preserve">also has the power to prepare ARTP’s </w:t>
            </w:r>
            <w:r w:rsidR="00F8326F" w:rsidRPr="00C538DB">
              <w:rPr>
                <w:rFonts w:ascii="Times New Roman" w:hAnsi="Times New Roman" w:cs="Times New Roman"/>
                <w:sz w:val="20"/>
              </w:rPr>
              <w:t>budget</w:t>
            </w:r>
            <w:r w:rsidR="00F8326F" w:rsidRPr="00C91EA2">
              <w:rPr>
                <w:rFonts w:ascii="Times New Roman" w:hAnsi="Times New Roman" w:cs="Times New Roman"/>
                <w:sz w:val="20"/>
              </w:rPr>
              <w:t xml:space="preserve"> </w:t>
            </w:r>
            <w:r w:rsidRPr="00C91EA2">
              <w:rPr>
                <w:rFonts w:ascii="Times New Roman" w:hAnsi="Times New Roman" w:cs="Times New Roman"/>
                <w:sz w:val="20"/>
              </w:rPr>
              <w:t>subject to the Board’s approval. The Telecommunications Code</w:t>
            </w:r>
            <w:r w:rsidR="00BB254D">
              <w:rPr>
                <w:rFonts w:ascii="Times New Roman" w:hAnsi="Times New Roman" w:cs="Times New Roman"/>
                <w:sz w:val="20"/>
              </w:rPr>
              <w:t>’s</w:t>
            </w:r>
            <w:r w:rsidRPr="00C91EA2">
              <w:rPr>
                <w:rFonts w:ascii="Times New Roman" w:hAnsi="Times New Roman" w:cs="Times New Roman"/>
                <w:sz w:val="20"/>
              </w:rPr>
              <w:t xml:space="preserve"> division of roles between Board and Director General is likely to create situations of conflict or inaction between the two bodies. Moreover, even though both bodies are appointed by </w:t>
            </w:r>
            <w:r w:rsidR="003B24ED">
              <w:rPr>
                <w:rFonts w:ascii="Times New Roman" w:hAnsi="Times New Roman" w:cs="Times New Roman"/>
                <w:sz w:val="20"/>
              </w:rPr>
              <w:t>Government</w:t>
            </w:r>
            <w:r w:rsidRPr="00C91EA2">
              <w:rPr>
                <w:rFonts w:ascii="Times New Roman" w:hAnsi="Times New Roman" w:cs="Times New Roman"/>
                <w:sz w:val="20"/>
              </w:rPr>
              <w:t xml:space="preserve"> decree and lack full independence vis-à-vis the executive, it appears that the incompatibilities regime of Board members and the fact that their President is chosen by the President of the Republic offer it an extra layer of independence that </w:t>
            </w:r>
            <w:r w:rsidR="00E43AFD">
              <w:rPr>
                <w:rFonts w:ascii="Times New Roman" w:hAnsi="Times New Roman" w:cs="Times New Roman"/>
                <w:sz w:val="20"/>
              </w:rPr>
              <w:t>can shield</w:t>
            </w:r>
            <w:r w:rsidRPr="00C91EA2">
              <w:rPr>
                <w:rFonts w:ascii="Times New Roman" w:hAnsi="Times New Roman" w:cs="Times New Roman"/>
                <w:sz w:val="20"/>
              </w:rPr>
              <w:t xml:space="preserve"> it from political interference. On the contrary, even though it is chosen </w:t>
            </w:r>
            <w:proofErr w:type="gramStart"/>
            <w:r w:rsidRPr="00C91EA2">
              <w:rPr>
                <w:rFonts w:ascii="Times New Roman" w:hAnsi="Times New Roman" w:cs="Times New Roman"/>
                <w:sz w:val="20"/>
              </w:rPr>
              <w:t>on the basis of</w:t>
            </w:r>
            <w:proofErr w:type="gramEnd"/>
            <w:r w:rsidRPr="00C91EA2">
              <w:rPr>
                <w:rFonts w:ascii="Times New Roman" w:hAnsi="Times New Roman" w:cs="Times New Roman"/>
                <w:sz w:val="20"/>
              </w:rPr>
              <w:t xml:space="preserve"> criteria of integrity, qualifications and expertise</w:t>
            </w:r>
            <w:r w:rsidR="00124978">
              <w:rPr>
                <w:rFonts w:ascii="Times New Roman" w:hAnsi="Times New Roman" w:cs="Times New Roman"/>
                <w:sz w:val="20"/>
              </w:rPr>
              <w:t xml:space="preserve">, </w:t>
            </w:r>
            <w:r w:rsidR="00124978" w:rsidRPr="00C538DB">
              <w:rPr>
                <w:rFonts w:ascii="Times New Roman" w:hAnsi="Times New Roman" w:cs="Times New Roman"/>
                <w:sz w:val="20"/>
              </w:rPr>
              <w:t>the Director General is directly linked to the executive and lacks guarantees of technical independence</w:t>
            </w:r>
            <w:r w:rsidRPr="00124978">
              <w:rPr>
                <w:rFonts w:ascii="Times New Roman" w:hAnsi="Times New Roman" w:cs="Times New Roman"/>
                <w:sz w:val="20"/>
              </w:rPr>
              <w:t xml:space="preserve"> (</w:t>
            </w:r>
            <w:r w:rsidRPr="00C91EA2">
              <w:rPr>
                <w:rFonts w:ascii="Times New Roman" w:hAnsi="Times New Roman" w:cs="Times New Roman"/>
                <w:sz w:val="20"/>
              </w:rPr>
              <w:t xml:space="preserve">Telecommunications Code, Article 164). </w:t>
            </w:r>
          </w:p>
          <w:p w14:paraId="6DFA0FFE" w14:textId="77777777" w:rsidR="00B41724" w:rsidRPr="007575D7" w:rsidRDefault="00B41724" w:rsidP="00E264EA">
            <w:pPr>
              <w:jc w:val="both"/>
              <w:rPr>
                <w:rFonts w:ascii="Times New Roman" w:hAnsi="Times New Roman" w:cs="Times New Roman"/>
                <w:b/>
              </w:rPr>
            </w:pPr>
          </w:p>
          <w:p w14:paraId="2D44788A" w14:textId="77777777" w:rsidR="00B41724" w:rsidRPr="00C91EA2" w:rsidRDefault="00B41724" w:rsidP="00E264EA">
            <w:pPr>
              <w:rPr>
                <w:rFonts w:ascii="Times New Roman" w:hAnsi="Times New Roman" w:cs="Times New Roman"/>
                <w:i/>
                <w:sz w:val="20"/>
              </w:rPr>
            </w:pPr>
            <w:r w:rsidRPr="00C91EA2">
              <w:rPr>
                <w:rFonts w:ascii="Times New Roman" w:hAnsi="Times New Roman" w:cs="Times New Roman"/>
                <w:i/>
                <w:sz w:val="20"/>
              </w:rPr>
              <w:t xml:space="preserve">Source: </w:t>
            </w:r>
            <w:r w:rsidRPr="007575D7">
              <w:rPr>
                <w:rFonts w:ascii="Times New Roman" w:hAnsi="Times New Roman" w:cs="Times New Roman"/>
                <w:sz w:val="20"/>
              </w:rPr>
              <w:t xml:space="preserve">WBG </w:t>
            </w:r>
            <w:r w:rsidR="00B2502A" w:rsidRPr="007575D7">
              <w:rPr>
                <w:rFonts w:ascii="Times New Roman" w:hAnsi="Times New Roman" w:cs="Times New Roman"/>
                <w:sz w:val="20"/>
              </w:rPr>
              <w:t>Markets and Competition Team</w:t>
            </w:r>
            <w:r w:rsidR="00F66F82" w:rsidRPr="007575D7">
              <w:rPr>
                <w:rFonts w:ascii="Times New Roman" w:hAnsi="Times New Roman" w:cs="Times New Roman"/>
                <w:sz w:val="20"/>
              </w:rPr>
              <w:t xml:space="preserve"> </w:t>
            </w:r>
            <w:r w:rsidRPr="007575D7">
              <w:rPr>
                <w:rFonts w:ascii="Times New Roman" w:hAnsi="Times New Roman" w:cs="Times New Roman"/>
                <w:sz w:val="20"/>
              </w:rPr>
              <w:t>elaboration</w:t>
            </w:r>
          </w:p>
        </w:tc>
      </w:tr>
    </w:tbl>
    <w:p w14:paraId="0B915580" w14:textId="77777777" w:rsidR="00B41724" w:rsidRDefault="00B41724" w:rsidP="00B41724">
      <w:pPr>
        <w:jc w:val="both"/>
        <w:rPr>
          <w:rFonts w:ascii="Times New Roman" w:hAnsi="Times New Roman" w:cs="Times New Roman"/>
        </w:rPr>
      </w:pPr>
    </w:p>
    <w:p w14:paraId="6189C945" w14:textId="77777777" w:rsidR="006018AA" w:rsidRPr="00C91EA2" w:rsidRDefault="006018AA" w:rsidP="006018AA">
      <w:pPr>
        <w:jc w:val="both"/>
        <w:rPr>
          <w:rFonts w:ascii="Times New Roman" w:hAnsi="Times New Roman" w:cs="Times New Roman"/>
          <w:b/>
        </w:rPr>
      </w:pPr>
    </w:p>
    <w:p w14:paraId="7DFB37A0" w14:textId="77777777" w:rsidR="006018AA" w:rsidRPr="00C91EA2" w:rsidRDefault="006018AA" w:rsidP="006018AA">
      <w:pPr>
        <w:pStyle w:val="Heading3"/>
        <w:rPr>
          <w:rFonts w:ascii="Times New Roman" w:hAnsi="Times New Roman" w:cs="Times New Roman"/>
        </w:rPr>
      </w:pPr>
      <w:bookmarkStart w:id="298" w:name="_Toc494097785"/>
      <w:bookmarkStart w:id="299" w:name="_Toc520724117"/>
      <w:r w:rsidRPr="00C91EA2">
        <w:rPr>
          <w:rFonts w:ascii="Times New Roman" w:hAnsi="Times New Roman" w:cs="Times New Roman"/>
        </w:rPr>
        <w:t>5.2.2</w:t>
      </w:r>
      <w:r>
        <w:rPr>
          <w:rFonts w:ascii="Times New Roman" w:hAnsi="Times New Roman" w:cs="Times New Roman"/>
        </w:rPr>
        <w:t xml:space="preserve"> Characteristics of the T</w:t>
      </w:r>
      <w:r w:rsidRPr="00C91EA2">
        <w:rPr>
          <w:rFonts w:ascii="Times New Roman" w:hAnsi="Times New Roman" w:cs="Times New Roman"/>
        </w:rPr>
        <w:t xml:space="preserve">elecoms </w:t>
      </w:r>
      <w:r>
        <w:rPr>
          <w:rFonts w:ascii="Times New Roman" w:hAnsi="Times New Roman" w:cs="Times New Roman"/>
        </w:rPr>
        <w:t>M</w:t>
      </w:r>
      <w:r w:rsidR="00451EF1">
        <w:rPr>
          <w:rFonts w:ascii="Times New Roman" w:hAnsi="Times New Roman" w:cs="Times New Roman"/>
        </w:rPr>
        <w:t>arket</w:t>
      </w:r>
      <w:r w:rsidRPr="00C91EA2">
        <w:rPr>
          <w:rFonts w:ascii="Times New Roman" w:hAnsi="Times New Roman" w:cs="Times New Roman"/>
        </w:rPr>
        <w:t xml:space="preserve"> in Senegal</w:t>
      </w:r>
      <w:bookmarkEnd w:id="298"/>
      <w:bookmarkEnd w:id="299"/>
    </w:p>
    <w:p w14:paraId="2991F3FB" w14:textId="77777777" w:rsidR="006018AA" w:rsidRPr="00C91EA2" w:rsidRDefault="006018AA" w:rsidP="006018AA">
      <w:pPr>
        <w:jc w:val="both"/>
        <w:rPr>
          <w:rFonts w:ascii="Times New Roman" w:hAnsi="Times New Roman" w:cs="Times New Roman"/>
          <w:b/>
        </w:rPr>
      </w:pPr>
    </w:p>
    <w:p w14:paraId="5F49AB97" w14:textId="4FAC6B33"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Although Senegal’s market dynamics indicate </w:t>
      </w:r>
      <w:r w:rsidR="00A671B4">
        <w:rPr>
          <w:rFonts w:ascii="Times New Roman" w:hAnsi="Times New Roman" w:cs="Times New Roman"/>
          <w:b/>
        </w:rPr>
        <w:t>a strong</w:t>
      </w:r>
      <w:r w:rsidR="00A671B4" w:rsidRPr="00C91EA2">
        <w:rPr>
          <w:rFonts w:ascii="Times New Roman" w:hAnsi="Times New Roman" w:cs="Times New Roman"/>
          <w:b/>
        </w:rPr>
        <w:t xml:space="preserve"> </w:t>
      </w:r>
      <w:r w:rsidRPr="00C91EA2">
        <w:rPr>
          <w:rFonts w:ascii="Times New Roman" w:hAnsi="Times New Roman" w:cs="Times New Roman"/>
          <w:b/>
        </w:rPr>
        <w:t xml:space="preserve">potential for better functioning markets, all market segments are highly concentrated and dominated by </w:t>
      </w:r>
      <w:proofErr w:type="spellStart"/>
      <w:r w:rsidRPr="00C91EA2">
        <w:rPr>
          <w:rFonts w:ascii="Times New Roman" w:hAnsi="Times New Roman" w:cs="Times New Roman"/>
          <w:b/>
        </w:rPr>
        <w:t>Sonatel</w:t>
      </w:r>
      <w:proofErr w:type="spellEnd"/>
      <w:r w:rsidRPr="00C91EA2">
        <w:rPr>
          <w:rFonts w:ascii="Times New Roman" w:hAnsi="Times New Roman" w:cs="Times New Roman"/>
          <w:b/>
        </w:rPr>
        <w:t xml:space="preserve"> </w:t>
      </w:r>
      <w:r w:rsidRPr="00C91EA2">
        <w:rPr>
          <w:rFonts w:ascii="Times New Roman" w:hAnsi="Times New Roman" w:cs="Times New Roman"/>
        </w:rPr>
        <w:t xml:space="preserve">(see value chain above). In 1997,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was partially privatized, with France Telecom (now, Orange) initially acquiring 33 percent of its share capital and increasing its share to 42 percent in 1999, and finally, to 52 percent in 2009, whilst the State still has 17 percent of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share capital.</w:t>
      </w:r>
      <w:r w:rsidR="00774ABE" w:rsidRPr="00C91EA2">
        <w:rPr>
          <w:rStyle w:val="FootnoteReference"/>
          <w:rFonts w:ascii="Times New Roman" w:hAnsi="Times New Roman" w:cs="Times New Roman"/>
        </w:rPr>
        <w:footnoteReference w:id="207"/>
      </w:r>
      <w:r w:rsidRPr="00C91EA2">
        <w:rPr>
          <w:rFonts w:ascii="Times New Roman" w:hAnsi="Times New Roman" w:cs="Times New Roman"/>
        </w:rPr>
        <w:t xml:space="preserve">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has presence in all the value chain segments identified in </w:t>
      </w:r>
      <w:r w:rsidRPr="00C91EA2">
        <w:rPr>
          <w:rFonts w:ascii="Times New Roman" w:hAnsi="Times New Roman" w:cs="Times New Roman"/>
        </w:rPr>
        <w:fldChar w:fldCharType="begin"/>
      </w:r>
      <w:r w:rsidRPr="00C91EA2">
        <w:rPr>
          <w:rFonts w:ascii="Times New Roman" w:hAnsi="Times New Roman" w:cs="Times New Roman"/>
        </w:rPr>
        <w:instrText xml:space="preserve"> REF _Ref497761656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67</w:t>
      </w:r>
      <w:r w:rsidRPr="00C91EA2">
        <w:rPr>
          <w:rFonts w:ascii="Times New Roman" w:hAnsi="Times New Roman" w:cs="Times New Roman"/>
        </w:rPr>
        <w:fldChar w:fldCharType="end"/>
      </w:r>
      <w:r w:rsidRPr="00C91EA2">
        <w:rPr>
          <w:rFonts w:ascii="Times New Roman" w:hAnsi="Times New Roman" w:cs="Times New Roman"/>
        </w:rPr>
        <w:t xml:space="preserve">.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currently holds a global license to operate both fix</w:t>
      </w:r>
      <w:r>
        <w:rPr>
          <w:rFonts w:ascii="Times New Roman" w:hAnsi="Times New Roman" w:cs="Times New Roman"/>
        </w:rPr>
        <w:t>ed</w:t>
      </w:r>
      <w:r w:rsidRPr="00C91EA2">
        <w:rPr>
          <w:rFonts w:ascii="Times New Roman" w:hAnsi="Times New Roman" w:cs="Times New Roman"/>
        </w:rPr>
        <w:t xml:space="preserve"> and mobile communications networks in Senegal. Following the end of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legal monopoly over fixed-services in 2004, the State issued an international call for tender for the assignment of a second global license (fix</w:t>
      </w:r>
      <w:r>
        <w:rPr>
          <w:rFonts w:ascii="Times New Roman" w:hAnsi="Times New Roman" w:cs="Times New Roman"/>
        </w:rPr>
        <w:t>ed</w:t>
      </w:r>
      <w:r w:rsidRPr="00C91EA2">
        <w:rPr>
          <w:rFonts w:ascii="Times New Roman" w:hAnsi="Times New Roman" w:cs="Times New Roman"/>
        </w:rPr>
        <w:t xml:space="preserve"> and mobile) that would lead to the creation of a second player in the fixed segment. The license was </w:t>
      </w:r>
      <w:r>
        <w:rPr>
          <w:rFonts w:ascii="Times New Roman" w:hAnsi="Times New Roman" w:cs="Times New Roman"/>
        </w:rPr>
        <w:t>awarded</w:t>
      </w:r>
      <w:r w:rsidRPr="00C91EA2">
        <w:rPr>
          <w:rFonts w:ascii="Times New Roman" w:hAnsi="Times New Roman" w:cs="Times New Roman"/>
        </w:rPr>
        <w:t xml:space="preserve"> to </w:t>
      </w:r>
      <w:proofErr w:type="spellStart"/>
      <w:r w:rsidRPr="00C91EA2">
        <w:rPr>
          <w:rFonts w:ascii="Times New Roman" w:hAnsi="Times New Roman" w:cs="Times New Roman"/>
        </w:rPr>
        <w:t>Sudatel</w:t>
      </w:r>
      <w:proofErr w:type="spellEnd"/>
      <w:r w:rsidRPr="00C91EA2">
        <w:rPr>
          <w:rFonts w:ascii="Times New Roman" w:hAnsi="Times New Roman" w:cs="Times New Roman"/>
        </w:rPr>
        <w:t xml:space="preserve">, which started its operations in 2009 under the brand Expresso. Hence, only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and </w:t>
      </w:r>
      <w:proofErr w:type="spellStart"/>
      <w:r w:rsidRPr="00C91EA2">
        <w:rPr>
          <w:rFonts w:ascii="Times New Roman" w:hAnsi="Times New Roman" w:cs="Times New Roman"/>
        </w:rPr>
        <w:t>Sudatel</w:t>
      </w:r>
      <w:proofErr w:type="spellEnd"/>
      <w:r w:rsidRPr="00C91EA2">
        <w:rPr>
          <w:rFonts w:ascii="Times New Roman" w:hAnsi="Times New Roman" w:cs="Times New Roman"/>
        </w:rPr>
        <w:t xml:space="preserve"> have fixed networks that allow them to operate in wholesale markets. Furthermore, local loop access has not been yet unbundled and is controlled by </w:t>
      </w:r>
      <w:proofErr w:type="spellStart"/>
      <w:r w:rsidRPr="00C91EA2">
        <w:rPr>
          <w:rFonts w:ascii="Times New Roman" w:hAnsi="Times New Roman" w:cs="Times New Roman"/>
        </w:rPr>
        <w:t>Sonatel</w:t>
      </w:r>
      <w:proofErr w:type="spellEnd"/>
      <w:r w:rsidRPr="00C91EA2">
        <w:rPr>
          <w:rFonts w:ascii="Times New Roman" w:hAnsi="Times New Roman" w:cs="Times New Roman"/>
        </w:rPr>
        <w:t>.</w:t>
      </w:r>
      <w:r w:rsidR="00774ABE" w:rsidRPr="00C91EA2">
        <w:rPr>
          <w:rStyle w:val="FootnoteReference"/>
          <w:rFonts w:ascii="Times New Roman" w:hAnsi="Times New Roman" w:cs="Times New Roman"/>
        </w:rPr>
        <w:footnoteReference w:id="208"/>
      </w:r>
      <w:r w:rsidRPr="00C91EA2">
        <w:rPr>
          <w:rFonts w:ascii="Times New Roman" w:hAnsi="Times New Roman" w:cs="Times New Roman"/>
        </w:rPr>
        <w:t xml:space="preserve"> According to ARTP,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holds significant market power in: </w:t>
      </w:r>
      <w:r>
        <w:rPr>
          <w:rFonts w:ascii="Times New Roman" w:hAnsi="Times New Roman" w:cs="Times New Roman"/>
        </w:rPr>
        <w:t xml:space="preserve">(1) relevant markets </w:t>
      </w:r>
      <w:r w:rsidRPr="00C91EA2">
        <w:rPr>
          <w:rFonts w:ascii="Times New Roman" w:hAnsi="Times New Roman" w:cs="Times New Roman"/>
        </w:rPr>
        <w:t>in the fixed telephony segment</w:t>
      </w:r>
      <w:r>
        <w:rPr>
          <w:rFonts w:ascii="Times New Roman" w:hAnsi="Times New Roman" w:cs="Times New Roman"/>
        </w:rPr>
        <w:t>,</w:t>
      </w:r>
      <w:r w:rsidRPr="00C91EA2">
        <w:rPr>
          <w:rFonts w:ascii="Times New Roman" w:hAnsi="Times New Roman" w:cs="Times New Roman"/>
        </w:rPr>
        <w:t xml:space="preserve"> (i) call termination over fixed-lines network, (ii) traffic collection over fixed-network, (iii) national traffic and (iv) international traffic; </w:t>
      </w:r>
      <w:r>
        <w:rPr>
          <w:rFonts w:ascii="Times New Roman" w:hAnsi="Times New Roman" w:cs="Times New Roman"/>
        </w:rPr>
        <w:t xml:space="preserve">(2) relevant markets </w:t>
      </w:r>
      <w:r w:rsidRPr="00C91EA2">
        <w:rPr>
          <w:rFonts w:ascii="Times New Roman" w:hAnsi="Times New Roman" w:cs="Times New Roman"/>
        </w:rPr>
        <w:t>in the mobile telephony segment</w:t>
      </w:r>
      <w:r>
        <w:rPr>
          <w:rFonts w:ascii="Times New Roman" w:hAnsi="Times New Roman" w:cs="Times New Roman"/>
        </w:rPr>
        <w:t>,</w:t>
      </w:r>
      <w:r w:rsidRPr="00C91EA2">
        <w:rPr>
          <w:rFonts w:ascii="Times New Roman" w:hAnsi="Times New Roman" w:cs="Times New Roman"/>
        </w:rPr>
        <w:t xml:space="preserve"> (i) call termination over mobile network and (ii) SMS call termination over mobile network; </w:t>
      </w:r>
      <w:r>
        <w:rPr>
          <w:rFonts w:ascii="Times New Roman" w:hAnsi="Times New Roman" w:cs="Times New Roman"/>
        </w:rPr>
        <w:t xml:space="preserve">(3) relevant markets </w:t>
      </w:r>
      <w:r w:rsidRPr="00C91EA2">
        <w:rPr>
          <w:rFonts w:ascii="Times New Roman" w:hAnsi="Times New Roman" w:cs="Times New Roman"/>
        </w:rPr>
        <w:t>in the data transmission network</w:t>
      </w:r>
      <w:r>
        <w:rPr>
          <w:rFonts w:ascii="Times New Roman" w:hAnsi="Times New Roman" w:cs="Times New Roman"/>
        </w:rPr>
        <w:t>,</w:t>
      </w:r>
      <w:r w:rsidRPr="00C91EA2">
        <w:rPr>
          <w:rFonts w:ascii="Times New Roman" w:hAnsi="Times New Roman" w:cs="Times New Roman"/>
        </w:rPr>
        <w:t xml:space="preserve"> (i) broadband access and (ii) access to the local loop; </w:t>
      </w:r>
      <w:r>
        <w:rPr>
          <w:rFonts w:ascii="Times New Roman" w:hAnsi="Times New Roman" w:cs="Times New Roman"/>
        </w:rPr>
        <w:t xml:space="preserve">and (4) relevant markets </w:t>
      </w:r>
      <w:r w:rsidRPr="00C91EA2">
        <w:rPr>
          <w:rFonts w:ascii="Times New Roman" w:hAnsi="Times New Roman" w:cs="Times New Roman"/>
        </w:rPr>
        <w:t>in the capacity services sector</w:t>
      </w:r>
      <w:r>
        <w:rPr>
          <w:rFonts w:ascii="Times New Roman" w:hAnsi="Times New Roman" w:cs="Times New Roman"/>
        </w:rPr>
        <w:t>,</w:t>
      </w:r>
      <w:r w:rsidRPr="00C91EA2">
        <w:rPr>
          <w:rFonts w:ascii="Times New Roman" w:hAnsi="Times New Roman" w:cs="Times New Roman"/>
        </w:rPr>
        <w:t xml:space="preserve"> (i) lease of capacity and (ii) access to international capacity.</w:t>
      </w:r>
      <w:r w:rsidR="00774ABE" w:rsidRPr="00C91EA2">
        <w:rPr>
          <w:rStyle w:val="FootnoteReference"/>
          <w:rFonts w:ascii="Times New Roman" w:hAnsi="Times New Roman" w:cs="Times New Roman"/>
        </w:rPr>
        <w:footnoteReference w:id="209"/>
      </w:r>
    </w:p>
    <w:p w14:paraId="28489DAB" w14:textId="77777777" w:rsidR="006018AA" w:rsidRPr="00C91EA2" w:rsidRDefault="006018AA" w:rsidP="006018AA">
      <w:pPr>
        <w:jc w:val="both"/>
        <w:rPr>
          <w:rFonts w:ascii="Times New Roman" w:hAnsi="Times New Roman" w:cs="Times New Roman"/>
        </w:rPr>
      </w:pPr>
    </w:p>
    <w:p w14:paraId="04D56C7C" w14:textId="401D2B23"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Despite Expresso’s market entry, </w:t>
      </w:r>
      <w:proofErr w:type="spellStart"/>
      <w:r w:rsidRPr="00C91EA2">
        <w:rPr>
          <w:rFonts w:ascii="Times New Roman" w:hAnsi="Times New Roman" w:cs="Times New Roman"/>
          <w:b/>
        </w:rPr>
        <w:t>Sonatel</w:t>
      </w:r>
      <w:proofErr w:type="spellEnd"/>
      <w:r w:rsidRPr="00C91EA2">
        <w:rPr>
          <w:rFonts w:ascii="Times New Roman" w:hAnsi="Times New Roman" w:cs="Times New Roman"/>
          <w:b/>
        </w:rPr>
        <w:t xml:space="preserve"> holds a market share larger than 97 percent in the fixed voice telecommunication retail market (</w:t>
      </w:r>
      <w:r w:rsidRPr="00C91EA2">
        <w:rPr>
          <w:rFonts w:ascii="Times New Roman" w:hAnsi="Times New Roman" w:cs="Times New Roman"/>
          <w:b/>
        </w:rPr>
        <w:fldChar w:fldCharType="begin"/>
      </w:r>
      <w:r w:rsidRPr="00C91EA2">
        <w:rPr>
          <w:rFonts w:ascii="Times New Roman" w:hAnsi="Times New Roman" w:cs="Times New Roman"/>
          <w:b/>
        </w:rPr>
        <w:instrText xml:space="preserve"> REF _Ref497311645 \h  \* MERGEFORMAT </w:instrText>
      </w:r>
      <w:r w:rsidRPr="00C91EA2">
        <w:rPr>
          <w:rFonts w:ascii="Times New Roman" w:hAnsi="Times New Roman" w:cs="Times New Roman"/>
          <w:b/>
        </w:rPr>
      </w:r>
      <w:r w:rsidRPr="00C91EA2">
        <w:rPr>
          <w:rFonts w:ascii="Times New Roman" w:hAnsi="Times New Roman" w:cs="Times New Roman"/>
          <w:b/>
        </w:rPr>
        <w:fldChar w:fldCharType="separate"/>
      </w:r>
      <w:r w:rsidR="008261B2" w:rsidRPr="008261B2">
        <w:rPr>
          <w:rFonts w:ascii="Times New Roman" w:hAnsi="Times New Roman" w:cs="Times New Roman"/>
          <w:b/>
        </w:rPr>
        <w:t xml:space="preserve">Figure </w:t>
      </w:r>
      <w:r w:rsidR="008261B2" w:rsidRPr="008261B2">
        <w:rPr>
          <w:rFonts w:ascii="Times New Roman" w:hAnsi="Times New Roman" w:cs="Times New Roman"/>
          <w:b/>
          <w:noProof/>
        </w:rPr>
        <w:t>71</w:t>
      </w:r>
      <w:r w:rsidRPr="00C91EA2">
        <w:rPr>
          <w:rFonts w:ascii="Times New Roman" w:hAnsi="Times New Roman" w:cs="Times New Roman"/>
          <w:b/>
        </w:rPr>
        <w:fldChar w:fldCharType="end"/>
      </w:r>
      <w:r w:rsidRPr="00C91EA2">
        <w:rPr>
          <w:rFonts w:ascii="Times New Roman" w:hAnsi="Times New Roman" w:cs="Times New Roman"/>
          <w:b/>
        </w:rPr>
        <w:t>)</w:t>
      </w:r>
      <w:r w:rsidRPr="00C91EA2">
        <w:rPr>
          <w:rFonts w:ascii="Times New Roman" w:hAnsi="Times New Roman" w:cs="Times New Roman"/>
        </w:rPr>
        <w:t>.</w:t>
      </w:r>
      <w:r w:rsidR="00774ABE" w:rsidRPr="00C91EA2">
        <w:rPr>
          <w:rStyle w:val="FootnoteReference"/>
          <w:rFonts w:ascii="Times New Roman" w:hAnsi="Times New Roman" w:cs="Times New Roman"/>
        </w:rPr>
        <w:footnoteReference w:id="210"/>
      </w:r>
      <w:r w:rsidRPr="00C91EA2">
        <w:rPr>
          <w:rFonts w:ascii="Times New Roman" w:hAnsi="Times New Roman" w:cs="Times New Roman"/>
        </w:rPr>
        <w:t xml:space="preserve"> While highly concentrated markets do not necessarily imply the existence of market power (which also depends on a number of different factors including the extent of barriers to entry, capacity constraints, vertical integration, demand elasticity, switching costs, </w:t>
      </w:r>
      <w:r w:rsidR="00C86BFF">
        <w:rPr>
          <w:rFonts w:ascii="Times New Roman" w:hAnsi="Times New Roman" w:cs="Times New Roman"/>
        </w:rPr>
        <w:t xml:space="preserve">and </w:t>
      </w:r>
      <w:r w:rsidRPr="00C91EA2">
        <w:rPr>
          <w:rFonts w:ascii="Times New Roman" w:hAnsi="Times New Roman" w:cs="Times New Roman"/>
        </w:rPr>
        <w:t xml:space="preserve">product differentiation that establish whether firms can or cannot exercise market power in a specific market), a market share of over 90 percent may provide a fairly strong initial signal of market power held by </w:t>
      </w:r>
      <w:proofErr w:type="spellStart"/>
      <w:r w:rsidRPr="00C91EA2">
        <w:rPr>
          <w:rFonts w:ascii="Times New Roman" w:hAnsi="Times New Roman" w:cs="Times New Roman"/>
        </w:rPr>
        <w:t>Sonatel</w:t>
      </w:r>
      <w:proofErr w:type="spellEnd"/>
      <w:r w:rsidRPr="00C91EA2">
        <w:rPr>
          <w:rFonts w:ascii="Times New Roman" w:hAnsi="Times New Roman" w:cs="Times New Roman"/>
        </w:rPr>
        <w:t>.</w:t>
      </w:r>
      <w:r w:rsidR="00774ABE" w:rsidRPr="00C91EA2">
        <w:rPr>
          <w:rStyle w:val="FootnoteReference"/>
          <w:rFonts w:ascii="Times New Roman" w:hAnsi="Times New Roman" w:cs="Times New Roman"/>
        </w:rPr>
        <w:footnoteReference w:id="211"/>
      </w:r>
    </w:p>
    <w:p w14:paraId="0AAF8FD7" w14:textId="77777777" w:rsidR="00517BF6" w:rsidRDefault="00517BF6" w:rsidP="00517BF6">
      <w:pPr>
        <w:jc w:val="both"/>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6018AA" w:rsidRPr="00C91EA2" w14:paraId="1F98D0D6" w14:textId="77777777" w:rsidTr="00FA09FE">
        <w:tc>
          <w:tcPr>
            <w:tcW w:w="8630" w:type="dxa"/>
            <w:tcBorders>
              <w:top w:val="single" w:sz="4" w:space="0" w:color="auto"/>
              <w:left w:val="single" w:sz="4" w:space="0" w:color="auto"/>
              <w:bottom w:val="single" w:sz="4" w:space="0" w:color="auto"/>
              <w:right w:val="single" w:sz="4" w:space="0" w:color="auto"/>
            </w:tcBorders>
            <w:hideMark/>
          </w:tcPr>
          <w:p w14:paraId="57FCFD93" w14:textId="116CDADD" w:rsidR="006018AA" w:rsidRPr="00C91EA2" w:rsidRDefault="006018AA" w:rsidP="00FA09FE">
            <w:pPr>
              <w:pStyle w:val="Caption"/>
              <w:keepNext/>
              <w:jc w:val="both"/>
              <w:rPr>
                <w:rFonts w:ascii="Times New Roman" w:hAnsi="Times New Roman"/>
              </w:rPr>
            </w:pPr>
            <w:bookmarkStart w:id="300" w:name="_Ref497311645"/>
            <w:bookmarkStart w:id="301" w:name="_Toc520725627"/>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71</w:t>
            </w:r>
            <w:r w:rsidR="00D91B27">
              <w:rPr>
                <w:rFonts w:ascii="Times New Roman" w:hAnsi="Times New Roman"/>
              </w:rPr>
              <w:fldChar w:fldCharType="end"/>
            </w:r>
            <w:bookmarkEnd w:id="300"/>
            <w:r w:rsidRPr="00C91EA2">
              <w:rPr>
                <w:rFonts w:ascii="Times New Roman" w:hAnsi="Times New Roman"/>
              </w:rPr>
              <w:t>: Fixed Voice Telecommunications Market Shares</w:t>
            </w:r>
            <w:r w:rsidR="009522C9">
              <w:rPr>
                <w:rFonts w:ascii="Times New Roman" w:hAnsi="Times New Roman"/>
              </w:rPr>
              <w:t xml:space="preserve"> as of December 2017</w:t>
            </w:r>
            <w:bookmarkEnd w:id="301"/>
          </w:p>
        </w:tc>
      </w:tr>
      <w:tr w:rsidR="006018AA" w:rsidRPr="00C91EA2" w14:paraId="749183EE" w14:textId="77777777" w:rsidTr="00FA09FE">
        <w:tc>
          <w:tcPr>
            <w:tcW w:w="8630" w:type="dxa"/>
            <w:tcBorders>
              <w:top w:val="single" w:sz="4" w:space="0" w:color="auto"/>
              <w:left w:val="single" w:sz="4" w:space="0" w:color="auto"/>
              <w:bottom w:val="single" w:sz="4" w:space="0" w:color="auto"/>
              <w:right w:val="single" w:sz="4" w:space="0" w:color="auto"/>
            </w:tcBorders>
            <w:hideMark/>
          </w:tcPr>
          <w:p w14:paraId="449072D1" w14:textId="500F11C7" w:rsidR="006018AA" w:rsidRPr="00C91EA2" w:rsidRDefault="00FC7AAE" w:rsidP="00FA09FE">
            <w:pPr>
              <w:jc w:val="both"/>
              <w:rPr>
                <w:rFonts w:ascii="Times New Roman" w:hAnsi="Times New Roman" w:cs="Times New Roman"/>
              </w:rPr>
            </w:pPr>
            <w:r>
              <w:rPr>
                <w:noProof/>
              </w:rPr>
              <w:drawing>
                <wp:inline distT="0" distB="0" distL="0" distR="0" wp14:anchorId="5A8A6163" wp14:editId="09C6E7DD">
                  <wp:extent cx="5391150" cy="1714500"/>
                  <wp:effectExtent l="0" t="0" r="0" b="0"/>
                  <wp:docPr id="34" name="Chart 34">
                    <a:extLst xmlns:a="http://schemas.openxmlformats.org/drawingml/2006/main">
                      <a:ext uri="{FF2B5EF4-FFF2-40B4-BE49-F238E27FC236}">
                        <a16:creationId xmlns:a16="http://schemas.microsoft.com/office/drawing/2014/main" id="{9F9D10B0-09FD-4DFA-966F-F267C5818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6018AA" w:rsidRPr="00C91EA2" w14:paraId="637A65C9" w14:textId="77777777" w:rsidTr="00FA09FE">
        <w:tc>
          <w:tcPr>
            <w:tcW w:w="8630" w:type="dxa"/>
            <w:tcBorders>
              <w:top w:val="single" w:sz="4" w:space="0" w:color="auto"/>
              <w:left w:val="single" w:sz="4" w:space="0" w:color="auto"/>
              <w:bottom w:val="single" w:sz="4" w:space="0" w:color="auto"/>
              <w:right w:val="single" w:sz="4" w:space="0" w:color="auto"/>
            </w:tcBorders>
            <w:hideMark/>
          </w:tcPr>
          <w:p w14:paraId="0D7F30A8" w14:textId="3FD54B15" w:rsidR="006018AA" w:rsidRPr="00C91EA2" w:rsidRDefault="006018AA" w:rsidP="00FA09FE">
            <w:pPr>
              <w:jc w:val="both"/>
              <w:rPr>
                <w:rFonts w:ascii="Times New Roman" w:hAnsi="Times New Roman" w:cs="Times New Roman"/>
              </w:rPr>
            </w:pPr>
            <w:r w:rsidRPr="00C91EA2">
              <w:rPr>
                <w:rFonts w:ascii="Times New Roman" w:hAnsi="Times New Roman" w:cs="Times New Roman"/>
                <w:sz w:val="20"/>
              </w:rPr>
              <w:t>Source: ARTP (201</w:t>
            </w:r>
            <w:r w:rsidR="009522C9">
              <w:rPr>
                <w:rFonts w:ascii="Times New Roman" w:hAnsi="Times New Roman" w:cs="Times New Roman"/>
                <w:sz w:val="20"/>
              </w:rPr>
              <w:t>8</w:t>
            </w:r>
            <w:r w:rsidRPr="00C91EA2">
              <w:rPr>
                <w:rFonts w:ascii="Times New Roman" w:hAnsi="Times New Roman" w:cs="Times New Roman"/>
                <w:sz w:val="20"/>
              </w:rPr>
              <w:t>)</w:t>
            </w:r>
          </w:p>
        </w:tc>
      </w:tr>
    </w:tbl>
    <w:p w14:paraId="699FB82B" w14:textId="77777777" w:rsidR="00711D1F" w:rsidRDefault="00711D1F" w:rsidP="006018AA">
      <w:pPr>
        <w:jc w:val="both"/>
        <w:rPr>
          <w:rFonts w:ascii="Times New Roman" w:hAnsi="Times New Roman" w:cs="Times New Roman"/>
        </w:rPr>
      </w:pPr>
    </w:p>
    <w:p w14:paraId="2F6935E5" w14:textId="77777777" w:rsidR="00086112" w:rsidRPr="00C91EA2" w:rsidRDefault="00086112" w:rsidP="006018AA">
      <w:pPr>
        <w:jc w:val="both"/>
        <w:rPr>
          <w:rFonts w:ascii="Times New Roman" w:hAnsi="Times New Roman" w:cs="Times New Roman"/>
        </w:rPr>
      </w:pPr>
    </w:p>
    <w:p w14:paraId="724557B9" w14:textId="11B92449"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In terms of </w:t>
      </w:r>
      <w:r w:rsidR="00A540E1">
        <w:rPr>
          <w:rFonts w:ascii="Times New Roman" w:hAnsi="Times New Roman" w:cs="Times New Roman"/>
          <w:b/>
        </w:rPr>
        <w:t>fixed broadband</w:t>
      </w:r>
      <w:r w:rsidRPr="00C91EA2">
        <w:rPr>
          <w:rFonts w:ascii="Times New Roman" w:hAnsi="Times New Roman" w:cs="Times New Roman"/>
          <w:b/>
        </w:rPr>
        <w:t xml:space="preserve">, </w:t>
      </w:r>
      <w:proofErr w:type="spellStart"/>
      <w:r w:rsidRPr="00C91EA2">
        <w:rPr>
          <w:rFonts w:ascii="Times New Roman" w:hAnsi="Times New Roman" w:cs="Times New Roman"/>
          <w:b/>
        </w:rPr>
        <w:t>Sonatel</w:t>
      </w:r>
      <w:proofErr w:type="spellEnd"/>
      <w:r w:rsidRPr="00C91EA2">
        <w:rPr>
          <w:rFonts w:ascii="Times New Roman" w:hAnsi="Times New Roman" w:cs="Times New Roman"/>
          <w:b/>
        </w:rPr>
        <w:t xml:space="preserve"> </w:t>
      </w:r>
      <w:r w:rsidR="00A540E1">
        <w:rPr>
          <w:rFonts w:ascii="Times New Roman" w:hAnsi="Times New Roman" w:cs="Times New Roman"/>
          <w:b/>
        </w:rPr>
        <w:t xml:space="preserve">has been the only operator of a fixed fiber </w:t>
      </w:r>
      <w:r w:rsidR="00DE6337">
        <w:rPr>
          <w:rFonts w:ascii="Times New Roman" w:hAnsi="Times New Roman" w:cs="Times New Roman"/>
          <w:b/>
        </w:rPr>
        <w:t xml:space="preserve">and ADSL </w:t>
      </w:r>
      <w:r w:rsidR="00A540E1">
        <w:rPr>
          <w:rFonts w:ascii="Times New Roman" w:hAnsi="Times New Roman" w:cs="Times New Roman"/>
          <w:b/>
        </w:rPr>
        <w:t>network</w:t>
      </w:r>
      <w:r w:rsidR="00DE6337">
        <w:rPr>
          <w:rFonts w:ascii="Times New Roman" w:hAnsi="Times New Roman" w:cs="Times New Roman"/>
          <w:b/>
        </w:rPr>
        <w:t>s</w:t>
      </w:r>
      <w:r w:rsidRPr="00C91EA2">
        <w:rPr>
          <w:rFonts w:ascii="Times New Roman" w:hAnsi="Times New Roman" w:cs="Times New Roman"/>
        </w:rPr>
        <w:t xml:space="preserve">. Whilst in the late 1990s, there were more than 15 internet service providers (ISPs),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high wholesale prices and poor interconnection quality caused the market exit of multiple ISPs</w:t>
      </w:r>
      <w:r>
        <w:rPr>
          <w:rFonts w:ascii="Times New Roman" w:hAnsi="Times New Roman" w:cs="Times New Roman"/>
        </w:rPr>
        <w:t>.</w:t>
      </w:r>
      <w:r w:rsidR="00774ABE" w:rsidRPr="00C91EA2">
        <w:rPr>
          <w:rStyle w:val="FootnoteReference"/>
          <w:rFonts w:ascii="Times New Roman" w:hAnsi="Times New Roman" w:cs="Times New Roman"/>
        </w:rPr>
        <w:footnoteReference w:id="212"/>
      </w:r>
      <w:r w:rsidRPr="00C91EA2">
        <w:rPr>
          <w:rFonts w:ascii="Times New Roman" w:hAnsi="Times New Roman" w:cs="Times New Roman"/>
        </w:rPr>
        <w:t xml:space="preserve"> Nevertheless, according to the ARTP’s Internet Observatory, most users access </w:t>
      </w:r>
      <w:r w:rsidR="007A6921">
        <w:rPr>
          <w:rFonts w:ascii="Times New Roman" w:hAnsi="Times New Roman" w:cs="Times New Roman"/>
        </w:rPr>
        <w:t xml:space="preserve">the </w:t>
      </w:r>
      <w:r w:rsidRPr="00C91EA2">
        <w:rPr>
          <w:rFonts w:ascii="Times New Roman" w:hAnsi="Times New Roman" w:cs="Times New Roman"/>
        </w:rPr>
        <w:t>Internet through mobile networks (98.5 percent against 1.5 percent via fixed networks), which confirms the near absence of fixed-Internet in Senegal.</w:t>
      </w:r>
    </w:p>
    <w:p w14:paraId="694343A0" w14:textId="77777777" w:rsidR="006018AA" w:rsidRPr="00C91EA2" w:rsidRDefault="006018AA" w:rsidP="006018AA">
      <w:pPr>
        <w:pStyle w:val="ListParagraph"/>
        <w:ind w:left="0"/>
        <w:jc w:val="both"/>
        <w:rPr>
          <w:rFonts w:ascii="Times New Roman" w:hAnsi="Times New Roman" w:cs="Times New Roman"/>
        </w:rPr>
      </w:pPr>
    </w:p>
    <w:p w14:paraId="54862EDC" w14:textId="3A252FB3" w:rsidR="00517BF6" w:rsidRPr="00F91097" w:rsidRDefault="006018AA" w:rsidP="00517BF6">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There are currently three national and one sub-national mobile network operators in Senegal. </w:t>
      </w:r>
      <w:r w:rsidRPr="00C91EA2">
        <w:rPr>
          <w:rFonts w:ascii="Times New Roman" w:hAnsi="Times New Roman" w:cs="Times New Roman"/>
        </w:rPr>
        <w:t xml:space="preserve">The 3G market consists of the following actors: </w:t>
      </w:r>
      <w:proofErr w:type="spellStart"/>
      <w:r w:rsidRPr="00C91EA2">
        <w:rPr>
          <w:rFonts w:ascii="Times New Roman" w:hAnsi="Times New Roman" w:cs="Times New Roman"/>
        </w:rPr>
        <w:t>Tigo</w:t>
      </w:r>
      <w:proofErr w:type="spellEnd"/>
      <w:r w:rsidR="00774ABE" w:rsidRPr="00C91EA2">
        <w:rPr>
          <w:rStyle w:val="FootnoteReference"/>
          <w:rFonts w:ascii="Times New Roman" w:hAnsi="Times New Roman" w:cs="Times New Roman"/>
        </w:rPr>
        <w:footnoteReference w:id="213"/>
      </w:r>
      <w:r w:rsidRPr="00C91EA2">
        <w:rPr>
          <w:rFonts w:ascii="Times New Roman" w:hAnsi="Times New Roman" w:cs="Times New Roman"/>
        </w:rPr>
        <w:t xml:space="preserve"> (the second licensed mobile operator given a 3G license in 2012), </w:t>
      </w:r>
      <w:proofErr w:type="spellStart"/>
      <w:r w:rsidRPr="00C91EA2">
        <w:rPr>
          <w:rFonts w:ascii="Times New Roman" w:hAnsi="Times New Roman" w:cs="Times New Roman"/>
        </w:rPr>
        <w:t>Sudatel</w:t>
      </w:r>
      <w:proofErr w:type="spellEnd"/>
      <w:r w:rsidRPr="00C91EA2">
        <w:rPr>
          <w:rFonts w:ascii="Times New Roman" w:hAnsi="Times New Roman" w:cs="Times New Roman"/>
        </w:rPr>
        <w:t xml:space="preserve"> licensed in 2009 and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which was given a 3G license in 2015.</w:t>
      </w:r>
      <w:r w:rsidRPr="00C91EA2">
        <w:rPr>
          <w:rFonts w:ascii="Times New Roman" w:hAnsi="Times New Roman" w:cs="Times New Roman"/>
          <w:b/>
        </w:rPr>
        <w:t xml:space="preserve"> </w:t>
      </w:r>
      <w:r w:rsidRPr="00C91EA2">
        <w:rPr>
          <w:rFonts w:ascii="Times New Roman" w:hAnsi="Times New Roman" w:cs="Times New Roman"/>
        </w:rPr>
        <w:t xml:space="preserve">In 2013, a group of Senegalese businesses – Consortium du Service </w:t>
      </w:r>
      <w:proofErr w:type="spellStart"/>
      <w:r w:rsidRPr="00C91EA2">
        <w:rPr>
          <w:rFonts w:ascii="Times New Roman" w:hAnsi="Times New Roman" w:cs="Times New Roman"/>
        </w:rPr>
        <w:t>Universel</w:t>
      </w:r>
      <w:proofErr w:type="spellEnd"/>
      <w:r w:rsidRPr="00C91EA2">
        <w:rPr>
          <w:rFonts w:ascii="Times New Roman" w:hAnsi="Times New Roman" w:cs="Times New Roman"/>
        </w:rPr>
        <w:t xml:space="preserve"> (CSU) set</w:t>
      </w:r>
      <w:r>
        <w:rPr>
          <w:rFonts w:ascii="Times New Roman" w:hAnsi="Times New Roman" w:cs="Times New Roman"/>
        </w:rPr>
        <w:t xml:space="preserve"> </w:t>
      </w:r>
      <w:r w:rsidRPr="00C91EA2">
        <w:rPr>
          <w:rFonts w:ascii="Times New Roman" w:hAnsi="Times New Roman" w:cs="Times New Roman"/>
        </w:rPr>
        <w:t xml:space="preserve">up </w:t>
      </w:r>
      <w:proofErr w:type="spellStart"/>
      <w:r w:rsidRPr="008B5EA1">
        <w:rPr>
          <w:rFonts w:ascii="Times New Roman" w:hAnsi="Times New Roman" w:cs="Times New Roman"/>
        </w:rPr>
        <w:t>Hayo</w:t>
      </w:r>
      <w:proofErr w:type="spellEnd"/>
      <w:r w:rsidRPr="008B5EA1">
        <w:rPr>
          <w:rFonts w:ascii="Times New Roman" w:hAnsi="Times New Roman" w:cs="Times New Roman"/>
        </w:rPr>
        <w:t xml:space="preserve"> Telecom to offer fixed, mobile and internet services in the </w:t>
      </w:r>
      <w:proofErr w:type="spellStart"/>
      <w:r w:rsidRPr="008B5EA1">
        <w:rPr>
          <w:rFonts w:ascii="Times New Roman" w:hAnsi="Times New Roman" w:cs="Times New Roman"/>
        </w:rPr>
        <w:t>Matam</w:t>
      </w:r>
      <w:proofErr w:type="spellEnd"/>
      <w:r w:rsidRPr="008B5EA1">
        <w:rPr>
          <w:rFonts w:ascii="Times New Roman" w:hAnsi="Times New Roman" w:cs="Times New Roman"/>
        </w:rPr>
        <w:t xml:space="preserve"> region (</w:t>
      </w:r>
      <w:r w:rsidRPr="00421227">
        <w:rPr>
          <w:rFonts w:ascii="Times New Roman" w:hAnsi="Times New Roman" w:cs="Times New Roman"/>
        </w:rPr>
        <w:fldChar w:fldCharType="begin"/>
      </w:r>
      <w:r w:rsidRPr="000A1C74">
        <w:rPr>
          <w:rFonts w:ascii="Times New Roman" w:hAnsi="Times New Roman" w:cs="Times New Roman"/>
        </w:rPr>
        <w:instrText xml:space="preserve"> REF _Ref497323220 \h  \* MERGEFORMAT </w:instrText>
      </w:r>
      <w:r w:rsidRPr="00421227">
        <w:rPr>
          <w:rFonts w:ascii="Times New Roman" w:hAnsi="Times New Roman" w:cs="Times New Roman"/>
        </w:rPr>
      </w:r>
      <w:r w:rsidRPr="00421227">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81</w:t>
      </w:r>
      <w:r w:rsidRPr="00421227">
        <w:rPr>
          <w:rFonts w:ascii="Times New Roman" w:hAnsi="Times New Roman" w:cs="Times New Roman"/>
        </w:rPr>
        <w:fldChar w:fldCharType="end"/>
      </w:r>
      <w:r w:rsidRPr="000A1C74">
        <w:rPr>
          <w:rFonts w:ascii="Times New Roman" w:hAnsi="Times New Roman" w:cs="Times New Roman"/>
        </w:rPr>
        <w:t xml:space="preserve"> in Annex 6 shows the geographic coverage of Senegalese telecommunications networks</w:t>
      </w:r>
      <w:r w:rsidRPr="008B5EA1">
        <w:rPr>
          <w:rFonts w:ascii="Times New Roman" w:hAnsi="Times New Roman" w:cs="Times New Roman"/>
        </w:rPr>
        <w:t>).</w:t>
      </w:r>
    </w:p>
    <w:p w14:paraId="3AC090AE" w14:textId="77777777" w:rsidR="006018AA" w:rsidRPr="00C91EA2" w:rsidRDefault="006018AA" w:rsidP="006018AA">
      <w:pPr>
        <w:jc w:val="both"/>
        <w:rPr>
          <w:rFonts w:ascii="Times New Roman" w:hAnsi="Times New Roman" w:cs="Times New Roman"/>
        </w:rPr>
      </w:pPr>
    </w:p>
    <w:p w14:paraId="087B2620" w14:textId="4D614F3A" w:rsidR="00517BF6" w:rsidRPr="00F91097" w:rsidRDefault="006018AA" w:rsidP="00517BF6">
      <w:pPr>
        <w:pStyle w:val="ListParagraph"/>
        <w:numPr>
          <w:ilvl w:val="0"/>
          <w:numId w:val="71"/>
        </w:numPr>
        <w:ind w:left="0" w:firstLine="0"/>
        <w:jc w:val="both"/>
        <w:rPr>
          <w:rFonts w:ascii="Times New Roman" w:hAnsi="Times New Roman" w:cs="Times New Roman"/>
          <w:b/>
        </w:rPr>
      </w:pPr>
      <w:r w:rsidRPr="00C91EA2">
        <w:rPr>
          <w:rFonts w:ascii="Times New Roman" w:hAnsi="Times New Roman" w:cs="Times New Roman"/>
          <w:b/>
        </w:rPr>
        <w:t xml:space="preserve">As of December 2016, </w:t>
      </w:r>
      <w:proofErr w:type="spellStart"/>
      <w:r w:rsidRPr="00C91EA2">
        <w:rPr>
          <w:rFonts w:ascii="Times New Roman" w:hAnsi="Times New Roman" w:cs="Times New Roman"/>
          <w:b/>
        </w:rPr>
        <w:t>Sonatel</w:t>
      </w:r>
      <w:proofErr w:type="spellEnd"/>
      <w:r w:rsidRPr="00C91EA2">
        <w:rPr>
          <w:rFonts w:ascii="Times New Roman" w:hAnsi="Times New Roman" w:cs="Times New Roman"/>
          <w:b/>
        </w:rPr>
        <w:t xml:space="preserve"> had 52 percent market share based on the number of subscribers, whilst </w:t>
      </w:r>
      <w:proofErr w:type="spellStart"/>
      <w:r w:rsidRPr="00C91EA2">
        <w:rPr>
          <w:rFonts w:ascii="Times New Roman" w:hAnsi="Times New Roman" w:cs="Times New Roman"/>
          <w:b/>
        </w:rPr>
        <w:t>Tigo</w:t>
      </w:r>
      <w:proofErr w:type="spellEnd"/>
      <w:r w:rsidRPr="00C91EA2">
        <w:rPr>
          <w:rFonts w:ascii="Times New Roman" w:hAnsi="Times New Roman" w:cs="Times New Roman"/>
          <w:b/>
        </w:rPr>
        <w:t xml:space="preserve"> had 26 percent and Expresso 22 percent</w:t>
      </w:r>
      <w:r w:rsidRPr="00C91EA2">
        <w:rPr>
          <w:rFonts w:ascii="Times New Roman" w:hAnsi="Times New Roman" w:cs="Times New Roman"/>
        </w:rPr>
        <w:t>.</w:t>
      </w:r>
      <w:r w:rsidR="00774ABE" w:rsidRPr="00C91EA2">
        <w:rPr>
          <w:rStyle w:val="FootnoteReference"/>
          <w:rFonts w:ascii="Times New Roman" w:hAnsi="Times New Roman" w:cs="Times New Roman"/>
        </w:rPr>
        <w:footnoteReference w:id="214"/>
      </w:r>
      <w:r w:rsidRPr="00C91EA2">
        <w:rPr>
          <w:rFonts w:ascii="Times New Roman" w:hAnsi="Times New Roman" w:cs="Times New Roman"/>
          <w:b/>
        </w:rPr>
        <w:t xml:space="preserve"> </w:t>
      </w:r>
      <w:r w:rsidRPr="00C91EA2">
        <w:rPr>
          <w:rFonts w:ascii="Times New Roman" w:hAnsi="Times New Roman" w:cs="Times New Roman"/>
        </w:rPr>
        <w:t xml:space="preserve">The </w:t>
      </w:r>
      <w:proofErr w:type="spellStart"/>
      <w:r w:rsidRPr="00C91EA2">
        <w:rPr>
          <w:rFonts w:ascii="Times New Roman" w:hAnsi="Times New Roman" w:cs="Times New Roman"/>
        </w:rPr>
        <w:t>Hirshmann</w:t>
      </w:r>
      <w:proofErr w:type="spellEnd"/>
      <w:r w:rsidRPr="00C91EA2">
        <w:rPr>
          <w:rFonts w:ascii="Times New Roman" w:hAnsi="Times New Roman" w:cs="Times New Roman"/>
        </w:rPr>
        <w:t xml:space="preserve">-Herfindahl Index (HHI) that measures market concentration is 3,864, indicating a highly concentrated market (see </w:t>
      </w:r>
      <w:r w:rsidRPr="00C91EA2">
        <w:rPr>
          <w:rFonts w:ascii="Times New Roman" w:hAnsi="Times New Roman" w:cs="Times New Roman"/>
        </w:rPr>
        <w:fldChar w:fldCharType="begin"/>
      </w:r>
      <w:r w:rsidRPr="00C91EA2">
        <w:rPr>
          <w:rFonts w:ascii="Times New Roman" w:hAnsi="Times New Roman" w:cs="Times New Roman"/>
        </w:rPr>
        <w:instrText xml:space="preserve"> REF _Ref497309084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62</w:t>
      </w:r>
      <w:r w:rsidRPr="00C91EA2">
        <w:rPr>
          <w:rFonts w:ascii="Times New Roman" w:hAnsi="Times New Roman" w:cs="Times New Roman"/>
        </w:rPr>
        <w:fldChar w:fldCharType="end"/>
      </w:r>
      <w:r w:rsidRPr="00C91EA2">
        <w:rPr>
          <w:rFonts w:ascii="Times New Roman" w:hAnsi="Times New Roman" w:cs="Times New Roman"/>
        </w:rPr>
        <w:t xml:space="preserve"> and </w:t>
      </w:r>
      <w:r w:rsidRPr="00C91EA2">
        <w:rPr>
          <w:rFonts w:ascii="Times New Roman" w:hAnsi="Times New Roman" w:cs="Times New Roman"/>
        </w:rPr>
        <w:fldChar w:fldCharType="begin"/>
      </w:r>
      <w:r w:rsidRPr="00C91EA2">
        <w:rPr>
          <w:rFonts w:ascii="Times New Roman" w:hAnsi="Times New Roman" w:cs="Times New Roman"/>
        </w:rPr>
        <w:instrText xml:space="preserve"> REF _Ref497925842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65</w:t>
      </w:r>
      <w:r w:rsidRPr="00C91EA2">
        <w:rPr>
          <w:rFonts w:ascii="Times New Roman" w:hAnsi="Times New Roman" w:cs="Times New Roman"/>
        </w:rPr>
        <w:fldChar w:fldCharType="end"/>
      </w:r>
      <w:r w:rsidRPr="00C91EA2">
        <w:rPr>
          <w:rFonts w:ascii="Times New Roman" w:hAnsi="Times New Roman" w:cs="Times New Roman"/>
        </w:rPr>
        <w:t xml:space="preserve"> above).</w:t>
      </w:r>
    </w:p>
    <w:p w14:paraId="777254F7" w14:textId="77777777" w:rsidR="006018AA" w:rsidRPr="00C91EA2" w:rsidRDefault="006018AA" w:rsidP="006018AA">
      <w:pPr>
        <w:rPr>
          <w:rFonts w:ascii="Times New Roman" w:hAnsi="Times New Roman" w:cs="Times New Roman"/>
        </w:rPr>
      </w:pPr>
    </w:p>
    <w:p w14:paraId="78328289" w14:textId="7E8FE762"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In terms of mobile data, </w:t>
      </w:r>
      <w:proofErr w:type="spellStart"/>
      <w:r w:rsidRPr="00C91EA2">
        <w:rPr>
          <w:rFonts w:ascii="Times New Roman" w:hAnsi="Times New Roman" w:cs="Times New Roman"/>
          <w:b/>
        </w:rPr>
        <w:t>Sonatel</w:t>
      </w:r>
      <w:proofErr w:type="spellEnd"/>
      <w:r w:rsidRPr="00C91EA2">
        <w:rPr>
          <w:rFonts w:ascii="Times New Roman" w:hAnsi="Times New Roman" w:cs="Times New Roman"/>
          <w:b/>
        </w:rPr>
        <w:t xml:space="preserve"> has nearly two thirds of the subscribers </w:t>
      </w:r>
      <w:r w:rsidRPr="00C91EA2">
        <w:rPr>
          <w:rFonts w:ascii="Times New Roman" w:hAnsi="Times New Roman" w:cs="Times New Roman"/>
        </w:rPr>
        <w:t xml:space="preserve">(see </w:t>
      </w:r>
      <w:r w:rsidRPr="00C91EA2">
        <w:rPr>
          <w:rFonts w:ascii="Times New Roman" w:hAnsi="Times New Roman" w:cs="Times New Roman"/>
        </w:rPr>
        <w:fldChar w:fldCharType="begin"/>
      </w:r>
      <w:r w:rsidRPr="00C91EA2">
        <w:rPr>
          <w:rFonts w:ascii="Times New Roman" w:hAnsi="Times New Roman" w:cs="Times New Roman"/>
        </w:rPr>
        <w:instrText xml:space="preserve"> REF _Ref497309084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Figure </w:t>
      </w:r>
      <w:r w:rsidR="008261B2" w:rsidRPr="008261B2">
        <w:rPr>
          <w:rFonts w:ascii="Times New Roman" w:hAnsi="Times New Roman" w:cs="Times New Roman"/>
          <w:noProof/>
        </w:rPr>
        <w:t>62</w:t>
      </w:r>
      <w:r w:rsidRPr="00C91EA2">
        <w:rPr>
          <w:rFonts w:ascii="Times New Roman" w:hAnsi="Times New Roman" w:cs="Times New Roman"/>
        </w:rPr>
        <w:fldChar w:fldCharType="end"/>
      </w:r>
      <w:r w:rsidRPr="00C91EA2">
        <w:rPr>
          <w:rFonts w:ascii="Times New Roman" w:hAnsi="Times New Roman" w:cs="Times New Roman"/>
        </w:rPr>
        <w:t>)</w:t>
      </w:r>
      <w:r w:rsidRPr="00C91EA2">
        <w:rPr>
          <w:rFonts w:ascii="Times New Roman" w:hAnsi="Times New Roman" w:cs="Times New Roman"/>
          <w:b/>
        </w:rPr>
        <w:t>.</w:t>
      </w:r>
      <w:r w:rsidRPr="00C91EA2">
        <w:rPr>
          <w:rFonts w:ascii="Times New Roman" w:hAnsi="Times New Roman" w:cs="Times New Roman"/>
        </w:rPr>
        <w:t xml:space="preserve"> This market position is likely to further consolidate since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was granted a 4G li</w:t>
      </w:r>
      <w:r w:rsidR="00F91097">
        <w:rPr>
          <w:rFonts w:ascii="Times New Roman" w:hAnsi="Times New Roman" w:cs="Times New Roman"/>
        </w:rPr>
        <w:t>cense prior to any other player (for an overview of players along the Senegalese telecommunications value chain see</w:t>
      </w:r>
      <w:r w:rsidR="007640E5">
        <w:rPr>
          <w:rFonts w:ascii="Times New Roman" w:hAnsi="Times New Roman" w:cs="Times New Roman"/>
        </w:rPr>
        <w:t xml:space="preserve"> </w:t>
      </w:r>
      <w:r w:rsidR="007640E5">
        <w:rPr>
          <w:rFonts w:ascii="Times New Roman" w:hAnsi="Times New Roman" w:cs="Times New Roman"/>
        </w:rPr>
        <w:fldChar w:fldCharType="begin"/>
      </w:r>
      <w:r w:rsidR="007640E5">
        <w:rPr>
          <w:rFonts w:ascii="Times New Roman" w:hAnsi="Times New Roman" w:cs="Times New Roman"/>
        </w:rPr>
        <w:instrText xml:space="preserve"> REF _Ref520493198 \h </w:instrText>
      </w:r>
      <w:r w:rsidR="007640E5">
        <w:rPr>
          <w:rFonts w:ascii="Times New Roman" w:hAnsi="Times New Roman" w:cs="Times New Roman"/>
        </w:rPr>
      </w:r>
      <w:r w:rsidR="007640E5">
        <w:rPr>
          <w:rFonts w:ascii="Times New Roman" w:hAnsi="Times New Roman" w:cs="Times New Roman"/>
        </w:rPr>
        <w:fldChar w:fldCharType="separate"/>
      </w:r>
      <w:r w:rsidR="008261B2" w:rsidRPr="001C56E6">
        <w:rPr>
          <w:rFonts w:ascii="Times New Roman" w:hAnsi="Times New Roman"/>
        </w:rPr>
        <w:t xml:space="preserve">Figure </w:t>
      </w:r>
      <w:r w:rsidR="008261B2">
        <w:rPr>
          <w:rFonts w:ascii="Times New Roman" w:hAnsi="Times New Roman"/>
          <w:noProof/>
        </w:rPr>
        <w:t>72</w:t>
      </w:r>
      <w:r w:rsidR="007640E5">
        <w:rPr>
          <w:rFonts w:ascii="Times New Roman" w:hAnsi="Times New Roman" w:cs="Times New Roman"/>
        </w:rPr>
        <w:fldChar w:fldCharType="end"/>
      </w:r>
      <w:r w:rsidR="00F91097">
        <w:rPr>
          <w:rFonts w:ascii="Times New Roman" w:hAnsi="Times New Roman" w:cs="Times New Roman"/>
        </w:rPr>
        <w:t>)</w:t>
      </w:r>
      <w:r w:rsidR="001C56E6">
        <w:rPr>
          <w:rFonts w:ascii="Times New Roman" w:hAnsi="Times New Roman" w:cs="Times New Roman"/>
        </w:rPr>
        <w:t>.</w:t>
      </w:r>
    </w:p>
    <w:p w14:paraId="44C6B6E2" w14:textId="77777777" w:rsidR="00F91097" w:rsidRPr="00F91097" w:rsidRDefault="00F91097" w:rsidP="00F91097">
      <w:pPr>
        <w:jc w:val="both"/>
        <w:rPr>
          <w:rFonts w:ascii="Times New Roman" w:hAnsi="Times New Roman" w:cs="Times New Roman"/>
        </w:rPr>
      </w:pPr>
    </w:p>
    <w:tbl>
      <w:tblPr>
        <w:tblStyle w:val="TableGrid"/>
        <w:tblW w:w="8871" w:type="dxa"/>
        <w:tblLook w:val="04A0" w:firstRow="1" w:lastRow="0" w:firstColumn="1" w:lastColumn="0" w:noHBand="0" w:noVBand="1"/>
      </w:tblPr>
      <w:tblGrid>
        <w:gridCol w:w="10086"/>
      </w:tblGrid>
      <w:tr w:rsidR="00EF0733" w14:paraId="682C566E" w14:textId="77777777" w:rsidTr="00FE2A31">
        <w:trPr>
          <w:trHeight w:val="212"/>
        </w:trPr>
        <w:tc>
          <w:tcPr>
            <w:tcW w:w="8871" w:type="dxa"/>
          </w:tcPr>
          <w:p w14:paraId="1662D259" w14:textId="6521A7F7" w:rsidR="00EF0733" w:rsidRPr="001C56E6" w:rsidRDefault="004F0732" w:rsidP="004F0732">
            <w:pPr>
              <w:pStyle w:val="Caption"/>
              <w:keepNext/>
              <w:jc w:val="both"/>
              <w:rPr>
                <w:rFonts w:ascii="Times New Roman" w:hAnsi="Times New Roman"/>
              </w:rPr>
            </w:pPr>
            <w:bookmarkStart w:id="302" w:name="_Ref520493198"/>
            <w:bookmarkStart w:id="303" w:name="_Toc520725628"/>
            <w:r w:rsidRPr="001C56E6">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72</w:t>
            </w:r>
            <w:r w:rsidR="00D91B27">
              <w:rPr>
                <w:rFonts w:ascii="Times New Roman" w:hAnsi="Times New Roman"/>
              </w:rPr>
              <w:fldChar w:fldCharType="end"/>
            </w:r>
            <w:bookmarkEnd w:id="302"/>
            <w:r w:rsidRPr="001C56E6">
              <w:rPr>
                <w:rFonts w:ascii="Times New Roman" w:hAnsi="Times New Roman"/>
              </w:rPr>
              <w:t>: Players along the Senegalese telecommunications value chain</w:t>
            </w:r>
            <w:bookmarkEnd w:id="303"/>
          </w:p>
        </w:tc>
      </w:tr>
      <w:tr w:rsidR="00EF0733" w14:paraId="0093A794" w14:textId="77777777" w:rsidTr="00FE2A31">
        <w:trPr>
          <w:trHeight w:val="9476"/>
        </w:trPr>
        <w:tc>
          <w:tcPr>
            <w:tcW w:w="8871" w:type="dxa"/>
          </w:tcPr>
          <w:p w14:paraId="57489F20" w14:textId="769A6363" w:rsidR="00EF0733" w:rsidRDefault="00EF0733" w:rsidP="00FE2A31">
            <w:pPr>
              <w:jc w:val="center"/>
              <w:rPr>
                <w:rFonts w:ascii="Times New Roman" w:hAnsi="Times New Roman" w:cs="Times New Roman"/>
              </w:rPr>
            </w:pPr>
          </w:p>
          <w:p w14:paraId="64FBAD4F" w14:textId="77777777" w:rsidR="00AF6EFE" w:rsidRDefault="00AF6EFE" w:rsidP="00FE2A31">
            <w:pPr>
              <w:jc w:val="center"/>
              <w:rPr>
                <w:rFonts w:ascii="Times New Roman" w:hAnsi="Times New Roman" w:cs="Times New Roman"/>
              </w:rPr>
            </w:pPr>
          </w:p>
          <w:p w14:paraId="07FC9959" w14:textId="490DC8ED" w:rsidR="00AF6EFE" w:rsidRDefault="00AF6EFE" w:rsidP="00FE2A31">
            <w:pPr>
              <w:jc w:val="center"/>
              <w:rPr>
                <w:rFonts w:ascii="Times New Roman" w:hAnsi="Times New Roman" w:cs="Times New Roman"/>
              </w:rPr>
            </w:pPr>
            <w:r w:rsidRPr="00FE00E4">
              <w:rPr>
                <w:rFonts w:ascii="Times New Roman" w:hAnsi="Times New Roman" w:cs="Times New Roman"/>
                <w:noProof/>
              </w:rPr>
              <w:drawing>
                <wp:inline distT="0" distB="0" distL="0" distR="0" wp14:anchorId="30E21599" wp14:editId="10D4E91E">
                  <wp:extent cx="6258569" cy="5715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7-10 at 18.05.32.png"/>
                          <pic:cNvPicPr/>
                        </pic:nvPicPr>
                        <pic:blipFill>
                          <a:blip r:embed="rId88">
                            <a:extLst>
                              <a:ext uri="{28A0092B-C50C-407E-A947-70E740481C1C}">
                                <a14:useLocalDpi xmlns:a14="http://schemas.microsoft.com/office/drawing/2010/main" val="0"/>
                              </a:ext>
                            </a:extLst>
                          </a:blip>
                          <a:stretch>
                            <a:fillRect/>
                          </a:stretch>
                        </pic:blipFill>
                        <pic:spPr>
                          <a:xfrm>
                            <a:off x="0" y="0"/>
                            <a:ext cx="6263527" cy="5719527"/>
                          </a:xfrm>
                          <a:prstGeom prst="rect">
                            <a:avLst/>
                          </a:prstGeom>
                        </pic:spPr>
                      </pic:pic>
                    </a:graphicData>
                  </a:graphic>
                </wp:inline>
              </w:drawing>
            </w:r>
          </w:p>
        </w:tc>
      </w:tr>
      <w:tr w:rsidR="00EF0733" w14:paraId="339A759C" w14:textId="77777777" w:rsidTr="00FE2A31">
        <w:trPr>
          <w:trHeight w:val="212"/>
        </w:trPr>
        <w:tc>
          <w:tcPr>
            <w:tcW w:w="8871" w:type="dxa"/>
          </w:tcPr>
          <w:p w14:paraId="3B908DBE" w14:textId="1FC6B41E" w:rsidR="00EF0733" w:rsidRPr="007575D7" w:rsidRDefault="004F0732" w:rsidP="00F91097">
            <w:pPr>
              <w:jc w:val="both"/>
              <w:rPr>
                <w:rFonts w:ascii="Times New Roman" w:hAnsi="Times New Roman" w:cs="Times New Roman"/>
                <w:sz w:val="20"/>
                <w:szCs w:val="20"/>
              </w:rPr>
            </w:pPr>
            <w:r w:rsidRPr="007575D7">
              <w:rPr>
                <w:rFonts w:ascii="Times New Roman" w:hAnsi="Times New Roman" w:cs="Times New Roman"/>
                <w:sz w:val="20"/>
                <w:szCs w:val="20"/>
              </w:rPr>
              <w:t>Source: Authors’ elaboration</w:t>
            </w:r>
            <w:r w:rsidR="00C64C35" w:rsidRPr="007575D7">
              <w:rPr>
                <w:rFonts w:ascii="Times New Roman" w:hAnsi="Times New Roman" w:cs="Times New Roman"/>
                <w:sz w:val="20"/>
                <w:szCs w:val="20"/>
              </w:rPr>
              <w:t>.</w:t>
            </w:r>
          </w:p>
        </w:tc>
      </w:tr>
    </w:tbl>
    <w:p w14:paraId="479EC0D5" w14:textId="77777777" w:rsidR="006018AA" w:rsidRDefault="006018AA" w:rsidP="006018AA">
      <w:pPr>
        <w:rPr>
          <w:rFonts w:ascii="Times New Roman" w:hAnsi="Times New Roman" w:cs="Times New Roman"/>
        </w:rPr>
      </w:pPr>
      <w:bookmarkStart w:id="304" w:name="_Toc494097789"/>
    </w:p>
    <w:p w14:paraId="30587915" w14:textId="77777777" w:rsidR="00F66F82" w:rsidRPr="00C91EA2" w:rsidRDefault="00F66F82" w:rsidP="006018AA">
      <w:pPr>
        <w:rPr>
          <w:rFonts w:ascii="Times New Roman" w:hAnsi="Times New Roman" w:cs="Times New Roman"/>
        </w:rPr>
      </w:pPr>
    </w:p>
    <w:p w14:paraId="4D29DBF7" w14:textId="77777777" w:rsidR="006018AA" w:rsidRPr="00C91EA2" w:rsidRDefault="003D1B2B" w:rsidP="006018AA">
      <w:pPr>
        <w:pStyle w:val="Heading3"/>
        <w:rPr>
          <w:rFonts w:ascii="Times New Roman" w:hAnsi="Times New Roman" w:cs="Times New Roman"/>
        </w:rPr>
      </w:pPr>
      <w:bookmarkStart w:id="305" w:name="_Toc494097790"/>
      <w:bookmarkStart w:id="306" w:name="_Ref498003544"/>
      <w:bookmarkStart w:id="307" w:name="_Toc520724118"/>
      <w:bookmarkEnd w:id="304"/>
      <w:r>
        <w:rPr>
          <w:rFonts w:ascii="Times New Roman" w:hAnsi="Times New Roman" w:cs="Times New Roman"/>
        </w:rPr>
        <w:t>5.2.3 Key Bottlenecks in the Senegalese Telecom Value C</w:t>
      </w:r>
      <w:r w:rsidR="006018AA" w:rsidRPr="00C91EA2">
        <w:rPr>
          <w:rFonts w:ascii="Times New Roman" w:hAnsi="Times New Roman" w:cs="Times New Roman"/>
        </w:rPr>
        <w:t xml:space="preserve">hain </w:t>
      </w:r>
      <w:r w:rsidR="006018AA">
        <w:rPr>
          <w:rFonts w:ascii="Times New Roman" w:hAnsi="Times New Roman" w:cs="Times New Roman"/>
        </w:rPr>
        <w:t xml:space="preserve">that </w:t>
      </w:r>
      <w:r>
        <w:rPr>
          <w:rFonts w:ascii="Times New Roman" w:hAnsi="Times New Roman" w:cs="Times New Roman"/>
        </w:rPr>
        <w:t>H</w:t>
      </w:r>
      <w:r w:rsidR="006018AA" w:rsidRPr="00C91EA2">
        <w:rPr>
          <w:rFonts w:ascii="Times New Roman" w:hAnsi="Times New Roman" w:cs="Times New Roman"/>
        </w:rPr>
        <w:t xml:space="preserve">inder </w:t>
      </w:r>
      <w:r>
        <w:rPr>
          <w:rFonts w:ascii="Times New Roman" w:hAnsi="Times New Roman" w:cs="Times New Roman"/>
        </w:rPr>
        <w:t>Service- and F</w:t>
      </w:r>
      <w:r w:rsidR="00687BC1">
        <w:rPr>
          <w:rFonts w:ascii="Times New Roman" w:hAnsi="Times New Roman" w:cs="Times New Roman"/>
        </w:rPr>
        <w:t>acilities-B</w:t>
      </w:r>
      <w:r>
        <w:rPr>
          <w:rFonts w:ascii="Times New Roman" w:hAnsi="Times New Roman" w:cs="Times New Roman"/>
        </w:rPr>
        <w:t>ased C</w:t>
      </w:r>
      <w:r w:rsidR="006018AA" w:rsidRPr="00C91EA2">
        <w:rPr>
          <w:rFonts w:ascii="Times New Roman" w:hAnsi="Times New Roman" w:cs="Times New Roman"/>
        </w:rPr>
        <w:t>ompetition</w:t>
      </w:r>
      <w:bookmarkEnd w:id="305"/>
      <w:bookmarkEnd w:id="306"/>
      <w:bookmarkEnd w:id="307"/>
    </w:p>
    <w:p w14:paraId="59E87B8E" w14:textId="77777777" w:rsidR="006018AA" w:rsidRPr="00C91EA2" w:rsidRDefault="006018AA" w:rsidP="006018AA">
      <w:pPr>
        <w:rPr>
          <w:rFonts w:ascii="Times New Roman" w:hAnsi="Times New Roman" w:cs="Times New Roman"/>
        </w:rPr>
      </w:pPr>
    </w:p>
    <w:p w14:paraId="46D8D4D8"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A variety of constraints seem to affect outcomes along the telecommunication value chain and Senegal’s ICT connectivity at wholesale </w:t>
      </w:r>
      <w:r w:rsidR="00AD0FED">
        <w:rPr>
          <w:rFonts w:ascii="Times New Roman" w:hAnsi="Times New Roman" w:cs="Times New Roman"/>
          <w:b/>
        </w:rPr>
        <w:t xml:space="preserve">(international connectivity, national backbone, backhaul, last mile) </w:t>
      </w:r>
      <w:r w:rsidRPr="00C91EA2">
        <w:rPr>
          <w:rFonts w:ascii="Times New Roman" w:hAnsi="Times New Roman" w:cs="Times New Roman"/>
          <w:b/>
        </w:rPr>
        <w:t>and retail levels</w:t>
      </w:r>
      <w:r w:rsidRPr="00C91EA2">
        <w:rPr>
          <w:rFonts w:ascii="Times New Roman" w:hAnsi="Times New Roman" w:cs="Times New Roman"/>
        </w:rPr>
        <w:t>.</w:t>
      </w:r>
    </w:p>
    <w:p w14:paraId="076A4FA5" w14:textId="77777777" w:rsidR="006018AA" w:rsidRPr="00C91EA2" w:rsidRDefault="006018AA" w:rsidP="006018AA">
      <w:pPr>
        <w:pStyle w:val="Heading4"/>
        <w:rPr>
          <w:rFonts w:ascii="Times New Roman" w:hAnsi="Times New Roman" w:cs="Times New Roman"/>
        </w:rPr>
      </w:pPr>
      <w:r w:rsidRPr="00C91EA2">
        <w:rPr>
          <w:rFonts w:ascii="Times New Roman" w:hAnsi="Times New Roman" w:cs="Times New Roman"/>
        </w:rPr>
        <w:t xml:space="preserve">Lack of framework to encourage entry and </w:t>
      </w:r>
      <w:r w:rsidR="00454AEE">
        <w:rPr>
          <w:rFonts w:ascii="Times New Roman" w:hAnsi="Times New Roman" w:cs="Times New Roman"/>
        </w:rPr>
        <w:t xml:space="preserve">a </w:t>
      </w:r>
      <w:r w:rsidRPr="00C91EA2">
        <w:rPr>
          <w:rFonts w:ascii="Times New Roman" w:hAnsi="Times New Roman" w:cs="Times New Roman"/>
        </w:rPr>
        <w:t xml:space="preserve">level playing field between services-based competitors </w:t>
      </w:r>
    </w:p>
    <w:p w14:paraId="147E1302" w14:textId="77777777" w:rsidR="006018AA" w:rsidRPr="00C91EA2" w:rsidRDefault="006018AA" w:rsidP="006018AA">
      <w:pPr>
        <w:jc w:val="both"/>
        <w:rPr>
          <w:rFonts w:ascii="Times New Roman" w:eastAsiaTheme="majorEastAsia" w:hAnsi="Times New Roman" w:cs="Times New Roman"/>
          <w:b/>
          <w:bCs/>
        </w:rPr>
      </w:pPr>
    </w:p>
    <w:tbl>
      <w:tblPr>
        <w:tblStyle w:val="TableGrid"/>
        <w:tblW w:w="0" w:type="auto"/>
        <w:tblLook w:val="04A0" w:firstRow="1" w:lastRow="0" w:firstColumn="1" w:lastColumn="0" w:noHBand="0" w:noVBand="1"/>
      </w:tblPr>
      <w:tblGrid>
        <w:gridCol w:w="8630"/>
      </w:tblGrid>
      <w:tr w:rsidR="006018AA" w:rsidRPr="00C91EA2" w14:paraId="3663F575" w14:textId="77777777" w:rsidTr="00FA09FE">
        <w:tc>
          <w:tcPr>
            <w:tcW w:w="8414" w:type="dxa"/>
          </w:tcPr>
          <w:p w14:paraId="43ABF1B1" w14:textId="6A1030D7" w:rsidR="006018AA" w:rsidRPr="00C91EA2" w:rsidRDefault="006018AA" w:rsidP="00FA09FE">
            <w:pPr>
              <w:pStyle w:val="Caption"/>
              <w:keepNext/>
              <w:jc w:val="both"/>
              <w:rPr>
                <w:rFonts w:ascii="Times New Roman" w:hAnsi="Times New Roman"/>
              </w:rPr>
            </w:pPr>
            <w:bookmarkStart w:id="308" w:name="_Toc520725629"/>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73</w:t>
            </w:r>
            <w:r w:rsidR="00D91B27">
              <w:rPr>
                <w:rFonts w:ascii="Times New Roman" w:hAnsi="Times New Roman"/>
              </w:rPr>
              <w:fldChar w:fldCharType="end"/>
            </w:r>
            <w:r w:rsidRPr="00C91EA2">
              <w:rPr>
                <w:rFonts w:ascii="Times New Roman" w:hAnsi="Times New Roman"/>
              </w:rPr>
              <w:t>: Restrictions on service-based competition</w:t>
            </w:r>
            <w:bookmarkEnd w:id="308"/>
          </w:p>
        </w:tc>
      </w:tr>
      <w:tr w:rsidR="006018AA" w:rsidRPr="00C91EA2" w14:paraId="42C13C01" w14:textId="77777777" w:rsidTr="00FA09FE">
        <w:tc>
          <w:tcPr>
            <w:tcW w:w="8414" w:type="dxa"/>
          </w:tcPr>
          <w:p w14:paraId="33CC6165" w14:textId="77777777" w:rsidR="006018AA" w:rsidRPr="00C91EA2" w:rsidRDefault="006018AA" w:rsidP="00FA09FE">
            <w:pPr>
              <w:rPr>
                <w:rFonts w:ascii="Times New Roman" w:hAnsi="Times New Roman" w:cs="Times New Roman"/>
              </w:rPr>
            </w:pPr>
            <w:r>
              <w:rPr>
                <w:rFonts w:ascii="Times New Roman" w:hAnsi="Times New Roman" w:cs="Times New Roman"/>
                <w:noProof/>
              </w:rPr>
              <w:drawing>
                <wp:inline distT="0" distB="0" distL="0" distR="0" wp14:anchorId="6C2E1E3D" wp14:editId="48CF1C60">
                  <wp:extent cx="5343525" cy="30526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tretch>
                            <a:fillRect/>
                          </a:stretch>
                        </pic:blipFill>
                        <pic:spPr bwMode="auto">
                          <a:xfrm>
                            <a:off x="0" y="0"/>
                            <a:ext cx="5346786" cy="3054472"/>
                          </a:xfrm>
                          <a:prstGeom prst="rect">
                            <a:avLst/>
                          </a:prstGeom>
                          <a:noFill/>
                        </pic:spPr>
                      </pic:pic>
                    </a:graphicData>
                  </a:graphic>
                </wp:inline>
              </w:drawing>
            </w:r>
          </w:p>
        </w:tc>
      </w:tr>
    </w:tbl>
    <w:p w14:paraId="0A27C3D0" w14:textId="6B987467" w:rsidR="006018AA" w:rsidRPr="007575D7" w:rsidRDefault="00C64C35" w:rsidP="006018AA">
      <w:pPr>
        <w:jc w:val="both"/>
        <w:rPr>
          <w:rFonts w:ascii="Times New Roman" w:eastAsiaTheme="majorEastAsia" w:hAnsi="Times New Roman" w:cs="Times New Roman"/>
          <w:bCs/>
          <w:sz w:val="20"/>
          <w:szCs w:val="20"/>
        </w:rPr>
      </w:pPr>
      <w:r w:rsidRPr="007575D7">
        <w:rPr>
          <w:rFonts w:ascii="Times New Roman" w:eastAsiaTheme="majorEastAsia" w:hAnsi="Times New Roman" w:cs="Times New Roman"/>
          <w:bCs/>
          <w:sz w:val="20"/>
          <w:szCs w:val="20"/>
        </w:rPr>
        <w:t>Source: Authors’ elaboration.</w:t>
      </w:r>
    </w:p>
    <w:p w14:paraId="328FC70C" w14:textId="77777777" w:rsidR="00711D1F" w:rsidRPr="00C91EA2" w:rsidRDefault="00711D1F" w:rsidP="006018AA">
      <w:pPr>
        <w:jc w:val="both"/>
        <w:rPr>
          <w:rFonts w:ascii="Times New Roman" w:eastAsiaTheme="majorEastAsia" w:hAnsi="Times New Roman" w:cs="Times New Roman"/>
          <w:b/>
          <w:bCs/>
        </w:rPr>
      </w:pPr>
    </w:p>
    <w:p w14:paraId="50D3F1F2" w14:textId="77777777" w:rsidR="006018AA" w:rsidRPr="00CF4B28" w:rsidRDefault="006018AA" w:rsidP="006018AA">
      <w:pPr>
        <w:pStyle w:val="Heading5"/>
        <w:rPr>
          <w:rFonts w:ascii="Times New Roman" w:hAnsi="Times New Roman" w:cs="Times New Roman"/>
          <w:sz w:val="24"/>
          <w:szCs w:val="24"/>
        </w:rPr>
      </w:pPr>
      <w:r w:rsidRPr="00CF4B28">
        <w:rPr>
          <w:rFonts w:ascii="Times New Roman" w:hAnsi="Times New Roman" w:cs="Times New Roman"/>
          <w:sz w:val="24"/>
          <w:szCs w:val="24"/>
        </w:rPr>
        <w:t xml:space="preserve">Lack of well-defined approach based on identifying essential facilities and allowing for access to those assets by competitors on a fair and non-discriminatory basis </w:t>
      </w:r>
    </w:p>
    <w:p w14:paraId="50C4EBB3" w14:textId="77777777" w:rsidR="006018AA" w:rsidRDefault="006018AA" w:rsidP="006018AA">
      <w:pPr>
        <w:pStyle w:val="ListParagraph"/>
        <w:ind w:left="0"/>
        <w:jc w:val="both"/>
        <w:rPr>
          <w:rFonts w:ascii="Times New Roman" w:hAnsi="Times New Roman" w:cs="Times New Roman"/>
        </w:rPr>
      </w:pPr>
    </w:p>
    <w:p w14:paraId="2D9307E6" w14:textId="7D8FD369" w:rsidR="00517BF6" w:rsidRPr="00E653FC" w:rsidRDefault="006018AA" w:rsidP="00517BF6">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Senegal’s telecommunications regulatory framework is </w:t>
      </w:r>
      <w:r w:rsidR="004163E7">
        <w:rPr>
          <w:rFonts w:ascii="Times New Roman" w:hAnsi="Times New Roman" w:cs="Times New Roman"/>
          <w:b/>
        </w:rPr>
        <w:t xml:space="preserve">still </w:t>
      </w:r>
      <w:r w:rsidRPr="00C91EA2">
        <w:rPr>
          <w:rFonts w:ascii="Times New Roman" w:hAnsi="Times New Roman" w:cs="Times New Roman"/>
          <w:b/>
        </w:rPr>
        <w:t>characterized both by a</w:t>
      </w:r>
      <w:r w:rsidR="004163E7">
        <w:rPr>
          <w:rFonts w:ascii="Times New Roman" w:hAnsi="Times New Roman" w:cs="Times New Roman"/>
          <w:b/>
        </w:rPr>
        <w:t>n</w:t>
      </w:r>
      <w:r w:rsidRPr="00C91EA2">
        <w:rPr>
          <w:rFonts w:ascii="Times New Roman" w:hAnsi="Times New Roman" w:cs="Times New Roman"/>
          <w:b/>
        </w:rPr>
        <w:t xml:space="preserve"> </w:t>
      </w:r>
      <w:r w:rsidR="004163E7">
        <w:rPr>
          <w:rFonts w:ascii="Times New Roman" w:hAnsi="Times New Roman" w:cs="Times New Roman"/>
          <w:b/>
        </w:rPr>
        <w:t>in</w:t>
      </w:r>
      <w:r w:rsidRPr="00C91EA2">
        <w:rPr>
          <w:rFonts w:ascii="Times New Roman" w:hAnsi="Times New Roman" w:cs="Times New Roman"/>
          <w:b/>
        </w:rPr>
        <w:t xml:space="preserve">effective ex ante regulation which is typically needed to facilitate entry as well as by burdensome regulation of operators without real market power. </w:t>
      </w:r>
      <w:r w:rsidRPr="00C91EA2">
        <w:rPr>
          <w:rFonts w:ascii="Times New Roman" w:hAnsi="Times New Roman" w:cs="Times New Roman"/>
        </w:rPr>
        <w:t xml:space="preserve">Although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remains dominant in mobile and fixed markets, in its latest assessment of telecommunications markets in Senegal, ARTP considered not only that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has market power in all wholesale markets analyzed</w:t>
      </w:r>
      <w:r>
        <w:rPr>
          <w:rFonts w:ascii="Times New Roman" w:hAnsi="Times New Roman" w:cs="Times New Roman"/>
        </w:rPr>
        <w:t xml:space="preserve"> (see </w:t>
      </w:r>
      <w:r>
        <w:rPr>
          <w:rFonts w:ascii="Times New Roman" w:hAnsi="Times New Roman" w:cs="Times New Roman"/>
        </w:rPr>
        <w:fldChar w:fldCharType="begin"/>
      </w:r>
      <w:r>
        <w:rPr>
          <w:rFonts w:ascii="Times New Roman" w:hAnsi="Times New Roman" w:cs="Times New Roman"/>
        </w:rPr>
        <w:instrText xml:space="preserve"> REF _Ref497927087 \h </w:instrText>
      </w:r>
      <w:r>
        <w:rPr>
          <w:rFonts w:ascii="Times New Roman" w:hAnsi="Times New Roman" w:cs="Times New Roman"/>
        </w:rPr>
      </w:r>
      <w:r>
        <w:rPr>
          <w:rFonts w:ascii="Times New Roman" w:hAnsi="Times New Roman" w:cs="Times New Roman"/>
        </w:rPr>
        <w:fldChar w:fldCharType="separate"/>
      </w:r>
      <w:r w:rsidR="008261B2" w:rsidRPr="00C91EA2">
        <w:rPr>
          <w:rFonts w:ascii="Times New Roman" w:hAnsi="Times New Roman"/>
        </w:rPr>
        <w:t xml:space="preserve">Table </w:t>
      </w:r>
      <w:r w:rsidR="008261B2">
        <w:rPr>
          <w:rFonts w:ascii="Times New Roman" w:hAnsi="Times New Roman"/>
          <w:noProof/>
        </w:rPr>
        <w:t>13</w:t>
      </w:r>
      <w:r>
        <w:rPr>
          <w:rFonts w:ascii="Times New Roman" w:hAnsi="Times New Roman" w:cs="Times New Roman"/>
        </w:rPr>
        <w:fldChar w:fldCharType="end"/>
      </w:r>
      <w:r>
        <w:rPr>
          <w:rFonts w:ascii="Times New Roman" w:hAnsi="Times New Roman" w:cs="Times New Roman"/>
        </w:rPr>
        <w:t>)</w:t>
      </w:r>
      <w:r w:rsidRPr="00C91EA2">
        <w:rPr>
          <w:rFonts w:ascii="Times New Roman" w:hAnsi="Times New Roman" w:cs="Times New Roman"/>
        </w:rPr>
        <w:t xml:space="preserve">, but also that </w:t>
      </w:r>
      <w:proofErr w:type="spellStart"/>
      <w:r w:rsidRPr="00C91EA2">
        <w:rPr>
          <w:rFonts w:ascii="Times New Roman" w:hAnsi="Times New Roman" w:cs="Times New Roman"/>
        </w:rPr>
        <w:t>Sentel</w:t>
      </w:r>
      <w:proofErr w:type="spellEnd"/>
      <w:r w:rsidRPr="00C91EA2">
        <w:rPr>
          <w:rFonts w:ascii="Times New Roman" w:hAnsi="Times New Roman" w:cs="Times New Roman"/>
        </w:rPr>
        <w:t xml:space="preserve"> GSM (</w:t>
      </w:r>
      <w:proofErr w:type="spellStart"/>
      <w:r w:rsidRPr="00C91EA2">
        <w:rPr>
          <w:rFonts w:ascii="Times New Roman" w:hAnsi="Times New Roman" w:cs="Times New Roman"/>
        </w:rPr>
        <w:t>Tigo</w:t>
      </w:r>
      <w:proofErr w:type="spellEnd"/>
      <w:r w:rsidRPr="00C91EA2">
        <w:rPr>
          <w:rFonts w:ascii="Times New Roman" w:hAnsi="Times New Roman" w:cs="Times New Roman"/>
        </w:rPr>
        <w:t xml:space="preserve">) and Expresso Senegal were dominant in the markets for capacity lease, access to special services and SMS and international capacity (Expresso; see </w:t>
      </w:r>
      <w:r w:rsidRPr="00C91EA2">
        <w:rPr>
          <w:rFonts w:ascii="Times New Roman" w:hAnsi="Times New Roman" w:cs="Times New Roman"/>
        </w:rPr>
        <w:fldChar w:fldCharType="begin"/>
      </w:r>
      <w:r w:rsidRPr="00C91EA2">
        <w:rPr>
          <w:rFonts w:ascii="Times New Roman" w:hAnsi="Times New Roman" w:cs="Times New Roman"/>
        </w:rPr>
        <w:instrText xml:space="preserve"> REF _Ref497927087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Table </w:t>
      </w:r>
      <w:r w:rsidR="008261B2" w:rsidRPr="008261B2">
        <w:rPr>
          <w:rFonts w:ascii="Times New Roman" w:hAnsi="Times New Roman" w:cs="Times New Roman"/>
          <w:noProof/>
        </w:rPr>
        <w:t>13</w:t>
      </w:r>
      <w:r w:rsidRPr="00C91EA2">
        <w:rPr>
          <w:rFonts w:ascii="Times New Roman" w:hAnsi="Times New Roman" w:cs="Times New Roman"/>
        </w:rPr>
        <w:fldChar w:fldCharType="end"/>
      </w:r>
      <w:r w:rsidRPr="00C91EA2">
        <w:rPr>
          <w:rFonts w:ascii="Times New Roman" w:hAnsi="Times New Roman" w:cs="Times New Roman"/>
        </w:rPr>
        <w:t xml:space="preserve">). </w:t>
      </w:r>
      <w:proofErr w:type="gramStart"/>
      <w:r w:rsidRPr="00C91EA2">
        <w:rPr>
          <w:rFonts w:ascii="Times New Roman" w:hAnsi="Times New Roman" w:cs="Times New Roman"/>
        </w:rPr>
        <w:t>As a result of</w:t>
      </w:r>
      <w:proofErr w:type="gramEnd"/>
      <w:r w:rsidRPr="00C91EA2">
        <w:rPr>
          <w:rFonts w:ascii="Times New Roman" w:hAnsi="Times New Roman" w:cs="Times New Roman"/>
        </w:rPr>
        <w:t xml:space="preserve"> ARTP’s findings, </w:t>
      </w:r>
      <w:proofErr w:type="spellStart"/>
      <w:r w:rsidRPr="00C91EA2">
        <w:rPr>
          <w:rFonts w:ascii="Times New Roman" w:hAnsi="Times New Roman" w:cs="Times New Roman"/>
        </w:rPr>
        <w:t>Tigo</w:t>
      </w:r>
      <w:proofErr w:type="spellEnd"/>
      <w:r w:rsidRPr="00C91EA2">
        <w:rPr>
          <w:rFonts w:ascii="Times New Roman" w:hAnsi="Times New Roman" w:cs="Times New Roman"/>
        </w:rPr>
        <w:t xml:space="preserve"> and Expresso are subject to interconnection and access asymmetric regulation in accordance with Article 14 of the Telecommunications Code and to asymmetric pricing obligations pursuant to Article 15 of the Telecommunications Code. However, ARTP’s decision does not clearly specify which of the asymmetric regulato</w:t>
      </w:r>
      <w:r w:rsidR="00CF4B28">
        <w:rPr>
          <w:rFonts w:ascii="Times New Roman" w:hAnsi="Times New Roman" w:cs="Times New Roman"/>
        </w:rPr>
        <w:t xml:space="preserve">ry obligations will be </w:t>
      </w:r>
      <w:proofErr w:type="gramStart"/>
      <w:r w:rsidR="00CF4B28">
        <w:rPr>
          <w:rFonts w:ascii="Times New Roman" w:hAnsi="Times New Roman" w:cs="Times New Roman"/>
        </w:rPr>
        <w:t xml:space="preserve">actually </w:t>
      </w:r>
      <w:r w:rsidRPr="00C91EA2">
        <w:rPr>
          <w:rFonts w:ascii="Times New Roman" w:hAnsi="Times New Roman" w:cs="Times New Roman"/>
        </w:rPr>
        <w:t>imposed</w:t>
      </w:r>
      <w:proofErr w:type="gramEnd"/>
      <w:r w:rsidRPr="00C91EA2">
        <w:rPr>
          <w:rFonts w:ascii="Times New Roman" w:hAnsi="Times New Roman" w:cs="Times New Roman"/>
        </w:rPr>
        <w:t xml:space="preserve"> to each operator. This decision stems from the Telecommunications Code</w:t>
      </w:r>
      <w:r w:rsidR="00E65E87">
        <w:rPr>
          <w:rFonts w:ascii="Times New Roman" w:hAnsi="Times New Roman" w:cs="Times New Roman"/>
        </w:rPr>
        <w:t>’s</w:t>
      </w:r>
      <w:r w:rsidRPr="00C91EA2">
        <w:rPr>
          <w:rFonts w:ascii="Times New Roman" w:hAnsi="Times New Roman" w:cs="Times New Roman"/>
        </w:rPr>
        <w:t xml:space="preserve"> presumption that operators with a 25</w:t>
      </w:r>
      <w:r>
        <w:rPr>
          <w:rFonts w:ascii="Times New Roman" w:hAnsi="Times New Roman" w:cs="Times New Roman"/>
        </w:rPr>
        <w:t xml:space="preserve"> percent</w:t>
      </w:r>
      <w:r w:rsidRPr="00C91EA2">
        <w:rPr>
          <w:rFonts w:ascii="Times New Roman" w:hAnsi="Times New Roman" w:cs="Times New Roman"/>
        </w:rPr>
        <w:t xml:space="preserve"> market share are presumed to be dominant and therefore subject to ex ante asymmetric regulation (Article 3 of the Telecommunications Code). This decision is not in line with sound economic analysis </w:t>
      </w:r>
      <w:r w:rsidR="00E65E87">
        <w:rPr>
          <w:rFonts w:ascii="Times New Roman" w:hAnsi="Times New Roman" w:cs="Times New Roman"/>
        </w:rPr>
        <w:t>or</w:t>
      </w:r>
      <w:r w:rsidR="00E65E87" w:rsidRPr="00C91EA2">
        <w:rPr>
          <w:rFonts w:ascii="Times New Roman" w:hAnsi="Times New Roman" w:cs="Times New Roman"/>
        </w:rPr>
        <w:t xml:space="preserve"> </w:t>
      </w:r>
      <w:r w:rsidRPr="00C91EA2">
        <w:rPr>
          <w:rFonts w:ascii="Times New Roman" w:hAnsi="Times New Roman" w:cs="Times New Roman"/>
        </w:rPr>
        <w:t>even with the Telecommunications Code’s definition of “operator with significant market power,</w:t>
      </w:r>
      <w:r w:rsidR="00E65E87">
        <w:rPr>
          <w:rFonts w:ascii="Times New Roman" w:hAnsi="Times New Roman" w:cs="Times New Roman"/>
        </w:rPr>
        <w:t>”</w:t>
      </w:r>
      <w:r w:rsidRPr="00C91EA2">
        <w:rPr>
          <w:rFonts w:ascii="Times New Roman" w:hAnsi="Times New Roman" w:cs="Times New Roman"/>
        </w:rPr>
        <w:t xml:space="preserve"> which requires a position of economic strength that allows an undertaking to behave to an appreciable extent independently of its competitors, its customers and ultimately of consumers. This definition is largely identical to the one adopted in the EU where it is generally understood that operators with a market share lower than 40% lack market power.</w:t>
      </w:r>
      <w:r w:rsidR="004B2732" w:rsidRPr="00C91EA2">
        <w:rPr>
          <w:rStyle w:val="FootnoteReference"/>
          <w:rFonts w:ascii="Times New Roman" w:hAnsi="Times New Roman" w:cs="Times New Roman"/>
        </w:rPr>
        <w:footnoteReference w:id="215"/>
      </w:r>
      <w:r w:rsidRPr="00C91EA2">
        <w:rPr>
          <w:rFonts w:ascii="Times New Roman" w:hAnsi="Times New Roman" w:cs="Times New Roman"/>
        </w:rPr>
        <w:t xml:space="preserve"> Imposing asymmetric regulation on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smaller competitors may hinder competition by burdening operators without effective market power with cumbersome regulatory remedies. </w:t>
      </w:r>
    </w:p>
    <w:p w14:paraId="7CA2BC2C" w14:textId="77777777" w:rsidR="006018AA" w:rsidRPr="00C91EA2" w:rsidRDefault="006018AA" w:rsidP="006018AA">
      <w:pPr>
        <w:jc w:val="both"/>
        <w:rPr>
          <w:rFonts w:ascii="Times New Roman" w:hAnsi="Times New Roman" w:cs="Times New Roman"/>
        </w:rPr>
      </w:pPr>
    </w:p>
    <w:p w14:paraId="0A19D7FA" w14:textId="5A2A555D" w:rsidR="006018AA" w:rsidRPr="00C91EA2" w:rsidRDefault="006018AA" w:rsidP="006018AA">
      <w:pPr>
        <w:pStyle w:val="Caption"/>
        <w:keepNext/>
        <w:rPr>
          <w:rFonts w:ascii="Times New Roman" w:hAnsi="Times New Roman"/>
        </w:rPr>
      </w:pPr>
      <w:bookmarkStart w:id="309" w:name="_Ref497927087"/>
      <w:bookmarkStart w:id="310" w:name="_Toc520725700"/>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13</w:t>
      </w:r>
      <w:r w:rsidRPr="00C91EA2">
        <w:rPr>
          <w:rFonts w:ascii="Times New Roman" w:hAnsi="Times New Roman"/>
        </w:rPr>
        <w:fldChar w:fldCharType="end"/>
      </w:r>
      <w:bookmarkEnd w:id="309"/>
      <w:r w:rsidRPr="00C91EA2">
        <w:rPr>
          <w:rFonts w:ascii="Times New Roman" w:hAnsi="Times New Roman"/>
        </w:rPr>
        <w:t>: Outcome of ARTP’s Market Analysis (2016)</w:t>
      </w:r>
      <w:bookmarkEnd w:id="310"/>
    </w:p>
    <w:tbl>
      <w:tblPr>
        <w:tblStyle w:val="TableGrid"/>
        <w:tblW w:w="0" w:type="auto"/>
        <w:tblLook w:val="04A0" w:firstRow="1" w:lastRow="0" w:firstColumn="1" w:lastColumn="0" w:noHBand="0" w:noVBand="1"/>
      </w:tblPr>
      <w:tblGrid>
        <w:gridCol w:w="2876"/>
        <w:gridCol w:w="2877"/>
        <w:gridCol w:w="2877"/>
      </w:tblGrid>
      <w:tr w:rsidR="006018AA" w:rsidRPr="00C91EA2" w14:paraId="2FDDC8BE" w14:textId="77777777" w:rsidTr="00FA09FE">
        <w:tc>
          <w:tcPr>
            <w:tcW w:w="2876" w:type="dxa"/>
            <w:tcBorders>
              <w:top w:val="single" w:sz="4" w:space="0" w:color="auto"/>
              <w:left w:val="single" w:sz="4" w:space="0" w:color="auto"/>
              <w:bottom w:val="single" w:sz="4" w:space="0" w:color="auto"/>
              <w:right w:val="single" w:sz="4" w:space="0" w:color="auto"/>
            </w:tcBorders>
            <w:hideMark/>
          </w:tcPr>
          <w:p w14:paraId="1C7F4C31"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Sector</w:t>
            </w:r>
          </w:p>
        </w:tc>
        <w:tc>
          <w:tcPr>
            <w:tcW w:w="2877" w:type="dxa"/>
            <w:tcBorders>
              <w:top w:val="single" w:sz="4" w:space="0" w:color="auto"/>
              <w:left w:val="single" w:sz="4" w:space="0" w:color="auto"/>
              <w:bottom w:val="single" w:sz="4" w:space="0" w:color="auto"/>
              <w:right w:val="single" w:sz="4" w:space="0" w:color="auto"/>
            </w:tcBorders>
            <w:hideMark/>
          </w:tcPr>
          <w:p w14:paraId="5A9ABA62"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Relevant markets</w:t>
            </w:r>
          </w:p>
        </w:tc>
        <w:tc>
          <w:tcPr>
            <w:tcW w:w="2877" w:type="dxa"/>
            <w:tcBorders>
              <w:top w:val="single" w:sz="4" w:space="0" w:color="auto"/>
              <w:left w:val="single" w:sz="4" w:space="0" w:color="auto"/>
              <w:bottom w:val="single" w:sz="4" w:space="0" w:color="auto"/>
              <w:right w:val="single" w:sz="4" w:space="0" w:color="auto"/>
            </w:tcBorders>
            <w:hideMark/>
          </w:tcPr>
          <w:p w14:paraId="7CED1F7C"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Operators with market power</w:t>
            </w:r>
          </w:p>
        </w:tc>
      </w:tr>
      <w:tr w:rsidR="006018AA" w:rsidRPr="00C91EA2" w14:paraId="495C0E9F" w14:textId="77777777" w:rsidTr="00FA09FE">
        <w:trPr>
          <w:trHeight w:val="37"/>
        </w:trPr>
        <w:tc>
          <w:tcPr>
            <w:tcW w:w="2876" w:type="dxa"/>
            <w:vMerge w:val="restart"/>
            <w:tcBorders>
              <w:top w:val="single" w:sz="4" w:space="0" w:color="auto"/>
              <w:left w:val="single" w:sz="4" w:space="0" w:color="auto"/>
              <w:bottom w:val="single" w:sz="4" w:space="0" w:color="auto"/>
              <w:right w:val="single" w:sz="4" w:space="0" w:color="auto"/>
            </w:tcBorders>
            <w:hideMark/>
          </w:tcPr>
          <w:p w14:paraId="6A6ADBB1"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Fixed telephony</w:t>
            </w:r>
          </w:p>
        </w:tc>
        <w:tc>
          <w:tcPr>
            <w:tcW w:w="2877" w:type="dxa"/>
            <w:tcBorders>
              <w:top w:val="single" w:sz="4" w:space="0" w:color="auto"/>
              <w:left w:val="single" w:sz="4" w:space="0" w:color="auto"/>
              <w:bottom w:val="single" w:sz="4" w:space="0" w:color="auto"/>
              <w:right w:val="single" w:sz="4" w:space="0" w:color="auto"/>
            </w:tcBorders>
            <w:hideMark/>
          </w:tcPr>
          <w:p w14:paraId="207AF7C2"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Call termination over fixed-lines network</w:t>
            </w:r>
          </w:p>
        </w:tc>
        <w:tc>
          <w:tcPr>
            <w:tcW w:w="2877" w:type="dxa"/>
            <w:tcBorders>
              <w:top w:val="single" w:sz="4" w:space="0" w:color="auto"/>
              <w:left w:val="single" w:sz="4" w:space="0" w:color="auto"/>
              <w:bottom w:val="single" w:sz="4" w:space="0" w:color="auto"/>
              <w:right w:val="single" w:sz="4" w:space="0" w:color="auto"/>
            </w:tcBorders>
            <w:hideMark/>
          </w:tcPr>
          <w:p w14:paraId="287F9AE1"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p w14:paraId="42657591" w14:textId="77777777" w:rsidR="006018AA" w:rsidRPr="00C91EA2" w:rsidRDefault="006018AA" w:rsidP="00FA09FE">
            <w:pPr>
              <w:jc w:val="center"/>
              <w:rPr>
                <w:rFonts w:ascii="Times New Roman" w:hAnsi="Times New Roman" w:cs="Times New Roman"/>
                <w:sz w:val="20"/>
                <w:szCs w:val="20"/>
              </w:rPr>
            </w:pPr>
            <w:r w:rsidRPr="00C91EA2">
              <w:rPr>
                <w:rFonts w:ascii="Times New Roman" w:hAnsi="Times New Roman" w:cs="Times New Roman"/>
                <w:sz w:val="20"/>
                <w:szCs w:val="20"/>
              </w:rPr>
              <w:t xml:space="preserve">Expresso </w:t>
            </w:r>
            <w:proofErr w:type="spellStart"/>
            <w:r w:rsidRPr="00C91EA2">
              <w:rPr>
                <w:rFonts w:ascii="Times New Roman" w:hAnsi="Times New Roman" w:cs="Times New Roman"/>
                <w:sz w:val="20"/>
                <w:szCs w:val="20"/>
              </w:rPr>
              <w:t>Sénégal</w:t>
            </w:r>
            <w:proofErr w:type="spellEnd"/>
          </w:p>
        </w:tc>
      </w:tr>
      <w:tr w:rsidR="006018AA" w:rsidRPr="00C91EA2" w14:paraId="01DF7577" w14:textId="77777777" w:rsidTr="00FA09FE">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9C685" w14:textId="77777777" w:rsidR="006018AA" w:rsidRPr="00C91EA2" w:rsidRDefault="006018AA" w:rsidP="00FA09FE">
            <w:pPr>
              <w:rPr>
                <w:rFonts w:ascii="Times New Roman" w:hAnsi="Times New Roman" w:cs="Times New Roman"/>
                <w:sz w:val="20"/>
                <w:szCs w:val="20"/>
              </w:rPr>
            </w:pPr>
          </w:p>
        </w:tc>
        <w:tc>
          <w:tcPr>
            <w:tcW w:w="2877" w:type="dxa"/>
            <w:tcBorders>
              <w:top w:val="single" w:sz="4" w:space="0" w:color="auto"/>
              <w:left w:val="single" w:sz="4" w:space="0" w:color="auto"/>
              <w:bottom w:val="single" w:sz="4" w:space="0" w:color="auto"/>
              <w:right w:val="single" w:sz="4" w:space="0" w:color="auto"/>
            </w:tcBorders>
            <w:hideMark/>
          </w:tcPr>
          <w:p w14:paraId="6B31D792"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Traffic collection over fixed-network</w:t>
            </w:r>
          </w:p>
        </w:tc>
        <w:tc>
          <w:tcPr>
            <w:tcW w:w="2877" w:type="dxa"/>
            <w:tcBorders>
              <w:top w:val="single" w:sz="4" w:space="0" w:color="auto"/>
              <w:left w:val="single" w:sz="4" w:space="0" w:color="auto"/>
              <w:bottom w:val="single" w:sz="4" w:space="0" w:color="auto"/>
              <w:right w:val="single" w:sz="4" w:space="0" w:color="auto"/>
            </w:tcBorders>
            <w:hideMark/>
          </w:tcPr>
          <w:p w14:paraId="7227F499"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tc>
      </w:tr>
      <w:tr w:rsidR="006018AA" w:rsidRPr="00C91EA2" w14:paraId="4E65D9AF" w14:textId="77777777" w:rsidTr="00FA09FE">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A0EA6" w14:textId="77777777" w:rsidR="006018AA" w:rsidRPr="00C91EA2" w:rsidRDefault="006018AA" w:rsidP="00FA09FE">
            <w:pPr>
              <w:rPr>
                <w:rFonts w:ascii="Times New Roman" w:hAnsi="Times New Roman" w:cs="Times New Roman"/>
                <w:sz w:val="20"/>
                <w:szCs w:val="20"/>
              </w:rPr>
            </w:pPr>
          </w:p>
        </w:tc>
        <w:tc>
          <w:tcPr>
            <w:tcW w:w="2877" w:type="dxa"/>
            <w:tcBorders>
              <w:top w:val="single" w:sz="4" w:space="0" w:color="auto"/>
              <w:left w:val="single" w:sz="4" w:space="0" w:color="auto"/>
              <w:bottom w:val="single" w:sz="4" w:space="0" w:color="auto"/>
              <w:right w:val="single" w:sz="4" w:space="0" w:color="auto"/>
            </w:tcBorders>
            <w:hideMark/>
          </w:tcPr>
          <w:p w14:paraId="3B00EDE5"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National traffic</w:t>
            </w:r>
          </w:p>
        </w:tc>
        <w:tc>
          <w:tcPr>
            <w:tcW w:w="2877" w:type="dxa"/>
            <w:tcBorders>
              <w:top w:val="single" w:sz="4" w:space="0" w:color="auto"/>
              <w:left w:val="single" w:sz="4" w:space="0" w:color="auto"/>
              <w:bottom w:val="single" w:sz="4" w:space="0" w:color="auto"/>
              <w:right w:val="single" w:sz="4" w:space="0" w:color="auto"/>
            </w:tcBorders>
            <w:hideMark/>
          </w:tcPr>
          <w:p w14:paraId="2DB330DA"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tc>
      </w:tr>
      <w:tr w:rsidR="006018AA" w:rsidRPr="00C91EA2" w14:paraId="6D05E55B" w14:textId="77777777" w:rsidTr="00FA09FE">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CFB25" w14:textId="77777777" w:rsidR="006018AA" w:rsidRPr="00C91EA2" w:rsidRDefault="006018AA" w:rsidP="00FA09FE">
            <w:pPr>
              <w:rPr>
                <w:rFonts w:ascii="Times New Roman" w:hAnsi="Times New Roman" w:cs="Times New Roman"/>
                <w:sz w:val="20"/>
                <w:szCs w:val="20"/>
              </w:rPr>
            </w:pPr>
          </w:p>
        </w:tc>
        <w:tc>
          <w:tcPr>
            <w:tcW w:w="2877" w:type="dxa"/>
            <w:tcBorders>
              <w:top w:val="single" w:sz="4" w:space="0" w:color="auto"/>
              <w:left w:val="single" w:sz="4" w:space="0" w:color="auto"/>
              <w:bottom w:val="single" w:sz="4" w:space="0" w:color="auto"/>
              <w:right w:val="single" w:sz="4" w:space="0" w:color="auto"/>
            </w:tcBorders>
            <w:hideMark/>
          </w:tcPr>
          <w:p w14:paraId="6E1B9BD8"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International traffic</w:t>
            </w:r>
          </w:p>
        </w:tc>
        <w:tc>
          <w:tcPr>
            <w:tcW w:w="2877" w:type="dxa"/>
            <w:tcBorders>
              <w:top w:val="single" w:sz="4" w:space="0" w:color="auto"/>
              <w:left w:val="single" w:sz="4" w:space="0" w:color="auto"/>
              <w:bottom w:val="single" w:sz="4" w:space="0" w:color="auto"/>
              <w:right w:val="single" w:sz="4" w:space="0" w:color="auto"/>
            </w:tcBorders>
            <w:hideMark/>
          </w:tcPr>
          <w:p w14:paraId="3436B2C4"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p w14:paraId="3174E870" w14:textId="77777777" w:rsidR="006018AA" w:rsidRPr="00C91EA2" w:rsidRDefault="006018AA" w:rsidP="00FA09FE">
            <w:pPr>
              <w:jc w:val="center"/>
              <w:rPr>
                <w:rFonts w:ascii="Times New Roman" w:hAnsi="Times New Roman" w:cs="Times New Roman"/>
                <w:sz w:val="20"/>
                <w:szCs w:val="20"/>
              </w:rPr>
            </w:pPr>
            <w:r w:rsidRPr="00C91EA2">
              <w:rPr>
                <w:rFonts w:ascii="Times New Roman" w:hAnsi="Times New Roman" w:cs="Times New Roman"/>
                <w:sz w:val="20"/>
                <w:szCs w:val="20"/>
              </w:rPr>
              <w:t xml:space="preserve">Expresso </w:t>
            </w:r>
            <w:proofErr w:type="spellStart"/>
            <w:r w:rsidRPr="00C91EA2">
              <w:rPr>
                <w:rFonts w:ascii="Times New Roman" w:hAnsi="Times New Roman" w:cs="Times New Roman"/>
                <w:sz w:val="20"/>
                <w:szCs w:val="20"/>
              </w:rPr>
              <w:t>Sénégal</w:t>
            </w:r>
            <w:proofErr w:type="spellEnd"/>
          </w:p>
        </w:tc>
      </w:tr>
      <w:tr w:rsidR="006018AA" w:rsidRPr="00C91EA2" w14:paraId="64D17557" w14:textId="77777777" w:rsidTr="00FA09FE">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CB7A4" w14:textId="77777777" w:rsidR="006018AA" w:rsidRPr="00C91EA2" w:rsidRDefault="006018AA" w:rsidP="00FA09FE">
            <w:pPr>
              <w:rPr>
                <w:rFonts w:ascii="Times New Roman" w:hAnsi="Times New Roman" w:cs="Times New Roman"/>
                <w:sz w:val="20"/>
                <w:szCs w:val="20"/>
              </w:rPr>
            </w:pPr>
          </w:p>
        </w:tc>
        <w:tc>
          <w:tcPr>
            <w:tcW w:w="2877" w:type="dxa"/>
            <w:tcBorders>
              <w:top w:val="single" w:sz="4" w:space="0" w:color="auto"/>
              <w:left w:val="single" w:sz="4" w:space="0" w:color="auto"/>
              <w:bottom w:val="single" w:sz="4" w:space="0" w:color="auto"/>
              <w:right w:val="single" w:sz="4" w:space="0" w:color="auto"/>
            </w:tcBorders>
            <w:hideMark/>
          </w:tcPr>
          <w:p w14:paraId="325DD17E"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Access to telephony service</w:t>
            </w:r>
          </w:p>
        </w:tc>
        <w:tc>
          <w:tcPr>
            <w:tcW w:w="2877" w:type="dxa"/>
            <w:tcBorders>
              <w:top w:val="single" w:sz="4" w:space="0" w:color="auto"/>
              <w:left w:val="single" w:sz="4" w:space="0" w:color="auto"/>
              <w:bottom w:val="single" w:sz="4" w:space="0" w:color="auto"/>
              <w:right w:val="single" w:sz="4" w:space="0" w:color="auto"/>
            </w:tcBorders>
            <w:hideMark/>
          </w:tcPr>
          <w:p w14:paraId="543A8A1E"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tc>
      </w:tr>
      <w:tr w:rsidR="006018AA" w:rsidRPr="00C91EA2" w14:paraId="7A5C8994" w14:textId="77777777" w:rsidTr="00FA09FE">
        <w:trPr>
          <w:trHeight w:val="178"/>
        </w:trPr>
        <w:tc>
          <w:tcPr>
            <w:tcW w:w="2876" w:type="dxa"/>
            <w:vMerge w:val="restart"/>
            <w:tcBorders>
              <w:top w:val="single" w:sz="4" w:space="0" w:color="auto"/>
              <w:left w:val="single" w:sz="4" w:space="0" w:color="auto"/>
              <w:bottom w:val="single" w:sz="4" w:space="0" w:color="auto"/>
              <w:right w:val="single" w:sz="4" w:space="0" w:color="auto"/>
            </w:tcBorders>
            <w:hideMark/>
          </w:tcPr>
          <w:p w14:paraId="528F7FA5"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Mobile telephony</w:t>
            </w:r>
          </w:p>
        </w:tc>
        <w:tc>
          <w:tcPr>
            <w:tcW w:w="2877" w:type="dxa"/>
            <w:tcBorders>
              <w:top w:val="single" w:sz="4" w:space="0" w:color="auto"/>
              <w:left w:val="single" w:sz="4" w:space="0" w:color="auto"/>
              <w:bottom w:val="single" w:sz="4" w:space="0" w:color="auto"/>
              <w:right w:val="single" w:sz="4" w:space="0" w:color="auto"/>
            </w:tcBorders>
            <w:hideMark/>
          </w:tcPr>
          <w:p w14:paraId="6620AC23"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Call termination over mobile network</w:t>
            </w:r>
          </w:p>
        </w:tc>
        <w:tc>
          <w:tcPr>
            <w:tcW w:w="2877" w:type="dxa"/>
            <w:tcBorders>
              <w:top w:val="single" w:sz="4" w:space="0" w:color="auto"/>
              <w:left w:val="single" w:sz="4" w:space="0" w:color="auto"/>
              <w:bottom w:val="single" w:sz="4" w:space="0" w:color="auto"/>
              <w:right w:val="single" w:sz="4" w:space="0" w:color="auto"/>
            </w:tcBorders>
            <w:hideMark/>
          </w:tcPr>
          <w:p w14:paraId="0E78BAB2"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p w14:paraId="489EFB6E" w14:textId="77777777" w:rsidR="006018AA" w:rsidRPr="00C91EA2" w:rsidRDefault="006018AA" w:rsidP="00FA09FE">
            <w:pPr>
              <w:jc w:val="center"/>
              <w:rPr>
                <w:rFonts w:ascii="Times New Roman" w:hAnsi="Times New Roman" w:cs="Times New Roman"/>
                <w:sz w:val="20"/>
                <w:szCs w:val="20"/>
              </w:rPr>
            </w:pPr>
            <w:r w:rsidRPr="00C91EA2">
              <w:rPr>
                <w:rFonts w:ascii="Times New Roman" w:hAnsi="Times New Roman" w:cs="Times New Roman"/>
                <w:sz w:val="20"/>
                <w:szCs w:val="20"/>
              </w:rPr>
              <w:t xml:space="preserve">Expresso </w:t>
            </w:r>
            <w:proofErr w:type="spellStart"/>
            <w:r w:rsidRPr="00C91EA2">
              <w:rPr>
                <w:rFonts w:ascii="Times New Roman" w:hAnsi="Times New Roman" w:cs="Times New Roman"/>
                <w:sz w:val="20"/>
                <w:szCs w:val="20"/>
              </w:rPr>
              <w:t>Sénégal</w:t>
            </w:r>
            <w:proofErr w:type="spellEnd"/>
          </w:p>
          <w:p w14:paraId="162090B7"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Sentel</w:t>
            </w:r>
            <w:proofErr w:type="spellEnd"/>
            <w:r w:rsidRPr="00C91EA2">
              <w:rPr>
                <w:rFonts w:ascii="Times New Roman" w:hAnsi="Times New Roman" w:cs="Times New Roman"/>
                <w:sz w:val="20"/>
                <w:szCs w:val="20"/>
              </w:rPr>
              <w:t xml:space="preserve"> GSM</w:t>
            </w:r>
            <w:r>
              <w:rPr>
                <w:rFonts w:ascii="Times New Roman" w:hAnsi="Times New Roman" w:cs="Times New Roman"/>
                <w:sz w:val="20"/>
                <w:szCs w:val="20"/>
              </w:rPr>
              <w:t xml:space="preserve"> (</w:t>
            </w:r>
            <w:proofErr w:type="spellStart"/>
            <w:r>
              <w:rPr>
                <w:rFonts w:ascii="Times New Roman" w:hAnsi="Times New Roman" w:cs="Times New Roman"/>
                <w:sz w:val="20"/>
                <w:szCs w:val="20"/>
              </w:rPr>
              <w:t>Tigo</w:t>
            </w:r>
            <w:proofErr w:type="spellEnd"/>
            <w:r>
              <w:rPr>
                <w:rFonts w:ascii="Times New Roman" w:hAnsi="Times New Roman" w:cs="Times New Roman"/>
                <w:sz w:val="20"/>
                <w:szCs w:val="20"/>
              </w:rPr>
              <w:t>)</w:t>
            </w:r>
          </w:p>
        </w:tc>
      </w:tr>
      <w:tr w:rsidR="006018AA" w:rsidRPr="00C91EA2" w14:paraId="0DD2BC00" w14:textId="77777777" w:rsidTr="00FA09FE">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6EF72" w14:textId="77777777" w:rsidR="006018AA" w:rsidRPr="00C91EA2" w:rsidRDefault="006018AA" w:rsidP="00FA09FE">
            <w:pPr>
              <w:rPr>
                <w:rFonts w:ascii="Times New Roman" w:hAnsi="Times New Roman" w:cs="Times New Roman"/>
                <w:sz w:val="20"/>
                <w:szCs w:val="20"/>
              </w:rPr>
            </w:pPr>
          </w:p>
        </w:tc>
        <w:tc>
          <w:tcPr>
            <w:tcW w:w="2877" w:type="dxa"/>
            <w:tcBorders>
              <w:top w:val="single" w:sz="4" w:space="0" w:color="auto"/>
              <w:left w:val="single" w:sz="4" w:space="0" w:color="auto"/>
              <w:bottom w:val="single" w:sz="4" w:space="0" w:color="auto"/>
              <w:right w:val="single" w:sz="4" w:space="0" w:color="auto"/>
            </w:tcBorders>
            <w:hideMark/>
          </w:tcPr>
          <w:p w14:paraId="49ECCBD8"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SMS call termination over mobile network</w:t>
            </w:r>
          </w:p>
        </w:tc>
        <w:tc>
          <w:tcPr>
            <w:tcW w:w="2877" w:type="dxa"/>
            <w:tcBorders>
              <w:top w:val="single" w:sz="4" w:space="0" w:color="auto"/>
              <w:left w:val="single" w:sz="4" w:space="0" w:color="auto"/>
              <w:bottom w:val="single" w:sz="4" w:space="0" w:color="auto"/>
              <w:right w:val="single" w:sz="4" w:space="0" w:color="auto"/>
            </w:tcBorders>
            <w:hideMark/>
          </w:tcPr>
          <w:p w14:paraId="1C54F8BC"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p w14:paraId="02D700EB" w14:textId="77777777" w:rsidR="006018AA" w:rsidRPr="00C91EA2" w:rsidRDefault="006018AA" w:rsidP="00FA09FE">
            <w:pPr>
              <w:jc w:val="center"/>
              <w:rPr>
                <w:rFonts w:ascii="Times New Roman" w:hAnsi="Times New Roman" w:cs="Times New Roman"/>
                <w:sz w:val="20"/>
                <w:szCs w:val="20"/>
              </w:rPr>
            </w:pPr>
            <w:r w:rsidRPr="00C91EA2">
              <w:rPr>
                <w:rFonts w:ascii="Times New Roman" w:hAnsi="Times New Roman" w:cs="Times New Roman"/>
                <w:sz w:val="20"/>
                <w:szCs w:val="20"/>
              </w:rPr>
              <w:t xml:space="preserve">Expresso </w:t>
            </w:r>
            <w:proofErr w:type="spellStart"/>
            <w:r w:rsidRPr="00C91EA2">
              <w:rPr>
                <w:rFonts w:ascii="Times New Roman" w:hAnsi="Times New Roman" w:cs="Times New Roman"/>
                <w:sz w:val="20"/>
                <w:szCs w:val="20"/>
              </w:rPr>
              <w:t>Sénégal</w:t>
            </w:r>
            <w:proofErr w:type="spellEnd"/>
          </w:p>
          <w:p w14:paraId="0D4AE8D4"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Sentel</w:t>
            </w:r>
            <w:proofErr w:type="spellEnd"/>
            <w:r w:rsidRPr="00C91EA2">
              <w:rPr>
                <w:rFonts w:ascii="Times New Roman" w:hAnsi="Times New Roman" w:cs="Times New Roman"/>
                <w:sz w:val="20"/>
                <w:szCs w:val="20"/>
              </w:rPr>
              <w:t xml:space="preserve"> GSM</w:t>
            </w:r>
            <w:r>
              <w:rPr>
                <w:rFonts w:ascii="Times New Roman" w:hAnsi="Times New Roman" w:cs="Times New Roman"/>
                <w:sz w:val="20"/>
                <w:szCs w:val="20"/>
              </w:rPr>
              <w:t xml:space="preserve"> (</w:t>
            </w:r>
            <w:proofErr w:type="spellStart"/>
            <w:r>
              <w:rPr>
                <w:rFonts w:ascii="Times New Roman" w:hAnsi="Times New Roman" w:cs="Times New Roman"/>
                <w:sz w:val="20"/>
                <w:szCs w:val="20"/>
              </w:rPr>
              <w:t>Tigo</w:t>
            </w:r>
            <w:proofErr w:type="spellEnd"/>
            <w:r>
              <w:rPr>
                <w:rFonts w:ascii="Times New Roman" w:hAnsi="Times New Roman" w:cs="Times New Roman"/>
                <w:sz w:val="20"/>
                <w:szCs w:val="20"/>
              </w:rPr>
              <w:t>)</w:t>
            </w:r>
          </w:p>
        </w:tc>
      </w:tr>
      <w:tr w:rsidR="006018AA" w:rsidRPr="00C91EA2" w14:paraId="77C88ED1" w14:textId="77777777" w:rsidTr="00FA09FE">
        <w:trPr>
          <w:trHeight w:val="93"/>
        </w:trPr>
        <w:tc>
          <w:tcPr>
            <w:tcW w:w="2876" w:type="dxa"/>
            <w:vMerge w:val="restart"/>
            <w:tcBorders>
              <w:top w:val="single" w:sz="4" w:space="0" w:color="auto"/>
              <w:left w:val="single" w:sz="4" w:space="0" w:color="auto"/>
              <w:bottom w:val="single" w:sz="4" w:space="0" w:color="auto"/>
              <w:right w:val="single" w:sz="4" w:space="0" w:color="auto"/>
            </w:tcBorders>
            <w:hideMark/>
          </w:tcPr>
          <w:p w14:paraId="68831232"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Data transmission</w:t>
            </w:r>
          </w:p>
        </w:tc>
        <w:tc>
          <w:tcPr>
            <w:tcW w:w="2877" w:type="dxa"/>
            <w:tcBorders>
              <w:top w:val="single" w:sz="4" w:space="0" w:color="auto"/>
              <w:left w:val="single" w:sz="4" w:space="0" w:color="auto"/>
              <w:bottom w:val="single" w:sz="4" w:space="0" w:color="auto"/>
              <w:right w:val="single" w:sz="4" w:space="0" w:color="auto"/>
            </w:tcBorders>
            <w:hideMark/>
          </w:tcPr>
          <w:p w14:paraId="075E00B1"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Broadband access</w:t>
            </w:r>
          </w:p>
        </w:tc>
        <w:tc>
          <w:tcPr>
            <w:tcW w:w="2877" w:type="dxa"/>
            <w:tcBorders>
              <w:top w:val="single" w:sz="4" w:space="0" w:color="auto"/>
              <w:left w:val="single" w:sz="4" w:space="0" w:color="auto"/>
              <w:bottom w:val="single" w:sz="4" w:space="0" w:color="auto"/>
              <w:right w:val="single" w:sz="4" w:space="0" w:color="auto"/>
            </w:tcBorders>
            <w:hideMark/>
          </w:tcPr>
          <w:p w14:paraId="3C4D2D1D"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tc>
      </w:tr>
      <w:tr w:rsidR="006018AA" w:rsidRPr="00C91EA2" w14:paraId="68086B0B" w14:textId="77777777" w:rsidTr="00FA09FE">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1BED99" w14:textId="77777777" w:rsidR="006018AA" w:rsidRPr="00C91EA2" w:rsidRDefault="006018AA" w:rsidP="00FA09FE">
            <w:pPr>
              <w:rPr>
                <w:rFonts w:ascii="Times New Roman" w:hAnsi="Times New Roman" w:cs="Times New Roman"/>
                <w:sz w:val="20"/>
                <w:szCs w:val="20"/>
              </w:rPr>
            </w:pPr>
          </w:p>
        </w:tc>
        <w:tc>
          <w:tcPr>
            <w:tcW w:w="2877" w:type="dxa"/>
            <w:tcBorders>
              <w:top w:val="single" w:sz="4" w:space="0" w:color="auto"/>
              <w:left w:val="single" w:sz="4" w:space="0" w:color="auto"/>
              <w:bottom w:val="single" w:sz="4" w:space="0" w:color="auto"/>
              <w:right w:val="single" w:sz="4" w:space="0" w:color="auto"/>
            </w:tcBorders>
            <w:hideMark/>
          </w:tcPr>
          <w:p w14:paraId="1E76E239"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Access to the local loop</w:t>
            </w:r>
          </w:p>
        </w:tc>
        <w:tc>
          <w:tcPr>
            <w:tcW w:w="2877" w:type="dxa"/>
            <w:tcBorders>
              <w:top w:val="single" w:sz="4" w:space="0" w:color="auto"/>
              <w:left w:val="single" w:sz="4" w:space="0" w:color="auto"/>
              <w:bottom w:val="single" w:sz="4" w:space="0" w:color="auto"/>
              <w:right w:val="single" w:sz="4" w:space="0" w:color="auto"/>
            </w:tcBorders>
            <w:hideMark/>
          </w:tcPr>
          <w:p w14:paraId="51D15DCD"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tc>
      </w:tr>
      <w:tr w:rsidR="006018AA" w:rsidRPr="00C91EA2" w14:paraId="466A937E" w14:textId="77777777" w:rsidTr="00FA09FE">
        <w:trPr>
          <w:trHeight w:val="93"/>
        </w:trPr>
        <w:tc>
          <w:tcPr>
            <w:tcW w:w="2876" w:type="dxa"/>
            <w:vMerge w:val="restart"/>
            <w:tcBorders>
              <w:top w:val="single" w:sz="4" w:space="0" w:color="auto"/>
              <w:left w:val="single" w:sz="4" w:space="0" w:color="auto"/>
              <w:bottom w:val="single" w:sz="4" w:space="0" w:color="auto"/>
              <w:right w:val="single" w:sz="4" w:space="0" w:color="auto"/>
            </w:tcBorders>
            <w:hideMark/>
          </w:tcPr>
          <w:p w14:paraId="25FF8294"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Capacity services</w:t>
            </w:r>
          </w:p>
        </w:tc>
        <w:tc>
          <w:tcPr>
            <w:tcW w:w="2877" w:type="dxa"/>
            <w:tcBorders>
              <w:top w:val="single" w:sz="4" w:space="0" w:color="auto"/>
              <w:left w:val="single" w:sz="4" w:space="0" w:color="auto"/>
              <w:bottom w:val="single" w:sz="4" w:space="0" w:color="auto"/>
              <w:right w:val="single" w:sz="4" w:space="0" w:color="auto"/>
            </w:tcBorders>
            <w:hideMark/>
          </w:tcPr>
          <w:p w14:paraId="56412BB9"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Lease of capacity</w:t>
            </w:r>
          </w:p>
        </w:tc>
        <w:tc>
          <w:tcPr>
            <w:tcW w:w="2877" w:type="dxa"/>
            <w:tcBorders>
              <w:top w:val="single" w:sz="4" w:space="0" w:color="auto"/>
              <w:left w:val="single" w:sz="4" w:space="0" w:color="auto"/>
              <w:bottom w:val="single" w:sz="4" w:space="0" w:color="auto"/>
              <w:right w:val="single" w:sz="4" w:space="0" w:color="auto"/>
            </w:tcBorders>
            <w:hideMark/>
          </w:tcPr>
          <w:p w14:paraId="1D374EBF"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p w14:paraId="6DD4B67F" w14:textId="77777777" w:rsidR="006018AA" w:rsidRPr="00C91EA2" w:rsidRDefault="006018AA" w:rsidP="00FA09FE">
            <w:pPr>
              <w:jc w:val="center"/>
              <w:rPr>
                <w:rFonts w:ascii="Times New Roman" w:hAnsi="Times New Roman" w:cs="Times New Roman"/>
                <w:sz w:val="20"/>
                <w:szCs w:val="20"/>
              </w:rPr>
            </w:pPr>
            <w:r w:rsidRPr="00C91EA2">
              <w:rPr>
                <w:rFonts w:ascii="Times New Roman" w:hAnsi="Times New Roman" w:cs="Times New Roman"/>
                <w:sz w:val="20"/>
                <w:szCs w:val="20"/>
              </w:rPr>
              <w:t xml:space="preserve">Expresso </w:t>
            </w:r>
            <w:proofErr w:type="spellStart"/>
            <w:r w:rsidRPr="00C91EA2">
              <w:rPr>
                <w:rFonts w:ascii="Times New Roman" w:hAnsi="Times New Roman" w:cs="Times New Roman"/>
                <w:sz w:val="20"/>
                <w:szCs w:val="20"/>
              </w:rPr>
              <w:t>Sénégal</w:t>
            </w:r>
            <w:proofErr w:type="spellEnd"/>
          </w:p>
          <w:p w14:paraId="146A206C"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Sentel</w:t>
            </w:r>
            <w:proofErr w:type="spellEnd"/>
            <w:r w:rsidRPr="00C91EA2">
              <w:rPr>
                <w:rFonts w:ascii="Times New Roman" w:hAnsi="Times New Roman" w:cs="Times New Roman"/>
                <w:sz w:val="20"/>
                <w:szCs w:val="20"/>
              </w:rPr>
              <w:t xml:space="preserve"> GSM</w:t>
            </w:r>
            <w:r>
              <w:rPr>
                <w:rFonts w:ascii="Times New Roman" w:hAnsi="Times New Roman" w:cs="Times New Roman"/>
                <w:sz w:val="20"/>
                <w:szCs w:val="20"/>
              </w:rPr>
              <w:t xml:space="preserve"> (</w:t>
            </w:r>
            <w:proofErr w:type="spellStart"/>
            <w:r>
              <w:rPr>
                <w:rFonts w:ascii="Times New Roman" w:hAnsi="Times New Roman" w:cs="Times New Roman"/>
                <w:sz w:val="20"/>
                <w:szCs w:val="20"/>
              </w:rPr>
              <w:t>Tigo</w:t>
            </w:r>
            <w:proofErr w:type="spellEnd"/>
            <w:r>
              <w:rPr>
                <w:rFonts w:ascii="Times New Roman" w:hAnsi="Times New Roman" w:cs="Times New Roman"/>
                <w:sz w:val="20"/>
                <w:szCs w:val="20"/>
              </w:rPr>
              <w:t>)</w:t>
            </w:r>
          </w:p>
        </w:tc>
      </w:tr>
      <w:tr w:rsidR="006018AA" w:rsidRPr="00C91EA2" w14:paraId="2EDAF6C1" w14:textId="77777777" w:rsidTr="00FA09FE">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934D3" w14:textId="77777777" w:rsidR="006018AA" w:rsidRPr="00C91EA2" w:rsidRDefault="006018AA" w:rsidP="00FA09FE">
            <w:pPr>
              <w:rPr>
                <w:rFonts w:ascii="Times New Roman" w:hAnsi="Times New Roman" w:cs="Times New Roman"/>
                <w:sz w:val="20"/>
                <w:szCs w:val="20"/>
              </w:rPr>
            </w:pPr>
          </w:p>
        </w:tc>
        <w:tc>
          <w:tcPr>
            <w:tcW w:w="2877" w:type="dxa"/>
            <w:tcBorders>
              <w:top w:val="single" w:sz="4" w:space="0" w:color="auto"/>
              <w:left w:val="single" w:sz="4" w:space="0" w:color="auto"/>
              <w:bottom w:val="single" w:sz="4" w:space="0" w:color="auto"/>
              <w:right w:val="single" w:sz="4" w:space="0" w:color="auto"/>
            </w:tcBorders>
            <w:hideMark/>
          </w:tcPr>
          <w:p w14:paraId="535C3348"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Access to international capacity</w:t>
            </w:r>
          </w:p>
        </w:tc>
        <w:tc>
          <w:tcPr>
            <w:tcW w:w="2877" w:type="dxa"/>
            <w:tcBorders>
              <w:top w:val="single" w:sz="4" w:space="0" w:color="auto"/>
              <w:left w:val="single" w:sz="4" w:space="0" w:color="auto"/>
              <w:bottom w:val="single" w:sz="4" w:space="0" w:color="auto"/>
              <w:right w:val="single" w:sz="4" w:space="0" w:color="auto"/>
            </w:tcBorders>
            <w:hideMark/>
          </w:tcPr>
          <w:p w14:paraId="13282694"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p w14:paraId="065CBD68" w14:textId="77777777" w:rsidR="006018AA" w:rsidRPr="00C91EA2" w:rsidRDefault="006018AA" w:rsidP="00FA09FE">
            <w:pPr>
              <w:jc w:val="center"/>
              <w:rPr>
                <w:rFonts w:ascii="Times New Roman" w:hAnsi="Times New Roman" w:cs="Times New Roman"/>
                <w:sz w:val="20"/>
                <w:szCs w:val="20"/>
              </w:rPr>
            </w:pPr>
            <w:r w:rsidRPr="00C91EA2">
              <w:rPr>
                <w:rFonts w:ascii="Times New Roman" w:hAnsi="Times New Roman" w:cs="Times New Roman"/>
                <w:sz w:val="20"/>
                <w:szCs w:val="20"/>
              </w:rPr>
              <w:t xml:space="preserve">Expresso </w:t>
            </w:r>
            <w:proofErr w:type="spellStart"/>
            <w:r w:rsidRPr="00C91EA2">
              <w:rPr>
                <w:rFonts w:ascii="Times New Roman" w:hAnsi="Times New Roman" w:cs="Times New Roman"/>
                <w:sz w:val="20"/>
                <w:szCs w:val="20"/>
              </w:rPr>
              <w:t>Sénégal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Tigo</w:t>
            </w:r>
            <w:proofErr w:type="spellEnd"/>
            <w:r>
              <w:rPr>
                <w:rFonts w:ascii="Times New Roman" w:hAnsi="Times New Roman" w:cs="Times New Roman"/>
                <w:sz w:val="20"/>
                <w:szCs w:val="20"/>
              </w:rPr>
              <w:t>)</w:t>
            </w:r>
          </w:p>
        </w:tc>
      </w:tr>
      <w:tr w:rsidR="006018AA" w:rsidRPr="00C91EA2" w14:paraId="713159F5" w14:textId="77777777" w:rsidTr="00FA09FE">
        <w:tc>
          <w:tcPr>
            <w:tcW w:w="2876" w:type="dxa"/>
            <w:tcBorders>
              <w:top w:val="single" w:sz="4" w:space="0" w:color="auto"/>
              <w:left w:val="single" w:sz="4" w:space="0" w:color="auto"/>
              <w:bottom w:val="single" w:sz="4" w:space="0" w:color="auto"/>
              <w:right w:val="single" w:sz="4" w:space="0" w:color="auto"/>
            </w:tcBorders>
            <w:hideMark/>
          </w:tcPr>
          <w:p w14:paraId="213917E4"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Complementary and advanced services and functionalities</w:t>
            </w:r>
          </w:p>
        </w:tc>
        <w:tc>
          <w:tcPr>
            <w:tcW w:w="2877" w:type="dxa"/>
            <w:tcBorders>
              <w:top w:val="single" w:sz="4" w:space="0" w:color="auto"/>
              <w:left w:val="single" w:sz="4" w:space="0" w:color="auto"/>
              <w:bottom w:val="single" w:sz="4" w:space="0" w:color="auto"/>
              <w:right w:val="single" w:sz="4" w:space="0" w:color="auto"/>
            </w:tcBorders>
            <w:hideMark/>
          </w:tcPr>
          <w:p w14:paraId="26564E23" w14:textId="77777777" w:rsidR="006018AA" w:rsidRPr="00C91EA2" w:rsidRDefault="006018AA" w:rsidP="00FA09FE">
            <w:pPr>
              <w:rPr>
                <w:rFonts w:ascii="Times New Roman" w:hAnsi="Times New Roman" w:cs="Times New Roman"/>
                <w:sz w:val="20"/>
                <w:szCs w:val="20"/>
              </w:rPr>
            </w:pPr>
            <w:r w:rsidRPr="00C91EA2">
              <w:rPr>
                <w:rFonts w:ascii="Times New Roman" w:hAnsi="Times New Roman" w:cs="Times New Roman"/>
                <w:sz w:val="20"/>
                <w:szCs w:val="20"/>
              </w:rPr>
              <w:t>Access to voice special services and SMS</w:t>
            </w:r>
          </w:p>
        </w:tc>
        <w:tc>
          <w:tcPr>
            <w:tcW w:w="2877" w:type="dxa"/>
            <w:tcBorders>
              <w:top w:val="single" w:sz="4" w:space="0" w:color="auto"/>
              <w:left w:val="single" w:sz="4" w:space="0" w:color="auto"/>
              <w:bottom w:val="single" w:sz="4" w:space="0" w:color="auto"/>
              <w:right w:val="single" w:sz="4" w:space="0" w:color="auto"/>
            </w:tcBorders>
            <w:hideMark/>
          </w:tcPr>
          <w:p w14:paraId="5800530E"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Sonatel</w:t>
            </w:r>
            <w:proofErr w:type="spellEnd"/>
          </w:p>
          <w:p w14:paraId="1F7F1EB9" w14:textId="77777777" w:rsidR="006018AA" w:rsidRPr="00C91EA2" w:rsidRDefault="006018AA" w:rsidP="00FA09FE">
            <w:pPr>
              <w:jc w:val="center"/>
              <w:rPr>
                <w:rFonts w:ascii="Times New Roman" w:hAnsi="Times New Roman" w:cs="Times New Roman"/>
                <w:sz w:val="20"/>
                <w:szCs w:val="20"/>
              </w:rPr>
            </w:pPr>
            <w:r w:rsidRPr="00C91EA2">
              <w:rPr>
                <w:rFonts w:ascii="Times New Roman" w:hAnsi="Times New Roman" w:cs="Times New Roman"/>
                <w:sz w:val="20"/>
                <w:szCs w:val="20"/>
              </w:rPr>
              <w:t xml:space="preserve">Expresso </w:t>
            </w:r>
            <w:proofErr w:type="spellStart"/>
            <w:r w:rsidRPr="00C91EA2">
              <w:rPr>
                <w:rFonts w:ascii="Times New Roman" w:hAnsi="Times New Roman" w:cs="Times New Roman"/>
                <w:sz w:val="20"/>
                <w:szCs w:val="20"/>
              </w:rPr>
              <w:t>Sénégal</w:t>
            </w:r>
            <w:proofErr w:type="spellEnd"/>
          </w:p>
          <w:p w14:paraId="6ACA627E" w14:textId="77777777" w:rsidR="006018AA" w:rsidRPr="00C91EA2" w:rsidRDefault="006018AA" w:rsidP="00FA09FE">
            <w:pPr>
              <w:jc w:val="center"/>
              <w:rPr>
                <w:rFonts w:ascii="Times New Roman" w:hAnsi="Times New Roman" w:cs="Times New Roman"/>
                <w:sz w:val="20"/>
                <w:szCs w:val="20"/>
              </w:rPr>
            </w:pPr>
            <w:proofErr w:type="spellStart"/>
            <w:r w:rsidRPr="00C91EA2">
              <w:rPr>
                <w:rFonts w:ascii="Times New Roman" w:hAnsi="Times New Roman" w:cs="Times New Roman"/>
                <w:sz w:val="20"/>
                <w:szCs w:val="20"/>
              </w:rPr>
              <w:t>Sentel</w:t>
            </w:r>
            <w:proofErr w:type="spellEnd"/>
            <w:r w:rsidRPr="00C91EA2">
              <w:rPr>
                <w:rFonts w:ascii="Times New Roman" w:hAnsi="Times New Roman" w:cs="Times New Roman"/>
                <w:sz w:val="20"/>
                <w:szCs w:val="20"/>
              </w:rPr>
              <w:t xml:space="preserve"> GSM</w:t>
            </w:r>
            <w:r>
              <w:rPr>
                <w:rFonts w:ascii="Times New Roman" w:hAnsi="Times New Roman" w:cs="Times New Roman"/>
                <w:sz w:val="20"/>
                <w:szCs w:val="20"/>
              </w:rPr>
              <w:t xml:space="preserve"> (</w:t>
            </w:r>
            <w:proofErr w:type="spellStart"/>
            <w:r>
              <w:rPr>
                <w:rFonts w:ascii="Times New Roman" w:hAnsi="Times New Roman" w:cs="Times New Roman"/>
                <w:sz w:val="20"/>
                <w:szCs w:val="20"/>
              </w:rPr>
              <w:t>Tigo</w:t>
            </w:r>
            <w:proofErr w:type="spellEnd"/>
            <w:r>
              <w:rPr>
                <w:rFonts w:ascii="Times New Roman" w:hAnsi="Times New Roman" w:cs="Times New Roman"/>
                <w:sz w:val="20"/>
                <w:szCs w:val="20"/>
              </w:rPr>
              <w:t>)</w:t>
            </w:r>
          </w:p>
        </w:tc>
      </w:tr>
    </w:tbl>
    <w:p w14:paraId="0D54F249" w14:textId="77777777" w:rsidR="006018AA" w:rsidRPr="00C91EA2" w:rsidRDefault="006018AA" w:rsidP="006018AA">
      <w:pPr>
        <w:rPr>
          <w:rFonts w:ascii="Times New Roman" w:hAnsi="Times New Roman" w:cs="Times New Roman"/>
          <w:sz w:val="20"/>
        </w:rPr>
      </w:pPr>
      <w:r w:rsidRPr="00C91EA2">
        <w:rPr>
          <w:rFonts w:ascii="Times New Roman" w:hAnsi="Times New Roman" w:cs="Times New Roman"/>
          <w:sz w:val="20"/>
        </w:rPr>
        <w:t xml:space="preserve">Source: ARTP, </w:t>
      </w:r>
      <w:r w:rsidR="008C66DD">
        <w:rPr>
          <w:rFonts w:ascii="Times New Roman" w:hAnsi="Times New Roman" w:cs="Times New Roman"/>
          <w:sz w:val="20"/>
        </w:rPr>
        <w:t>Decision</w:t>
      </w:r>
      <w:r w:rsidRPr="00C91EA2">
        <w:rPr>
          <w:rFonts w:ascii="Times New Roman" w:hAnsi="Times New Roman" w:cs="Times New Roman"/>
          <w:sz w:val="20"/>
        </w:rPr>
        <w:t xml:space="preserve"> 2016-002.</w:t>
      </w:r>
    </w:p>
    <w:p w14:paraId="0EDF8BC0" w14:textId="77777777" w:rsidR="006018AA" w:rsidRPr="00C91EA2" w:rsidRDefault="006018AA" w:rsidP="006018AA">
      <w:pPr>
        <w:rPr>
          <w:rFonts w:ascii="Times New Roman" w:hAnsi="Times New Roman" w:cs="Times New Roman"/>
        </w:rPr>
      </w:pPr>
    </w:p>
    <w:p w14:paraId="31010531" w14:textId="77777777" w:rsidR="006018AA" w:rsidRPr="00C91EA2" w:rsidRDefault="006018AA" w:rsidP="006018AA">
      <w:pPr>
        <w:jc w:val="both"/>
        <w:rPr>
          <w:rFonts w:ascii="Times New Roman" w:hAnsi="Times New Roman" w:cs="Times New Roman"/>
        </w:rPr>
      </w:pPr>
    </w:p>
    <w:p w14:paraId="0F30E45F" w14:textId="6ACB6784" w:rsidR="006018AA" w:rsidRDefault="006018AA" w:rsidP="00201E03">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existence of an operator with SMP in a relevant market may then justify the imposition of specific remedies by ARTP (asymmetric regulation). </w:t>
      </w:r>
      <w:r w:rsidRPr="00C91EA2">
        <w:rPr>
          <w:rFonts w:ascii="Times New Roman" w:hAnsi="Times New Roman" w:cs="Times New Roman"/>
        </w:rPr>
        <w:t xml:space="preserve">Pursuant to the Telecommunications Code, the ARTP annually publishes a </w:t>
      </w:r>
      <w:r>
        <w:rPr>
          <w:rFonts w:ascii="Times New Roman" w:hAnsi="Times New Roman" w:cs="Times New Roman"/>
        </w:rPr>
        <w:t>catalog</w:t>
      </w:r>
      <w:r w:rsidRPr="00C91EA2">
        <w:rPr>
          <w:rFonts w:ascii="Times New Roman" w:hAnsi="Times New Roman" w:cs="Times New Roman"/>
        </w:rPr>
        <w:t xml:space="preserve"> with the operators with SMP at the wholesale level.</w:t>
      </w:r>
      <w:r w:rsidR="004B2732" w:rsidRPr="00C91EA2">
        <w:rPr>
          <w:rStyle w:val="FootnoteReference"/>
          <w:rFonts w:ascii="Times New Roman" w:hAnsi="Times New Roman" w:cs="Times New Roman"/>
        </w:rPr>
        <w:footnoteReference w:id="216"/>
      </w:r>
      <w:r w:rsidRPr="00C91EA2">
        <w:rPr>
          <w:rFonts w:ascii="Times New Roman" w:hAnsi="Times New Roman" w:cs="Times New Roman"/>
        </w:rPr>
        <w:t xml:space="preserve"> </w:t>
      </w:r>
      <w:r>
        <w:rPr>
          <w:rFonts w:ascii="Times New Roman" w:hAnsi="Times New Roman" w:cs="Times New Roman"/>
        </w:rPr>
        <w:t>However, these decisions are not published every year; for instance, ARTP’s latest catalog</w:t>
      </w:r>
      <w:r w:rsidR="00E14548">
        <w:rPr>
          <w:rFonts w:ascii="Times New Roman" w:hAnsi="Times New Roman" w:cs="Times New Roman"/>
        </w:rPr>
        <w:t>ue</w:t>
      </w:r>
      <w:r>
        <w:rPr>
          <w:rFonts w:ascii="Times New Roman" w:hAnsi="Times New Roman" w:cs="Times New Roman"/>
        </w:rPr>
        <w:t xml:space="preserve"> is based-upon a non-transparent and outdated relevant market analysis carried-out in 2014</w:t>
      </w:r>
      <w:r w:rsidR="003E2FC8">
        <w:rPr>
          <w:rFonts w:ascii="Times New Roman" w:hAnsi="Times New Roman" w:cs="Times New Roman"/>
        </w:rPr>
        <w:t>, while the ARTP issue</w:t>
      </w:r>
      <w:r w:rsidR="00675654">
        <w:rPr>
          <w:rFonts w:ascii="Times New Roman" w:hAnsi="Times New Roman" w:cs="Times New Roman"/>
        </w:rPr>
        <w:t>d</w:t>
      </w:r>
      <w:r w:rsidR="003E2FC8">
        <w:rPr>
          <w:rFonts w:ascii="Times New Roman" w:hAnsi="Times New Roman" w:cs="Times New Roman"/>
        </w:rPr>
        <w:t xml:space="preserve"> a decision on markets with SMP operators in 2016</w:t>
      </w:r>
      <w:r>
        <w:rPr>
          <w:rFonts w:ascii="Times New Roman" w:hAnsi="Times New Roman" w:cs="Times New Roman"/>
        </w:rPr>
        <w:t xml:space="preserve">. </w:t>
      </w:r>
      <w:r w:rsidR="00201E03">
        <w:rPr>
          <w:rFonts w:ascii="Times New Roman" w:hAnsi="Times New Roman" w:cs="Times New Roman"/>
        </w:rPr>
        <w:t xml:space="preserve">Despite having considered that </w:t>
      </w:r>
      <w:proofErr w:type="spellStart"/>
      <w:r w:rsidR="00201E03">
        <w:rPr>
          <w:rFonts w:ascii="Times New Roman" w:hAnsi="Times New Roman" w:cs="Times New Roman"/>
        </w:rPr>
        <w:t>Sonatel</w:t>
      </w:r>
      <w:proofErr w:type="spellEnd"/>
      <w:r w:rsidR="00201E03">
        <w:rPr>
          <w:rFonts w:ascii="Times New Roman" w:hAnsi="Times New Roman" w:cs="Times New Roman"/>
        </w:rPr>
        <w:t xml:space="preserve"> had SMP across 12 wholesale markets, ARTP has not yet imposed obligations </w:t>
      </w:r>
      <w:r w:rsidR="00201E03" w:rsidRPr="00FE00E4">
        <w:rPr>
          <w:rFonts w:ascii="Times New Roman" w:hAnsi="Times New Roman" w:cs="Times New Roman"/>
        </w:rPr>
        <w:t xml:space="preserve">to grant fair, transparent and non-discriminatory access to the non-replicable infrastructure and assets </w:t>
      </w:r>
      <w:r w:rsidR="00201E03">
        <w:rPr>
          <w:rFonts w:ascii="Times New Roman" w:hAnsi="Times New Roman" w:cs="Times New Roman"/>
        </w:rPr>
        <w:t xml:space="preserve">owned by </w:t>
      </w:r>
      <w:proofErr w:type="spellStart"/>
      <w:r w:rsidR="00201E03">
        <w:rPr>
          <w:rFonts w:ascii="Times New Roman" w:hAnsi="Times New Roman" w:cs="Times New Roman"/>
        </w:rPr>
        <w:t>Sonatel</w:t>
      </w:r>
      <w:proofErr w:type="spellEnd"/>
      <w:r w:rsidR="00201E03" w:rsidRPr="00FE00E4">
        <w:rPr>
          <w:rFonts w:ascii="Times New Roman" w:hAnsi="Times New Roman" w:cs="Times New Roman"/>
        </w:rPr>
        <w:t xml:space="preserve"> (including civil engineering, such as ducts and poles)</w:t>
      </w:r>
      <w:r w:rsidR="00201E03">
        <w:rPr>
          <w:rFonts w:ascii="Times New Roman" w:hAnsi="Times New Roman" w:cs="Times New Roman"/>
        </w:rPr>
        <w:t xml:space="preserve">. </w:t>
      </w:r>
      <w:r>
        <w:rPr>
          <w:rFonts w:ascii="Times New Roman" w:hAnsi="Times New Roman" w:cs="Times New Roman"/>
        </w:rPr>
        <w:t>In a sector such as ICT, relying on outdated data can lead to incorrect classifications of operators with SMP and, consequently, to over or under regulation of operators (some new relevant markets might have emerged whilst some old markets may no longer be relevant).</w:t>
      </w:r>
      <w:r w:rsidR="004B2732">
        <w:rPr>
          <w:rStyle w:val="FootnoteReference"/>
          <w:rFonts w:ascii="Times New Roman" w:hAnsi="Times New Roman" w:cs="Times New Roman"/>
        </w:rPr>
        <w:footnoteReference w:id="217"/>
      </w:r>
      <w:r>
        <w:rPr>
          <w:rFonts w:ascii="Times New Roman" w:hAnsi="Times New Roman" w:cs="Times New Roman"/>
        </w:rPr>
        <w:t xml:space="preserve"> Pursuant to the Telecommunications Code</w:t>
      </w:r>
      <w:r w:rsidRPr="00C91EA2">
        <w:rPr>
          <w:rFonts w:ascii="Times New Roman" w:hAnsi="Times New Roman" w:cs="Times New Roman"/>
        </w:rPr>
        <w:t>, operators with SMP are subject to the following obligations: (i) publish</w:t>
      </w:r>
      <w:r>
        <w:rPr>
          <w:rFonts w:ascii="Times New Roman" w:hAnsi="Times New Roman" w:cs="Times New Roman"/>
        </w:rPr>
        <w:t>ing</w:t>
      </w:r>
      <w:r w:rsidRPr="00C91EA2">
        <w:rPr>
          <w:rFonts w:ascii="Times New Roman" w:hAnsi="Times New Roman" w:cs="Times New Roman"/>
        </w:rPr>
        <w:t xml:space="preserve"> of a detailed interconnection offer; (ii) supplying access and interconnection information under non-discriminatory conditions; (iii) granting third-party access </w:t>
      </w:r>
      <w:r w:rsidR="00BA0310">
        <w:rPr>
          <w:rFonts w:ascii="Times New Roman" w:hAnsi="Times New Roman" w:cs="Times New Roman"/>
        </w:rPr>
        <w:t>under</w:t>
      </w:r>
      <w:r w:rsidRPr="00C91EA2">
        <w:rPr>
          <w:rFonts w:ascii="Times New Roman" w:hAnsi="Times New Roman" w:cs="Times New Roman"/>
        </w:rPr>
        <w:t xml:space="preserve"> reasonable conditions; (iv) </w:t>
      </w:r>
      <w:r w:rsidR="00BA0310">
        <w:rPr>
          <w:rFonts w:ascii="Times New Roman" w:hAnsi="Times New Roman" w:cs="Times New Roman"/>
        </w:rPr>
        <w:t>imposing</w:t>
      </w:r>
      <w:r w:rsidR="00BA0310" w:rsidRPr="00C91EA2">
        <w:rPr>
          <w:rFonts w:ascii="Times New Roman" w:hAnsi="Times New Roman" w:cs="Times New Roman"/>
        </w:rPr>
        <w:t xml:space="preserve"> </w:t>
      </w:r>
      <w:r w:rsidRPr="00C91EA2">
        <w:rPr>
          <w:rFonts w:ascii="Times New Roman" w:hAnsi="Times New Roman" w:cs="Times New Roman"/>
        </w:rPr>
        <w:t>tariffs in accordance with the relevant costs; and (v)</w:t>
      </w:r>
      <w:r w:rsidRPr="00C91EA2">
        <w:rPr>
          <w:rStyle w:val="FootnoteReference"/>
          <w:rFonts w:ascii="Times New Roman" w:hAnsi="Times New Roman" w:cs="Times New Roman"/>
        </w:rPr>
        <w:t xml:space="preserve"> </w:t>
      </w:r>
      <w:r w:rsidRPr="00C91EA2">
        <w:rPr>
          <w:rFonts w:ascii="Times New Roman" w:hAnsi="Times New Roman" w:cs="Times New Roman"/>
        </w:rPr>
        <w:t>providing accounting evidence of meeting the aforementioned obligations.</w:t>
      </w:r>
      <w:r w:rsidR="004B2732" w:rsidRPr="00C91EA2">
        <w:rPr>
          <w:rStyle w:val="FootnoteReference"/>
          <w:rFonts w:ascii="Times New Roman" w:hAnsi="Times New Roman" w:cs="Times New Roman"/>
        </w:rPr>
        <w:footnoteReference w:id="218"/>
      </w:r>
      <w:r w:rsidRPr="00C91EA2">
        <w:rPr>
          <w:rFonts w:ascii="Times New Roman" w:hAnsi="Times New Roman" w:cs="Times New Roman"/>
        </w:rPr>
        <w:t xml:space="preserve"> The Telecommunications Code also establishes that operators with SMP at the retail level can be </w:t>
      </w:r>
      <w:r w:rsidR="006C05D6">
        <w:rPr>
          <w:rFonts w:ascii="Times New Roman" w:hAnsi="Times New Roman" w:cs="Times New Roman"/>
        </w:rPr>
        <w:t>required to fulfill</w:t>
      </w:r>
      <w:r>
        <w:rPr>
          <w:rFonts w:ascii="Times New Roman" w:hAnsi="Times New Roman" w:cs="Times New Roman"/>
        </w:rPr>
        <w:t xml:space="preserve"> </w:t>
      </w:r>
      <w:r w:rsidRPr="00C91EA2">
        <w:rPr>
          <w:rFonts w:ascii="Times New Roman" w:hAnsi="Times New Roman" w:cs="Times New Roman"/>
        </w:rPr>
        <w:t>the following</w:t>
      </w:r>
      <w:r>
        <w:rPr>
          <w:rFonts w:ascii="Times New Roman" w:hAnsi="Times New Roman" w:cs="Times New Roman"/>
        </w:rPr>
        <w:t xml:space="preserve"> ex ante regulatory obligations, i.e. SMP </w:t>
      </w:r>
      <w:r w:rsidRPr="00C91EA2">
        <w:rPr>
          <w:rFonts w:ascii="Times New Roman" w:hAnsi="Times New Roman" w:cs="Times New Roman"/>
        </w:rPr>
        <w:t>remedies</w:t>
      </w:r>
      <w:r>
        <w:rPr>
          <w:rFonts w:ascii="Times New Roman" w:hAnsi="Times New Roman" w:cs="Times New Roman"/>
        </w:rPr>
        <w:t>, to ensure effective competition in the markets</w:t>
      </w:r>
      <w:r w:rsidRPr="00C91EA2">
        <w:rPr>
          <w:rFonts w:ascii="Times New Roman" w:hAnsi="Times New Roman" w:cs="Times New Roman"/>
        </w:rPr>
        <w:t>: (i) supply under non-discriminatory conditions</w:t>
      </w:r>
      <w:r w:rsidR="009C76BB">
        <w:rPr>
          <w:rFonts w:ascii="Times New Roman" w:hAnsi="Times New Roman" w:cs="Times New Roman"/>
        </w:rPr>
        <w:t xml:space="preserve"> and refrain from abusive bundling of</w:t>
      </w:r>
      <w:r w:rsidRPr="00C91EA2">
        <w:rPr>
          <w:rFonts w:ascii="Times New Roman" w:hAnsi="Times New Roman" w:cs="Times New Roman"/>
        </w:rPr>
        <w:t xml:space="preserve"> services, and (ii) charge tariffs that are in accordance with the relevant costs.</w:t>
      </w:r>
      <w:r w:rsidR="004B2732" w:rsidRPr="00C91EA2">
        <w:rPr>
          <w:rStyle w:val="FootnoteReference"/>
          <w:rFonts w:ascii="Times New Roman" w:hAnsi="Times New Roman" w:cs="Times New Roman"/>
        </w:rPr>
        <w:footnoteReference w:id="219"/>
      </w:r>
    </w:p>
    <w:p w14:paraId="0C81DB02" w14:textId="77777777" w:rsidR="00201E03" w:rsidRPr="007575D7" w:rsidRDefault="00201E03" w:rsidP="007575D7">
      <w:pPr>
        <w:jc w:val="both"/>
        <w:rPr>
          <w:rFonts w:ascii="Times New Roman" w:hAnsi="Times New Roman" w:cs="Times New Roman"/>
        </w:rPr>
      </w:pPr>
    </w:p>
    <w:p w14:paraId="177F97D0" w14:textId="184F2DB0" w:rsidR="006018AA" w:rsidRPr="006007B0" w:rsidRDefault="006018AA" w:rsidP="005D383B">
      <w:pPr>
        <w:pStyle w:val="Heading5"/>
        <w:jc w:val="both"/>
        <w:rPr>
          <w:rFonts w:ascii="Times New Roman" w:hAnsi="Times New Roman" w:cs="Times New Roman"/>
          <w:sz w:val="24"/>
          <w:szCs w:val="24"/>
        </w:rPr>
      </w:pPr>
      <w:proofErr w:type="spellStart"/>
      <w:r w:rsidRPr="006007B0">
        <w:rPr>
          <w:rFonts w:ascii="Times New Roman" w:hAnsi="Times New Roman" w:cs="Times New Roman"/>
          <w:sz w:val="24"/>
          <w:szCs w:val="24"/>
        </w:rPr>
        <w:t>Sonatel’s</w:t>
      </w:r>
      <w:proofErr w:type="spellEnd"/>
      <w:r w:rsidRPr="006007B0">
        <w:rPr>
          <w:rFonts w:ascii="Times New Roman" w:hAnsi="Times New Roman" w:cs="Times New Roman"/>
          <w:sz w:val="24"/>
          <w:szCs w:val="24"/>
        </w:rPr>
        <w:t xml:space="preserve"> current Reference Interconnection Offer lacks alignment with competition principles across markets where it has significant market powe</w:t>
      </w:r>
      <w:r w:rsidRPr="00F66F82">
        <w:rPr>
          <w:rFonts w:ascii="Times New Roman" w:hAnsi="Times New Roman" w:cs="Times New Roman"/>
          <w:sz w:val="24"/>
          <w:szCs w:val="24"/>
        </w:rPr>
        <w:t>r</w:t>
      </w:r>
    </w:p>
    <w:p w14:paraId="14EFD6E3" w14:textId="77777777" w:rsidR="006018AA" w:rsidRPr="00C91EA2" w:rsidRDefault="006018AA" w:rsidP="006018AA">
      <w:pPr>
        <w:jc w:val="both"/>
        <w:rPr>
          <w:rFonts w:ascii="Times New Roman" w:hAnsi="Times New Roman" w:cs="Times New Roman"/>
        </w:rPr>
      </w:pPr>
    </w:p>
    <w:p w14:paraId="50139183" w14:textId="324D60D3" w:rsidR="006018AA" w:rsidRPr="00C91EA2" w:rsidRDefault="006018AA" w:rsidP="006018AA">
      <w:pPr>
        <w:pStyle w:val="ListParagraph"/>
        <w:numPr>
          <w:ilvl w:val="0"/>
          <w:numId w:val="71"/>
        </w:numPr>
        <w:ind w:left="0" w:firstLine="0"/>
        <w:jc w:val="both"/>
        <w:rPr>
          <w:rFonts w:ascii="Times New Roman" w:hAnsi="Times New Roman" w:cs="Times New Roman"/>
        </w:rPr>
      </w:pPr>
      <w:proofErr w:type="spellStart"/>
      <w:r w:rsidRPr="00C91EA2">
        <w:rPr>
          <w:rFonts w:ascii="Times New Roman" w:hAnsi="Times New Roman" w:cs="Times New Roman"/>
          <w:b/>
        </w:rPr>
        <w:t>Sonatel’s</w:t>
      </w:r>
      <w:proofErr w:type="spellEnd"/>
      <w:r w:rsidRPr="00C91EA2">
        <w:rPr>
          <w:rFonts w:ascii="Times New Roman" w:hAnsi="Times New Roman" w:cs="Times New Roman"/>
          <w:b/>
        </w:rPr>
        <w:t xml:space="preserve"> current Reference Interconnection Offer is not </w:t>
      </w:r>
      <w:r w:rsidR="00B062FC">
        <w:rPr>
          <w:rFonts w:ascii="Times New Roman" w:hAnsi="Times New Roman" w:cs="Times New Roman"/>
          <w:b/>
        </w:rPr>
        <w:t xml:space="preserve">fully </w:t>
      </w:r>
      <w:r w:rsidRPr="00C91EA2">
        <w:rPr>
          <w:rFonts w:ascii="Times New Roman" w:hAnsi="Times New Roman" w:cs="Times New Roman"/>
          <w:b/>
        </w:rPr>
        <w:t>aligned with competition principles across the 12 markets where it has SMP</w:t>
      </w:r>
      <w:r>
        <w:rPr>
          <w:rFonts w:ascii="Times New Roman" w:hAnsi="Times New Roman" w:cs="Times New Roman"/>
          <w:b/>
        </w:rPr>
        <w:t>, leading to an ineffective regulation of wholesale markets</w:t>
      </w:r>
      <w:r w:rsidRPr="00C91EA2">
        <w:rPr>
          <w:rFonts w:ascii="Times New Roman" w:hAnsi="Times New Roman" w:cs="Times New Roman"/>
          <w:b/>
        </w:rPr>
        <w:t>.</w:t>
      </w:r>
      <w:r w:rsidRPr="00C91EA2">
        <w:rPr>
          <w:rFonts w:ascii="Times New Roman" w:hAnsi="Times New Roman" w:cs="Times New Roman"/>
        </w:rPr>
        <w:t xml:space="preserve"> Despite ARTP’s identification of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as operator with SMP, the setting of a list of regulated access tariffs and the auditing of accounts by an independent third party appointed by the regulator have proved insufficient to instill competition in the Senegalese market. This lack of effectiveness partially stems from two factors: i) the Telecommunications Code is unclear as regards the cost model that should guide the setting of tariffs (</w:t>
      </w:r>
      <w:r w:rsidR="00AB70A8">
        <w:rPr>
          <w:rFonts w:ascii="Times New Roman" w:hAnsi="Times New Roman" w:cs="Times New Roman"/>
        </w:rPr>
        <w:t>with reference only</w:t>
      </w:r>
      <w:r w:rsidRPr="00C91EA2">
        <w:rPr>
          <w:rFonts w:ascii="Times New Roman" w:hAnsi="Times New Roman" w:cs="Times New Roman"/>
        </w:rPr>
        <w:t xml:space="preserve"> to the general term ‘relevant costs’), and ii) the detailed conditions on the obligation to grant third party access are supposed to be set forth in a specific Decree which is yet to be approved.</w:t>
      </w:r>
      <w:r w:rsidR="004B2732" w:rsidRPr="00C91EA2">
        <w:rPr>
          <w:rStyle w:val="FootnoteReference"/>
          <w:rFonts w:ascii="Times New Roman" w:hAnsi="Times New Roman" w:cs="Times New Roman"/>
        </w:rPr>
        <w:footnoteReference w:id="220"/>
      </w:r>
      <w:r w:rsidRPr="00C91EA2">
        <w:rPr>
          <w:rFonts w:ascii="Times New Roman" w:hAnsi="Times New Roman" w:cs="Times New Roman"/>
        </w:rPr>
        <w:t xml:space="preserve"> In fact, the Code limits itself to establishing that operators with SMP must annually publish a technical and tariff interconnection offer with a price catalogue,</w:t>
      </w:r>
      <w:r w:rsidR="004B2732" w:rsidRPr="00C91EA2">
        <w:rPr>
          <w:rStyle w:val="FootnoteReference"/>
          <w:rFonts w:ascii="Times New Roman" w:hAnsi="Times New Roman" w:cs="Times New Roman"/>
        </w:rPr>
        <w:footnoteReference w:id="221"/>
      </w:r>
      <w:r w:rsidRPr="00C91EA2">
        <w:rPr>
          <w:rFonts w:ascii="Times New Roman" w:hAnsi="Times New Roman" w:cs="Times New Roman"/>
        </w:rPr>
        <w:t xml:space="preserve"> but then it is unclear </w:t>
      </w:r>
      <w:r>
        <w:rPr>
          <w:rFonts w:ascii="Times New Roman" w:hAnsi="Times New Roman" w:cs="Times New Roman"/>
        </w:rPr>
        <w:t>what</w:t>
      </w:r>
      <w:r w:rsidRPr="00C91EA2">
        <w:rPr>
          <w:rFonts w:ascii="Times New Roman" w:hAnsi="Times New Roman" w:cs="Times New Roman"/>
        </w:rPr>
        <w:t xml:space="preserve"> costs </w:t>
      </w:r>
      <w:r>
        <w:rPr>
          <w:rFonts w:ascii="Times New Roman" w:hAnsi="Times New Roman" w:cs="Times New Roman"/>
        </w:rPr>
        <w:t>the</w:t>
      </w:r>
      <w:r w:rsidRPr="00C91EA2">
        <w:rPr>
          <w:rFonts w:ascii="Times New Roman" w:hAnsi="Times New Roman" w:cs="Times New Roman"/>
        </w:rPr>
        <w:t xml:space="preserve"> interconnection charges should be oriented</w:t>
      </w:r>
      <w:r>
        <w:rPr>
          <w:rFonts w:ascii="Times New Roman" w:hAnsi="Times New Roman" w:cs="Times New Roman"/>
        </w:rPr>
        <w:t xml:space="preserve"> towards</w:t>
      </w:r>
      <w:r w:rsidRPr="00C91EA2">
        <w:rPr>
          <w:rFonts w:ascii="Times New Roman" w:hAnsi="Times New Roman" w:cs="Times New Roman"/>
        </w:rPr>
        <w:t>,</w:t>
      </w:r>
      <w:r w:rsidR="004B2732" w:rsidRPr="00C91EA2">
        <w:rPr>
          <w:rStyle w:val="FootnoteReference"/>
          <w:rFonts w:ascii="Times New Roman" w:hAnsi="Times New Roman" w:cs="Times New Roman"/>
        </w:rPr>
        <w:footnoteReference w:id="222"/>
      </w:r>
      <w:r w:rsidRPr="00C91EA2">
        <w:rPr>
          <w:rFonts w:ascii="Times New Roman" w:hAnsi="Times New Roman" w:cs="Times New Roman"/>
        </w:rPr>
        <w:t xml:space="preserve"> and </w:t>
      </w:r>
      <w:r w:rsidR="00AB70A8">
        <w:rPr>
          <w:rFonts w:ascii="Times New Roman" w:hAnsi="Times New Roman" w:cs="Times New Roman"/>
        </w:rPr>
        <w:t xml:space="preserve">the Code </w:t>
      </w:r>
      <w:r w:rsidRPr="00C91EA2">
        <w:rPr>
          <w:rFonts w:ascii="Times New Roman" w:hAnsi="Times New Roman" w:cs="Times New Roman"/>
        </w:rPr>
        <w:t>leaves the conditions regarding the application of the Chapter on interconnection to be developed by a subsequent Decree.</w:t>
      </w:r>
      <w:r w:rsidR="004B2732" w:rsidRPr="00C91EA2">
        <w:rPr>
          <w:rStyle w:val="FootnoteReference"/>
          <w:rFonts w:ascii="Times New Roman" w:hAnsi="Times New Roman" w:cs="Times New Roman"/>
        </w:rPr>
        <w:footnoteReference w:id="223"/>
      </w:r>
      <w:r w:rsidRPr="00C91EA2">
        <w:rPr>
          <w:rFonts w:ascii="Times New Roman" w:hAnsi="Times New Roman" w:cs="Times New Roman"/>
        </w:rPr>
        <w:t xml:space="preserve"> As a consequence, the regulatory framework does not provide for a cost-based access pricing and procedures to ensure that </w:t>
      </w:r>
      <w:proofErr w:type="spellStart"/>
      <w:r w:rsidRPr="00C91EA2">
        <w:rPr>
          <w:rFonts w:ascii="Times New Roman" w:hAnsi="Times New Roman" w:cs="Times New Roman"/>
        </w:rPr>
        <w:t>Sonatel</w:t>
      </w:r>
      <w:proofErr w:type="spellEnd"/>
      <w:r w:rsidRPr="00C91EA2">
        <w:rPr>
          <w:rFonts w:ascii="Times New Roman" w:hAnsi="Times New Roman" w:cs="Times New Roman"/>
        </w:rPr>
        <w:t>, as an incumbent provider of essential facilities, does not discriminate against third parties.</w:t>
      </w:r>
    </w:p>
    <w:p w14:paraId="19C240A2" w14:textId="77777777" w:rsidR="006018AA" w:rsidRPr="00C91EA2" w:rsidRDefault="006018AA" w:rsidP="006018AA">
      <w:pPr>
        <w:jc w:val="both"/>
        <w:rPr>
          <w:rFonts w:ascii="Times New Roman" w:hAnsi="Times New Roman" w:cs="Times New Roman"/>
        </w:rPr>
      </w:pPr>
    </w:p>
    <w:p w14:paraId="4C364BDC" w14:textId="77777777" w:rsidR="006018AA" w:rsidRPr="00B562D8" w:rsidRDefault="006018AA" w:rsidP="006018AA">
      <w:pPr>
        <w:pStyle w:val="Heading5"/>
        <w:jc w:val="both"/>
        <w:rPr>
          <w:rFonts w:ascii="Times New Roman" w:hAnsi="Times New Roman" w:cs="Times New Roman"/>
          <w:sz w:val="24"/>
          <w:szCs w:val="24"/>
        </w:rPr>
      </w:pPr>
      <w:r w:rsidRPr="00B562D8">
        <w:rPr>
          <w:rFonts w:ascii="Times New Roman" w:hAnsi="Times New Roman" w:cs="Times New Roman"/>
          <w:sz w:val="24"/>
          <w:szCs w:val="24"/>
        </w:rPr>
        <w:t>Lack of cost-based access pricing and procedures to ensure incumbent providers of essential facilities do not discriminate against third parties</w:t>
      </w:r>
    </w:p>
    <w:p w14:paraId="5A091BED" w14:textId="77777777" w:rsidR="006018AA" w:rsidRPr="00C91EA2" w:rsidRDefault="006018AA" w:rsidP="006018AA">
      <w:pPr>
        <w:jc w:val="both"/>
        <w:rPr>
          <w:rFonts w:ascii="Times New Roman" w:hAnsi="Times New Roman" w:cs="Times New Roman"/>
        </w:rPr>
      </w:pPr>
    </w:p>
    <w:p w14:paraId="2A81273E" w14:textId="3D33AE73" w:rsidR="006018AA" w:rsidRPr="00C91EA2" w:rsidRDefault="00400BCB"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 xml:space="preserve">Indeed, </w:t>
      </w:r>
      <w:proofErr w:type="spellStart"/>
      <w:r>
        <w:rPr>
          <w:rFonts w:ascii="Times New Roman" w:hAnsi="Times New Roman" w:cs="Times New Roman"/>
          <w:b/>
        </w:rPr>
        <w:t>Sonatel</w:t>
      </w:r>
      <w:proofErr w:type="spellEnd"/>
      <w:r>
        <w:rPr>
          <w:rFonts w:ascii="Times New Roman" w:hAnsi="Times New Roman" w:cs="Times New Roman"/>
          <w:b/>
        </w:rPr>
        <w:t xml:space="preserve"> </w:t>
      </w:r>
      <w:r w:rsidR="00DE6337">
        <w:rPr>
          <w:rFonts w:ascii="Times New Roman" w:hAnsi="Times New Roman" w:cs="Times New Roman"/>
          <w:b/>
        </w:rPr>
        <w:t>has been the only operator</w:t>
      </w:r>
      <w:r>
        <w:rPr>
          <w:rFonts w:ascii="Times New Roman" w:hAnsi="Times New Roman" w:cs="Times New Roman"/>
          <w:b/>
        </w:rPr>
        <w:t xml:space="preserve"> of </w:t>
      </w:r>
      <w:r w:rsidR="006018AA" w:rsidRPr="00C91EA2">
        <w:rPr>
          <w:rFonts w:ascii="Times New Roman" w:hAnsi="Times New Roman" w:cs="Times New Roman"/>
          <w:b/>
        </w:rPr>
        <w:t>the</w:t>
      </w:r>
      <w:r w:rsidR="002D76D8">
        <w:rPr>
          <w:rFonts w:ascii="Times New Roman" w:hAnsi="Times New Roman" w:cs="Times New Roman"/>
          <w:b/>
        </w:rPr>
        <w:t xml:space="preserve"> fixed network</w:t>
      </w:r>
      <w:r w:rsidR="00DE6337">
        <w:rPr>
          <w:rFonts w:ascii="Times New Roman" w:hAnsi="Times New Roman" w:cs="Times New Roman"/>
          <w:b/>
        </w:rPr>
        <w:t xml:space="preserve"> for</w:t>
      </w:r>
      <w:r w:rsidR="006018AA" w:rsidRPr="00C91EA2">
        <w:rPr>
          <w:rFonts w:ascii="Times New Roman" w:hAnsi="Times New Roman" w:cs="Times New Roman"/>
          <w:b/>
        </w:rPr>
        <w:t xml:space="preserve"> interne</w:t>
      </w:r>
      <w:r>
        <w:rPr>
          <w:rFonts w:ascii="Times New Roman" w:hAnsi="Times New Roman" w:cs="Times New Roman"/>
          <w:b/>
        </w:rPr>
        <w:t xml:space="preserve">t access. </w:t>
      </w:r>
      <w:r w:rsidRPr="00400BCB">
        <w:rPr>
          <w:rFonts w:ascii="Times New Roman" w:hAnsi="Times New Roman" w:cs="Times New Roman"/>
        </w:rPr>
        <w:t>This may be indicative of the fact that</w:t>
      </w:r>
      <w:r w:rsidR="00D342FE" w:rsidRPr="00400BCB">
        <w:rPr>
          <w:rFonts w:ascii="Times New Roman" w:hAnsi="Times New Roman" w:cs="Times New Roman"/>
        </w:rPr>
        <w:t xml:space="preserve"> </w:t>
      </w:r>
      <w:r w:rsidR="00BB0C5E" w:rsidRPr="00400BCB">
        <w:rPr>
          <w:rFonts w:ascii="Times New Roman" w:hAnsi="Times New Roman" w:cs="Times New Roman"/>
        </w:rPr>
        <w:t xml:space="preserve">the telecommunications regulatory framework licensing regime has prevented market entry and </w:t>
      </w:r>
      <w:r w:rsidR="006018AA" w:rsidRPr="00400BCB">
        <w:rPr>
          <w:rFonts w:ascii="Times New Roman" w:hAnsi="Times New Roman" w:cs="Times New Roman"/>
        </w:rPr>
        <w:t>that SMP regulation has not been effective.</w:t>
      </w:r>
      <w:r w:rsidR="006018AA" w:rsidRPr="00C91EA2">
        <w:rPr>
          <w:rFonts w:ascii="Times New Roman" w:hAnsi="Times New Roman" w:cs="Times New Roman"/>
        </w:rPr>
        <w:t xml:space="preserve"> In this regard, the Telecommunications Code or the subsequent bylaws should clearly establish that all national and international termination rates converge on a cost-based </w:t>
      </w:r>
      <w:r w:rsidR="006018AA" w:rsidRPr="00770BAC">
        <w:rPr>
          <w:rFonts w:ascii="Times New Roman" w:hAnsi="Times New Roman" w:cs="Times New Roman"/>
        </w:rPr>
        <w:t xml:space="preserve">measure, such as the long run average incremental cost (LRAIC) of an efficient operator. In addition, ARTP </w:t>
      </w:r>
      <w:r w:rsidR="00770BAC">
        <w:rPr>
          <w:rFonts w:ascii="Times New Roman" w:hAnsi="Times New Roman" w:cs="Times New Roman"/>
        </w:rPr>
        <w:t>would need to consider issuing</w:t>
      </w:r>
      <w:r w:rsidR="00C85078">
        <w:rPr>
          <w:rFonts w:ascii="Times New Roman" w:hAnsi="Times New Roman" w:cs="Times New Roman"/>
        </w:rPr>
        <w:t xml:space="preserve"> </w:t>
      </w:r>
      <w:r w:rsidR="006018AA" w:rsidRPr="00770BAC">
        <w:rPr>
          <w:rFonts w:ascii="Times New Roman" w:hAnsi="Times New Roman" w:cs="Times New Roman"/>
        </w:rPr>
        <w:t>guidelines to be used for the granting of authorizations</w:t>
      </w:r>
      <w:r w:rsidR="00867078">
        <w:rPr>
          <w:rFonts w:ascii="Times New Roman" w:hAnsi="Times New Roman" w:cs="Times New Roman"/>
        </w:rPr>
        <w:t xml:space="preserve"> to wholesale telecom operators</w:t>
      </w:r>
      <w:r w:rsidR="006018AA" w:rsidRPr="00770BAC">
        <w:rPr>
          <w:rFonts w:ascii="Times New Roman" w:hAnsi="Times New Roman" w:cs="Times New Roman"/>
        </w:rPr>
        <w:t xml:space="preserve"> to increase legal certainty for the right holders and other operators </w:t>
      </w:r>
      <w:r w:rsidR="00F92F95">
        <w:rPr>
          <w:rFonts w:ascii="Times New Roman" w:hAnsi="Times New Roman" w:cs="Times New Roman"/>
        </w:rPr>
        <w:t>that</w:t>
      </w:r>
      <w:r w:rsidR="00F92F95" w:rsidRPr="00770BAC">
        <w:rPr>
          <w:rFonts w:ascii="Times New Roman" w:hAnsi="Times New Roman" w:cs="Times New Roman"/>
        </w:rPr>
        <w:t xml:space="preserve"> </w:t>
      </w:r>
      <w:r w:rsidR="006018AA" w:rsidRPr="00770BAC">
        <w:rPr>
          <w:rFonts w:ascii="Times New Roman" w:hAnsi="Times New Roman" w:cs="Times New Roman"/>
        </w:rPr>
        <w:t>might need to secure access to the network.</w:t>
      </w:r>
    </w:p>
    <w:p w14:paraId="37CB4EB0" w14:textId="77777777" w:rsidR="006018AA" w:rsidRDefault="006018AA" w:rsidP="006018AA">
      <w:pPr>
        <w:jc w:val="both"/>
        <w:rPr>
          <w:rFonts w:ascii="Times New Roman" w:hAnsi="Times New Roman" w:cs="Times New Roman"/>
        </w:rPr>
      </w:pPr>
    </w:p>
    <w:p w14:paraId="0D9695A0" w14:textId="2EE9F4DD" w:rsidR="006018AA" w:rsidRPr="00F66F82" w:rsidRDefault="006018AA" w:rsidP="006018AA">
      <w:pPr>
        <w:pStyle w:val="ListParagraph"/>
        <w:numPr>
          <w:ilvl w:val="0"/>
          <w:numId w:val="132"/>
        </w:numPr>
        <w:ind w:left="0" w:firstLine="0"/>
        <w:jc w:val="both"/>
        <w:rPr>
          <w:rFonts w:ascii="Times New Roman" w:hAnsi="Times New Roman" w:cs="Times New Roman"/>
        </w:rPr>
      </w:pPr>
      <w:r w:rsidRPr="00693AF8">
        <w:rPr>
          <w:rFonts w:ascii="Times New Roman" w:hAnsi="Times New Roman" w:cs="Times New Roman"/>
          <w:b/>
          <w:bCs/>
        </w:rPr>
        <w:t xml:space="preserve">The </w:t>
      </w:r>
      <w:r w:rsidR="003C4FB3">
        <w:rPr>
          <w:rFonts w:ascii="Times New Roman" w:hAnsi="Times New Roman" w:cs="Times New Roman"/>
          <w:b/>
          <w:bCs/>
        </w:rPr>
        <w:t>shortcomings</w:t>
      </w:r>
      <w:r w:rsidR="003C4FB3" w:rsidRPr="00693AF8">
        <w:rPr>
          <w:rFonts w:ascii="Times New Roman" w:hAnsi="Times New Roman" w:cs="Times New Roman"/>
          <w:b/>
          <w:bCs/>
        </w:rPr>
        <w:t xml:space="preserve"> </w:t>
      </w:r>
      <w:r w:rsidRPr="00693AF8">
        <w:rPr>
          <w:rFonts w:ascii="Times New Roman" w:hAnsi="Times New Roman" w:cs="Times New Roman"/>
          <w:b/>
          <w:bCs/>
        </w:rPr>
        <w:t xml:space="preserve">of SMP regulation have not been bridged through an effective </w:t>
      </w:r>
      <w:r w:rsidRPr="00C538DB">
        <w:rPr>
          <w:rFonts w:ascii="Times New Roman" w:hAnsi="Times New Roman" w:cs="Times New Roman"/>
          <w:b/>
          <w:bCs/>
          <w:i/>
        </w:rPr>
        <w:t>ex post</w:t>
      </w:r>
      <w:r w:rsidRPr="00693AF8">
        <w:rPr>
          <w:rFonts w:ascii="Times New Roman" w:hAnsi="Times New Roman" w:cs="Times New Roman"/>
          <w:b/>
          <w:bCs/>
        </w:rPr>
        <w:t xml:space="preserve"> competition law enforcement by the National Competition Commission (NCC) or by ARTP at the national level, nor by WAEMU at the regional level. </w:t>
      </w:r>
      <w:r w:rsidRPr="00693AF8">
        <w:rPr>
          <w:rFonts w:ascii="Times New Roman" w:hAnsi="Times New Roman" w:cs="Times New Roman"/>
        </w:rPr>
        <w:t xml:space="preserve">Senegal has opted for a system where sector-specific regulators are endowed with competition law enforcement powers. In addition to the NCC, the following sector-specific regulators also hold a competition law mandate in their specific sectors: </w:t>
      </w:r>
      <w:proofErr w:type="gramStart"/>
      <w:r w:rsidRPr="00693AF8">
        <w:rPr>
          <w:rFonts w:ascii="Times New Roman" w:hAnsi="Times New Roman" w:cs="Times New Roman"/>
        </w:rPr>
        <w:t>the</w:t>
      </w:r>
      <w:proofErr w:type="gramEnd"/>
      <w:r w:rsidRPr="00693AF8">
        <w:rPr>
          <w:rFonts w:ascii="Times New Roman" w:hAnsi="Times New Roman" w:cs="Times New Roman"/>
        </w:rPr>
        <w:t xml:space="preserve"> Telecommunications and Postal Regulatory Authority (ARTP), the Public Procurement Regulatory Authority (ARMP), and the Power Sector Regulatory Commission (CRSE) (for details on the governance of ARTP see Box </w:t>
      </w:r>
      <w:r w:rsidR="00837543" w:rsidRPr="00693AF8">
        <w:rPr>
          <w:rFonts w:ascii="Times New Roman" w:hAnsi="Times New Roman" w:cs="Times New Roman"/>
        </w:rPr>
        <w:t>1</w:t>
      </w:r>
      <w:r w:rsidR="00837543">
        <w:rPr>
          <w:rFonts w:ascii="Times New Roman" w:hAnsi="Times New Roman" w:cs="Times New Roman"/>
        </w:rPr>
        <w:t xml:space="preserve">9 </w:t>
      </w:r>
      <w:r w:rsidR="00B41724">
        <w:rPr>
          <w:rFonts w:ascii="Times New Roman" w:hAnsi="Times New Roman" w:cs="Times New Roman"/>
        </w:rPr>
        <w:t>above</w:t>
      </w:r>
      <w:r w:rsidRPr="00693AF8">
        <w:rPr>
          <w:rFonts w:ascii="Times New Roman" w:hAnsi="Times New Roman" w:cs="Times New Roman"/>
        </w:rPr>
        <w:t xml:space="preserve">). </w:t>
      </w:r>
      <w:r w:rsidR="00A453C0">
        <w:rPr>
          <w:rFonts w:ascii="Times New Roman" w:hAnsi="Times New Roman" w:cs="Times New Roman"/>
        </w:rPr>
        <w:t xml:space="preserve">Even though </w:t>
      </w:r>
      <w:r w:rsidR="00A453C0" w:rsidRPr="00A453C0">
        <w:rPr>
          <w:rFonts w:ascii="Times New Roman" w:hAnsi="Times New Roman" w:cs="Times New Roman"/>
        </w:rPr>
        <w:t>the Telecommunications Code bestows ARTP with the powers to enforce the competition provisions of the Telecommunications Code and to issue decisions, there has been no enforcement so far</w:t>
      </w:r>
      <w:r w:rsidR="00A453C0">
        <w:rPr>
          <w:rFonts w:ascii="Times New Roman" w:hAnsi="Times New Roman" w:cs="Times New Roman"/>
        </w:rPr>
        <w:t>.</w:t>
      </w:r>
    </w:p>
    <w:p w14:paraId="64F6CCE0" w14:textId="77777777" w:rsidR="00711D1F" w:rsidRPr="003E7B71" w:rsidRDefault="00711D1F" w:rsidP="006018AA">
      <w:pPr>
        <w:jc w:val="both"/>
        <w:rPr>
          <w:rFonts w:ascii="Times New Roman" w:hAnsi="Times New Roman" w:cs="Times New Roman"/>
        </w:rPr>
      </w:pPr>
    </w:p>
    <w:p w14:paraId="6B1E9E97" w14:textId="77777777" w:rsidR="006018AA" w:rsidRPr="00B562D8" w:rsidRDefault="006018AA" w:rsidP="006018AA">
      <w:pPr>
        <w:pStyle w:val="Heading5"/>
        <w:rPr>
          <w:rFonts w:ascii="Times New Roman" w:hAnsi="Times New Roman" w:cs="Times New Roman"/>
          <w:sz w:val="24"/>
          <w:szCs w:val="24"/>
        </w:rPr>
      </w:pPr>
      <w:r w:rsidRPr="00B562D8">
        <w:rPr>
          <w:rFonts w:ascii="Times New Roman" w:hAnsi="Times New Roman" w:cs="Times New Roman"/>
          <w:sz w:val="24"/>
          <w:szCs w:val="24"/>
        </w:rPr>
        <w:t xml:space="preserve">Although there are alternative options for international data transmission, conditions of service </w:t>
      </w:r>
      <w:r>
        <w:rPr>
          <w:rFonts w:ascii="Times New Roman" w:hAnsi="Times New Roman" w:cs="Times New Roman"/>
          <w:sz w:val="24"/>
          <w:szCs w:val="24"/>
        </w:rPr>
        <w:t xml:space="preserve">are </w:t>
      </w:r>
      <w:r w:rsidRPr="00B562D8">
        <w:rPr>
          <w:rFonts w:ascii="Times New Roman" w:hAnsi="Times New Roman" w:cs="Times New Roman"/>
          <w:sz w:val="24"/>
          <w:szCs w:val="24"/>
        </w:rPr>
        <w:t xml:space="preserve">highly influenced by </w:t>
      </w:r>
      <w:proofErr w:type="spellStart"/>
      <w:r w:rsidRPr="00B562D8">
        <w:rPr>
          <w:rFonts w:ascii="Times New Roman" w:hAnsi="Times New Roman" w:cs="Times New Roman"/>
          <w:sz w:val="24"/>
          <w:szCs w:val="24"/>
        </w:rPr>
        <w:t>Sonatel</w:t>
      </w:r>
      <w:proofErr w:type="spellEnd"/>
    </w:p>
    <w:p w14:paraId="10B6F24E" w14:textId="77777777" w:rsidR="006018AA" w:rsidRPr="00C91EA2" w:rsidRDefault="006018AA" w:rsidP="006018AA">
      <w:pPr>
        <w:jc w:val="both"/>
        <w:rPr>
          <w:rFonts w:ascii="Times New Roman" w:hAnsi="Times New Roman" w:cs="Times New Roman"/>
          <w:b/>
        </w:rPr>
      </w:pPr>
    </w:p>
    <w:p w14:paraId="557A6018"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 xml:space="preserve">Despite </w:t>
      </w:r>
      <w:proofErr w:type="spellStart"/>
      <w:r w:rsidRPr="00C91EA2">
        <w:rPr>
          <w:rFonts w:ascii="Times New Roman" w:hAnsi="Times New Roman" w:cs="Times New Roman"/>
          <w:b/>
        </w:rPr>
        <w:t>Sonatel</w:t>
      </w:r>
      <w:proofErr w:type="spellEnd"/>
      <w:r w:rsidRPr="00C91EA2">
        <w:rPr>
          <w:rFonts w:ascii="Times New Roman" w:hAnsi="Times New Roman" w:cs="Times New Roman"/>
          <w:b/>
        </w:rPr>
        <w:t xml:space="preserve"> not hold</w:t>
      </w:r>
      <w:r>
        <w:rPr>
          <w:rFonts w:ascii="Times New Roman" w:hAnsi="Times New Roman" w:cs="Times New Roman"/>
          <w:b/>
        </w:rPr>
        <w:t>ing</w:t>
      </w:r>
      <w:r w:rsidRPr="00C91EA2">
        <w:rPr>
          <w:rFonts w:ascii="Times New Roman" w:hAnsi="Times New Roman" w:cs="Times New Roman"/>
          <w:b/>
        </w:rPr>
        <w:t xml:space="preserve"> a legal monopoly over international data transmission</w:t>
      </w:r>
      <w:r w:rsidR="001E5CE1">
        <w:rPr>
          <w:rFonts w:ascii="Times New Roman" w:hAnsi="Times New Roman" w:cs="Times New Roman"/>
          <w:b/>
        </w:rPr>
        <w:t>,</w:t>
      </w:r>
      <w:r w:rsidR="007379FF">
        <w:rPr>
          <w:rStyle w:val="FootnoteReference"/>
          <w:rFonts w:ascii="Times New Roman" w:hAnsi="Times New Roman" w:cs="Times New Roman"/>
          <w:b/>
        </w:rPr>
        <w:footnoteReference w:id="224"/>
      </w:r>
      <w:r w:rsidR="001E5CE1">
        <w:rPr>
          <w:rFonts w:ascii="Times New Roman" w:hAnsi="Times New Roman" w:cs="Times New Roman"/>
          <w:b/>
        </w:rPr>
        <w:t xml:space="preserve"> </w:t>
      </w:r>
      <w:r>
        <w:rPr>
          <w:rFonts w:ascii="Times New Roman" w:hAnsi="Times New Roman" w:cs="Times New Roman"/>
          <w:b/>
        </w:rPr>
        <w:t xml:space="preserve">the fact is that it </w:t>
      </w:r>
      <w:r w:rsidRPr="00C91EA2">
        <w:rPr>
          <w:rFonts w:ascii="Times New Roman" w:hAnsi="Times New Roman" w:cs="Times New Roman"/>
          <w:b/>
        </w:rPr>
        <w:t xml:space="preserve">controls access to the main international gateway, which is not effectively regulated. </w:t>
      </w:r>
      <w:r w:rsidRPr="00C91EA2">
        <w:rPr>
          <w:rFonts w:ascii="Times New Roman" w:hAnsi="Times New Roman" w:cs="Times New Roman"/>
        </w:rPr>
        <w:t>This lack of regulatory intervention by ARTP over the international gateway segment of the market has the effect of favoring the incumbent, which may further strengthen its dominant position in the market.</w:t>
      </w:r>
    </w:p>
    <w:p w14:paraId="52C556AE" w14:textId="77777777" w:rsidR="006018AA" w:rsidRPr="00C91EA2" w:rsidRDefault="006018AA" w:rsidP="006018AA">
      <w:pPr>
        <w:jc w:val="both"/>
        <w:rPr>
          <w:rFonts w:ascii="Times New Roman" w:hAnsi="Times New Roman" w:cs="Times New Roman"/>
          <w:b/>
        </w:rPr>
      </w:pPr>
    </w:p>
    <w:p w14:paraId="779B2281" w14:textId="77777777" w:rsidR="00517BF6" w:rsidRPr="00E653FC" w:rsidRDefault="006018AA" w:rsidP="00517BF6">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The lack of regulation for accessing the international gateway is likely to contribute to the high cost of international calls and data transmission in Senegal</w:t>
      </w:r>
      <w:r w:rsidRPr="00C91EA2">
        <w:rPr>
          <w:rFonts w:ascii="Times New Roman" w:hAnsi="Times New Roman" w:cs="Times New Roman"/>
        </w:rPr>
        <w:t>. This stems from Senegal’s high cross-connect cost for international connectivity, which is up to three times higher than other countries in the region</w:t>
      </w:r>
      <w:r>
        <w:rPr>
          <w:rFonts w:ascii="Times New Roman" w:hAnsi="Times New Roman" w:cs="Times New Roman"/>
        </w:rPr>
        <w:t>,</w:t>
      </w:r>
      <w:r w:rsidRPr="00C91EA2">
        <w:rPr>
          <w:rFonts w:ascii="Times New Roman" w:hAnsi="Times New Roman" w:cs="Times New Roman"/>
        </w:rPr>
        <w:t xml:space="preserve"> as well as from an ineffective regulatory framework that has not been able to counteract the power of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over international gateway access. In fact, although there </w:t>
      </w:r>
      <w:r>
        <w:rPr>
          <w:rFonts w:ascii="Times New Roman" w:hAnsi="Times New Roman" w:cs="Times New Roman"/>
        </w:rPr>
        <w:t xml:space="preserve">are, </w:t>
      </w:r>
      <w:r w:rsidRPr="00C91EA2">
        <w:rPr>
          <w:rFonts w:ascii="Times New Roman" w:hAnsi="Times New Roman" w:cs="Times New Roman"/>
        </w:rPr>
        <w:t xml:space="preserve">in theory, two alternative options for international data transmission, the conditions of service remain highly influenced by </w:t>
      </w:r>
      <w:proofErr w:type="spellStart"/>
      <w:r w:rsidRPr="00C91EA2">
        <w:rPr>
          <w:rFonts w:ascii="Times New Roman" w:hAnsi="Times New Roman" w:cs="Times New Roman"/>
        </w:rPr>
        <w:t>Sonatel</w:t>
      </w:r>
      <w:proofErr w:type="spellEnd"/>
      <w:r w:rsidRPr="00C91EA2">
        <w:rPr>
          <w:rFonts w:ascii="Times New Roman" w:hAnsi="Times New Roman" w:cs="Times New Roman"/>
        </w:rPr>
        <w:t>.</w:t>
      </w:r>
    </w:p>
    <w:p w14:paraId="1587B224" w14:textId="77777777" w:rsidR="006018AA" w:rsidRPr="00C91EA2" w:rsidRDefault="006018AA" w:rsidP="006018AA">
      <w:pPr>
        <w:jc w:val="both"/>
        <w:rPr>
          <w:rFonts w:ascii="Times New Roman" w:hAnsi="Times New Roman" w:cs="Times New Roman"/>
        </w:rPr>
      </w:pPr>
    </w:p>
    <w:p w14:paraId="11C9CB8C"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International experience demonstrates that where access to</w:t>
      </w:r>
      <w:r w:rsidR="007932A6">
        <w:rPr>
          <w:rFonts w:ascii="Times New Roman" w:hAnsi="Times New Roman" w:cs="Times New Roman"/>
          <w:b/>
        </w:rPr>
        <w:t xml:space="preserve"> the</w:t>
      </w:r>
      <w:r w:rsidRPr="00C91EA2">
        <w:rPr>
          <w:rFonts w:ascii="Times New Roman" w:hAnsi="Times New Roman" w:cs="Times New Roman"/>
          <w:b/>
        </w:rPr>
        <w:t xml:space="preserve"> international gateway has been opened to competition, prices fell and demand went up</w:t>
      </w:r>
      <w:r w:rsidRPr="00C91EA2">
        <w:rPr>
          <w:rFonts w:ascii="Times New Roman" w:hAnsi="Times New Roman" w:cs="Times New Roman"/>
        </w:rPr>
        <w:t>.</w:t>
      </w:r>
      <w:r w:rsidRPr="00C91EA2">
        <w:rPr>
          <w:rStyle w:val="FootnoteReference"/>
          <w:rFonts w:ascii="Times New Roman" w:hAnsi="Times New Roman" w:cs="Times New Roman"/>
        </w:rPr>
        <w:footnoteReference w:id="225"/>
      </w:r>
      <w:r w:rsidRPr="00C91EA2">
        <w:rPr>
          <w:rFonts w:ascii="Times New Roman" w:hAnsi="Times New Roman" w:cs="Times New Roman"/>
        </w:rPr>
        <w:t xml:space="preserve"> For instance, when Chile fully opened international services to competition, the weighted average call charges to major destinations declined by 50 percent between 1991 and 1998, and traffic increased fourfold.</w:t>
      </w:r>
      <w:r w:rsidRPr="00C91EA2">
        <w:rPr>
          <w:rStyle w:val="FootnoteReference"/>
          <w:rFonts w:ascii="Times New Roman" w:hAnsi="Times New Roman" w:cs="Times New Roman"/>
        </w:rPr>
        <w:footnoteReference w:id="226"/>
      </w:r>
      <w:r w:rsidRPr="00C91EA2">
        <w:rPr>
          <w:rFonts w:ascii="Times New Roman" w:hAnsi="Times New Roman" w:cs="Times New Roman"/>
        </w:rPr>
        <w:t xml:space="preserve"> More recently, the Singaporean experience clearly illustrates the gains stemming from the liberalization of international gateways. Originally, voice and data transmissions</w:t>
      </w:r>
      <w:r w:rsidR="00B62730">
        <w:rPr>
          <w:rFonts w:ascii="Times New Roman" w:hAnsi="Times New Roman" w:cs="Times New Roman"/>
        </w:rPr>
        <w:t xml:space="preserve"> over via submarine cables </w:t>
      </w:r>
      <w:proofErr w:type="gramStart"/>
      <w:r w:rsidR="00B62730">
        <w:rPr>
          <w:rFonts w:ascii="Times New Roman" w:hAnsi="Times New Roman" w:cs="Times New Roman"/>
        </w:rPr>
        <w:t xml:space="preserve">were </w:t>
      </w:r>
      <w:r w:rsidRPr="00C91EA2">
        <w:rPr>
          <w:rFonts w:ascii="Times New Roman" w:hAnsi="Times New Roman" w:cs="Times New Roman"/>
        </w:rPr>
        <w:t>considered to be</w:t>
      </w:r>
      <w:proofErr w:type="gramEnd"/>
      <w:r w:rsidRPr="00C91EA2">
        <w:rPr>
          <w:rFonts w:ascii="Times New Roman" w:hAnsi="Times New Roman" w:cs="Times New Roman"/>
        </w:rPr>
        <w:t xml:space="preserve"> natural monopolies in the hands of the incumbent. However, in 2004, Singapore’s regulator</w:t>
      </w:r>
      <w:r>
        <w:rPr>
          <w:rFonts w:ascii="Times New Roman" w:hAnsi="Times New Roman" w:cs="Times New Roman"/>
        </w:rPr>
        <w:t>,</w:t>
      </w:r>
      <w:r w:rsidRPr="00C91EA2">
        <w:rPr>
          <w:rFonts w:ascii="Times New Roman" w:hAnsi="Times New Roman" w:cs="Times New Roman"/>
        </w:rPr>
        <w:t xml:space="preserve"> the </w:t>
      </w:r>
      <w:proofErr w:type="spellStart"/>
      <w:r w:rsidRPr="00C91EA2">
        <w:rPr>
          <w:rFonts w:ascii="Times New Roman" w:hAnsi="Times New Roman" w:cs="Times New Roman"/>
        </w:rPr>
        <w:t>Infocomm</w:t>
      </w:r>
      <w:proofErr w:type="spellEnd"/>
      <w:r w:rsidRPr="00C91EA2">
        <w:rPr>
          <w:rFonts w:ascii="Times New Roman" w:hAnsi="Times New Roman" w:cs="Times New Roman"/>
        </w:rPr>
        <w:t xml:space="preserve"> Development Authority (IDA)</w:t>
      </w:r>
      <w:r>
        <w:rPr>
          <w:rFonts w:ascii="Times New Roman" w:hAnsi="Times New Roman" w:cs="Times New Roman"/>
        </w:rPr>
        <w:t>,</w:t>
      </w:r>
      <w:r w:rsidRPr="00C91EA2">
        <w:rPr>
          <w:rFonts w:ascii="Times New Roman" w:hAnsi="Times New Roman" w:cs="Times New Roman"/>
        </w:rPr>
        <w:t xml:space="preserve"> established a regulatory framework which aimed at boosting competition in international gateway </w:t>
      </w:r>
      <w:proofErr w:type="gramStart"/>
      <w:r w:rsidRPr="00C91EA2">
        <w:rPr>
          <w:rFonts w:ascii="Times New Roman" w:hAnsi="Times New Roman" w:cs="Times New Roman"/>
        </w:rPr>
        <w:t>so as to</w:t>
      </w:r>
      <w:proofErr w:type="gramEnd"/>
      <w:r w:rsidRPr="00C91EA2">
        <w:rPr>
          <w:rFonts w:ascii="Times New Roman" w:hAnsi="Times New Roman" w:cs="Times New Roman"/>
        </w:rPr>
        <w:t xml:space="preserve"> substantially increase international bandwidth capacity and significant</w:t>
      </w:r>
      <w:r>
        <w:rPr>
          <w:rFonts w:ascii="Times New Roman" w:hAnsi="Times New Roman" w:cs="Times New Roman"/>
        </w:rPr>
        <w:t>ly</w:t>
      </w:r>
      <w:r w:rsidRPr="00C91EA2">
        <w:rPr>
          <w:rFonts w:ascii="Times New Roman" w:hAnsi="Times New Roman" w:cs="Times New Roman"/>
        </w:rPr>
        <w:t xml:space="preserve"> </w:t>
      </w:r>
      <w:r>
        <w:rPr>
          <w:rFonts w:ascii="Times New Roman" w:hAnsi="Times New Roman" w:cs="Times New Roman"/>
        </w:rPr>
        <w:t>reduce</w:t>
      </w:r>
      <w:r w:rsidRPr="00C91EA2">
        <w:rPr>
          <w:rFonts w:ascii="Times New Roman" w:hAnsi="Times New Roman" w:cs="Times New Roman"/>
        </w:rPr>
        <w:t xml:space="preserve"> the cost of international communications. In practice, IDA mandated the incumbent to give access to lease capacity to the submarine cable landing stations which it controlled at cost-based rates. In 2004, IDA strengthened the regulatory framework by ensuring that operators could also access capacity that is owned or leased by third parties, </w:t>
      </w:r>
      <w:proofErr w:type="gramStart"/>
      <w:r w:rsidRPr="00C91EA2">
        <w:rPr>
          <w:rFonts w:ascii="Times New Roman" w:hAnsi="Times New Roman" w:cs="Times New Roman"/>
        </w:rPr>
        <w:t>in order to</w:t>
      </w:r>
      <w:proofErr w:type="gramEnd"/>
      <w:r w:rsidRPr="00C91EA2">
        <w:rPr>
          <w:rFonts w:ascii="Times New Roman" w:hAnsi="Times New Roman" w:cs="Times New Roman"/>
        </w:rPr>
        <w:t xml:space="preserve"> offer them backhaul and transit services. This opening of international gateways to competition led to more players entering the market and to a drop greater than 90 percent in international dialing charges since 2000, whilst charges for international private leased circuits dropped by around 95 percent. Moreover, the total submarine capacity greatly </w:t>
      </w:r>
      <w:proofErr w:type="gramStart"/>
      <w:r w:rsidRPr="00C91EA2">
        <w:rPr>
          <w:rFonts w:ascii="Times New Roman" w:hAnsi="Times New Roman" w:cs="Times New Roman"/>
        </w:rPr>
        <w:t>increased</w:t>
      </w:r>
      <w:proofErr w:type="gramEnd"/>
      <w:r w:rsidRPr="00C91EA2">
        <w:rPr>
          <w:rFonts w:ascii="Times New Roman" w:hAnsi="Times New Roman" w:cs="Times New Roman"/>
        </w:rPr>
        <w:t xml:space="preserve"> and Singapore became a communications hub in the region.</w:t>
      </w:r>
      <w:r w:rsidRPr="00C91EA2">
        <w:rPr>
          <w:rStyle w:val="FootnoteReference"/>
          <w:rFonts w:ascii="Times New Roman" w:hAnsi="Times New Roman" w:cs="Times New Roman"/>
        </w:rPr>
        <w:footnoteReference w:id="227"/>
      </w:r>
    </w:p>
    <w:p w14:paraId="059283BE" w14:textId="77777777" w:rsidR="00517BF6" w:rsidRDefault="00517BF6" w:rsidP="00517BF6">
      <w:pPr>
        <w:jc w:val="both"/>
        <w:rPr>
          <w:rFonts w:ascii="Times New Roman" w:hAnsi="Times New Roman" w:cs="Times New Roman"/>
        </w:rPr>
      </w:pPr>
    </w:p>
    <w:p w14:paraId="60D4C73E" w14:textId="77777777" w:rsidR="00517BF6" w:rsidRPr="00F66F82" w:rsidRDefault="006018AA" w:rsidP="00517BF6">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In addition to having a positive impact on voice services, competition in the international gateway market can also lower prices for access to the Internet.</w:t>
      </w:r>
      <w:r w:rsidRPr="00C91EA2">
        <w:rPr>
          <w:rFonts w:ascii="Times New Roman" w:hAnsi="Times New Roman" w:cs="Times New Roman"/>
        </w:rPr>
        <w:t xml:space="preserve"> Overall, the opening of the international gateway market to competition increases consumer welfare by fostering lower prices, higher volumes of international traffic, and higher-quality telecommunications services as competition between multiple providers leads to improved and more reliable international connectivity.</w:t>
      </w:r>
    </w:p>
    <w:p w14:paraId="5DEC90B4" w14:textId="77777777" w:rsidR="006018AA" w:rsidRPr="005B3C3C" w:rsidRDefault="006018AA" w:rsidP="006018AA">
      <w:pPr>
        <w:jc w:val="both"/>
        <w:rPr>
          <w:rFonts w:ascii="Times New Roman" w:hAnsi="Times New Roman" w:cs="Times New Roman"/>
        </w:rPr>
      </w:pPr>
    </w:p>
    <w:p w14:paraId="57783AE8" w14:textId="3838AD17" w:rsidR="006018AA" w:rsidRPr="00B562D8" w:rsidRDefault="003C4FB3" w:rsidP="006018AA">
      <w:pPr>
        <w:pStyle w:val="Heading5"/>
        <w:rPr>
          <w:rFonts w:ascii="Times New Roman" w:hAnsi="Times New Roman" w:cs="Times New Roman"/>
          <w:sz w:val="24"/>
          <w:szCs w:val="24"/>
        </w:rPr>
      </w:pPr>
      <w:r>
        <w:rPr>
          <w:rFonts w:ascii="Times New Roman" w:hAnsi="Times New Roman" w:cs="Times New Roman"/>
          <w:sz w:val="24"/>
          <w:szCs w:val="24"/>
        </w:rPr>
        <w:t xml:space="preserve">Insufficient rules to encourage </w:t>
      </w:r>
      <w:r w:rsidR="006018AA" w:rsidRPr="00B562D8">
        <w:rPr>
          <w:rFonts w:ascii="Times New Roman" w:hAnsi="Times New Roman" w:cs="Times New Roman"/>
          <w:sz w:val="24"/>
          <w:szCs w:val="24"/>
        </w:rPr>
        <w:t xml:space="preserve">MVNO </w:t>
      </w:r>
      <w:r>
        <w:rPr>
          <w:rFonts w:ascii="Times New Roman" w:hAnsi="Times New Roman" w:cs="Times New Roman"/>
          <w:sz w:val="24"/>
          <w:szCs w:val="24"/>
        </w:rPr>
        <w:t>entry</w:t>
      </w:r>
    </w:p>
    <w:p w14:paraId="3A78B73D" w14:textId="77777777" w:rsidR="006018AA" w:rsidRPr="00C91EA2" w:rsidRDefault="006018AA" w:rsidP="006018AA">
      <w:pPr>
        <w:jc w:val="both"/>
        <w:rPr>
          <w:rFonts w:ascii="Times New Roman" w:hAnsi="Times New Roman" w:cs="Times New Roman"/>
          <w:b/>
        </w:rPr>
      </w:pPr>
    </w:p>
    <w:p w14:paraId="441A7AA6" w14:textId="4C80CA5B" w:rsidR="003C4FB3" w:rsidRPr="007575D7" w:rsidRDefault="003C4FB3" w:rsidP="007575D7">
      <w:pPr>
        <w:pStyle w:val="ListParagraph"/>
        <w:numPr>
          <w:ilvl w:val="0"/>
          <w:numId w:val="71"/>
        </w:numPr>
        <w:ind w:left="0" w:firstLine="0"/>
        <w:jc w:val="both"/>
        <w:rPr>
          <w:rFonts w:ascii="Times New Roman" w:hAnsi="Times New Roman" w:cs="Times New Roman"/>
          <w:b/>
        </w:rPr>
      </w:pPr>
      <w:r w:rsidRPr="007575D7">
        <w:rPr>
          <w:rFonts w:ascii="Times New Roman" w:hAnsi="Times New Roman" w:cs="Times New Roman"/>
          <w:b/>
        </w:rPr>
        <w:t xml:space="preserve">Rules on setting adequate charges for MVNOs and establishing obligations of non-discrimination and transparency, together with potential obligations for operators with SMP </w:t>
      </w:r>
      <w:r w:rsidR="002E740E">
        <w:rPr>
          <w:rFonts w:ascii="Times New Roman" w:hAnsi="Times New Roman" w:cs="Times New Roman"/>
          <w:b/>
        </w:rPr>
        <w:t xml:space="preserve">could </w:t>
      </w:r>
      <w:r w:rsidRPr="007575D7">
        <w:rPr>
          <w:rFonts w:ascii="Times New Roman" w:hAnsi="Times New Roman" w:cs="Times New Roman"/>
          <w:b/>
        </w:rPr>
        <w:t>be considered.</w:t>
      </w:r>
      <w:r w:rsidR="00784BA8">
        <w:rPr>
          <w:rFonts w:ascii="Times New Roman" w:hAnsi="Times New Roman" w:cs="Times New Roman"/>
          <w:b/>
        </w:rPr>
        <w:t xml:space="preserve"> </w:t>
      </w:r>
      <w:r w:rsidR="006018AA" w:rsidRPr="00784BA8">
        <w:rPr>
          <w:rFonts w:ascii="Times New Roman" w:hAnsi="Times New Roman" w:cs="Times New Roman"/>
        </w:rPr>
        <w:t>Empirical evidence shows that customers often benefit from the entrance of MVNOs in the telecommunications market, through lower prices for voice calls and text messages (</w:t>
      </w:r>
      <w:proofErr w:type="spellStart"/>
      <w:r w:rsidR="006018AA" w:rsidRPr="00784BA8">
        <w:rPr>
          <w:rFonts w:ascii="Times New Roman" w:hAnsi="Times New Roman" w:cs="Times New Roman"/>
        </w:rPr>
        <w:t>Kiiski</w:t>
      </w:r>
      <w:proofErr w:type="spellEnd"/>
      <w:r w:rsidR="006018AA" w:rsidRPr="00784BA8">
        <w:rPr>
          <w:rFonts w:ascii="Times New Roman" w:hAnsi="Times New Roman" w:cs="Times New Roman"/>
        </w:rPr>
        <w:t xml:space="preserve"> 2006). </w:t>
      </w:r>
      <w:r w:rsidR="00FF6480" w:rsidRPr="00784BA8">
        <w:rPr>
          <w:rFonts w:ascii="Times New Roman" w:hAnsi="Times New Roman" w:cs="Times New Roman"/>
        </w:rPr>
        <w:t>Regulators can foster the entry of MVNOs in the market by imposing obligations to host MVNOs when they assign radio spectrum to MNOs</w:t>
      </w:r>
      <w:r w:rsidR="00EB5027" w:rsidRPr="00784BA8">
        <w:rPr>
          <w:rFonts w:ascii="Times New Roman" w:hAnsi="Times New Roman" w:cs="Times New Roman"/>
        </w:rPr>
        <w:t>,</w:t>
      </w:r>
      <w:r w:rsidR="00E70378" w:rsidRPr="00666E01">
        <w:rPr>
          <w:rStyle w:val="FootnoteReference"/>
          <w:rFonts w:ascii="Times New Roman" w:hAnsi="Times New Roman" w:cs="Times New Roman"/>
          <w:b/>
        </w:rPr>
        <w:footnoteReference w:id="228"/>
      </w:r>
      <w:r w:rsidR="00E70378" w:rsidRPr="00784BA8">
        <w:rPr>
          <w:rFonts w:ascii="Times New Roman" w:hAnsi="Times New Roman" w:cs="Times New Roman"/>
        </w:rPr>
        <w:t xml:space="preserve"> or as part of the remedies which can be imposed on operators with SMP through asymmetric regulation.</w:t>
      </w:r>
      <w:r w:rsidR="00FF6480" w:rsidRPr="00784BA8">
        <w:rPr>
          <w:rFonts w:ascii="Times New Roman" w:hAnsi="Times New Roman" w:cs="Times New Roman"/>
        </w:rPr>
        <w:t xml:space="preserve"> </w:t>
      </w:r>
      <w:r w:rsidR="006018AA" w:rsidRPr="00784BA8">
        <w:rPr>
          <w:rFonts w:ascii="Times New Roman" w:hAnsi="Times New Roman" w:cs="Times New Roman"/>
        </w:rPr>
        <w:t xml:space="preserve">MVNOs run on the networks of existing operators, but provide services independently, including issuing subscriber identification module (SIM) cards, billing, and customer care. </w:t>
      </w:r>
      <w:r w:rsidR="00FB3024" w:rsidRPr="00784BA8">
        <w:rPr>
          <w:rFonts w:ascii="Times New Roman" w:hAnsi="Times New Roman" w:cs="Times New Roman"/>
        </w:rPr>
        <w:t>It is possible to identify several categories of MVNOs, including:</w:t>
      </w:r>
      <w:r w:rsidR="00FB3024" w:rsidRPr="00784BA8">
        <w:rPr>
          <w:rFonts w:ascii="Times New Roman" w:hAnsi="Times New Roman" w:cs="Times New Roman"/>
          <w:b/>
        </w:rPr>
        <w:t xml:space="preserve"> </w:t>
      </w:r>
      <w:r w:rsidR="00FB3024" w:rsidRPr="00784BA8">
        <w:rPr>
          <w:rFonts w:ascii="Times New Roman" w:hAnsi="Times New Roman" w:cs="Times New Roman"/>
        </w:rPr>
        <w:t>pure resellers of services offered by MNOs;</w:t>
      </w:r>
      <w:r w:rsidR="00FB3024" w:rsidRPr="00784BA8">
        <w:rPr>
          <w:rFonts w:ascii="Times New Roman" w:hAnsi="Times New Roman" w:cs="Times New Roman"/>
          <w:b/>
        </w:rPr>
        <w:t xml:space="preserve"> </w:t>
      </w:r>
      <w:r w:rsidR="0024701C" w:rsidRPr="00784BA8">
        <w:rPr>
          <w:rFonts w:ascii="Times New Roman" w:hAnsi="Times New Roman" w:cs="Times New Roman"/>
        </w:rPr>
        <w:t xml:space="preserve">MVNOs that issue their own SIM cards and offer differentiated packages to subscribers; </w:t>
      </w:r>
      <w:r w:rsidR="00BD7239" w:rsidRPr="00784BA8">
        <w:rPr>
          <w:rFonts w:ascii="Times New Roman" w:hAnsi="Times New Roman" w:cs="Times New Roman"/>
        </w:rPr>
        <w:t xml:space="preserve">MVNOs that control their subscriber base and can switch it from one MNO to another at any point in time; </w:t>
      </w:r>
      <w:r w:rsidR="00771ABC" w:rsidRPr="00784BA8">
        <w:rPr>
          <w:rFonts w:ascii="Times New Roman" w:hAnsi="Times New Roman" w:cs="Times New Roman"/>
        </w:rPr>
        <w:t>and MVNOs that obtain exclusive bandwidth capacity from an MNO, instead of traffic.</w:t>
      </w:r>
      <w:r w:rsidR="0024701C">
        <w:rPr>
          <w:rStyle w:val="FootnoteReference"/>
          <w:rFonts w:ascii="Times New Roman" w:hAnsi="Times New Roman" w:cs="Times New Roman"/>
        </w:rPr>
        <w:footnoteReference w:id="229"/>
      </w:r>
    </w:p>
    <w:p w14:paraId="46E003D4" w14:textId="77777777" w:rsidR="003C4FB3" w:rsidRPr="007575D7" w:rsidRDefault="003C4FB3" w:rsidP="007575D7">
      <w:pPr>
        <w:pStyle w:val="ListParagraph"/>
        <w:ind w:left="0"/>
        <w:jc w:val="both"/>
        <w:rPr>
          <w:rFonts w:ascii="Times New Roman" w:hAnsi="Times New Roman" w:cs="Times New Roman"/>
          <w:b/>
        </w:rPr>
      </w:pPr>
    </w:p>
    <w:p w14:paraId="1AFFA779" w14:textId="4B59CAAC" w:rsidR="00784BA8" w:rsidRPr="007575D7" w:rsidRDefault="003C4FB3" w:rsidP="007575D7">
      <w:pPr>
        <w:pStyle w:val="ListParagraph"/>
        <w:numPr>
          <w:ilvl w:val="0"/>
          <w:numId w:val="71"/>
        </w:numPr>
        <w:ind w:left="0" w:firstLine="0"/>
        <w:jc w:val="both"/>
        <w:rPr>
          <w:rFonts w:ascii="Times New Roman" w:hAnsi="Times New Roman" w:cs="Times New Roman"/>
          <w:b/>
        </w:rPr>
      </w:pPr>
      <w:r>
        <w:rPr>
          <w:rFonts w:ascii="Times New Roman" w:hAnsi="Times New Roman" w:cs="Times New Roman"/>
          <w:b/>
        </w:rPr>
        <w:t>Entry of MVNOs should be</w:t>
      </w:r>
      <w:r w:rsidRPr="007575D7">
        <w:rPr>
          <w:rFonts w:ascii="Times New Roman" w:hAnsi="Times New Roman" w:cs="Times New Roman"/>
          <w:b/>
        </w:rPr>
        <w:t xml:space="preserve"> subject to commercial agreements and proportionate authorization regime</w:t>
      </w:r>
      <w:r w:rsidRPr="007575D7">
        <w:rPr>
          <w:rFonts w:ascii="Times New Roman" w:hAnsi="Times New Roman" w:cs="Times New Roman"/>
        </w:rPr>
        <w:t>s</w:t>
      </w:r>
      <w:r>
        <w:rPr>
          <w:rFonts w:ascii="Times New Roman" w:hAnsi="Times New Roman" w:cs="Times New Roman"/>
          <w:b/>
        </w:rPr>
        <w:t xml:space="preserve">. </w:t>
      </w:r>
      <w:r w:rsidRPr="007575D7">
        <w:rPr>
          <w:rFonts w:ascii="Times New Roman" w:hAnsi="Times New Roman" w:cs="Times New Roman"/>
        </w:rPr>
        <w:t>Contrary to best practice,</w:t>
      </w:r>
      <w:r>
        <w:rPr>
          <w:rFonts w:ascii="Times New Roman" w:hAnsi="Times New Roman" w:cs="Times New Roman"/>
          <w:b/>
        </w:rPr>
        <w:t xml:space="preserve"> </w:t>
      </w:r>
      <w:r>
        <w:rPr>
          <w:rFonts w:ascii="Times New Roman" w:hAnsi="Times New Roman" w:cs="Times New Roman"/>
        </w:rPr>
        <w:t xml:space="preserve">Senegal currently awards MVNO rights pursuant to </w:t>
      </w:r>
      <w:r w:rsidR="00342FB5">
        <w:rPr>
          <w:rFonts w:ascii="Times New Roman" w:hAnsi="Times New Roman" w:cs="Times New Roman"/>
        </w:rPr>
        <w:t>a</w:t>
      </w:r>
      <w:r>
        <w:rPr>
          <w:rFonts w:ascii="Times New Roman" w:hAnsi="Times New Roman" w:cs="Times New Roman"/>
        </w:rPr>
        <w:t xml:space="preserve"> burdensome </w:t>
      </w:r>
      <w:r w:rsidR="00941E0E">
        <w:rPr>
          <w:rFonts w:ascii="Times New Roman" w:hAnsi="Times New Roman" w:cs="Times New Roman"/>
        </w:rPr>
        <w:t xml:space="preserve">licensing </w:t>
      </w:r>
      <w:r>
        <w:rPr>
          <w:rFonts w:ascii="Times New Roman" w:hAnsi="Times New Roman" w:cs="Times New Roman"/>
        </w:rPr>
        <w:t xml:space="preserve">regime </w:t>
      </w:r>
      <w:r w:rsidR="00342FB5">
        <w:rPr>
          <w:rFonts w:ascii="Times New Roman" w:hAnsi="Times New Roman" w:cs="Times New Roman"/>
        </w:rPr>
        <w:t>based on</w:t>
      </w:r>
      <w:r>
        <w:rPr>
          <w:rFonts w:ascii="Times New Roman" w:hAnsi="Times New Roman" w:cs="Times New Roman"/>
        </w:rPr>
        <w:t xml:space="preserve"> a tender procedure</w:t>
      </w:r>
      <w:r w:rsidR="00784BA8">
        <w:rPr>
          <w:rFonts w:ascii="Times New Roman" w:hAnsi="Times New Roman" w:cs="Times New Roman"/>
        </w:rPr>
        <w:t>, which hinders market entry.</w:t>
      </w:r>
      <w:r w:rsidR="00784BA8">
        <w:rPr>
          <w:rFonts w:ascii="Times New Roman" w:hAnsi="Times New Roman" w:cs="Times New Roman"/>
          <w:b/>
        </w:rPr>
        <w:t xml:space="preserve"> </w:t>
      </w:r>
      <w:r w:rsidR="00784BA8" w:rsidRPr="00784BA8">
        <w:rPr>
          <w:rFonts w:ascii="Times New Roman" w:hAnsi="Times New Roman" w:cs="Times New Roman"/>
          <w:lang w:val="en-GB"/>
        </w:rPr>
        <w:t xml:space="preserve">The recent award of three licenses through tender was subject to approval by incumbents (MVNOs licenses awarded to </w:t>
      </w:r>
      <w:proofErr w:type="spellStart"/>
      <w:r w:rsidR="00784BA8" w:rsidRPr="00784BA8">
        <w:rPr>
          <w:rFonts w:ascii="Times New Roman" w:hAnsi="Times New Roman" w:cs="Times New Roman"/>
          <w:lang w:val="en-GB"/>
        </w:rPr>
        <w:t>GfM</w:t>
      </w:r>
      <w:proofErr w:type="spellEnd"/>
      <w:r w:rsidR="00784BA8" w:rsidRPr="00784BA8">
        <w:rPr>
          <w:rFonts w:ascii="Times New Roman" w:hAnsi="Times New Roman" w:cs="Times New Roman"/>
          <w:lang w:val="en-GB"/>
        </w:rPr>
        <w:t>, which uses the brand You Mobile (</w:t>
      </w:r>
      <w:proofErr w:type="spellStart"/>
      <w:r w:rsidR="00784BA8" w:rsidRPr="00784BA8">
        <w:rPr>
          <w:rFonts w:ascii="Times New Roman" w:hAnsi="Times New Roman" w:cs="Times New Roman"/>
          <w:lang w:val="en-GB"/>
        </w:rPr>
        <w:t>Sonatel</w:t>
      </w:r>
      <w:proofErr w:type="spellEnd"/>
      <w:r w:rsidR="00784BA8" w:rsidRPr="00784BA8">
        <w:rPr>
          <w:rFonts w:ascii="Times New Roman" w:hAnsi="Times New Roman" w:cs="Times New Roman"/>
          <w:lang w:val="en-GB"/>
        </w:rPr>
        <w:t xml:space="preserve"> network), Sirius </w:t>
      </w:r>
      <w:proofErr w:type="spellStart"/>
      <w:r w:rsidR="00784BA8" w:rsidRPr="00784BA8">
        <w:rPr>
          <w:rFonts w:ascii="Times New Roman" w:hAnsi="Times New Roman" w:cs="Times New Roman"/>
          <w:lang w:val="en-GB"/>
        </w:rPr>
        <w:t>Télécoms</w:t>
      </w:r>
      <w:proofErr w:type="spellEnd"/>
      <w:r w:rsidR="00784BA8" w:rsidRPr="00784BA8">
        <w:rPr>
          <w:rFonts w:ascii="Times New Roman" w:hAnsi="Times New Roman" w:cs="Times New Roman"/>
          <w:lang w:val="en-GB"/>
        </w:rPr>
        <w:t xml:space="preserve"> (</w:t>
      </w:r>
      <w:proofErr w:type="spellStart"/>
      <w:r w:rsidR="00784BA8" w:rsidRPr="00784BA8">
        <w:rPr>
          <w:rFonts w:ascii="Times New Roman" w:hAnsi="Times New Roman" w:cs="Times New Roman"/>
          <w:lang w:val="en-GB"/>
        </w:rPr>
        <w:t>Tigo</w:t>
      </w:r>
      <w:proofErr w:type="spellEnd"/>
      <w:r w:rsidR="00784BA8" w:rsidRPr="00784BA8">
        <w:rPr>
          <w:rFonts w:ascii="Times New Roman" w:hAnsi="Times New Roman" w:cs="Times New Roman"/>
          <w:lang w:val="en-GB"/>
        </w:rPr>
        <w:t xml:space="preserve"> network) and </w:t>
      </w:r>
      <w:proofErr w:type="spellStart"/>
      <w:r w:rsidR="00784BA8" w:rsidRPr="00784BA8">
        <w:rPr>
          <w:rFonts w:ascii="Times New Roman" w:hAnsi="Times New Roman" w:cs="Times New Roman"/>
          <w:lang w:val="en-GB"/>
        </w:rPr>
        <w:t>Origines</w:t>
      </w:r>
      <w:proofErr w:type="spellEnd"/>
      <w:r w:rsidR="00784BA8" w:rsidRPr="00784BA8">
        <w:rPr>
          <w:rFonts w:ascii="Times New Roman" w:hAnsi="Times New Roman" w:cs="Times New Roman"/>
          <w:lang w:val="en-GB"/>
        </w:rPr>
        <w:t xml:space="preserve"> SA (Expresso network).</w:t>
      </w:r>
      <w:r w:rsidR="00784BA8">
        <w:rPr>
          <w:rStyle w:val="FootnoteReference"/>
          <w:rFonts w:ascii="Times New Roman" w:hAnsi="Times New Roman" w:cs="Times New Roman"/>
          <w:lang w:val="en-GB"/>
        </w:rPr>
        <w:footnoteReference w:id="230"/>
      </w:r>
    </w:p>
    <w:p w14:paraId="5CC87D0F" w14:textId="77777777" w:rsidR="006018AA" w:rsidRPr="00C91EA2" w:rsidRDefault="006018AA" w:rsidP="006018AA">
      <w:pPr>
        <w:jc w:val="both"/>
        <w:rPr>
          <w:rFonts w:ascii="Times New Roman" w:hAnsi="Times New Roman" w:cs="Times New Roman"/>
        </w:rPr>
      </w:pPr>
    </w:p>
    <w:p w14:paraId="127299D2" w14:textId="085126DD" w:rsidR="006018AA" w:rsidRPr="00B562D8" w:rsidRDefault="00D218A7" w:rsidP="006018AA">
      <w:pPr>
        <w:pStyle w:val="Heading5"/>
        <w:rPr>
          <w:rFonts w:ascii="Times New Roman" w:hAnsi="Times New Roman" w:cs="Times New Roman"/>
          <w:sz w:val="24"/>
          <w:szCs w:val="24"/>
        </w:rPr>
      </w:pPr>
      <w:r>
        <w:rPr>
          <w:rFonts w:ascii="Times New Roman" w:hAnsi="Times New Roman" w:cs="Times New Roman"/>
          <w:sz w:val="24"/>
          <w:szCs w:val="24"/>
        </w:rPr>
        <w:t xml:space="preserve">Need for better results </w:t>
      </w:r>
      <w:r w:rsidR="00A6598A" w:rsidRPr="00B562D8">
        <w:rPr>
          <w:rFonts w:ascii="Times New Roman" w:hAnsi="Times New Roman" w:cs="Times New Roman"/>
          <w:sz w:val="24"/>
          <w:szCs w:val="24"/>
        </w:rPr>
        <w:t xml:space="preserve">for consumers </w:t>
      </w:r>
      <w:r>
        <w:rPr>
          <w:rFonts w:ascii="Times New Roman" w:hAnsi="Times New Roman" w:cs="Times New Roman"/>
          <w:sz w:val="24"/>
          <w:szCs w:val="24"/>
        </w:rPr>
        <w:t>following the adoption of n</w:t>
      </w:r>
      <w:r w:rsidR="006018AA" w:rsidRPr="00B562D8">
        <w:rPr>
          <w:rFonts w:ascii="Times New Roman" w:hAnsi="Times New Roman" w:cs="Times New Roman"/>
          <w:sz w:val="24"/>
          <w:szCs w:val="24"/>
        </w:rPr>
        <w:t>umber portability</w:t>
      </w:r>
      <w:r w:rsidR="006018AA">
        <w:rPr>
          <w:rFonts w:ascii="Times New Roman" w:hAnsi="Times New Roman" w:cs="Times New Roman"/>
          <w:sz w:val="24"/>
          <w:szCs w:val="24"/>
        </w:rPr>
        <w:t xml:space="preserve"> framework</w:t>
      </w:r>
      <w:r w:rsidR="006018AA" w:rsidRPr="00B562D8">
        <w:rPr>
          <w:rFonts w:ascii="Times New Roman" w:hAnsi="Times New Roman" w:cs="Times New Roman"/>
          <w:sz w:val="24"/>
          <w:szCs w:val="24"/>
        </w:rPr>
        <w:t xml:space="preserve"> </w:t>
      </w:r>
    </w:p>
    <w:p w14:paraId="5183B9F2" w14:textId="77777777" w:rsidR="006018AA" w:rsidRPr="00C91EA2" w:rsidRDefault="006018AA" w:rsidP="006018AA">
      <w:pPr>
        <w:jc w:val="both"/>
        <w:rPr>
          <w:rFonts w:ascii="Times New Roman" w:hAnsi="Times New Roman" w:cs="Times New Roman"/>
        </w:rPr>
      </w:pPr>
    </w:p>
    <w:p w14:paraId="25334940" w14:textId="3D707C64" w:rsidR="007F3E5A" w:rsidRDefault="006018AA" w:rsidP="007575D7">
      <w:pPr>
        <w:pStyle w:val="ListParagraph"/>
        <w:numPr>
          <w:ilvl w:val="0"/>
          <w:numId w:val="71"/>
        </w:numPr>
        <w:ind w:left="0" w:firstLine="0"/>
        <w:jc w:val="both"/>
        <w:rPr>
          <w:rFonts w:ascii="Times New Roman" w:hAnsi="Times New Roman" w:cs="Times New Roman"/>
        </w:rPr>
      </w:pPr>
      <w:r w:rsidRPr="00102EC6">
        <w:rPr>
          <w:rFonts w:ascii="Times New Roman" w:hAnsi="Times New Roman" w:cs="Times New Roman"/>
          <w:b/>
        </w:rPr>
        <w:t>ARTP has implemented a procedure for number portability in accordance with international best practices</w:t>
      </w:r>
      <w:r w:rsidR="001D62F9" w:rsidRPr="00102EC6">
        <w:rPr>
          <w:rFonts w:ascii="Times New Roman" w:hAnsi="Times New Roman" w:cs="Times New Roman"/>
          <w:b/>
        </w:rPr>
        <w:t>.</w:t>
      </w:r>
      <w:r w:rsidRPr="00102EC6">
        <w:rPr>
          <w:rFonts w:ascii="Times New Roman" w:hAnsi="Times New Roman" w:cs="Times New Roman"/>
          <w:b/>
        </w:rPr>
        <w:t xml:space="preserve"> </w:t>
      </w:r>
      <w:r w:rsidRPr="00102EC6">
        <w:rPr>
          <w:rFonts w:ascii="Times New Roman" w:hAnsi="Times New Roman" w:cs="Times New Roman"/>
        </w:rPr>
        <w:t xml:space="preserve">The process is free for consumers, with a 2-hours service interruption, and the transfer of the line within 24 hours between </w:t>
      </w:r>
      <w:r w:rsidRPr="002A5764">
        <w:rPr>
          <w:rFonts w:ascii="Times New Roman" w:hAnsi="Times New Roman" w:cs="Times New Roman"/>
        </w:rPr>
        <w:t xml:space="preserve">firms. </w:t>
      </w:r>
    </w:p>
    <w:p w14:paraId="0ECBF6B8" w14:textId="77777777" w:rsidR="006018AA" w:rsidRPr="00102EC6" w:rsidRDefault="006018AA" w:rsidP="007575D7">
      <w:pPr>
        <w:pStyle w:val="ListParagraph"/>
        <w:ind w:left="0"/>
        <w:jc w:val="both"/>
        <w:rPr>
          <w:rFonts w:ascii="Times New Roman" w:hAnsi="Times New Roman" w:cs="Times New Roman"/>
        </w:rPr>
      </w:pPr>
    </w:p>
    <w:p w14:paraId="41C49CFA" w14:textId="24C17E37" w:rsidR="006018AA" w:rsidRPr="00C91EA2" w:rsidRDefault="00102EC6"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 xml:space="preserve">However, </w:t>
      </w:r>
      <w:r w:rsidR="00402578">
        <w:rPr>
          <w:rFonts w:ascii="Times New Roman" w:hAnsi="Times New Roman" w:cs="Times New Roman"/>
          <w:b/>
        </w:rPr>
        <w:t xml:space="preserve">the results of the number portability procedure have been modest so far, primarily because of the </w:t>
      </w:r>
      <w:r w:rsidR="006018AA" w:rsidRPr="00C91EA2">
        <w:rPr>
          <w:rFonts w:ascii="Times New Roman" w:hAnsi="Times New Roman" w:cs="Times New Roman"/>
          <w:b/>
        </w:rPr>
        <w:t>high cost (10 USD) associated with number portability.</w:t>
      </w:r>
      <w:r w:rsidR="006018AA" w:rsidRPr="00C91EA2">
        <w:rPr>
          <w:rFonts w:ascii="Times New Roman" w:hAnsi="Times New Roman" w:cs="Times New Roman"/>
        </w:rPr>
        <w:t xml:space="preserve"> </w:t>
      </w:r>
      <w:r w:rsidR="006018AA">
        <w:rPr>
          <w:rFonts w:ascii="Times New Roman" w:hAnsi="Times New Roman" w:cs="Times New Roman"/>
        </w:rPr>
        <w:t>Operators appear unwilling to incur such a high c</w:t>
      </w:r>
      <w:r w:rsidR="00402578">
        <w:rPr>
          <w:rFonts w:ascii="Times New Roman" w:hAnsi="Times New Roman" w:cs="Times New Roman"/>
        </w:rPr>
        <w:t>o</w:t>
      </w:r>
      <w:r w:rsidR="006018AA">
        <w:rPr>
          <w:rFonts w:ascii="Times New Roman" w:hAnsi="Times New Roman" w:cs="Times New Roman"/>
        </w:rPr>
        <w:t xml:space="preserve">st </w:t>
      </w:r>
      <w:r w:rsidR="001D62F9">
        <w:rPr>
          <w:rFonts w:ascii="Times New Roman" w:hAnsi="Times New Roman" w:cs="Times New Roman"/>
        </w:rPr>
        <w:t>to</w:t>
      </w:r>
      <w:r w:rsidR="006018AA">
        <w:rPr>
          <w:rFonts w:ascii="Times New Roman" w:hAnsi="Times New Roman" w:cs="Times New Roman"/>
        </w:rPr>
        <w:t xml:space="preserve"> win new clients.</w:t>
      </w:r>
      <w:r w:rsidR="006018AA" w:rsidRPr="00C91EA2">
        <w:rPr>
          <w:rFonts w:ascii="Times New Roman" w:hAnsi="Times New Roman" w:cs="Times New Roman"/>
        </w:rPr>
        <w:t xml:space="preserve"> If the number portability process were effective, one should expect a</w:t>
      </w:r>
      <w:r w:rsidR="006018AA">
        <w:rPr>
          <w:rFonts w:ascii="Times New Roman" w:hAnsi="Times New Roman" w:cs="Times New Roman"/>
        </w:rPr>
        <w:t>n initial</w:t>
      </w:r>
      <w:r w:rsidR="006018AA" w:rsidRPr="00C91EA2">
        <w:rPr>
          <w:rFonts w:ascii="Times New Roman" w:hAnsi="Times New Roman" w:cs="Times New Roman"/>
        </w:rPr>
        <w:t xml:space="preserve"> strong demand following the launch of number portability by the regula</w:t>
      </w:r>
      <w:r w:rsidR="006018AA">
        <w:rPr>
          <w:rFonts w:ascii="Times New Roman" w:hAnsi="Times New Roman" w:cs="Times New Roman"/>
        </w:rPr>
        <w:t>tor</w:t>
      </w:r>
      <w:r w:rsidR="006018AA" w:rsidRPr="00C91EA2">
        <w:rPr>
          <w:rFonts w:ascii="Times New Roman" w:hAnsi="Times New Roman" w:cs="Times New Roman"/>
        </w:rPr>
        <w:t xml:space="preserve">. Typically, demand is much higher than the </w:t>
      </w:r>
      <w:r w:rsidR="004623CF">
        <w:rPr>
          <w:rFonts w:ascii="Times New Roman" w:hAnsi="Times New Roman" w:cs="Times New Roman"/>
        </w:rPr>
        <w:t>demand</w:t>
      </w:r>
      <w:r w:rsidR="004623CF" w:rsidRPr="00C91EA2">
        <w:rPr>
          <w:rFonts w:ascii="Times New Roman" w:hAnsi="Times New Roman" w:cs="Times New Roman"/>
        </w:rPr>
        <w:t xml:space="preserve"> </w:t>
      </w:r>
      <w:r w:rsidR="006018AA" w:rsidRPr="00C91EA2">
        <w:rPr>
          <w:rFonts w:ascii="Times New Roman" w:hAnsi="Times New Roman" w:cs="Times New Roman"/>
        </w:rPr>
        <w:t>registered in Senegal during the first year after the introduction of number portability. The cost associated with transferring the number appear</w:t>
      </w:r>
      <w:r w:rsidR="006018AA">
        <w:rPr>
          <w:rFonts w:ascii="Times New Roman" w:hAnsi="Times New Roman" w:cs="Times New Roman"/>
        </w:rPr>
        <w:t>s</w:t>
      </w:r>
      <w:r w:rsidR="006018AA" w:rsidRPr="00C91EA2">
        <w:rPr>
          <w:rFonts w:ascii="Times New Roman" w:hAnsi="Times New Roman" w:cs="Times New Roman"/>
        </w:rPr>
        <w:t xml:space="preserve"> to be a main factor hindering portability</w:t>
      </w:r>
      <w:r w:rsidR="006018AA">
        <w:rPr>
          <w:rFonts w:ascii="Times New Roman" w:hAnsi="Times New Roman" w:cs="Times New Roman"/>
        </w:rPr>
        <w:t xml:space="preserve">; with such a high cost, operators do not have the incentive </w:t>
      </w:r>
      <w:r w:rsidR="006018AA" w:rsidRPr="00C91EA2">
        <w:rPr>
          <w:rFonts w:ascii="Times New Roman" w:hAnsi="Times New Roman" w:cs="Times New Roman"/>
        </w:rPr>
        <w:t xml:space="preserve">to facilitate this </w:t>
      </w:r>
      <w:r w:rsidR="006018AA">
        <w:rPr>
          <w:rFonts w:ascii="Times New Roman" w:hAnsi="Times New Roman" w:cs="Times New Roman"/>
        </w:rPr>
        <w:t>transfer</w:t>
      </w:r>
      <w:r w:rsidR="006018AA" w:rsidRPr="00C91EA2">
        <w:rPr>
          <w:rFonts w:ascii="Times New Roman" w:hAnsi="Times New Roman" w:cs="Times New Roman"/>
        </w:rPr>
        <w:t xml:space="preserve">. In any event, a detailed analysis of the functioning of the portability system and of the retail market </w:t>
      </w:r>
      <w:r w:rsidR="004623CF">
        <w:rPr>
          <w:rFonts w:ascii="Times New Roman" w:hAnsi="Times New Roman" w:cs="Times New Roman"/>
        </w:rPr>
        <w:t>is</w:t>
      </w:r>
      <w:r w:rsidR="006018AA" w:rsidRPr="00C91EA2">
        <w:rPr>
          <w:rFonts w:ascii="Times New Roman" w:hAnsi="Times New Roman" w:cs="Times New Roman"/>
        </w:rPr>
        <w:t xml:space="preserve"> key. For example, if a subscriber asks his operator to change to a different supplier, he may face a counter-offer that meets the one offered by its competitor, leading him not to change supplier. Such</w:t>
      </w:r>
      <w:r w:rsidR="006018AA">
        <w:rPr>
          <w:rFonts w:ascii="Times New Roman" w:hAnsi="Times New Roman" w:cs="Times New Roman"/>
        </w:rPr>
        <w:t xml:space="preserve"> </w:t>
      </w:r>
      <w:r w:rsidR="006018AA" w:rsidRPr="00C91EA2">
        <w:rPr>
          <w:rFonts w:ascii="Times New Roman" w:hAnsi="Times New Roman" w:cs="Times New Roman"/>
        </w:rPr>
        <w:t>win</w:t>
      </w:r>
      <w:r w:rsidR="006018AA">
        <w:rPr>
          <w:rFonts w:ascii="Times New Roman" w:hAnsi="Times New Roman" w:cs="Times New Roman"/>
        </w:rPr>
        <w:t>-</w:t>
      </w:r>
      <w:r w:rsidR="006018AA" w:rsidRPr="00C91EA2">
        <w:rPr>
          <w:rFonts w:ascii="Times New Roman" w:hAnsi="Times New Roman" w:cs="Times New Roman"/>
        </w:rPr>
        <w:t>back or commercial</w:t>
      </w:r>
      <w:r w:rsidR="006018AA">
        <w:rPr>
          <w:rFonts w:ascii="Times New Roman" w:hAnsi="Times New Roman" w:cs="Times New Roman"/>
        </w:rPr>
        <w:t>-</w:t>
      </w:r>
      <w:r w:rsidR="006018AA" w:rsidRPr="00C91EA2">
        <w:rPr>
          <w:rFonts w:ascii="Times New Roman" w:hAnsi="Times New Roman" w:cs="Times New Roman"/>
        </w:rPr>
        <w:t>rebound strategies may be deemed anticompetitive when adopted by a dominant operator.</w:t>
      </w:r>
      <w:r w:rsidR="006018AA" w:rsidRPr="00C91EA2">
        <w:rPr>
          <w:rStyle w:val="FootnoteReference"/>
          <w:rFonts w:ascii="Times New Roman" w:hAnsi="Times New Roman" w:cs="Times New Roman"/>
        </w:rPr>
        <w:footnoteReference w:id="231"/>
      </w:r>
      <w:r w:rsidR="00402578">
        <w:rPr>
          <w:rFonts w:ascii="Times New Roman" w:hAnsi="Times New Roman" w:cs="Times New Roman"/>
        </w:rPr>
        <w:t xml:space="preserve"> </w:t>
      </w:r>
      <w:r w:rsidR="00402578" w:rsidRPr="00105B4B">
        <w:rPr>
          <w:rFonts w:ascii="Times New Roman" w:hAnsi="Times New Roman" w:cs="Times New Roman"/>
        </w:rPr>
        <w:t xml:space="preserve">ARTP is expected to lower the termination rates to mitigate the club effects which currently favor </w:t>
      </w:r>
      <w:proofErr w:type="spellStart"/>
      <w:r w:rsidR="00402578" w:rsidRPr="00105B4B">
        <w:rPr>
          <w:rFonts w:ascii="Times New Roman" w:hAnsi="Times New Roman" w:cs="Times New Roman"/>
        </w:rPr>
        <w:t>Sonatel’s</w:t>
      </w:r>
      <w:proofErr w:type="spellEnd"/>
      <w:r w:rsidR="00402578" w:rsidRPr="00105B4B">
        <w:rPr>
          <w:rFonts w:ascii="Times New Roman" w:hAnsi="Times New Roman" w:cs="Times New Roman"/>
        </w:rPr>
        <w:t xml:space="preserve"> network and increase the risks of anticompetitive behavior. </w:t>
      </w:r>
      <w:r w:rsidR="00402578" w:rsidRPr="00FE00E4">
        <w:rPr>
          <w:rFonts w:ascii="Times New Roman" w:hAnsi="Times New Roman" w:cs="Times New Roman"/>
        </w:rPr>
        <w:t>Going forward, it will be important that these policy changes be disseminated to make them truly effective.</w:t>
      </w:r>
    </w:p>
    <w:p w14:paraId="2EC6FC23" w14:textId="77777777" w:rsidR="006018AA" w:rsidRPr="00C91EA2" w:rsidRDefault="006018AA" w:rsidP="006018AA">
      <w:pPr>
        <w:rPr>
          <w:rFonts w:ascii="Times New Roman" w:hAnsi="Times New Roman" w:cs="Times New Roman"/>
        </w:rPr>
      </w:pPr>
    </w:p>
    <w:p w14:paraId="22C391F9" w14:textId="77777777" w:rsidR="006018AA" w:rsidRPr="00B562D8" w:rsidRDefault="006018AA" w:rsidP="006018AA">
      <w:pPr>
        <w:pStyle w:val="Heading5"/>
        <w:rPr>
          <w:rFonts w:ascii="Times New Roman" w:hAnsi="Times New Roman" w:cs="Times New Roman"/>
          <w:sz w:val="24"/>
          <w:szCs w:val="24"/>
        </w:rPr>
      </w:pPr>
      <w:r w:rsidRPr="00B562D8">
        <w:rPr>
          <w:rFonts w:ascii="Times New Roman" w:hAnsi="Times New Roman" w:cs="Times New Roman"/>
          <w:sz w:val="24"/>
          <w:szCs w:val="24"/>
        </w:rPr>
        <w:t>Asymmetric mobile services interconnection rates may not be set appropriately and may encourage club effects</w:t>
      </w:r>
    </w:p>
    <w:p w14:paraId="43C3CD55" w14:textId="77777777" w:rsidR="006018AA" w:rsidRPr="00C91EA2" w:rsidRDefault="006018AA" w:rsidP="006018AA">
      <w:pPr>
        <w:jc w:val="both"/>
        <w:rPr>
          <w:rFonts w:ascii="Times New Roman" w:hAnsi="Times New Roman" w:cs="Times New Roman"/>
        </w:rPr>
      </w:pPr>
    </w:p>
    <w:p w14:paraId="49A9017B"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Typically, in countries that have adopted the calling party pay system, the regulation of termination tariffs has often led to anticompetitive practices downstream at the retail level</w:t>
      </w:r>
      <w:r w:rsidRPr="00C91EA2">
        <w:rPr>
          <w:rFonts w:ascii="Times New Roman" w:hAnsi="Times New Roman" w:cs="Times New Roman"/>
        </w:rPr>
        <w:t>. This is so because the dominant operator can benefit from “club effects</w:t>
      </w:r>
      <w:r>
        <w:rPr>
          <w:rFonts w:ascii="Times New Roman" w:hAnsi="Times New Roman" w:cs="Times New Roman"/>
        </w:rPr>
        <w:t>,</w:t>
      </w:r>
      <w:r w:rsidRPr="00C91EA2">
        <w:rPr>
          <w:rFonts w:ascii="Times New Roman" w:hAnsi="Times New Roman" w:cs="Times New Roman"/>
        </w:rPr>
        <w:t xml:space="preserve">” which allow </w:t>
      </w:r>
      <w:r>
        <w:rPr>
          <w:rFonts w:ascii="Times New Roman" w:hAnsi="Times New Roman" w:cs="Times New Roman"/>
        </w:rPr>
        <w:t>it</w:t>
      </w:r>
      <w:r w:rsidRPr="00C91EA2">
        <w:rPr>
          <w:rFonts w:ascii="Times New Roman" w:hAnsi="Times New Roman" w:cs="Times New Roman"/>
        </w:rPr>
        <w:t xml:space="preserve"> to retain part of the traffic that would otherwise flow towards their competitors and to induce loyalty among its subscribers, as well as to unduly capture subscribers from its competitors. When a dominant player’s on-net calls are cheaper than off-net calls, subscribers have the incentive to call the subscribers of the same operator as well as to join the dominant operator’s network </w:t>
      </w:r>
      <w:proofErr w:type="gramStart"/>
      <w:r w:rsidRPr="00C91EA2">
        <w:rPr>
          <w:rFonts w:ascii="Times New Roman" w:hAnsi="Times New Roman" w:cs="Times New Roman"/>
        </w:rPr>
        <w:t>so as to</w:t>
      </w:r>
      <w:proofErr w:type="gramEnd"/>
      <w:r w:rsidRPr="00C91EA2">
        <w:rPr>
          <w:rFonts w:ascii="Times New Roman" w:hAnsi="Times New Roman" w:cs="Times New Roman"/>
        </w:rPr>
        <w:t xml:space="preserve"> benefit from the possibility of calling much broader subscribers at a cheaper price (a “club effect”). Hence, the on-net/off-net differentiation can have a foreclosure effect of the smaller operators.</w:t>
      </w:r>
    </w:p>
    <w:p w14:paraId="73AAB016" w14:textId="77777777" w:rsidR="006018AA" w:rsidRPr="00C91EA2" w:rsidRDefault="006018AA" w:rsidP="006018AA">
      <w:pPr>
        <w:jc w:val="both"/>
        <w:rPr>
          <w:rFonts w:ascii="Times New Roman" w:hAnsi="Times New Roman" w:cs="Times New Roman"/>
        </w:rPr>
      </w:pPr>
    </w:p>
    <w:p w14:paraId="7632251D" w14:textId="69B557D4" w:rsidR="00517BF6" w:rsidRPr="00FE2A31" w:rsidRDefault="006018AA" w:rsidP="00FE2A31">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Asymmetric mobile interconnection charges recently established based on </w:t>
      </w:r>
      <w:proofErr w:type="spellStart"/>
      <w:r w:rsidRPr="00C91EA2">
        <w:rPr>
          <w:rFonts w:ascii="Times New Roman" w:hAnsi="Times New Roman" w:cs="Times New Roman"/>
          <w:b/>
        </w:rPr>
        <w:t>S</w:t>
      </w:r>
      <w:r>
        <w:rPr>
          <w:rFonts w:ascii="Times New Roman" w:hAnsi="Times New Roman" w:cs="Times New Roman"/>
          <w:b/>
        </w:rPr>
        <w:t>onatel</w:t>
      </w:r>
      <w:r w:rsidRPr="00C91EA2">
        <w:rPr>
          <w:rFonts w:ascii="Times New Roman" w:hAnsi="Times New Roman" w:cs="Times New Roman"/>
          <w:b/>
        </w:rPr>
        <w:t>’s</w:t>
      </w:r>
      <w:proofErr w:type="spellEnd"/>
      <w:r w:rsidRPr="00C91EA2">
        <w:rPr>
          <w:rFonts w:ascii="Times New Roman" w:hAnsi="Times New Roman" w:cs="Times New Roman"/>
          <w:b/>
        </w:rPr>
        <w:t xml:space="preserve"> interconnection offer (which are not cost-based) may generate “club effects” and on/off net discrimination.</w:t>
      </w:r>
      <w:r w:rsidRPr="00C91EA2">
        <w:rPr>
          <w:rFonts w:ascii="Times New Roman" w:hAnsi="Times New Roman" w:cs="Times New Roman"/>
        </w:rPr>
        <w:t xml:space="preserve"> </w:t>
      </w:r>
      <w:r>
        <w:rPr>
          <w:rFonts w:ascii="Times New Roman" w:hAnsi="Times New Roman" w:cs="Times New Roman"/>
        </w:rPr>
        <w:t xml:space="preserve">This </w:t>
      </w:r>
      <w:r w:rsidRPr="00C91EA2">
        <w:rPr>
          <w:rFonts w:ascii="Times New Roman" w:hAnsi="Times New Roman" w:cs="Times New Roman"/>
        </w:rPr>
        <w:t>is</w:t>
      </w:r>
      <w:r>
        <w:rPr>
          <w:rFonts w:ascii="Times New Roman" w:hAnsi="Times New Roman" w:cs="Times New Roman"/>
        </w:rPr>
        <w:t xml:space="preserve"> due to</w:t>
      </w:r>
      <w:r w:rsidRPr="00C91EA2">
        <w:rPr>
          <w:rFonts w:ascii="Times New Roman" w:hAnsi="Times New Roman" w:cs="Times New Roman"/>
        </w:rPr>
        <w:t xml:space="preserve"> an asymmetry between on</w:t>
      </w:r>
      <w:r w:rsidR="006C7CF0">
        <w:rPr>
          <w:rFonts w:ascii="Times New Roman" w:hAnsi="Times New Roman" w:cs="Times New Roman"/>
        </w:rPr>
        <w:t>-</w:t>
      </w:r>
      <w:r w:rsidRPr="00C91EA2">
        <w:rPr>
          <w:rFonts w:ascii="Times New Roman" w:hAnsi="Times New Roman" w:cs="Times New Roman"/>
        </w:rPr>
        <w:t xml:space="preserve"> and off-net traffic, which is beneficial to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This </w:t>
      </w:r>
      <w:r>
        <w:rPr>
          <w:rFonts w:ascii="Times New Roman" w:hAnsi="Times New Roman" w:cs="Times New Roman"/>
        </w:rPr>
        <w:t xml:space="preserve">asymmetry </w:t>
      </w:r>
      <w:r w:rsidRPr="00C91EA2">
        <w:rPr>
          <w:rFonts w:ascii="Times New Roman" w:hAnsi="Times New Roman" w:cs="Times New Roman"/>
        </w:rPr>
        <w:t xml:space="preserve">means that, for an identical termination charge,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receives a higher return from its competitors than vice versa. </w:t>
      </w:r>
    </w:p>
    <w:p w14:paraId="7CC6C3BD" w14:textId="77777777" w:rsidR="006018AA" w:rsidRPr="00C91EA2" w:rsidRDefault="006018AA" w:rsidP="006018AA">
      <w:pPr>
        <w:jc w:val="both"/>
        <w:rPr>
          <w:rFonts w:ascii="Times New Roman" w:hAnsi="Times New Roman" w:cs="Times New Roman"/>
        </w:rPr>
      </w:pPr>
    </w:p>
    <w:p w14:paraId="705033C0" w14:textId="35B2562B"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Only an operator with market power can profitably implement such tariff differentiation strategies, which can take multiple forms</w:t>
      </w:r>
      <w:r w:rsidRPr="00C91EA2">
        <w:rPr>
          <w:rFonts w:ascii="Times New Roman" w:hAnsi="Times New Roman" w:cs="Times New Roman"/>
        </w:rPr>
        <w:t xml:space="preserve">, including: unlimited calls, packages limited to calls for other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subscribers, tariff differentiation between on</w:t>
      </w:r>
      <w:r w:rsidR="006C7CF0">
        <w:rPr>
          <w:rFonts w:ascii="Times New Roman" w:hAnsi="Times New Roman" w:cs="Times New Roman"/>
        </w:rPr>
        <w:t>-</w:t>
      </w:r>
      <w:r w:rsidRPr="00C91EA2">
        <w:rPr>
          <w:rFonts w:ascii="Times New Roman" w:hAnsi="Times New Roman" w:cs="Times New Roman"/>
        </w:rPr>
        <w:t xml:space="preserve"> and off-net which are not proportional to the costs of wholesale tariffs, etc.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has engaged in virtually </w:t>
      </w:r>
      <w:proofErr w:type="gramStart"/>
      <w:r w:rsidRPr="00C91EA2">
        <w:rPr>
          <w:rFonts w:ascii="Times New Roman" w:hAnsi="Times New Roman" w:cs="Times New Roman"/>
        </w:rPr>
        <w:t>all of</w:t>
      </w:r>
      <w:proofErr w:type="gramEnd"/>
      <w:r w:rsidRPr="00C91EA2">
        <w:rPr>
          <w:rFonts w:ascii="Times New Roman" w:hAnsi="Times New Roman" w:cs="Times New Roman"/>
        </w:rPr>
        <w:t xml:space="preserve"> these strategies in Senegal. These practices are not specific only to the Senegalese markets. Orange has already been convicted for engaging in similar anticompetitive practices in France</w:t>
      </w:r>
      <w:r w:rsidRPr="00C91EA2">
        <w:rPr>
          <w:rStyle w:val="FootnoteReference"/>
          <w:rFonts w:ascii="Times New Roman" w:hAnsi="Times New Roman" w:cs="Times New Roman"/>
        </w:rPr>
        <w:footnoteReference w:id="232"/>
      </w:r>
      <w:r w:rsidRPr="00C91EA2">
        <w:rPr>
          <w:rFonts w:ascii="Times New Roman" w:hAnsi="Times New Roman" w:cs="Times New Roman"/>
        </w:rPr>
        <w:t xml:space="preserve"> </w:t>
      </w:r>
      <w:proofErr w:type="gramStart"/>
      <w:r w:rsidRPr="00C91EA2">
        <w:rPr>
          <w:rFonts w:ascii="Times New Roman" w:hAnsi="Times New Roman" w:cs="Times New Roman"/>
        </w:rPr>
        <w:t>and also</w:t>
      </w:r>
      <w:proofErr w:type="gramEnd"/>
      <w:r w:rsidRPr="00C91EA2">
        <w:rPr>
          <w:rFonts w:ascii="Times New Roman" w:hAnsi="Times New Roman" w:cs="Times New Roman"/>
        </w:rPr>
        <w:t xml:space="preserve"> </w:t>
      </w:r>
      <w:r w:rsidR="006C7CF0">
        <w:rPr>
          <w:rFonts w:ascii="Times New Roman" w:hAnsi="Times New Roman" w:cs="Times New Roman"/>
        </w:rPr>
        <w:t>lodged complaints</w:t>
      </w:r>
      <w:r w:rsidR="006C7CF0" w:rsidRPr="00C91EA2">
        <w:rPr>
          <w:rFonts w:ascii="Times New Roman" w:hAnsi="Times New Roman" w:cs="Times New Roman"/>
        </w:rPr>
        <w:t xml:space="preserve"> </w:t>
      </w:r>
      <w:r w:rsidRPr="00C91EA2">
        <w:rPr>
          <w:rFonts w:ascii="Times New Roman" w:hAnsi="Times New Roman" w:cs="Times New Roman"/>
        </w:rPr>
        <w:t>against dominant players to the French Competition Council in two instances.</w:t>
      </w:r>
      <w:r w:rsidRPr="00C91EA2">
        <w:rPr>
          <w:rStyle w:val="FootnoteReference"/>
          <w:rFonts w:ascii="Times New Roman" w:hAnsi="Times New Roman" w:cs="Times New Roman"/>
        </w:rPr>
        <w:footnoteReference w:id="233"/>
      </w:r>
      <w:r w:rsidRPr="00C91EA2">
        <w:rPr>
          <w:rFonts w:ascii="Times New Roman" w:hAnsi="Times New Roman" w:cs="Times New Roman"/>
        </w:rPr>
        <w:t xml:space="preserve"> </w:t>
      </w:r>
    </w:p>
    <w:p w14:paraId="4FDE43F6" w14:textId="77777777" w:rsidR="006018AA" w:rsidRPr="00C91EA2" w:rsidRDefault="006018AA" w:rsidP="006018AA">
      <w:pPr>
        <w:jc w:val="both"/>
        <w:rPr>
          <w:rFonts w:ascii="Times New Roman" w:hAnsi="Times New Roman" w:cs="Times New Roman"/>
        </w:rPr>
      </w:pPr>
    </w:p>
    <w:p w14:paraId="1CE20DE9" w14:textId="15A08C4F" w:rsidR="00F4327A" w:rsidRPr="00321B16" w:rsidRDefault="006018AA" w:rsidP="00321B16">
      <w:pPr>
        <w:pStyle w:val="ListParagraph"/>
        <w:numPr>
          <w:ilvl w:val="0"/>
          <w:numId w:val="71"/>
        </w:numPr>
        <w:ind w:left="0" w:firstLine="0"/>
        <w:jc w:val="both"/>
        <w:rPr>
          <w:rFonts w:ascii="Times New Roman" w:hAnsi="Times New Roman" w:cs="Times New Roman"/>
        </w:rPr>
      </w:pPr>
      <w:r w:rsidRPr="00D81F13">
        <w:rPr>
          <w:rFonts w:ascii="Times New Roman" w:hAnsi="Times New Roman" w:cs="Times New Roman"/>
          <w:b/>
        </w:rPr>
        <w:t>ARTP took steps to tackle the on-net/off-net differentiation strategies through asymmetric regulation of termination charges at the wholesale level</w:t>
      </w:r>
      <w:r w:rsidRPr="00D81F13">
        <w:rPr>
          <w:rFonts w:ascii="Times New Roman" w:hAnsi="Times New Roman" w:cs="Times New Roman"/>
        </w:rPr>
        <w:t xml:space="preserve">. </w:t>
      </w:r>
      <w:r w:rsidR="00321B16" w:rsidRPr="00105B4B">
        <w:rPr>
          <w:rFonts w:ascii="Times New Roman" w:hAnsi="Times New Roman" w:cs="Times New Roman"/>
        </w:rPr>
        <w:t xml:space="preserve">ARTP is expected to lower the termination rates to mitigate the club effects which currently favor </w:t>
      </w:r>
      <w:proofErr w:type="spellStart"/>
      <w:r w:rsidR="00321B16" w:rsidRPr="00105B4B">
        <w:rPr>
          <w:rFonts w:ascii="Times New Roman" w:hAnsi="Times New Roman" w:cs="Times New Roman"/>
        </w:rPr>
        <w:t>Sonatel’s</w:t>
      </w:r>
      <w:proofErr w:type="spellEnd"/>
      <w:r w:rsidR="00321B16" w:rsidRPr="00105B4B">
        <w:rPr>
          <w:rFonts w:ascii="Times New Roman" w:hAnsi="Times New Roman" w:cs="Times New Roman"/>
        </w:rPr>
        <w:t xml:space="preserve"> network and increase the risks of anticompetitive behavior. </w:t>
      </w:r>
      <w:r w:rsidR="00321B16" w:rsidRPr="00FE00E4">
        <w:rPr>
          <w:rFonts w:ascii="Times New Roman" w:hAnsi="Times New Roman" w:cs="Times New Roman"/>
        </w:rPr>
        <w:t>Going forward, it will be important that these policy changes be disseminated to make them truly effective.</w:t>
      </w:r>
      <w:r w:rsidR="00321B16">
        <w:rPr>
          <w:rFonts w:ascii="Times New Roman" w:hAnsi="Times New Roman" w:cs="Times New Roman"/>
        </w:rPr>
        <w:t xml:space="preserve"> </w:t>
      </w:r>
      <w:r w:rsidRPr="00D81F13">
        <w:rPr>
          <w:rFonts w:ascii="Times New Roman" w:hAnsi="Times New Roman" w:cs="Times New Roman"/>
        </w:rPr>
        <w:t xml:space="preserve">However, if regulators either fail to set mobile termination rates that reflect the actual costs of mobile termination or do not consider the incentives that an MNO such as </w:t>
      </w:r>
      <w:proofErr w:type="spellStart"/>
      <w:r w:rsidRPr="00D81F13">
        <w:rPr>
          <w:rFonts w:ascii="Times New Roman" w:hAnsi="Times New Roman" w:cs="Times New Roman"/>
        </w:rPr>
        <w:t>Sonatel</w:t>
      </w:r>
      <w:proofErr w:type="spellEnd"/>
      <w:r w:rsidRPr="00D81F13">
        <w:rPr>
          <w:rFonts w:ascii="Times New Roman" w:hAnsi="Times New Roman" w:cs="Times New Roman"/>
        </w:rPr>
        <w:t xml:space="preserve"> might have to persist in a strategy of above cost off-net price, then a </w:t>
      </w:r>
      <w:r w:rsidR="00D81F13" w:rsidRPr="00D81F13">
        <w:rPr>
          <w:rFonts w:ascii="Times New Roman" w:hAnsi="Times New Roman" w:cs="Times New Roman"/>
        </w:rPr>
        <w:t xml:space="preserve">mere </w:t>
      </w:r>
      <w:r w:rsidRPr="00D81F13">
        <w:rPr>
          <w:rFonts w:ascii="Times New Roman" w:hAnsi="Times New Roman" w:cs="Times New Roman"/>
        </w:rPr>
        <w:t xml:space="preserve">wholesale regulatory decision </w:t>
      </w:r>
      <w:r w:rsidR="00D81F13" w:rsidRPr="00D81F13">
        <w:rPr>
          <w:rFonts w:ascii="Times New Roman" w:hAnsi="Times New Roman" w:cs="Times New Roman"/>
        </w:rPr>
        <w:t>might fail to address on-net/off-net price differentials</w:t>
      </w:r>
      <w:r w:rsidR="00D81F13">
        <w:rPr>
          <w:rFonts w:ascii="Times New Roman" w:hAnsi="Times New Roman" w:cs="Times New Roman"/>
        </w:rPr>
        <w:t xml:space="preserve">. In such case, the wholesale intervention should be </w:t>
      </w:r>
      <w:r w:rsidRPr="00D81F13">
        <w:rPr>
          <w:rFonts w:ascii="Times New Roman" w:hAnsi="Times New Roman" w:cs="Times New Roman"/>
        </w:rPr>
        <w:t xml:space="preserve">coupled with an intervention at the retail level </w:t>
      </w:r>
      <w:proofErr w:type="gramStart"/>
      <w:r w:rsidR="00D81F13">
        <w:rPr>
          <w:rFonts w:ascii="Times New Roman" w:hAnsi="Times New Roman" w:cs="Times New Roman"/>
        </w:rPr>
        <w:t>in order to</w:t>
      </w:r>
      <w:proofErr w:type="gramEnd"/>
      <w:r w:rsidR="00D81F13">
        <w:rPr>
          <w:rFonts w:ascii="Times New Roman" w:hAnsi="Times New Roman" w:cs="Times New Roman"/>
        </w:rPr>
        <w:t xml:space="preserve"> </w:t>
      </w:r>
      <w:r w:rsidRPr="00D81F13">
        <w:rPr>
          <w:rFonts w:ascii="Times New Roman" w:hAnsi="Times New Roman" w:cs="Times New Roman"/>
        </w:rPr>
        <w:t>be ineffective</w:t>
      </w:r>
      <w:r w:rsidR="00321B16">
        <w:rPr>
          <w:rFonts w:ascii="Times New Roman" w:hAnsi="Times New Roman" w:cs="Times New Roman"/>
        </w:rPr>
        <w:t>.</w:t>
      </w:r>
      <w:r w:rsidR="00102EC6" w:rsidRPr="00102EC6">
        <w:rPr>
          <w:rFonts w:ascii="Times New Roman" w:hAnsi="Times New Roman" w:cs="Times New Roman"/>
        </w:rPr>
        <w:t xml:space="preserve"> </w:t>
      </w:r>
      <w:r w:rsidRPr="00321B16">
        <w:rPr>
          <w:rFonts w:ascii="Times New Roman" w:hAnsi="Times New Roman" w:cs="Times New Roman"/>
        </w:rPr>
        <w:t>In Kenya, for example, the Communications Authority adopted in 2010 a rule requiring dominant providers to implement a price cap for off-net call prices to the level of their on-net prices. By adopting a combined wholesale and retail regulatory strategy, the CA managed to effectively tackle the “club effects” in a market with persistent high percentages of on-net traffic, significant asymmetries between MNOs, and a dominant operator committed to such differentiatio</w:t>
      </w:r>
      <w:r w:rsidRPr="002A5764">
        <w:rPr>
          <w:rFonts w:ascii="Times New Roman" w:hAnsi="Times New Roman" w:cs="Times New Roman"/>
        </w:rPr>
        <w:t>n strategies.</w:t>
      </w:r>
      <w:r w:rsidRPr="00C91EA2">
        <w:rPr>
          <w:rStyle w:val="FootnoteReference"/>
          <w:rFonts w:ascii="Times New Roman" w:hAnsi="Times New Roman" w:cs="Times New Roman"/>
        </w:rPr>
        <w:footnoteReference w:id="234"/>
      </w:r>
    </w:p>
    <w:p w14:paraId="273C5972" w14:textId="77777777" w:rsidR="006018AA" w:rsidRPr="00C91EA2" w:rsidRDefault="006018AA" w:rsidP="006018AA">
      <w:pPr>
        <w:pStyle w:val="Heading4"/>
        <w:rPr>
          <w:rFonts w:ascii="Times New Roman" w:hAnsi="Times New Roman" w:cs="Times New Roman"/>
        </w:rPr>
      </w:pPr>
      <w:r w:rsidRPr="00C91EA2">
        <w:rPr>
          <w:rFonts w:ascii="Times New Roman" w:hAnsi="Times New Roman" w:cs="Times New Roman"/>
        </w:rPr>
        <w:t>Lack of framework to promote entry by facilities-based competitors</w:t>
      </w:r>
    </w:p>
    <w:p w14:paraId="51402DEC" w14:textId="77777777" w:rsidR="006018AA" w:rsidRPr="00C91EA2" w:rsidRDefault="006018AA" w:rsidP="006018AA">
      <w:pPr>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6018AA" w:rsidRPr="00C91EA2" w14:paraId="5AA77ACD" w14:textId="77777777" w:rsidTr="00960DD3">
        <w:trPr>
          <w:trHeight w:val="253"/>
        </w:trPr>
        <w:tc>
          <w:tcPr>
            <w:tcW w:w="8605" w:type="dxa"/>
          </w:tcPr>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1"/>
            </w:tblGrid>
            <w:tr w:rsidR="006018AA" w:rsidRPr="00C91EA2" w14:paraId="6735DD7D" w14:textId="77777777" w:rsidTr="00960DD3">
              <w:trPr>
                <w:trHeight w:val="253"/>
              </w:trPr>
              <w:tc>
                <w:tcPr>
                  <w:tcW w:w="8361" w:type="dxa"/>
                  <w:hideMark/>
                </w:tcPr>
                <w:p w14:paraId="262EA9D3" w14:textId="26B2A183" w:rsidR="006018AA" w:rsidRPr="00C91EA2" w:rsidRDefault="006018AA" w:rsidP="00FA09FE">
                  <w:pPr>
                    <w:pStyle w:val="Caption"/>
                    <w:keepNext/>
                    <w:jc w:val="both"/>
                    <w:rPr>
                      <w:rFonts w:ascii="Times New Roman" w:hAnsi="Times New Roman"/>
                    </w:rPr>
                  </w:pPr>
                  <w:bookmarkStart w:id="311" w:name="_Toc520725630"/>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74</w:t>
                  </w:r>
                  <w:r w:rsidR="00D91B27">
                    <w:rPr>
                      <w:rFonts w:ascii="Times New Roman" w:hAnsi="Times New Roman"/>
                    </w:rPr>
                    <w:fldChar w:fldCharType="end"/>
                  </w:r>
                  <w:r w:rsidRPr="00C91EA2">
                    <w:rPr>
                      <w:rFonts w:ascii="Times New Roman" w:hAnsi="Times New Roman"/>
                    </w:rPr>
                    <w:t>: Restrictions on facilities-based competition</w:t>
                  </w:r>
                  <w:bookmarkEnd w:id="311"/>
                </w:p>
              </w:tc>
            </w:tr>
          </w:tbl>
          <w:p w14:paraId="187EFC73" w14:textId="77777777" w:rsidR="006018AA" w:rsidRPr="00C91EA2" w:rsidRDefault="006018AA" w:rsidP="00FA09FE">
            <w:pPr>
              <w:rPr>
                <w:rFonts w:ascii="Times New Roman" w:hAnsi="Times New Roman" w:cs="Times New Roman"/>
              </w:rPr>
            </w:pPr>
          </w:p>
        </w:tc>
      </w:tr>
      <w:tr w:rsidR="006018AA" w:rsidRPr="00C91EA2" w14:paraId="4E2BD491" w14:textId="77777777" w:rsidTr="00960DD3">
        <w:trPr>
          <w:trHeight w:val="4573"/>
        </w:trPr>
        <w:tc>
          <w:tcPr>
            <w:tcW w:w="8605" w:type="dxa"/>
          </w:tcPr>
          <w:p w14:paraId="661EFF0F" w14:textId="77777777" w:rsidR="006018AA" w:rsidRPr="00C91EA2" w:rsidRDefault="00A676AB" w:rsidP="00FA09FE">
            <w:pPr>
              <w:rPr>
                <w:rFonts w:ascii="Times New Roman" w:hAnsi="Times New Roman" w:cs="Times New Roman"/>
              </w:rPr>
            </w:pPr>
            <w:r w:rsidRPr="00A676AB">
              <w:rPr>
                <w:rFonts w:ascii="Times New Roman" w:hAnsi="Times New Roman" w:cs="Times New Roman"/>
                <w:noProof/>
              </w:rPr>
              <w:drawing>
                <wp:inline distT="0" distB="0" distL="0" distR="0" wp14:anchorId="181337F8" wp14:editId="6112DACC">
                  <wp:extent cx="5419725" cy="298498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19725" cy="2984989"/>
                          </a:xfrm>
                          <a:prstGeom prst="rect">
                            <a:avLst/>
                          </a:prstGeom>
                        </pic:spPr>
                      </pic:pic>
                    </a:graphicData>
                  </a:graphic>
                </wp:inline>
              </w:drawing>
            </w:r>
          </w:p>
        </w:tc>
      </w:tr>
    </w:tbl>
    <w:p w14:paraId="3CFC006C" w14:textId="77777777" w:rsidR="00402578" w:rsidRDefault="00402578" w:rsidP="006018AA">
      <w:pPr>
        <w:rPr>
          <w:rFonts w:ascii="Times New Roman" w:hAnsi="Times New Roman" w:cs="Times New Roman"/>
          <w:sz w:val="20"/>
          <w:szCs w:val="20"/>
        </w:rPr>
      </w:pPr>
    </w:p>
    <w:p w14:paraId="02868AA8" w14:textId="66DCBAED" w:rsidR="006018AA" w:rsidRPr="007575D7" w:rsidRDefault="007F3E5A" w:rsidP="006018AA">
      <w:pPr>
        <w:rPr>
          <w:rFonts w:ascii="Times New Roman" w:hAnsi="Times New Roman" w:cs="Times New Roman"/>
          <w:sz w:val="20"/>
          <w:szCs w:val="20"/>
        </w:rPr>
      </w:pPr>
      <w:r w:rsidRPr="007575D7">
        <w:rPr>
          <w:rFonts w:ascii="Times New Roman" w:hAnsi="Times New Roman" w:cs="Times New Roman"/>
          <w:sz w:val="20"/>
          <w:szCs w:val="20"/>
        </w:rPr>
        <w:t>Source: Authors’ elaboration.</w:t>
      </w:r>
    </w:p>
    <w:p w14:paraId="7D5969CD" w14:textId="77777777" w:rsidR="007F3E5A" w:rsidRPr="00C91EA2" w:rsidRDefault="007F3E5A" w:rsidP="006018AA">
      <w:pPr>
        <w:rPr>
          <w:rFonts w:ascii="Times New Roman" w:hAnsi="Times New Roman" w:cs="Times New Roman"/>
        </w:rPr>
      </w:pPr>
    </w:p>
    <w:p w14:paraId="7E82098C" w14:textId="77777777" w:rsidR="006018AA" w:rsidRPr="00045BB4" w:rsidRDefault="006018AA" w:rsidP="006018AA">
      <w:pPr>
        <w:pStyle w:val="Heading5"/>
        <w:rPr>
          <w:rFonts w:ascii="Times New Roman" w:hAnsi="Times New Roman" w:cs="Times New Roman"/>
          <w:sz w:val="24"/>
          <w:szCs w:val="24"/>
        </w:rPr>
      </w:pPr>
      <w:r w:rsidRPr="007F5791">
        <w:rPr>
          <w:rFonts w:ascii="Times New Roman" w:hAnsi="Times New Roman" w:cs="Times New Roman"/>
          <w:sz w:val="24"/>
          <w:szCs w:val="24"/>
        </w:rPr>
        <w:t>La</w:t>
      </w:r>
      <w:r w:rsidRPr="00383625">
        <w:rPr>
          <w:rFonts w:ascii="Times New Roman" w:hAnsi="Times New Roman" w:cs="Times New Roman"/>
          <w:sz w:val="24"/>
          <w:szCs w:val="24"/>
        </w:rPr>
        <w:t xml:space="preserve">ck of </w:t>
      </w:r>
      <w:r w:rsidRPr="00693AF8">
        <w:rPr>
          <w:rFonts w:ascii="Times New Roman" w:hAnsi="Times New Roman" w:cs="Times New Roman"/>
          <w:sz w:val="24"/>
          <w:szCs w:val="24"/>
        </w:rPr>
        <w:t xml:space="preserve">effectiveness of </w:t>
      </w:r>
      <w:r>
        <w:rPr>
          <w:rFonts w:ascii="Times New Roman" w:hAnsi="Times New Roman" w:cs="Times New Roman"/>
          <w:sz w:val="24"/>
          <w:szCs w:val="24"/>
        </w:rPr>
        <w:t xml:space="preserve">the </w:t>
      </w:r>
      <w:r w:rsidRPr="00693AF8">
        <w:rPr>
          <w:rFonts w:ascii="Times New Roman" w:hAnsi="Times New Roman" w:cs="Times New Roman"/>
          <w:sz w:val="24"/>
          <w:szCs w:val="24"/>
        </w:rPr>
        <w:t xml:space="preserve">infrastructure sharing </w:t>
      </w:r>
      <w:r w:rsidRPr="007F5791">
        <w:rPr>
          <w:rFonts w:ascii="Times New Roman" w:hAnsi="Times New Roman" w:cs="Times New Roman"/>
          <w:sz w:val="24"/>
          <w:szCs w:val="24"/>
        </w:rPr>
        <w:t xml:space="preserve">framework </w:t>
      </w:r>
      <w:r w:rsidRPr="00693AF8">
        <w:rPr>
          <w:rFonts w:ascii="Times New Roman" w:hAnsi="Times New Roman" w:cs="Times New Roman"/>
          <w:sz w:val="24"/>
          <w:szCs w:val="24"/>
        </w:rPr>
        <w:t xml:space="preserve">in </w:t>
      </w:r>
      <w:r w:rsidRPr="007F5791">
        <w:rPr>
          <w:rFonts w:ascii="Times New Roman" w:hAnsi="Times New Roman" w:cs="Times New Roman"/>
          <w:sz w:val="24"/>
          <w:szCs w:val="24"/>
        </w:rPr>
        <w:t>promot</w:t>
      </w:r>
      <w:r w:rsidRPr="00693AF8">
        <w:rPr>
          <w:rFonts w:ascii="Times New Roman" w:hAnsi="Times New Roman" w:cs="Times New Roman"/>
          <w:sz w:val="24"/>
          <w:szCs w:val="24"/>
        </w:rPr>
        <w:t xml:space="preserve">ing access </w:t>
      </w:r>
      <w:r>
        <w:rPr>
          <w:rFonts w:ascii="Times New Roman" w:hAnsi="Times New Roman" w:cs="Times New Roman"/>
          <w:sz w:val="24"/>
          <w:szCs w:val="24"/>
        </w:rPr>
        <w:t xml:space="preserve">and deployment of </w:t>
      </w:r>
      <w:r w:rsidRPr="00383625">
        <w:rPr>
          <w:rFonts w:ascii="Times New Roman" w:hAnsi="Times New Roman" w:cs="Times New Roman"/>
          <w:sz w:val="24"/>
          <w:szCs w:val="24"/>
        </w:rPr>
        <w:t xml:space="preserve">infrastructure </w:t>
      </w:r>
    </w:p>
    <w:p w14:paraId="5DB53ABE" w14:textId="77777777" w:rsidR="006018AA" w:rsidRPr="00C91EA2" w:rsidRDefault="006018AA" w:rsidP="006018AA">
      <w:pPr>
        <w:jc w:val="both"/>
        <w:rPr>
          <w:rFonts w:ascii="Times New Roman" w:hAnsi="Times New Roman" w:cs="Times New Roman"/>
          <w:b/>
        </w:rPr>
      </w:pPr>
    </w:p>
    <w:p w14:paraId="0C9B77BF" w14:textId="008DFEDB"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Senegalese telecom regulatory framework </w:t>
      </w:r>
      <w:r w:rsidR="00784BA8">
        <w:rPr>
          <w:rFonts w:ascii="Times New Roman" w:hAnsi="Times New Roman" w:cs="Times New Roman"/>
          <w:b/>
        </w:rPr>
        <w:t xml:space="preserve">does not provide for </w:t>
      </w:r>
      <w:r w:rsidRPr="00C91EA2">
        <w:rPr>
          <w:rFonts w:ascii="Times New Roman" w:hAnsi="Times New Roman" w:cs="Times New Roman"/>
          <w:b/>
        </w:rPr>
        <w:t xml:space="preserve">a well-defined approach </w:t>
      </w:r>
      <w:r w:rsidR="00654A6B">
        <w:rPr>
          <w:rFonts w:ascii="Times New Roman" w:hAnsi="Times New Roman" w:cs="Times New Roman"/>
          <w:b/>
        </w:rPr>
        <w:t>to identify</w:t>
      </w:r>
      <w:r w:rsidRPr="00C91EA2">
        <w:rPr>
          <w:rFonts w:ascii="Times New Roman" w:hAnsi="Times New Roman" w:cs="Times New Roman"/>
          <w:b/>
        </w:rPr>
        <w:t xml:space="preserve"> essential facilities (non-replicable assets) and </w:t>
      </w:r>
      <w:r w:rsidR="00654A6B">
        <w:rPr>
          <w:rFonts w:ascii="Times New Roman" w:hAnsi="Times New Roman" w:cs="Times New Roman"/>
          <w:b/>
        </w:rPr>
        <w:t>to allow</w:t>
      </w:r>
      <w:r w:rsidRPr="00C91EA2">
        <w:rPr>
          <w:rFonts w:ascii="Times New Roman" w:hAnsi="Times New Roman" w:cs="Times New Roman"/>
          <w:b/>
        </w:rPr>
        <w:t xml:space="preserve"> access to those </w:t>
      </w:r>
      <w:r w:rsidR="00654A6B">
        <w:rPr>
          <w:rFonts w:ascii="Times New Roman" w:hAnsi="Times New Roman" w:cs="Times New Roman"/>
          <w:b/>
        </w:rPr>
        <w:t>facilities</w:t>
      </w:r>
      <w:r w:rsidR="00654A6B" w:rsidRPr="00C91EA2">
        <w:rPr>
          <w:rFonts w:ascii="Times New Roman" w:hAnsi="Times New Roman" w:cs="Times New Roman"/>
          <w:b/>
        </w:rPr>
        <w:t xml:space="preserve"> </w:t>
      </w:r>
      <w:r w:rsidRPr="00C91EA2">
        <w:rPr>
          <w:rFonts w:ascii="Times New Roman" w:hAnsi="Times New Roman" w:cs="Times New Roman"/>
          <w:b/>
        </w:rPr>
        <w:t xml:space="preserve">by competitors on a fair and non-discriminatory basis. </w:t>
      </w:r>
      <w:r w:rsidRPr="00C91EA2">
        <w:rPr>
          <w:rFonts w:ascii="Times New Roman" w:hAnsi="Times New Roman" w:cs="Times New Roman"/>
        </w:rPr>
        <w:t xml:space="preserve">This access to essential facilities is paramount in the telecom sector because the dominant operator controls access to certain infrastructures and assets that are essential for competitors to provide services in the market. These essential facilities are also known as </w:t>
      </w:r>
      <w:r w:rsidR="00517BF6">
        <w:rPr>
          <w:rFonts w:ascii="Times New Roman" w:hAnsi="Times New Roman" w:cs="Times New Roman"/>
        </w:rPr>
        <w:t>“</w:t>
      </w:r>
      <w:r w:rsidRPr="00C91EA2">
        <w:rPr>
          <w:rFonts w:ascii="Times New Roman" w:hAnsi="Times New Roman" w:cs="Times New Roman"/>
        </w:rPr>
        <w:t>non-replicable assets</w:t>
      </w:r>
      <w:r w:rsidR="00517BF6">
        <w:rPr>
          <w:rFonts w:ascii="Times New Roman" w:hAnsi="Times New Roman" w:cs="Times New Roman"/>
        </w:rPr>
        <w:t>”</w:t>
      </w:r>
      <w:r w:rsidRPr="00C91EA2">
        <w:rPr>
          <w:rFonts w:ascii="Times New Roman" w:hAnsi="Times New Roman" w:cs="Times New Roman"/>
        </w:rPr>
        <w:t xml:space="preserve"> because the costs of duplicating cannot be justified by any reasonable business </w:t>
      </w:r>
      <w:r w:rsidR="004F677F">
        <w:rPr>
          <w:rFonts w:ascii="Times New Roman" w:hAnsi="Times New Roman" w:cs="Times New Roman"/>
        </w:rPr>
        <w:t>plan</w:t>
      </w:r>
      <w:r w:rsidR="004F677F" w:rsidRPr="00C91EA2">
        <w:rPr>
          <w:rFonts w:ascii="Times New Roman" w:hAnsi="Times New Roman" w:cs="Times New Roman"/>
        </w:rPr>
        <w:t xml:space="preserve"> </w:t>
      </w:r>
      <w:r w:rsidRPr="00C91EA2">
        <w:rPr>
          <w:rFonts w:ascii="Times New Roman" w:hAnsi="Times New Roman" w:cs="Times New Roman"/>
        </w:rPr>
        <w:t>or because there is no public will to see multiple physical networks serving the same purpose. Hence, they are often subject to ex ante regulation that ensures all operators can access them on a level playing field.</w:t>
      </w:r>
      <w:r w:rsidRPr="00C91EA2">
        <w:rPr>
          <w:rStyle w:val="FootnoteReference"/>
          <w:rFonts w:ascii="Times New Roman" w:hAnsi="Times New Roman" w:cs="Times New Roman"/>
        </w:rPr>
        <w:footnoteReference w:id="235"/>
      </w:r>
      <w:r w:rsidRPr="00C91EA2">
        <w:rPr>
          <w:rFonts w:ascii="Times New Roman" w:hAnsi="Times New Roman" w:cs="Times New Roman"/>
        </w:rPr>
        <w:t xml:space="preserve"> </w:t>
      </w:r>
      <w:r w:rsidR="00517BF6">
        <w:rPr>
          <w:rFonts w:ascii="Times New Roman" w:hAnsi="Times New Roman" w:cs="Times New Roman"/>
        </w:rPr>
        <w:t xml:space="preserve">Furthermore, as explained above, since the </w:t>
      </w:r>
      <w:r w:rsidRPr="00C91EA2">
        <w:rPr>
          <w:rFonts w:ascii="Times New Roman" w:hAnsi="Times New Roman" w:cs="Times New Roman"/>
        </w:rPr>
        <w:t xml:space="preserve">incumbent has the incentive and the ability to discriminate in favor of </w:t>
      </w:r>
      <w:r w:rsidR="00517BF6">
        <w:rPr>
          <w:rFonts w:ascii="Times New Roman" w:hAnsi="Times New Roman" w:cs="Times New Roman"/>
        </w:rPr>
        <w:t xml:space="preserve">its </w:t>
      </w:r>
      <w:r w:rsidRPr="00C91EA2">
        <w:rPr>
          <w:rFonts w:ascii="Times New Roman" w:hAnsi="Times New Roman" w:cs="Times New Roman"/>
        </w:rPr>
        <w:t>vertically integrated subsidiaries through control of these non-replicable assets, further regulatory intervention may be necessary to require a transparent separation between the parts of the incumbent controlling the bottleneck assets and the other divisions</w:t>
      </w:r>
      <w:r w:rsidR="00D81F13">
        <w:rPr>
          <w:rFonts w:ascii="Times New Roman" w:hAnsi="Times New Roman" w:cs="Times New Roman"/>
        </w:rPr>
        <w:t>.</w:t>
      </w:r>
    </w:p>
    <w:p w14:paraId="434DA35E" w14:textId="77777777" w:rsidR="00021E5E" w:rsidRDefault="00021E5E" w:rsidP="006018AA">
      <w:pPr>
        <w:rPr>
          <w:rFonts w:ascii="Times New Roman" w:hAnsi="Times New Roman" w:cs="Times New Roman"/>
        </w:rPr>
      </w:pPr>
    </w:p>
    <w:p w14:paraId="148123D8" w14:textId="7F330E26" w:rsidR="006018AA" w:rsidRPr="00EF78E4" w:rsidRDefault="006018AA"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T</w:t>
      </w:r>
      <w:r w:rsidRPr="007F5791">
        <w:rPr>
          <w:rFonts w:ascii="Times New Roman" w:hAnsi="Times New Roman" w:cs="Times New Roman"/>
          <w:b/>
        </w:rPr>
        <w:t xml:space="preserve">he </w:t>
      </w:r>
      <w:r w:rsidR="001C1E1E">
        <w:rPr>
          <w:rFonts w:ascii="Times New Roman" w:hAnsi="Times New Roman" w:cs="Times New Roman"/>
          <w:b/>
        </w:rPr>
        <w:t>Ministry of Post and Telecommunication (</w:t>
      </w:r>
      <w:r w:rsidRPr="007F5791">
        <w:rPr>
          <w:rFonts w:ascii="Times New Roman" w:hAnsi="Times New Roman" w:cs="Times New Roman"/>
          <w:b/>
        </w:rPr>
        <w:t>MPT</w:t>
      </w:r>
      <w:r w:rsidR="001C1E1E">
        <w:rPr>
          <w:rFonts w:ascii="Times New Roman" w:hAnsi="Times New Roman" w:cs="Times New Roman"/>
          <w:b/>
        </w:rPr>
        <w:t>)</w:t>
      </w:r>
      <w:r w:rsidRPr="007F5791">
        <w:rPr>
          <w:rFonts w:ascii="Times New Roman" w:hAnsi="Times New Roman" w:cs="Times New Roman"/>
          <w:b/>
        </w:rPr>
        <w:t xml:space="preserve"> enacted a Decree </w:t>
      </w:r>
      <w:r>
        <w:rPr>
          <w:rFonts w:ascii="Times New Roman" w:hAnsi="Times New Roman" w:cs="Times New Roman"/>
          <w:b/>
        </w:rPr>
        <w:t xml:space="preserve">in 2016 </w:t>
      </w:r>
      <w:r w:rsidRPr="007F5791">
        <w:rPr>
          <w:rFonts w:ascii="Times New Roman" w:hAnsi="Times New Roman" w:cs="Times New Roman"/>
          <w:b/>
        </w:rPr>
        <w:t xml:space="preserve">establishing that a network operator </w:t>
      </w:r>
      <w:r>
        <w:rPr>
          <w:rFonts w:ascii="Times New Roman" w:hAnsi="Times New Roman" w:cs="Times New Roman"/>
          <w:b/>
        </w:rPr>
        <w:t>should respect the principles of cost-orientation, transparency and non-discrimination when it faces a request for network sharing from another operator.</w:t>
      </w:r>
      <w:r>
        <w:rPr>
          <w:rStyle w:val="FootnoteReference"/>
          <w:rFonts w:ascii="Times New Roman" w:hAnsi="Times New Roman" w:cs="Times New Roman"/>
          <w:b/>
        </w:rPr>
        <w:footnoteReference w:id="236"/>
      </w:r>
      <w:r>
        <w:rPr>
          <w:rFonts w:ascii="Times New Roman" w:hAnsi="Times New Roman" w:cs="Times New Roman"/>
          <w:b/>
        </w:rPr>
        <w:t xml:space="preserve"> </w:t>
      </w:r>
      <w:r>
        <w:rPr>
          <w:rFonts w:ascii="Times New Roman" w:hAnsi="Times New Roman" w:cs="Times New Roman"/>
        </w:rPr>
        <w:t xml:space="preserve">However, this Decree which enables the company seeking access to file a complaint before ARTP in case of unjustified refusal to share access to the infrastructure has been ineffective in countering </w:t>
      </w:r>
      <w:proofErr w:type="spellStart"/>
      <w:r>
        <w:rPr>
          <w:rFonts w:ascii="Times New Roman" w:hAnsi="Times New Roman" w:cs="Times New Roman"/>
        </w:rPr>
        <w:t>Sonatel’s</w:t>
      </w:r>
      <w:proofErr w:type="spellEnd"/>
      <w:r>
        <w:rPr>
          <w:rFonts w:ascii="Times New Roman" w:hAnsi="Times New Roman" w:cs="Times New Roman"/>
        </w:rPr>
        <w:t xml:space="preserve"> market power and in ensuring a coherent and consistent access to its network. Furthermore, the infrastructure sharing framework </w:t>
      </w:r>
      <w:r w:rsidR="00D85B60">
        <w:rPr>
          <w:rFonts w:ascii="Times New Roman" w:hAnsi="Times New Roman" w:cs="Times New Roman"/>
        </w:rPr>
        <w:t>seems to be</w:t>
      </w:r>
      <w:r>
        <w:rPr>
          <w:rFonts w:ascii="Times New Roman" w:hAnsi="Times New Roman" w:cs="Times New Roman"/>
        </w:rPr>
        <w:t xml:space="preserve"> insufficient in incentivizing </w:t>
      </w:r>
      <w:proofErr w:type="spellStart"/>
      <w:r>
        <w:rPr>
          <w:rFonts w:ascii="Times New Roman" w:hAnsi="Times New Roman" w:cs="Times New Roman"/>
        </w:rPr>
        <w:t>Sonatel’s</w:t>
      </w:r>
      <w:proofErr w:type="spellEnd"/>
      <w:r>
        <w:rPr>
          <w:rFonts w:ascii="Times New Roman" w:hAnsi="Times New Roman" w:cs="Times New Roman"/>
        </w:rPr>
        <w:t xml:space="preserve"> competitors to deploy their own infrastructure </w:t>
      </w:r>
      <w:r w:rsidR="004F677F">
        <w:rPr>
          <w:rFonts w:ascii="Times New Roman" w:hAnsi="Times New Roman" w:cs="Times New Roman"/>
        </w:rPr>
        <w:t>to become</w:t>
      </w:r>
      <w:r>
        <w:rPr>
          <w:rFonts w:ascii="Times New Roman" w:hAnsi="Times New Roman" w:cs="Times New Roman"/>
        </w:rPr>
        <w:t xml:space="preserve"> facilities-based competitors.</w:t>
      </w:r>
    </w:p>
    <w:p w14:paraId="3948CF04" w14:textId="77777777" w:rsidR="006018AA" w:rsidRPr="00C91EA2" w:rsidRDefault="006018AA" w:rsidP="006018AA">
      <w:pPr>
        <w:rPr>
          <w:rFonts w:ascii="Times New Roman" w:hAnsi="Times New Roman" w:cs="Times New Roman"/>
        </w:rPr>
      </w:pPr>
    </w:p>
    <w:p w14:paraId="393A931C" w14:textId="77777777" w:rsidR="006018AA" w:rsidRPr="00045BB4" w:rsidRDefault="006018AA" w:rsidP="006018AA">
      <w:pPr>
        <w:pStyle w:val="Heading5"/>
        <w:jc w:val="both"/>
        <w:rPr>
          <w:rFonts w:ascii="Times New Roman" w:hAnsi="Times New Roman" w:cs="Times New Roman"/>
          <w:sz w:val="24"/>
          <w:szCs w:val="24"/>
        </w:rPr>
      </w:pPr>
      <w:r>
        <w:rPr>
          <w:rFonts w:ascii="Times New Roman" w:hAnsi="Times New Roman" w:cs="Times New Roman"/>
          <w:sz w:val="24"/>
          <w:szCs w:val="24"/>
        </w:rPr>
        <w:t>R</w:t>
      </w:r>
      <w:r w:rsidRPr="00045BB4">
        <w:rPr>
          <w:rFonts w:ascii="Times New Roman" w:hAnsi="Times New Roman" w:cs="Times New Roman"/>
          <w:sz w:val="24"/>
          <w:szCs w:val="24"/>
        </w:rPr>
        <w:t xml:space="preserve">efusal or delays in the provision of access to towers from incumbent </w:t>
      </w:r>
    </w:p>
    <w:p w14:paraId="172A7E07" w14:textId="77777777" w:rsidR="006018AA" w:rsidRPr="00C91EA2" w:rsidRDefault="006018AA" w:rsidP="006018AA">
      <w:pPr>
        <w:jc w:val="both"/>
        <w:rPr>
          <w:rFonts w:ascii="Times New Roman" w:hAnsi="Times New Roman" w:cs="Times New Roman"/>
        </w:rPr>
      </w:pPr>
    </w:p>
    <w:p w14:paraId="543198C0" w14:textId="77777777" w:rsidR="006018AA" w:rsidRDefault="006018AA" w:rsidP="006018AA">
      <w:pPr>
        <w:pStyle w:val="ListParagraph"/>
        <w:numPr>
          <w:ilvl w:val="0"/>
          <w:numId w:val="71"/>
        </w:numPr>
        <w:ind w:left="0" w:firstLine="0"/>
        <w:jc w:val="both"/>
        <w:rPr>
          <w:rFonts w:ascii="Times New Roman" w:hAnsi="Times New Roman" w:cs="Times New Roman"/>
        </w:rPr>
      </w:pPr>
      <w:r w:rsidRPr="00693AF8">
        <w:rPr>
          <w:rFonts w:ascii="Times New Roman" w:hAnsi="Times New Roman" w:cs="Times New Roman"/>
          <w:b/>
        </w:rPr>
        <w:t xml:space="preserve">Even though </w:t>
      </w:r>
      <w:proofErr w:type="spellStart"/>
      <w:r w:rsidRPr="00693AF8">
        <w:rPr>
          <w:rFonts w:ascii="Times New Roman" w:hAnsi="Times New Roman" w:cs="Times New Roman"/>
          <w:b/>
        </w:rPr>
        <w:t>Sonatel</w:t>
      </w:r>
      <w:proofErr w:type="spellEnd"/>
      <w:r w:rsidRPr="00693AF8">
        <w:rPr>
          <w:rFonts w:ascii="Times New Roman" w:hAnsi="Times New Roman" w:cs="Times New Roman"/>
          <w:b/>
        </w:rPr>
        <w:t xml:space="preserve"> has been declared a dominant operator, ARTP has not imposed conditions governing access to its towers.</w:t>
      </w:r>
      <w:r w:rsidRPr="00C91EA2">
        <w:rPr>
          <w:rFonts w:ascii="Times New Roman" w:hAnsi="Times New Roman" w:cs="Times New Roman"/>
        </w:rPr>
        <w:t xml:space="preserve"> Reportedly, in many cases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seems to have delayed the provision of access to towers due to technical issues or proposed a prohibitive fee. The absence of regulation hampers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competitors’ ability to develop an effective service competition and to eventually ‘climb the ladder of investment’ towards other forms of infrastructure-based competition.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civil work and passive infrastructure have not been classified as essential facilities despite their non-replicable character.</w:t>
      </w:r>
      <w:r w:rsidRPr="00C91EA2">
        <w:rPr>
          <w:rFonts w:ascii="Times New Roman" w:hAnsi="Times New Roman" w:cs="Times New Roman"/>
          <w:b/>
        </w:rPr>
        <w:t xml:space="preserve"> </w:t>
      </w:r>
      <w:r w:rsidRPr="00C91EA2">
        <w:rPr>
          <w:rFonts w:ascii="Times New Roman" w:hAnsi="Times New Roman" w:cs="Times New Roman"/>
        </w:rPr>
        <w:t>Even though the</w:t>
      </w:r>
      <w:r w:rsidRPr="00C91EA2">
        <w:rPr>
          <w:rFonts w:ascii="Times New Roman" w:hAnsi="Times New Roman" w:cs="Times New Roman"/>
          <w:b/>
        </w:rPr>
        <w:t xml:space="preserve"> </w:t>
      </w:r>
      <w:r w:rsidRPr="00C91EA2">
        <w:rPr>
          <w:rFonts w:ascii="Times New Roman" w:hAnsi="Times New Roman" w:cs="Times New Roman"/>
        </w:rPr>
        <w:t>Telecommunications Code</w:t>
      </w:r>
      <w:r w:rsidRPr="00C91EA2">
        <w:rPr>
          <w:rFonts w:ascii="Times New Roman" w:hAnsi="Times New Roman" w:cs="Times New Roman"/>
          <w:b/>
        </w:rPr>
        <w:t xml:space="preserve"> </w:t>
      </w:r>
      <w:r w:rsidRPr="00C91EA2">
        <w:rPr>
          <w:rFonts w:ascii="Times New Roman" w:hAnsi="Times New Roman" w:cs="Times New Roman"/>
        </w:rPr>
        <w:t xml:space="preserve">has specific rules governing network access and interconnection, it lacks a clear framework for regulating non-replicable assets – i.e., essential facilities, which are held by operators with SMP. Consequently,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competitors cannot obtain access to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civil work and passive infrastructure</w:t>
      </w:r>
      <w:r>
        <w:rPr>
          <w:rFonts w:ascii="Times New Roman" w:hAnsi="Times New Roman" w:cs="Times New Roman"/>
        </w:rPr>
        <w:t>, and this lack of access</w:t>
      </w:r>
      <w:r w:rsidRPr="00C91EA2">
        <w:rPr>
          <w:rFonts w:ascii="Times New Roman" w:hAnsi="Times New Roman" w:cs="Times New Roman"/>
        </w:rPr>
        <w:t xml:space="preserve"> hinder</w:t>
      </w:r>
      <w:r>
        <w:rPr>
          <w:rFonts w:ascii="Times New Roman" w:hAnsi="Times New Roman" w:cs="Times New Roman"/>
        </w:rPr>
        <w:t>s</w:t>
      </w:r>
      <w:r w:rsidRPr="00C91EA2">
        <w:rPr>
          <w:rFonts w:ascii="Times New Roman" w:hAnsi="Times New Roman" w:cs="Times New Roman"/>
        </w:rPr>
        <w:t xml:space="preserve"> the development of service-based competition.</w:t>
      </w:r>
    </w:p>
    <w:p w14:paraId="0DBDDF29" w14:textId="77777777" w:rsidR="006018AA" w:rsidRDefault="006018AA" w:rsidP="006018AA">
      <w:pPr>
        <w:jc w:val="both"/>
        <w:rPr>
          <w:rFonts w:ascii="Times New Roman" w:hAnsi="Times New Roman" w:cs="Times New Roman"/>
        </w:rPr>
      </w:pPr>
    </w:p>
    <w:p w14:paraId="4826E077" w14:textId="77777777" w:rsidR="006018AA" w:rsidRPr="00045BB4" w:rsidRDefault="006018AA" w:rsidP="006018AA">
      <w:pPr>
        <w:pStyle w:val="Heading5"/>
        <w:jc w:val="both"/>
        <w:rPr>
          <w:rFonts w:ascii="Times New Roman" w:hAnsi="Times New Roman" w:cs="Times New Roman"/>
          <w:sz w:val="24"/>
          <w:szCs w:val="24"/>
        </w:rPr>
      </w:pPr>
      <w:r>
        <w:rPr>
          <w:rFonts w:ascii="Times New Roman" w:hAnsi="Times New Roman" w:cs="Times New Roman"/>
          <w:sz w:val="24"/>
          <w:szCs w:val="24"/>
        </w:rPr>
        <w:t>Absence of competition guidelines governing the sharing of infrastructure</w:t>
      </w:r>
    </w:p>
    <w:p w14:paraId="167E1464" w14:textId="77777777" w:rsidR="006018AA" w:rsidRPr="00C91EA2" w:rsidRDefault="006018AA" w:rsidP="006018AA">
      <w:pPr>
        <w:jc w:val="both"/>
        <w:rPr>
          <w:rFonts w:ascii="Times New Roman" w:hAnsi="Times New Roman" w:cs="Times New Roman"/>
        </w:rPr>
      </w:pPr>
    </w:p>
    <w:p w14:paraId="7DE10E06" w14:textId="6E7AF60A"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Infrastructure sharing agreements are important instruments to promote a more efficient use of assets and to enable competition in the market - however, this must be balanced with their potential to restrict competition among competitors in a way that outweighs the procompetitive efficiencies.</w:t>
      </w:r>
      <w:r w:rsidRPr="00C91EA2">
        <w:rPr>
          <w:rFonts w:ascii="Times New Roman" w:hAnsi="Times New Roman" w:cs="Times New Roman"/>
        </w:rPr>
        <w:t xml:space="preserve"> </w:t>
      </w:r>
      <w:r>
        <w:rPr>
          <w:rFonts w:ascii="Times New Roman" w:hAnsi="Times New Roman" w:cs="Times New Roman"/>
        </w:rPr>
        <w:t>The MPT has adopted a Decree in 2016 regulating infrastructure sharing;</w:t>
      </w:r>
      <w:r>
        <w:rPr>
          <w:rStyle w:val="FootnoteReference"/>
          <w:rFonts w:ascii="Times New Roman" w:hAnsi="Times New Roman" w:cs="Times New Roman"/>
        </w:rPr>
        <w:footnoteReference w:id="237"/>
      </w:r>
      <w:r>
        <w:rPr>
          <w:rFonts w:ascii="Times New Roman" w:hAnsi="Times New Roman" w:cs="Times New Roman"/>
        </w:rPr>
        <w:t xml:space="preserve"> however, it does not address the potential competition issues that may stem from such agreements. </w:t>
      </w:r>
      <w:r w:rsidRPr="00C91EA2">
        <w:rPr>
          <w:rFonts w:ascii="Times New Roman" w:hAnsi="Times New Roman" w:cs="Times New Roman"/>
        </w:rPr>
        <w:t xml:space="preserve">Hence, ARTP would need to consider </w:t>
      </w:r>
      <w:r>
        <w:rPr>
          <w:rFonts w:ascii="Times New Roman" w:hAnsi="Times New Roman" w:cs="Times New Roman"/>
        </w:rPr>
        <w:t xml:space="preserve">adopting </w:t>
      </w:r>
      <w:r w:rsidRPr="00C91EA2">
        <w:rPr>
          <w:rFonts w:ascii="Times New Roman" w:hAnsi="Times New Roman" w:cs="Times New Roman"/>
        </w:rPr>
        <w:t xml:space="preserve">a framework for the </w:t>
      </w:r>
      <w:r>
        <w:rPr>
          <w:rFonts w:ascii="Times New Roman" w:hAnsi="Times New Roman" w:cs="Times New Roman"/>
        </w:rPr>
        <w:t xml:space="preserve">competition </w:t>
      </w:r>
      <w:r w:rsidRPr="00C91EA2">
        <w:rPr>
          <w:rFonts w:ascii="Times New Roman" w:hAnsi="Times New Roman" w:cs="Times New Roman"/>
        </w:rPr>
        <w:t>assessment of active and passive infrastructure</w:t>
      </w:r>
      <w:r>
        <w:rPr>
          <w:rFonts w:ascii="Times New Roman" w:hAnsi="Times New Roman" w:cs="Times New Roman"/>
        </w:rPr>
        <w:t xml:space="preserve"> sharing</w:t>
      </w:r>
      <w:r w:rsidRPr="00C91EA2">
        <w:rPr>
          <w:rFonts w:ascii="Times New Roman" w:hAnsi="Times New Roman" w:cs="Times New Roman"/>
        </w:rPr>
        <w:t xml:space="preserve">, including radio spectrum, which takes into account the following factors: (i) the degree of cooperation/autonomy between the parties to the agreement, which is also a function of the passive or active nature of the infrastructure; (ii) the parties’ market power; (iii) its duration; and (iv) the characteristics of the area covered (broadness and density) (for an example of guidelines on the application of competition law to mobile network/infrastructure sharing agreements in Romania, see </w:t>
      </w:r>
      <w:r w:rsidRPr="00C91EA2">
        <w:rPr>
          <w:rFonts w:ascii="Times New Roman" w:hAnsi="Times New Roman" w:cs="Times New Roman"/>
        </w:rPr>
        <w:fldChar w:fldCharType="begin"/>
      </w:r>
      <w:r w:rsidRPr="00C91EA2">
        <w:rPr>
          <w:rFonts w:ascii="Times New Roman" w:hAnsi="Times New Roman" w:cs="Times New Roman"/>
        </w:rPr>
        <w:instrText xml:space="preserve"> REF _Ref497322019 \h  \* MERGEFORMAT </w:instrText>
      </w:r>
      <w:r w:rsidRPr="00C91EA2">
        <w:rPr>
          <w:rFonts w:ascii="Times New Roman" w:hAnsi="Times New Roman" w:cs="Times New Roman"/>
        </w:rPr>
      </w:r>
      <w:r w:rsidRPr="00C91EA2">
        <w:rPr>
          <w:rFonts w:ascii="Times New Roman" w:hAnsi="Times New Roman" w:cs="Times New Roman"/>
        </w:rPr>
        <w:fldChar w:fldCharType="separate"/>
      </w:r>
      <w:r w:rsidR="008261B2" w:rsidRPr="008261B2">
        <w:rPr>
          <w:rFonts w:ascii="Times New Roman" w:hAnsi="Times New Roman" w:cs="Times New Roman"/>
        </w:rPr>
        <w:t xml:space="preserve">Box </w:t>
      </w:r>
      <w:r w:rsidR="008261B2" w:rsidRPr="008261B2">
        <w:rPr>
          <w:rFonts w:ascii="Times New Roman" w:hAnsi="Times New Roman" w:cs="Times New Roman"/>
          <w:noProof/>
        </w:rPr>
        <w:t>20</w:t>
      </w:r>
      <w:r w:rsidRPr="00C91EA2">
        <w:rPr>
          <w:rFonts w:ascii="Times New Roman" w:hAnsi="Times New Roman" w:cs="Times New Roman"/>
        </w:rPr>
        <w:fldChar w:fldCharType="end"/>
      </w:r>
      <w:r w:rsidRPr="00C91EA2">
        <w:rPr>
          <w:rFonts w:ascii="Times New Roman" w:hAnsi="Times New Roman" w:cs="Times New Roman"/>
        </w:rPr>
        <w:t xml:space="preserve">). </w:t>
      </w:r>
    </w:p>
    <w:p w14:paraId="3DE40A3F" w14:textId="77777777" w:rsidR="006018AA" w:rsidRPr="00C91EA2" w:rsidRDefault="006018AA" w:rsidP="006018AA">
      <w:pPr>
        <w:jc w:val="both"/>
        <w:rPr>
          <w:rFonts w:ascii="Times New Roman" w:hAnsi="Times New Roman" w:cs="Times New Roman"/>
        </w:rPr>
      </w:pPr>
    </w:p>
    <w:p w14:paraId="7069D558" w14:textId="0B23137C" w:rsidR="006018AA" w:rsidRPr="00C91EA2" w:rsidRDefault="006018AA" w:rsidP="006018AA">
      <w:pPr>
        <w:pStyle w:val="Caption"/>
        <w:keepNext/>
        <w:rPr>
          <w:rFonts w:ascii="Times New Roman" w:hAnsi="Times New Roman"/>
        </w:rPr>
      </w:pPr>
      <w:bookmarkStart w:id="312" w:name="_Ref497322019"/>
      <w:bookmarkStart w:id="313" w:name="_Toc520725808"/>
      <w:r w:rsidRPr="00C91EA2">
        <w:rPr>
          <w:rFonts w:ascii="Times New Roman" w:hAnsi="Times New Roman"/>
        </w:rPr>
        <w:t xml:space="preserve">Box </w:t>
      </w:r>
      <w:r w:rsidR="009547FF">
        <w:rPr>
          <w:rFonts w:ascii="Times New Roman" w:hAnsi="Times New Roman"/>
        </w:rPr>
        <w:fldChar w:fldCharType="begin"/>
      </w:r>
      <w:r w:rsidR="009547FF">
        <w:rPr>
          <w:rFonts w:ascii="Times New Roman" w:hAnsi="Times New Roman"/>
        </w:rPr>
        <w:instrText xml:space="preserve"> SEQ Box \* ARABIC </w:instrText>
      </w:r>
      <w:r w:rsidR="009547FF">
        <w:rPr>
          <w:rFonts w:ascii="Times New Roman" w:hAnsi="Times New Roman"/>
        </w:rPr>
        <w:fldChar w:fldCharType="separate"/>
      </w:r>
      <w:r w:rsidR="008261B2">
        <w:rPr>
          <w:rFonts w:ascii="Times New Roman" w:hAnsi="Times New Roman"/>
          <w:noProof/>
        </w:rPr>
        <w:t>20</w:t>
      </w:r>
      <w:r w:rsidR="009547FF">
        <w:rPr>
          <w:rFonts w:ascii="Times New Roman" w:hAnsi="Times New Roman"/>
        </w:rPr>
        <w:fldChar w:fldCharType="end"/>
      </w:r>
      <w:bookmarkEnd w:id="312"/>
      <w:r w:rsidRPr="00C91EA2">
        <w:rPr>
          <w:rFonts w:ascii="Times New Roman" w:hAnsi="Times New Roman"/>
        </w:rPr>
        <w:t>: Guidelines on the application of Competition law to mobile network / infrastructure sharing agreements in Romania</w:t>
      </w:r>
      <w:bookmarkEnd w:id="313"/>
    </w:p>
    <w:tbl>
      <w:tblPr>
        <w:tblStyle w:val="TableGrid"/>
        <w:tblW w:w="0" w:type="auto"/>
        <w:shd w:val="clear" w:color="auto" w:fill="F2F2F2" w:themeFill="background1" w:themeFillShade="F2"/>
        <w:tblLook w:val="04A0" w:firstRow="1" w:lastRow="0" w:firstColumn="1" w:lastColumn="0" w:noHBand="0" w:noVBand="1"/>
      </w:tblPr>
      <w:tblGrid>
        <w:gridCol w:w="8630"/>
      </w:tblGrid>
      <w:tr w:rsidR="006018AA" w:rsidRPr="00C91EA2" w14:paraId="2C63FE22" w14:textId="77777777" w:rsidTr="00FA09FE">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2A9598" w14:textId="77777777" w:rsidR="006018AA" w:rsidRPr="00C91EA2" w:rsidRDefault="006018AA" w:rsidP="00FA09FE">
            <w:pPr>
              <w:pStyle w:val="Caption"/>
              <w:jc w:val="both"/>
              <w:rPr>
                <w:rFonts w:ascii="Times New Roman" w:hAnsi="Times New Roman"/>
                <w:b w:val="0"/>
              </w:rPr>
            </w:pPr>
            <w:r w:rsidRPr="00C91EA2">
              <w:rPr>
                <w:rFonts w:ascii="Times New Roman" w:hAnsi="Times New Roman"/>
                <w:b w:val="0"/>
              </w:rPr>
              <w:t xml:space="preserve">The Romanian Competition Council (RCC) and the Romanian National Regulatory Authority, ANCOM, adopted Guidelines on the application of the Competition law to mobile network / infrastructure sharing agreements in Romania. </w:t>
            </w:r>
          </w:p>
          <w:p w14:paraId="27B9AF2D" w14:textId="77777777" w:rsidR="006018AA" w:rsidRPr="00C91EA2" w:rsidRDefault="006018AA" w:rsidP="00FA09FE">
            <w:pPr>
              <w:jc w:val="both"/>
              <w:rPr>
                <w:rFonts w:ascii="Times New Roman" w:hAnsi="Times New Roman" w:cs="Times New Roman"/>
                <w:sz w:val="20"/>
              </w:rPr>
            </w:pPr>
          </w:p>
          <w:p w14:paraId="19822BB7" w14:textId="77777777" w:rsidR="006018AA" w:rsidRPr="00C91EA2" w:rsidRDefault="006018AA" w:rsidP="00FA09FE">
            <w:pPr>
              <w:jc w:val="both"/>
              <w:rPr>
                <w:rFonts w:ascii="Times New Roman" w:hAnsi="Times New Roman" w:cs="Times New Roman"/>
                <w:sz w:val="20"/>
              </w:rPr>
            </w:pPr>
            <w:r w:rsidRPr="00C91EA2">
              <w:rPr>
                <w:rFonts w:ascii="Times New Roman" w:hAnsi="Times New Roman" w:cs="Times New Roman"/>
                <w:sz w:val="20"/>
              </w:rPr>
              <w:t xml:space="preserve">Network or infrastructure sharing agreements can vary greatly </w:t>
            </w:r>
            <w:proofErr w:type="gramStart"/>
            <w:r w:rsidRPr="00C91EA2">
              <w:rPr>
                <w:rFonts w:ascii="Times New Roman" w:hAnsi="Times New Roman" w:cs="Times New Roman"/>
                <w:sz w:val="20"/>
              </w:rPr>
              <w:t>with regard to</w:t>
            </w:r>
            <w:proofErr w:type="gramEnd"/>
            <w:r w:rsidRPr="00C91EA2">
              <w:rPr>
                <w:rFonts w:ascii="Times New Roman" w:hAnsi="Times New Roman" w:cs="Times New Roman"/>
                <w:sz w:val="20"/>
              </w:rPr>
              <w:t xml:space="preserve"> the level of integration between network operators, with competition issues arising when network sharing restricts competition or creates a dominant position in the market.</w:t>
            </w:r>
          </w:p>
          <w:p w14:paraId="31D3C135" w14:textId="77777777" w:rsidR="006018AA" w:rsidRPr="00C91EA2" w:rsidRDefault="006018AA" w:rsidP="00FA09FE">
            <w:pPr>
              <w:jc w:val="both"/>
              <w:rPr>
                <w:rFonts w:ascii="Times New Roman" w:hAnsi="Times New Roman" w:cs="Times New Roman"/>
                <w:sz w:val="20"/>
              </w:rPr>
            </w:pPr>
          </w:p>
          <w:p w14:paraId="23A7CACC" w14:textId="77777777" w:rsidR="006018AA" w:rsidRPr="00C91EA2" w:rsidRDefault="006018AA" w:rsidP="00FA09FE">
            <w:pPr>
              <w:jc w:val="both"/>
              <w:rPr>
                <w:rFonts w:ascii="Times New Roman" w:hAnsi="Times New Roman" w:cs="Times New Roman"/>
                <w:sz w:val="20"/>
              </w:rPr>
            </w:pPr>
            <w:r w:rsidRPr="00C91EA2">
              <w:rPr>
                <w:rFonts w:ascii="Times New Roman" w:hAnsi="Times New Roman" w:cs="Times New Roman"/>
                <w:sz w:val="20"/>
              </w:rPr>
              <w:t>The competition law implications of infrastructure sharing agreements are a function of the extent of the cooperation between the parties. Typically, passive infrastructure sharing agreements tend to raise fewer concerns: as they do not involve significant information and forecast exchange between competitors, they do not require the sharing of extensive network elements and do not result in a situation of high commonality of costs. As the degree of cooperation increases (such as active infrastructure sharing, spectrum sharing or network roaming), the risks of collusion resulting from such more extensive cooperation increase.</w:t>
            </w:r>
          </w:p>
          <w:p w14:paraId="771BC4F4" w14:textId="77777777" w:rsidR="006018AA" w:rsidRPr="00C91EA2" w:rsidRDefault="006018AA" w:rsidP="00FA09FE">
            <w:pPr>
              <w:jc w:val="both"/>
              <w:rPr>
                <w:rFonts w:ascii="Times New Roman" w:hAnsi="Times New Roman" w:cs="Times New Roman"/>
                <w:sz w:val="20"/>
              </w:rPr>
            </w:pPr>
          </w:p>
          <w:p w14:paraId="7F5FC477" w14:textId="1CB9DD76" w:rsidR="006018AA" w:rsidRPr="00C91EA2" w:rsidRDefault="006018AA" w:rsidP="00FA09FE">
            <w:pPr>
              <w:jc w:val="both"/>
              <w:rPr>
                <w:rFonts w:ascii="Times New Roman" w:hAnsi="Times New Roman" w:cs="Times New Roman"/>
                <w:sz w:val="20"/>
              </w:rPr>
            </w:pPr>
            <w:r w:rsidRPr="00C91EA2">
              <w:rPr>
                <w:rFonts w:ascii="Times New Roman" w:hAnsi="Times New Roman" w:cs="Times New Roman"/>
                <w:sz w:val="20"/>
              </w:rPr>
              <w:t>The key factors against which such various forms of cooperation are assessed are the following:</w:t>
            </w:r>
          </w:p>
          <w:p w14:paraId="180104F1" w14:textId="2171B71C" w:rsidR="006018AA" w:rsidRPr="00C91EA2" w:rsidRDefault="006018AA" w:rsidP="00FA09FE">
            <w:pPr>
              <w:pStyle w:val="ListParagraph"/>
              <w:numPr>
                <w:ilvl w:val="0"/>
                <w:numId w:val="88"/>
              </w:numPr>
              <w:jc w:val="both"/>
              <w:rPr>
                <w:rFonts w:ascii="Times New Roman" w:hAnsi="Times New Roman" w:cs="Times New Roman"/>
                <w:sz w:val="20"/>
              </w:rPr>
            </w:pPr>
            <w:r w:rsidRPr="00C91EA2">
              <w:rPr>
                <w:rFonts w:ascii="Times New Roman" w:hAnsi="Times New Roman" w:cs="Times New Roman"/>
                <w:sz w:val="20"/>
              </w:rPr>
              <w:t>geographic scope of the agreement</w:t>
            </w:r>
            <w:r w:rsidR="0045444B">
              <w:rPr>
                <w:rFonts w:ascii="Times New Roman" w:hAnsi="Times New Roman" w:cs="Times New Roman"/>
                <w:sz w:val="20"/>
              </w:rPr>
              <w:t xml:space="preserve"> – </w:t>
            </w:r>
            <w:r w:rsidRPr="00C91EA2">
              <w:rPr>
                <w:rFonts w:ascii="Times New Roman" w:hAnsi="Times New Roman" w:cs="Times New Roman"/>
                <w:sz w:val="20"/>
              </w:rPr>
              <w:t xml:space="preserve">the broader the geographic scope, the greater its possible anticompetitive impacts; </w:t>
            </w:r>
          </w:p>
          <w:p w14:paraId="7A2740D4" w14:textId="228A6C57" w:rsidR="006018AA" w:rsidRPr="00C91EA2" w:rsidRDefault="006018AA" w:rsidP="00FA09FE">
            <w:pPr>
              <w:pStyle w:val="ListParagraph"/>
              <w:numPr>
                <w:ilvl w:val="0"/>
                <w:numId w:val="88"/>
              </w:numPr>
              <w:jc w:val="both"/>
              <w:rPr>
                <w:rFonts w:ascii="Times New Roman" w:hAnsi="Times New Roman" w:cs="Times New Roman"/>
                <w:sz w:val="20"/>
              </w:rPr>
            </w:pPr>
            <w:r w:rsidRPr="00C91EA2">
              <w:rPr>
                <w:rFonts w:ascii="Times New Roman" w:hAnsi="Times New Roman" w:cs="Times New Roman"/>
                <w:sz w:val="20"/>
              </w:rPr>
              <w:t>market power</w:t>
            </w:r>
            <w:r w:rsidR="0045444B">
              <w:rPr>
                <w:rFonts w:ascii="Times New Roman" w:hAnsi="Times New Roman" w:cs="Times New Roman"/>
                <w:sz w:val="20"/>
              </w:rPr>
              <w:t xml:space="preserve"> – </w:t>
            </w:r>
            <w:r w:rsidRPr="00C91EA2">
              <w:rPr>
                <w:rFonts w:ascii="Times New Roman" w:hAnsi="Times New Roman" w:cs="Times New Roman"/>
                <w:sz w:val="20"/>
              </w:rPr>
              <w:t>the market power of the operators participating to the agreement is another element of consideration as the greater the combined market shares of the operators involved, the more significant the impact of the infrastructure sharing agreement will be for the overall market;</w:t>
            </w:r>
          </w:p>
          <w:p w14:paraId="4EEEF675" w14:textId="77777777" w:rsidR="006018AA" w:rsidRPr="00C91EA2" w:rsidRDefault="006018AA" w:rsidP="00FA09FE">
            <w:pPr>
              <w:pStyle w:val="ListParagraph"/>
              <w:numPr>
                <w:ilvl w:val="0"/>
                <w:numId w:val="88"/>
              </w:numPr>
              <w:jc w:val="both"/>
              <w:rPr>
                <w:rFonts w:ascii="Times New Roman" w:hAnsi="Times New Roman" w:cs="Times New Roman"/>
                <w:sz w:val="20"/>
              </w:rPr>
            </w:pPr>
            <w:r w:rsidRPr="00C91EA2">
              <w:rPr>
                <w:rFonts w:ascii="Times New Roman" w:hAnsi="Times New Roman" w:cs="Times New Roman"/>
                <w:sz w:val="20"/>
              </w:rPr>
              <w:t>duration</w:t>
            </w:r>
            <w:r>
              <w:rPr>
                <w:rFonts w:ascii="Times New Roman" w:hAnsi="Times New Roman" w:cs="Times New Roman"/>
                <w:sz w:val="20"/>
              </w:rPr>
              <w:t xml:space="preserve"> – </w:t>
            </w:r>
            <w:r w:rsidRPr="00C91EA2">
              <w:rPr>
                <w:rFonts w:ascii="Times New Roman" w:hAnsi="Times New Roman" w:cs="Times New Roman"/>
                <w:sz w:val="20"/>
              </w:rPr>
              <w:t xml:space="preserve">while some forms of infrastructure sharing agreements are structural and permanent by nature (such as active or passive infrastructure sharing), other forms of cooperation such as national roaming can easily be scaled back in time </w:t>
            </w:r>
            <w:proofErr w:type="gramStart"/>
            <w:r w:rsidRPr="00C91EA2">
              <w:rPr>
                <w:rFonts w:ascii="Times New Roman" w:hAnsi="Times New Roman" w:cs="Times New Roman"/>
                <w:sz w:val="20"/>
              </w:rPr>
              <w:t>in order to</w:t>
            </w:r>
            <w:proofErr w:type="gramEnd"/>
            <w:r w:rsidRPr="00C91EA2">
              <w:rPr>
                <w:rFonts w:ascii="Times New Roman" w:hAnsi="Times New Roman" w:cs="Times New Roman"/>
                <w:sz w:val="20"/>
              </w:rPr>
              <w:t xml:space="preserve"> avoid detrimental impacts on investments on mobile network infrastructure</w:t>
            </w:r>
            <w:r>
              <w:rPr>
                <w:rFonts w:ascii="Times New Roman" w:hAnsi="Times New Roman" w:cs="Times New Roman"/>
                <w:sz w:val="20"/>
              </w:rPr>
              <w:t>;</w:t>
            </w:r>
          </w:p>
          <w:p w14:paraId="4071C0A5" w14:textId="77777777" w:rsidR="006018AA" w:rsidRPr="00C91EA2" w:rsidRDefault="006018AA" w:rsidP="00FA09FE">
            <w:pPr>
              <w:pStyle w:val="ListParagraph"/>
              <w:numPr>
                <w:ilvl w:val="0"/>
                <w:numId w:val="88"/>
              </w:numPr>
              <w:jc w:val="both"/>
              <w:rPr>
                <w:rFonts w:ascii="Times New Roman" w:hAnsi="Times New Roman" w:cs="Times New Roman"/>
                <w:sz w:val="20"/>
              </w:rPr>
            </w:pPr>
            <w:r w:rsidRPr="00C91EA2">
              <w:rPr>
                <w:rFonts w:ascii="Times New Roman" w:hAnsi="Times New Roman" w:cs="Times New Roman"/>
                <w:sz w:val="20"/>
              </w:rPr>
              <w:t>commercial independence</w:t>
            </w:r>
            <w:r>
              <w:rPr>
                <w:rFonts w:ascii="Times New Roman" w:hAnsi="Times New Roman" w:cs="Times New Roman"/>
                <w:sz w:val="20"/>
              </w:rPr>
              <w:t xml:space="preserve"> – </w:t>
            </w:r>
            <w:r w:rsidRPr="00C91EA2">
              <w:rPr>
                <w:rFonts w:ascii="Times New Roman" w:hAnsi="Times New Roman" w:cs="Times New Roman"/>
                <w:sz w:val="20"/>
              </w:rPr>
              <w:t>the main benefits of infrastructure sharing are that operators continue to compete at service levels (as opposed to what typically happens following a merger between two mobile operators). It is therefore key that each party of a network sharing agreement retains as much commercial freedom as possible.</w:t>
            </w:r>
          </w:p>
          <w:p w14:paraId="66F8411F" w14:textId="77777777" w:rsidR="006018AA" w:rsidRPr="007575D7" w:rsidRDefault="006018AA" w:rsidP="00FA09FE">
            <w:pPr>
              <w:jc w:val="both"/>
              <w:rPr>
                <w:rFonts w:ascii="Times New Roman" w:hAnsi="Times New Roman" w:cs="Times New Roman"/>
                <w:b/>
              </w:rPr>
            </w:pPr>
          </w:p>
          <w:p w14:paraId="5CE73187" w14:textId="77777777" w:rsidR="006018AA" w:rsidRPr="00C91EA2" w:rsidRDefault="006018AA" w:rsidP="00FA09FE">
            <w:pPr>
              <w:rPr>
                <w:rFonts w:ascii="Times New Roman" w:hAnsi="Times New Roman" w:cs="Times New Roman"/>
              </w:rPr>
            </w:pPr>
            <w:r w:rsidRPr="00C91EA2">
              <w:rPr>
                <w:rFonts w:ascii="Times New Roman" w:hAnsi="Times New Roman" w:cs="Times New Roman"/>
                <w:i/>
                <w:sz w:val="20"/>
              </w:rPr>
              <w:t xml:space="preserve">Source: WBG </w:t>
            </w:r>
            <w:r w:rsidR="00F66F82">
              <w:rPr>
                <w:rFonts w:ascii="Times New Roman" w:hAnsi="Times New Roman" w:cs="Times New Roman"/>
                <w:i/>
                <w:sz w:val="20"/>
              </w:rPr>
              <w:t xml:space="preserve">Markets and </w:t>
            </w:r>
            <w:r w:rsidRPr="00C91EA2">
              <w:rPr>
                <w:rFonts w:ascii="Times New Roman" w:hAnsi="Times New Roman" w:cs="Times New Roman"/>
                <w:i/>
                <w:sz w:val="20"/>
              </w:rPr>
              <w:t>Competition team</w:t>
            </w:r>
            <w:r w:rsidR="00F66F82">
              <w:rPr>
                <w:rFonts w:ascii="Times New Roman" w:hAnsi="Times New Roman" w:cs="Times New Roman"/>
                <w:i/>
                <w:sz w:val="20"/>
              </w:rPr>
              <w:t xml:space="preserve"> elaboration.</w:t>
            </w:r>
          </w:p>
        </w:tc>
      </w:tr>
    </w:tbl>
    <w:p w14:paraId="4554B219" w14:textId="77777777" w:rsidR="000E2C3A" w:rsidRDefault="000E2C3A" w:rsidP="006018AA">
      <w:pPr>
        <w:jc w:val="both"/>
        <w:rPr>
          <w:rFonts w:ascii="Times New Roman" w:hAnsi="Times New Roman" w:cs="Times New Roman"/>
        </w:rPr>
      </w:pPr>
    </w:p>
    <w:p w14:paraId="5D415175" w14:textId="5B7C2D86" w:rsidR="00F66F82" w:rsidRDefault="00F66F82" w:rsidP="006018AA">
      <w:pPr>
        <w:jc w:val="both"/>
        <w:rPr>
          <w:rFonts w:ascii="Times New Roman" w:hAnsi="Times New Roman" w:cs="Times New Roman"/>
        </w:rPr>
      </w:pPr>
    </w:p>
    <w:p w14:paraId="45EB51C9" w14:textId="77777777" w:rsidR="00960DD3" w:rsidRPr="0046373A" w:rsidRDefault="00960DD3" w:rsidP="006018AA">
      <w:pPr>
        <w:jc w:val="both"/>
        <w:rPr>
          <w:rFonts w:ascii="Times New Roman" w:hAnsi="Times New Roman" w:cs="Times New Roman"/>
        </w:rPr>
      </w:pPr>
    </w:p>
    <w:p w14:paraId="2DDED052" w14:textId="77777777" w:rsidR="006018AA" w:rsidRPr="00045BB4" w:rsidRDefault="006018AA" w:rsidP="006018AA">
      <w:pPr>
        <w:pStyle w:val="Heading5"/>
        <w:rPr>
          <w:rFonts w:ascii="Times New Roman" w:hAnsi="Times New Roman" w:cs="Times New Roman"/>
          <w:sz w:val="24"/>
          <w:szCs w:val="24"/>
        </w:rPr>
      </w:pPr>
      <w:r w:rsidRPr="00045BB4">
        <w:rPr>
          <w:rFonts w:ascii="Times New Roman" w:hAnsi="Times New Roman" w:cs="Times New Roman"/>
          <w:sz w:val="24"/>
          <w:szCs w:val="24"/>
        </w:rPr>
        <w:t>Lack of clarity on license/authorization to land a submarine cable</w:t>
      </w:r>
    </w:p>
    <w:p w14:paraId="57EA92F5" w14:textId="77777777" w:rsidR="006018AA" w:rsidRPr="00C91EA2" w:rsidRDefault="006018AA" w:rsidP="006018AA">
      <w:pPr>
        <w:jc w:val="both"/>
        <w:rPr>
          <w:rFonts w:ascii="Times New Roman" w:eastAsiaTheme="majorEastAsia" w:hAnsi="Times New Roman" w:cs="Times New Roman"/>
          <w:bCs/>
          <w:color w:val="4F81BD" w:themeColor="accent1"/>
        </w:rPr>
      </w:pPr>
    </w:p>
    <w:p w14:paraId="5D14B18B"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The Telecommunications Code does not provide for any procedure or fees to be charged by the administration for the licensing or authorization of a submarine cable.</w:t>
      </w:r>
      <w:r w:rsidRPr="00C91EA2">
        <w:rPr>
          <w:rFonts w:ascii="Times New Roman" w:hAnsi="Times New Roman" w:cs="Times New Roman"/>
        </w:rPr>
        <w:t xml:space="preserve"> Hence, although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does not have a legal monopoly over the operation of a submarine cable landing station, the absence of a clear regulatory framework in this regard increases uncertainty</w:t>
      </w:r>
      <w:r>
        <w:rPr>
          <w:rFonts w:ascii="Times New Roman" w:hAnsi="Times New Roman" w:cs="Times New Roman"/>
        </w:rPr>
        <w:t>,</w:t>
      </w:r>
      <w:r w:rsidRPr="00C91EA2">
        <w:rPr>
          <w:rFonts w:ascii="Times New Roman" w:hAnsi="Times New Roman" w:cs="Times New Roman"/>
        </w:rPr>
        <w:t xml:space="preserve"> thus limiting entry by other actors, and potentially</w:t>
      </w:r>
      <w:r w:rsidRPr="00C91EA2">
        <w:rPr>
          <w:rFonts w:ascii="Times New Roman" w:hAnsi="Times New Roman" w:cs="Times New Roman"/>
          <w:b/>
        </w:rPr>
        <w:t xml:space="preserve"> </w:t>
      </w:r>
      <w:r w:rsidRPr="00C91EA2">
        <w:rPr>
          <w:rFonts w:ascii="Times New Roman" w:hAnsi="Times New Roman" w:cs="Times New Roman"/>
        </w:rPr>
        <w:t>reinforcing the incumbent’s position.</w:t>
      </w:r>
    </w:p>
    <w:p w14:paraId="7DEC1AF4" w14:textId="77777777" w:rsidR="006018AA" w:rsidRPr="00C91EA2" w:rsidRDefault="006018AA" w:rsidP="006018AA">
      <w:pPr>
        <w:pStyle w:val="ListParagraph"/>
        <w:ind w:left="0"/>
        <w:jc w:val="both"/>
        <w:rPr>
          <w:rFonts w:ascii="Times New Roman" w:hAnsi="Times New Roman" w:cs="Times New Roman"/>
        </w:rPr>
      </w:pPr>
    </w:p>
    <w:p w14:paraId="65D2ED56" w14:textId="77777777" w:rsidR="006018AA" w:rsidRPr="00045BB4" w:rsidRDefault="006018AA" w:rsidP="006018AA">
      <w:pPr>
        <w:pStyle w:val="Heading5"/>
        <w:rPr>
          <w:rFonts w:ascii="Times New Roman" w:hAnsi="Times New Roman" w:cs="Times New Roman"/>
          <w:sz w:val="24"/>
          <w:szCs w:val="24"/>
        </w:rPr>
      </w:pPr>
      <w:r>
        <w:rPr>
          <w:rFonts w:ascii="Times New Roman" w:hAnsi="Times New Roman" w:cs="Times New Roman"/>
          <w:sz w:val="24"/>
          <w:szCs w:val="24"/>
        </w:rPr>
        <w:t>A</w:t>
      </w:r>
      <w:r w:rsidRPr="00045BB4">
        <w:rPr>
          <w:rFonts w:ascii="Times New Roman" w:hAnsi="Times New Roman" w:cs="Times New Roman"/>
          <w:sz w:val="24"/>
          <w:szCs w:val="24"/>
        </w:rPr>
        <w:t>uthorization procedures to allow operators to lay fiber are not clear</w:t>
      </w:r>
    </w:p>
    <w:p w14:paraId="67E7EF41" w14:textId="77777777" w:rsidR="006018AA" w:rsidRPr="00C91EA2" w:rsidRDefault="006018AA" w:rsidP="006018AA">
      <w:pPr>
        <w:jc w:val="both"/>
        <w:rPr>
          <w:rFonts w:ascii="Times New Roman" w:hAnsi="Times New Roman" w:cs="Times New Roman"/>
          <w:b/>
        </w:rPr>
      </w:pPr>
    </w:p>
    <w:p w14:paraId="47D289D9" w14:textId="33E8D0BD"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Although the law does not provide for a legal monopoly for laying fiber, the existing </w:t>
      </w:r>
      <w:r>
        <w:rPr>
          <w:rFonts w:ascii="Times New Roman" w:hAnsi="Times New Roman" w:cs="Times New Roman"/>
          <w:b/>
        </w:rPr>
        <w:t>authorization</w:t>
      </w:r>
      <w:r w:rsidRPr="00C91EA2">
        <w:rPr>
          <w:rFonts w:ascii="Times New Roman" w:hAnsi="Times New Roman" w:cs="Times New Roman"/>
          <w:b/>
        </w:rPr>
        <w:t xml:space="preserve"> procedure lacks clarity and therefore has had the effect of favoring the incumbent and of reinforcing its market dominance</w:t>
      </w:r>
      <w:r w:rsidRPr="00C91EA2">
        <w:rPr>
          <w:rFonts w:ascii="Times New Roman" w:hAnsi="Times New Roman" w:cs="Times New Roman"/>
        </w:rPr>
        <w:t xml:space="preserve">. ARTP has designed a plan to grant licenses to new players in Dakar. According to the plan, the Dakar market </w:t>
      </w:r>
      <w:r w:rsidR="00286723">
        <w:rPr>
          <w:rFonts w:ascii="Times New Roman" w:hAnsi="Times New Roman" w:cs="Times New Roman"/>
        </w:rPr>
        <w:t>is</w:t>
      </w:r>
      <w:r w:rsidR="002A5764">
        <w:rPr>
          <w:rFonts w:ascii="Times New Roman" w:hAnsi="Times New Roman" w:cs="Times New Roman"/>
        </w:rPr>
        <w:t xml:space="preserve"> </w:t>
      </w:r>
      <w:r w:rsidRPr="00C91EA2">
        <w:rPr>
          <w:rFonts w:ascii="Times New Roman" w:hAnsi="Times New Roman" w:cs="Times New Roman"/>
        </w:rPr>
        <w:t xml:space="preserve">divided in 3 or 4 areas, combined with coverage conditions in rural areas. This allocation of territories risks creating competition </w:t>
      </w:r>
      <w:proofErr w:type="gramStart"/>
      <w:r w:rsidRPr="00C91EA2">
        <w:rPr>
          <w:rFonts w:ascii="Times New Roman" w:hAnsi="Times New Roman" w:cs="Times New Roman"/>
        </w:rPr>
        <w:t>distortions, since</w:t>
      </w:r>
      <w:proofErr w:type="gramEnd"/>
      <w:r w:rsidRPr="00C91EA2">
        <w:rPr>
          <w:rFonts w:ascii="Times New Roman" w:hAnsi="Times New Roman" w:cs="Times New Roman"/>
        </w:rPr>
        <w:t xml:space="preserve"> it will unduly create geographic monopolies by attributing exclusive rights to each of the </w:t>
      </w:r>
      <w:r>
        <w:rPr>
          <w:rFonts w:ascii="Times New Roman" w:hAnsi="Times New Roman" w:cs="Times New Roman"/>
        </w:rPr>
        <w:t xml:space="preserve">operators </w:t>
      </w:r>
      <w:r w:rsidRPr="00C91EA2">
        <w:rPr>
          <w:rFonts w:ascii="Times New Roman" w:hAnsi="Times New Roman" w:cs="Times New Roman"/>
        </w:rPr>
        <w:t xml:space="preserve">over a certain territory. Moreover, </w:t>
      </w:r>
      <w:r>
        <w:rPr>
          <w:rFonts w:ascii="Times New Roman" w:hAnsi="Times New Roman" w:cs="Times New Roman"/>
        </w:rPr>
        <w:t xml:space="preserve">even though Law 2017-13 from 20 January 2017 replaced the licensing regime by an authorization regime, which allows </w:t>
      </w:r>
      <w:r w:rsidR="00632BDA">
        <w:rPr>
          <w:rFonts w:ascii="Times New Roman" w:hAnsi="Times New Roman" w:cs="Times New Roman"/>
        </w:rPr>
        <w:t xml:space="preserve">ISPs </w:t>
      </w:r>
      <w:r w:rsidRPr="002B3434">
        <w:rPr>
          <w:rFonts w:ascii="Times New Roman" w:hAnsi="Times New Roman" w:cs="Times New Roman"/>
        </w:rPr>
        <w:t>to deploy and operate their own infrastructure</w:t>
      </w:r>
      <w:r>
        <w:rPr>
          <w:rFonts w:ascii="Times New Roman" w:hAnsi="Times New Roman" w:cs="Times New Roman"/>
        </w:rPr>
        <w:t>,</w:t>
      </w:r>
      <w:r w:rsidRPr="002B3434">
        <w:rPr>
          <w:rFonts w:ascii="Times New Roman" w:hAnsi="Times New Roman" w:cs="Times New Roman"/>
        </w:rPr>
        <w:t xml:space="preserve"> </w:t>
      </w:r>
      <w:r>
        <w:rPr>
          <w:rFonts w:ascii="Times New Roman" w:hAnsi="Times New Roman" w:cs="Times New Roman"/>
        </w:rPr>
        <w:t xml:space="preserve">the way in which this regime is designed is also likely to limit entry, which may hinder </w:t>
      </w:r>
      <w:r w:rsidRPr="00C91EA2">
        <w:rPr>
          <w:rFonts w:ascii="Times New Roman" w:hAnsi="Times New Roman" w:cs="Times New Roman"/>
        </w:rPr>
        <w:t>the expansion of coverage.</w:t>
      </w:r>
      <w:r w:rsidR="00286723">
        <w:rPr>
          <w:rFonts w:ascii="Times New Roman" w:hAnsi="Times New Roman" w:cs="Times New Roman"/>
        </w:rPr>
        <w:t xml:space="preserve"> </w:t>
      </w:r>
      <w:r w:rsidR="002F08DB">
        <w:rPr>
          <w:rFonts w:ascii="Times New Roman" w:hAnsi="Times New Roman" w:cs="Times New Roman"/>
        </w:rPr>
        <w:t>N</w:t>
      </w:r>
      <w:r w:rsidR="002F08DB" w:rsidRPr="00FE00E4">
        <w:rPr>
          <w:rFonts w:ascii="Times New Roman" w:hAnsi="Times New Roman" w:cs="Times New Roman"/>
        </w:rPr>
        <w:t>onetheless, further development</w:t>
      </w:r>
      <w:r w:rsidR="002A5764">
        <w:rPr>
          <w:rFonts w:ascii="Times New Roman" w:hAnsi="Times New Roman" w:cs="Times New Roman"/>
        </w:rPr>
        <w:t>s</w:t>
      </w:r>
      <w:r w:rsidR="002F08DB" w:rsidRPr="00FE00E4">
        <w:rPr>
          <w:rFonts w:ascii="Times New Roman" w:hAnsi="Times New Roman" w:cs="Times New Roman"/>
        </w:rPr>
        <w:t xml:space="preserve"> </w:t>
      </w:r>
      <w:r w:rsidR="002A5764">
        <w:rPr>
          <w:rFonts w:ascii="Times New Roman" w:hAnsi="Times New Roman" w:cs="Times New Roman"/>
        </w:rPr>
        <w:t>are</w:t>
      </w:r>
      <w:r w:rsidR="002F08DB" w:rsidRPr="00FE00E4">
        <w:rPr>
          <w:rFonts w:ascii="Times New Roman" w:hAnsi="Times New Roman" w:cs="Times New Roman"/>
        </w:rPr>
        <w:t xml:space="preserve"> needed to streamline the process for granting an authorization for ISPs</w:t>
      </w:r>
      <w:r>
        <w:rPr>
          <w:rFonts w:ascii="Times New Roman" w:hAnsi="Times New Roman" w:cs="Times New Roman"/>
        </w:rPr>
        <w:t>.</w:t>
      </w:r>
      <w:r w:rsidR="00632BDA">
        <w:rPr>
          <w:rStyle w:val="FootnoteReference"/>
          <w:rFonts w:ascii="Times New Roman" w:hAnsi="Times New Roman" w:cs="Times New Roman"/>
        </w:rPr>
        <w:footnoteReference w:id="238"/>
      </w:r>
    </w:p>
    <w:p w14:paraId="3C11FA68" w14:textId="77777777" w:rsidR="002A5764" w:rsidRPr="00C91EA2" w:rsidRDefault="002A5764" w:rsidP="007575D7">
      <w:pPr>
        <w:pStyle w:val="ListParagraph"/>
        <w:ind w:left="0"/>
        <w:jc w:val="both"/>
        <w:rPr>
          <w:rFonts w:ascii="Times New Roman" w:hAnsi="Times New Roman" w:cs="Times New Roman"/>
        </w:rPr>
      </w:pPr>
    </w:p>
    <w:p w14:paraId="72FF1F9F" w14:textId="77777777" w:rsidR="006018AA" w:rsidRPr="00C91EA2" w:rsidRDefault="006018AA" w:rsidP="006018AA">
      <w:pPr>
        <w:jc w:val="both"/>
        <w:rPr>
          <w:rFonts w:ascii="Times New Roman" w:hAnsi="Times New Roman" w:cs="Times New Roman"/>
        </w:rPr>
      </w:pPr>
    </w:p>
    <w:p w14:paraId="406D1624" w14:textId="77777777" w:rsidR="006018AA" w:rsidRPr="00045BB4" w:rsidRDefault="006018AA" w:rsidP="006018AA">
      <w:pPr>
        <w:pStyle w:val="Heading5"/>
        <w:rPr>
          <w:rFonts w:ascii="Times New Roman" w:hAnsi="Times New Roman" w:cs="Times New Roman"/>
        </w:rPr>
      </w:pPr>
      <w:r w:rsidRPr="00045BB4">
        <w:rPr>
          <w:rFonts w:ascii="Times New Roman" w:hAnsi="Times New Roman" w:cs="Times New Roman"/>
          <w:sz w:val="24"/>
          <w:szCs w:val="24"/>
        </w:rPr>
        <w:t>Lack of framework governing State support to broadband deployment</w:t>
      </w:r>
    </w:p>
    <w:p w14:paraId="33F734D3" w14:textId="77777777" w:rsidR="006018AA" w:rsidRPr="00C91EA2" w:rsidRDefault="006018AA" w:rsidP="006018AA">
      <w:pPr>
        <w:jc w:val="both"/>
        <w:rPr>
          <w:rFonts w:ascii="Times New Roman" w:hAnsi="Times New Roman" w:cs="Times New Roman"/>
        </w:rPr>
      </w:pPr>
    </w:p>
    <w:p w14:paraId="2DB26303" w14:textId="1C653F0D"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In addition to limiting market entry in both urban and rural areas, this licensing procedure risks creating </w:t>
      </w:r>
      <w:r w:rsidR="00DB58F3">
        <w:rPr>
          <w:rFonts w:ascii="Times New Roman" w:hAnsi="Times New Roman" w:cs="Times New Roman"/>
          <w:b/>
        </w:rPr>
        <w:t>an</w:t>
      </w:r>
      <w:r w:rsidRPr="00C91EA2">
        <w:rPr>
          <w:rFonts w:ascii="Times New Roman" w:hAnsi="Times New Roman" w:cs="Times New Roman"/>
          <w:b/>
        </w:rPr>
        <w:t xml:space="preserve">other competition distortion in terms of cross-subsidization between areas where it would be viable for the private sector to invest in fiber and rural areas where State support may be </w:t>
      </w:r>
      <w:r w:rsidR="00DB58F3">
        <w:rPr>
          <w:rFonts w:ascii="Times New Roman" w:hAnsi="Times New Roman" w:cs="Times New Roman"/>
          <w:b/>
        </w:rPr>
        <w:t>necessary</w:t>
      </w:r>
      <w:r w:rsidRPr="00C91EA2">
        <w:rPr>
          <w:rFonts w:ascii="Times New Roman" w:hAnsi="Times New Roman" w:cs="Times New Roman"/>
        </w:rPr>
        <w:t xml:space="preserve">. In this regard, public service obligations should be clearly identified to prevent unnecessary cross-subsidization, notably: (i) the parameters on the basis of which the compensation is calculated should be established in advance in an objective and transparent manner; (ii) the compensation should not exceed what is necessary to cover all or part of the costs incurred in the discharge of public service obligations, taking into account the relevant receipts and a reasonable profit for discharging those obligations; and (iii) the level of compensation needed should be determined on the basis of an analysis of the costs </w:t>
      </w:r>
      <w:r w:rsidR="00CC3966">
        <w:rPr>
          <w:rFonts w:ascii="Times New Roman" w:hAnsi="Times New Roman" w:cs="Times New Roman"/>
        </w:rPr>
        <w:t>of</w:t>
      </w:r>
      <w:r w:rsidR="00CC3966" w:rsidRPr="00C91EA2">
        <w:rPr>
          <w:rFonts w:ascii="Times New Roman" w:hAnsi="Times New Roman" w:cs="Times New Roman"/>
        </w:rPr>
        <w:t xml:space="preserve"> </w:t>
      </w:r>
      <w:r w:rsidRPr="00C91EA2">
        <w:rPr>
          <w:rFonts w:ascii="Times New Roman" w:hAnsi="Times New Roman" w:cs="Times New Roman"/>
        </w:rPr>
        <w:t>a typical undertaking, well run and adequately provided.</w:t>
      </w:r>
      <w:r w:rsidRPr="00C91EA2">
        <w:rPr>
          <w:rStyle w:val="FootnoteReference"/>
          <w:rFonts w:ascii="Times New Roman" w:hAnsi="Times New Roman" w:cs="Times New Roman"/>
        </w:rPr>
        <w:footnoteReference w:id="239"/>
      </w:r>
    </w:p>
    <w:p w14:paraId="2F8D3432" w14:textId="77777777" w:rsidR="006018AA" w:rsidRPr="00C91EA2" w:rsidRDefault="006018AA" w:rsidP="006018AA">
      <w:pPr>
        <w:jc w:val="both"/>
        <w:rPr>
          <w:rFonts w:ascii="Times New Roman" w:hAnsi="Times New Roman" w:cs="Times New Roman"/>
        </w:rPr>
      </w:pPr>
    </w:p>
    <w:p w14:paraId="57182E4A" w14:textId="0660BFA1"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ARTP may further develop a framework to establish when the </w:t>
      </w:r>
      <w:r w:rsidR="003B24ED">
        <w:rPr>
          <w:rFonts w:ascii="Times New Roman" w:hAnsi="Times New Roman" w:cs="Times New Roman"/>
          <w:b/>
        </w:rPr>
        <w:t>Government</w:t>
      </w:r>
      <w:r w:rsidRPr="00C91EA2">
        <w:rPr>
          <w:rFonts w:ascii="Times New Roman" w:hAnsi="Times New Roman" w:cs="Times New Roman"/>
          <w:b/>
        </w:rPr>
        <w:t xml:space="preserve"> decides to engage in commercial activities without crowding-out private sector initiative</w:t>
      </w:r>
      <w:r w:rsidRPr="00C91EA2">
        <w:rPr>
          <w:rFonts w:ascii="Times New Roman" w:hAnsi="Times New Roman" w:cs="Times New Roman"/>
        </w:rPr>
        <w:t xml:space="preserve">. In the case of the EU, </w:t>
      </w:r>
      <w:r w:rsidR="00344A29">
        <w:rPr>
          <w:rFonts w:ascii="Times New Roman" w:hAnsi="Times New Roman" w:cs="Times New Roman"/>
        </w:rPr>
        <w:t xml:space="preserve">the </w:t>
      </w:r>
      <w:r w:rsidRPr="00C91EA2">
        <w:rPr>
          <w:rFonts w:ascii="Times New Roman" w:hAnsi="Times New Roman" w:cs="Times New Roman"/>
        </w:rPr>
        <w:t xml:space="preserve">European Commission applies the "EU Guidelines for the application of State aid rules in relation to the rapid deployment of broadband networks" for the assessment of state aid to broadband measures. </w:t>
      </w:r>
      <w:r w:rsidR="00396839">
        <w:rPr>
          <w:rFonts w:ascii="Times New Roman" w:hAnsi="Times New Roman" w:cs="Times New Roman"/>
        </w:rPr>
        <w:t>T</w:t>
      </w:r>
      <w:r w:rsidRPr="00C91EA2">
        <w:rPr>
          <w:rFonts w:ascii="Times New Roman" w:hAnsi="Times New Roman" w:cs="Times New Roman"/>
        </w:rPr>
        <w:t>hese Guidelines</w:t>
      </w:r>
      <w:r w:rsidR="00396839">
        <w:rPr>
          <w:rFonts w:ascii="Times New Roman" w:hAnsi="Times New Roman" w:cs="Times New Roman"/>
        </w:rPr>
        <w:t xml:space="preserve"> identify</w:t>
      </w:r>
      <w:r w:rsidRPr="00C91EA2">
        <w:rPr>
          <w:rFonts w:ascii="Times New Roman" w:hAnsi="Times New Roman" w:cs="Times New Roman"/>
        </w:rPr>
        <w:t xml:space="preserve"> three categories of </w:t>
      </w:r>
      <w:r w:rsidR="00396839">
        <w:rPr>
          <w:rFonts w:ascii="Times New Roman" w:hAnsi="Times New Roman" w:cs="Times New Roman"/>
        </w:rPr>
        <w:t xml:space="preserve">geographic </w:t>
      </w:r>
      <w:r w:rsidRPr="00C91EA2">
        <w:rPr>
          <w:rFonts w:ascii="Times New Roman" w:hAnsi="Times New Roman" w:cs="Times New Roman"/>
        </w:rPr>
        <w:t xml:space="preserve">areas: (i) </w:t>
      </w:r>
      <w:r>
        <w:rPr>
          <w:rFonts w:ascii="Times New Roman" w:hAnsi="Times New Roman" w:cs="Times New Roman"/>
          <w:i/>
        </w:rPr>
        <w:t>W</w:t>
      </w:r>
      <w:r w:rsidRPr="00C91EA2">
        <w:rPr>
          <w:rFonts w:ascii="Times New Roman" w:hAnsi="Times New Roman" w:cs="Times New Roman"/>
          <w:i/>
        </w:rPr>
        <w:t>hite areas</w:t>
      </w:r>
      <w:r w:rsidRPr="00C91EA2">
        <w:rPr>
          <w:rFonts w:ascii="Times New Roman" w:hAnsi="Times New Roman" w:cs="Times New Roman"/>
        </w:rPr>
        <w:t xml:space="preserve"> are defined as having no existing broadband infrastructure or any planned private investment in the foreseeable future. Granting authorities should check if private investors have plans to roll out their own infrastructure </w:t>
      </w:r>
      <w:proofErr w:type="gramStart"/>
      <w:r w:rsidRPr="00C91EA2">
        <w:rPr>
          <w:rFonts w:ascii="Times New Roman" w:hAnsi="Times New Roman" w:cs="Times New Roman"/>
        </w:rPr>
        <w:t>in the near future</w:t>
      </w:r>
      <w:proofErr w:type="gramEnd"/>
      <w:r w:rsidRPr="00C91EA2">
        <w:rPr>
          <w:rFonts w:ascii="Times New Roman" w:hAnsi="Times New Roman" w:cs="Times New Roman"/>
        </w:rPr>
        <w:t xml:space="preserve">. These areas therefore will most likely be identified as a market failure. Thus, their funding will, </w:t>
      </w:r>
      <w:proofErr w:type="gramStart"/>
      <w:r w:rsidRPr="00C91EA2">
        <w:rPr>
          <w:rFonts w:ascii="Times New Roman" w:hAnsi="Times New Roman" w:cs="Times New Roman"/>
        </w:rPr>
        <w:t>in all likelihood</w:t>
      </w:r>
      <w:proofErr w:type="gramEnd"/>
      <w:r w:rsidRPr="00C91EA2">
        <w:rPr>
          <w:rFonts w:ascii="Times New Roman" w:hAnsi="Times New Roman" w:cs="Times New Roman"/>
        </w:rPr>
        <w:t xml:space="preserve">, be in line with the objective of common interest. (ii) </w:t>
      </w:r>
      <w:r>
        <w:rPr>
          <w:rFonts w:ascii="Times New Roman" w:hAnsi="Times New Roman" w:cs="Times New Roman"/>
          <w:i/>
        </w:rPr>
        <w:t>G</w:t>
      </w:r>
      <w:r w:rsidRPr="00C91EA2">
        <w:rPr>
          <w:rFonts w:ascii="Times New Roman" w:hAnsi="Times New Roman" w:cs="Times New Roman"/>
          <w:i/>
        </w:rPr>
        <w:t>rey areas</w:t>
      </w:r>
      <w:r w:rsidRPr="00C91EA2">
        <w:rPr>
          <w:rFonts w:ascii="Times New Roman" w:hAnsi="Times New Roman" w:cs="Times New Roman"/>
        </w:rPr>
        <w:t xml:space="preserve"> are areas in which one network operator is present and another network is unlikely to be developed </w:t>
      </w:r>
      <w:proofErr w:type="gramStart"/>
      <w:r w:rsidRPr="00C91EA2">
        <w:rPr>
          <w:rFonts w:ascii="Times New Roman" w:hAnsi="Times New Roman" w:cs="Times New Roman"/>
        </w:rPr>
        <w:t>in the near future</w:t>
      </w:r>
      <w:proofErr w:type="gramEnd"/>
      <w:r w:rsidRPr="00C91EA2">
        <w:rPr>
          <w:rFonts w:ascii="Times New Roman" w:hAnsi="Times New Roman" w:cs="Times New Roman"/>
        </w:rPr>
        <w:t xml:space="preserve">. This can be due to private parties not being able to develop a broadband network infrastructure in an economically viable way without the help of the granting authority, for instance if the required up-front investment is too high for that specific region. A detailed assessment of broadband infrastructure, pricing and other entry barriers must be performed to assess a grey area as a potential area that is eligible for state measures. Examples are the absence of an open access architecture that can be shared with other operators. (iii) </w:t>
      </w:r>
      <w:r>
        <w:rPr>
          <w:rFonts w:ascii="Times New Roman" w:hAnsi="Times New Roman" w:cs="Times New Roman"/>
          <w:i/>
        </w:rPr>
        <w:t>B</w:t>
      </w:r>
      <w:r w:rsidRPr="00C91EA2">
        <w:rPr>
          <w:rFonts w:ascii="Times New Roman" w:hAnsi="Times New Roman" w:cs="Times New Roman"/>
          <w:i/>
        </w:rPr>
        <w:t>lack areas</w:t>
      </w:r>
      <w:r w:rsidRPr="00C91EA2">
        <w:rPr>
          <w:rFonts w:ascii="Times New Roman" w:hAnsi="Times New Roman" w:cs="Times New Roman"/>
        </w:rPr>
        <w:t xml:space="preserve"> are those areas where State intervention is the least likely to be necessary because of the presence of two or more network operators under competitive conditions on the infrastructure level.</w:t>
      </w:r>
      <w:r w:rsidRPr="00C91EA2">
        <w:rPr>
          <w:rStyle w:val="FootnoteReference"/>
          <w:rFonts w:ascii="Times New Roman" w:hAnsi="Times New Roman" w:cs="Times New Roman"/>
        </w:rPr>
        <w:footnoteReference w:id="240"/>
      </w:r>
      <w:r w:rsidRPr="00C91EA2">
        <w:rPr>
          <w:rFonts w:ascii="Times New Roman" w:hAnsi="Times New Roman" w:cs="Times New Roman"/>
        </w:rPr>
        <w:t xml:space="preserve"> All Commission decisions pertaining to the application of the Guidelines to the rapid deployment of broadband networks are published and available online. </w:t>
      </w:r>
      <w:r w:rsidR="00F673CC">
        <w:rPr>
          <w:rFonts w:ascii="Times New Roman" w:hAnsi="Times New Roman" w:cs="Times New Roman"/>
        </w:rPr>
        <w:t>As of</w:t>
      </w:r>
      <w:r w:rsidRPr="00C91EA2">
        <w:rPr>
          <w:rFonts w:ascii="Times New Roman" w:hAnsi="Times New Roman" w:cs="Times New Roman"/>
        </w:rPr>
        <w:t xml:space="preserve"> 2017, the Commission has thus far issued 152 decisions on State aid to broadband covering all Member States.</w:t>
      </w:r>
      <w:r w:rsidRPr="00C91EA2">
        <w:rPr>
          <w:rStyle w:val="FootnoteReference"/>
          <w:rFonts w:ascii="Times New Roman" w:hAnsi="Times New Roman" w:cs="Times New Roman"/>
        </w:rPr>
        <w:footnoteReference w:id="241"/>
      </w:r>
      <w:r w:rsidRPr="00C91EA2">
        <w:rPr>
          <w:rFonts w:ascii="Times New Roman" w:hAnsi="Times New Roman" w:cs="Times New Roman"/>
        </w:rPr>
        <w:t xml:space="preserve"> Although </w:t>
      </w:r>
      <w:proofErr w:type="gramStart"/>
      <w:r w:rsidRPr="00C91EA2">
        <w:rPr>
          <w:rFonts w:ascii="Times New Roman" w:hAnsi="Times New Roman" w:cs="Times New Roman"/>
        </w:rPr>
        <w:t>the majority of</w:t>
      </w:r>
      <w:proofErr w:type="gramEnd"/>
      <w:r w:rsidRPr="00C91EA2">
        <w:rPr>
          <w:rFonts w:ascii="Times New Roman" w:hAnsi="Times New Roman" w:cs="Times New Roman"/>
        </w:rPr>
        <w:t xml:space="preserve"> the decisions decided not to raise objections to the granting of State aid, there are also cases where the Commission declared the aid illegal. The first time the Commission decided to declare a subsidy for broadband network deployment illegal was in the </w:t>
      </w:r>
      <w:proofErr w:type="spellStart"/>
      <w:r w:rsidRPr="00C91EA2">
        <w:rPr>
          <w:rFonts w:ascii="Times New Roman" w:hAnsi="Times New Roman" w:cs="Times New Roman"/>
          <w:i/>
        </w:rPr>
        <w:t>Appingedam</w:t>
      </w:r>
      <w:proofErr w:type="spellEnd"/>
      <w:r w:rsidRPr="00C91EA2">
        <w:rPr>
          <w:rFonts w:ascii="Times New Roman" w:hAnsi="Times New Roman" w:cs="Times New Roman"/>
          <w:i/>
        </w:rPr>
        <w:t xml:space="preserve"> </w:t>
      </w:r>
      <w:r w:rsidRPr="00C91EA2">
        <w:rPr>
          <w:rFonts w:ascii="Times New Roman" w:hAnsi="Times New Roman" w:cs="Times New Roman"/>
        </w:rPr>
        <w:t>case. At stake was a public funding for the planned construction of a fib</w:t>
      </w:r>
      <w:r w:rsidR="00F673CC">
        <w:rPr>
          <w:rFonts w:ascii="Times New Roman" w:hAnsi="Times New Roman" w:cs="Times New Roman"/>
        </w:rPr>
        <w:t>er</w:t>
      </w:r>
      <w:r w:rsidRPr="00C91EA2">
        <w:rPr>
          <w:rFonts w:ascii="Times New Roman" w:hAnsi="Times New Roman" w:cs="Times New Roman"/>
        </w:rPr>
        <w:t xml:space="preserve"> access network in the Dutch town of </w:t>
      </w:r>
      <w:proofErr w:type="spellStart"/>
      <w:r w:rsidRPr="00C91EA2">
        <w:rPr>
          <w:rFonts w:ascii="Times New Roman" w:hAnsi="Times New Roman" w:cs="Times New Roman"/>
        </w:rPr>
        <w:t>Appingedam</w:t>
      </w:r>
      <w:proofErr w:type="spellEnd"/>
      <w:r w:rsidRPr="00C91EA2">
        <w:rPr>
          <w:rFonts w:ascii="Times New Roman" w:hAnsi="Times New Roman" w:cs="Times New Roman"/>
        </w:rPr>
        <w:t>. However, because this project concerned an area already served by broadband networks, the Commission considered that the aid was not necessary to remedy either a market failure or unaffordable prices for broadband services. The Commission considered that the planned aid would distort competition and harm private investment to an extent which would outweigh the positive effects of the project (see also Box below).</w:t>
      </w:r>
      <w:r w:rsidRPr="00C91EA2">
        <w:rPr>
          <w:rStyle w:val="FootnoteReference"/>
          <w:rFonts w:ascii="Times New Roman" w:hAnsi="Times New Roman" w:cs="Times New Roman"/>
        </w:rPr>
        <w:footnoteReference w:id="242"/>
      </w:r>
      <w:r w:rsidRPr="00C91EA2">
        <w:rPr>
          <w:rFonts w:ascii="Times New Roman" w:hAnsi="Times New Roman" w:cs="Times New Roman"/>
        </w:rPr>
        <w:t xml:space="preserve"> </w:t>
      </w:r>
    </w:p>
    <w:p w14:paraId="55B4BBB3" w14:textId="77777777" w:rsidR="006018AA" w:rsidRPr="00C91EA2" w:rsidRDefault="006018AA" w:rsidP="006018AA">
      <w:pPr>
        <w:jc w:val="both"/>
        <w:rPr>
          <w:rFonts w:ascii="Times New Roman" w:hAnsi="Times New Roman" w:cs="Times New Roman"/>
        </w:rPr>
      </w:pPr>
    </w:p>
    <w:p w14:paraId="1191B4AC" w14:textId="7D89E0A1" w:rsidR="006018AA" w:rsidRPr="00C91EA2" w:rsidRDefault="006018AA" w:rsidP="006018AA">
      <w:pPr>
        <w:pStyle w:val="Caption"/>
        <w:keepNext/>
        <w:rPr>
          <w:rFonts w:ascii="Times New Roman" w:hAnsi="Times New Roman"/>
        </w:rPr>
      </w:pPr>
      <w:bookmarkStart w:id="314" w:name="_Toc520725809"/>
      <w:r w:rsidRPr="00C91EA2">
        <w:rPr>
          <w:rFonts w:ascii="Times New Roman" w:hAnsi="Times New Roman"/>
        </w:rPr>
        <w:t xml:space="preserve">Box </w:t>
      </w:r>
      <w:r w:rsidR="009547FF">
        <w:rPr>
          <w:rFonts w:ascii="Times New Roman" w:hAnsi="Times New Roman"/>
        </w:rPr>
        <w:fldChar w:fldCharType="begin"/>
      </w:r>
      <w:r w:rsidR="009547FF">
        <w:rPr>
          <w:rFonts w:ascii="Times New Roman" w:hAnsi="Times New Roman"/>
        </w:rPr>
        <w:instrText xml:space="preserve"> SEQ Box \* ARABIC </w:instrText>
      </w:r>
      <w:r w:rsidR="009547FF">
        <w:rPr>
          <w:rFonts w:ascii="Times New Roman" w:hAnsi="Times New Roman"/>
        </w:rPr>
        <w:fldChar w:fldCharType="separate"/>
      </w:r>
      <w:r w:rsidR="008261B2">
        <w:rPr>
          <w:rFonts w:ascii="Times New Roman" w:hAnsi="Times New Roman"/>
          <w:noProof/>
        </w:rPr>
        <w:t>21</w:t>
      </w:r>
      <w:r w:rsidR="009547FF">
        <w:rPr>
          <w:rFonts w:ascii="Times New Roman" w:hAnsi="Times New Roman"/>
        </w:rPr>
        <w:fldChar w:fldCharType="end"/>
      </w:r>
      <w:r w:rsidRPr="00C91EA2">
        <w:rPr>
          <w:rFonts w:ascii="Times New Roman" w:hAnsi="Times New Roman"/>
        </w:rPr>
        <w:t>: Public support for broadband networks infrastructure deployment in Romania</w:t>
      </w:r>
      <w:bookmarkEnd w:id="314"/>
    </w:p>
    <w:tbl>
      <w:tblPr>
        <w:tblStyle w:val="TableGrid"/>
        <w:tblW w:w="0" w:type="auto"/>
        <w:shd w:val="clear" w:color="auto" w:fill="F2F2F2" w:themeFill="background1" w:themeFillShade="F2"/>
        <w:tblLook w:val="04A0" w:firstRow="1" w:lastRow="0" w:firstColumn="1" w:lastColumn="0" w:noHBand="0" w:noVBand="1"/>
      </w:tblPr>
      <w:tblGrid>
        <w:gridCol w:w="8630"/>
      </w:tblGrid>
      <w:tr w:rsidR="006018AA" w:rsidRPr="00C91EA2" w14:paraId="358407ED" w14:textId="77777777" w:rsidTr="00FA09FE">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CCDA84" w14:textId="2C8EBD35" w:rsidR="006018AA" w:rsidRPr="00C91EA2" w:rsidRDefault="006018AA" w:rsidP="00FA09FE">
            <w:pPr>
              <w:pStyle w:val="Caption"/>
              <w:jc w:val="both"/>
              <w:rPr>
                <w:rFonts w:ascii="Times New Roman" w:hAnsi="Times New Roman"/>
                <w:b w:val="0"/>
              </w:rPr>
            </w:pPr>
            <w:r>
              <w:rPr>
                <w:rFonts w:ascii="Times New Roman" w:hAnsi="Times New Roman"/>
                <w:b w:val="0"/>
              </w:rPr>
              <w:t>As with</w:t>
            </w:r>
            <w:r w:rsidRPr="00C91EA2">
              <w:rPr>
                <w:rFonts w:ascii="Times New Roman" w:hAnsi="Times New Roman"/>
                <w:b w:val="0"/>
              </w:rPr>
              <w:t xml:space="preserve"> other EU Member States, in Romania, public financing is </w:t>
            </w:r>
            <w:r>
              <w:rPr>
                <w:rFonts w:ascii="Times New Roman" w:hAnsi="Times New Roman"/>
                <w:b w:val="0"/>
              </w:rPr>
              <w:t>required</w:t>
            </w:r>
            <w:r w:rsidRPr="00C91EA2">
              <w:rPr>
                <w:rFonts w:ascii="Times New Roman" w:hAnsi="Times New Roman"/>
                <w:b w:val="0"/>
              </w:rPr>
              <w:t xml:space="preserve"> to supplement private investment </w:t>
            </w:r>
            <w:proofErr w:type="gramStart"/>
            <w:r w:rsidRPr="00C91EA2">
              <w:rPr>
                <w:rFonts w:ascii="Times New Roman" w:hAnsi="Times New Roman"/>
                <w:b w:val="0"/>
              </w:rPr>
              <w:t>in order to</w:t>
            </w:r>
            <w:proofErr w:type="gramEnd"/>
            <w:r w:rsidRPr="00C91EA2">
              <w:rPr>
                <w:rFonts w:ascii="Times New Roman" w:hAnsi="Times New Roman"/>
                <w:b w:val="0"/>
              </w:rPr>
              <w:t xml:space="preserve"> rapidly deploy broadband networks. In this context, the RO-NET aid framework scheme was designed to provide financial support for the development of 7 backhaul networks in predetermined regions. The infrastructure would remain in public ownership</w:t>
            </w:r>
            <w:r w:rsidR="00402578">
              <w:rPr>
                <w:rFonts w:ascii="Times New Roman" w:hAnsi="Times New Roman"/>
                <w:b w:val="0"/>
              </w:rPr>
              <w:t>,</w:t>
            </w:r>
            <w:r w:rsidRPr="00C91EA2">
              <w:rPr>
                <w:rFonts w:ascii="Times New Roman" w:hAnsi="Times New Roman"/>
                <w:b w:val="0"/>
              </w:rPr>
              <w:t xml:space="preserve"> but the exploitation of the network would be carried out by the operator(s) which has/have installed them for a period of 18 years, </w:t>
            </w:r>
            <w:r w:rsidR="00AB6CD2">
              <w:rPr>
                <w:rFonts w:ascii="Times New Roman" w:hAnsi="Times New Roman"/>
                <w:b w:val="0"/>
              </w:rPr>
              <w:t>with</w:t>
            </w:r>
            <w:r w:rsidR="00AB6CD2" w:rsidRPr="00C91EA2">
              <w:rPr>
                <w:rFonts w:ascii="Times New Roman" w:hAnsi="Times New Roman"/>
                <w:b w:val="0"/>
              </w:rPr>
              <w:t xml:space="preserve"> </w:t>
            </w:r>
            <w:r w:rsidRPr="00C91EA2">
              <w:rPr>
                <w:rFonts w:ascii="Times New Roman" w:hAnsi="Times New Roman"/>
                <w:b w:val="0"/>
              </w:rPr>
              <w:t>payment of a concession fee.</w:t>
            </w:r>
          </w:p>
          <w:p w14:paraId="56E7BDFD" w14:textId="77777777" w:rsidR="006018AA" w:rsidRPr="00C91EA2" w:rsidRDefault="006018AA" w:rsidP="00FA09FE">
            <w:pPr>
              <w:jc w:val="both"/>
              <w:rPr>
                <w:rFonts w:ascii="Times New Roman" w:hAnsi="Times New Roman" w:cs="Times New Roman"/>
                <w:sz w:val="20"/>
              </w:rPr>
            </w:pPr>
          </w:p>
          <w:p w14:paraId="13706A0E" w14:textId="67B4D5E4" w:rsidR="006018AA" w:rsidRPr="00C91EA2" w:rsidRDefault="006018AA" w:rsidP="00FA09FE">
            <w:pPr>
              <w:jc w:val="both"/>
              <w:rPr>
                <w:rFonts w:ascii="Times New Roman" w:hAnsi="Times New Roman" w:cs="Times New Roman"/>
                <w:sz w:val="20"/>
              </w:rPr>
            </w:pPr>
            <w:r w:rsidRPr="00C91EA2">
              <w:rPr>
                <w:rFonts w:ascii="Times New Roman" w:hAnsi="Times New Roman" w:cs="Times New Roman"/>
                <w:sz w:val="20"/>
              </w:rPr>
              <w:t>The measure consists of a concession contract for the development of broadband infrastructure in so-called “white” areas, in which there was no existing or planned (i.e., over a three</w:t>
            </w:r>
            <w:r w:rsidR="00402578">
              <w:rPr>
                <w:rFonts w:ascii="Times New Roman" w:hAnsi="Times New Roman" w:cs="Times New Roman"/>
                <w:sz w:val="20"/>
              </w:rPr>
              <w:t>-</w:t>
            </w:r>
            <w:r w:rsidRPr="00C91EA2">
              <w:rPr>
                <w:rFonts w:ascii="Times New Roman" w:hAnsi="Times New Roman" w:cs="Times New Roman"/>
                <w:sz w:val="20"/>
              </w:rPr>
              <w:t>year horizon) access or backhaul networks. A three-step approach was used to determine which localities would be eligible by reference to networks offering transmission speeds greater than 4Mbps for business or 1Mbps for residential users:</w:t>
            </w:r>
          </w:p>
          <w:p w14:paraId="5AA15814" w14:textId="77777777" w:rsidR="006018AA" w:rsidRPr="00C91EA2" w:rsidRDefault="006018AA" w:rsidP="00FA09FE">
            <w:pPr>
              <w:jc w:val="both"/>
              <w:rPr>
                <w:rFonts w:ascii="Times New Roman" w:hAnsi="Times New Roman" w:cs="Times New Roman"/>
                <w:sz w:val="20"/>
              </w:rPr>
            </w:pPr>
          </w:p>
          <w:p w14:paraId="7ABCCB8F" w14:textId="77777777" w:rsidR="006018AA" w:rsidRPr="00C91EA2" w:rsidRDefault="006018AA" w:rsidP="00FA09FE">
            <w:pPr>
              <w:pStyle w:val="ListParagraph"/>
              <w:numPr>
                <w:ilvl w:val="0"/>
                <w:numId w:val="90"/>
              </w:numPr>
              <w:rPr>
                <w:rFonts w:ascii="Times New Roman" w:hAnsi="Times New Roman" w:cs="Times New Roman"/>
                <w:sz w:val="20"/>
              </w:rPr>
            </w:pPr>
            <w:r w:rsidRPr="00C91EA2">
              <w:rPr>
                <w:rFonts w:ascii="Times New Roman" w:hAnsi="Times New Roman" w:cs="Times New Roman"/>
                <w:sz w:val="20"/>
              </w:rPr>
              <w:t>The Telecom regulator, ANCOM carried out a mapping study which resulted in a preliminary list of 6</w:t>
            </w:r>
            <w:r>
              <w:rPr>
                <w:rFonts w:ascii="Times New Roman" w:hAnsi="Times New Roman" w:cs="Times New Roman"/>
                <w:sz w:val="20"/>
              </w:rPr>
              <w:t>,</w:t>
            </w:r>
            <w:r w:rsidRPr="00C91EA2">
              <w:rPr>
                <w:rFonts w:ascii="Times New Roman" w:hAnsi="Times New Roman" w:cs="Times New Roman"/>
                <w:sz w:val="20"/>
              </w:rPr>
              <w:t>155 localities with no broadband connectivity.</w:t>
            </w:r>
          </w:p>
          <w:p w14:paraId="37DA140D" w14:textId="651EDA1C" w:rsidR="006018AA" w:rsidRPr="00C91EA2" w:rsidRDefault="006018AA" w:rsidP="00FA09FE">
            <w:pPr>
              <w:pStyle w:val="ListParagraph"/>
              <w:numPr>
                <w:ilvl w:val="0"/>
                <w:numId w:val="90"/>
              </w:numPr>
              <w:jc w:val="both"/>
              <w:rPr>
                <w:rFonts w:ascii="Times New Roman" w:hAnsi="Times New Roman" w:cs="Times New Roman"/>
                <w:sz w:val="20"/>
              </w:rPr>
            </w:pPr>
            <w:r w:rsidRPr="00C91EA2">
              <w:rPr>
                <w:rFonts w:ascii="Times New Roman" w:hAnsi="Times New Roman" w:cs="Times New Roman"/>
                <w:sz w:val="20"/>
              </w:rPr>
              <w:t xml:space="preserve">The number of localities proved to be too high </w:t>
            </w:r>
            <w:proofErr w:type="gramStart"/>
            <w:r w:rsidRPr="00C91EA2">
              <w:rPr>
                <w:rFonts w:ascii="Times New Roman" w:hAnsi="Times New Roman" w:cs="Times New Roman"/>
                <w:sz w:val="20"/>
              </w:rPr>
              <w:t>in light of</w:t>
            </w:r>
            <w:proofErr w:type="gramEnd"/>
            <w:r w:rsidRPr="00C91EA2">
              <w:rPr>
                <w:rFonts w:ascii="Times New Roman" w:hAnsi="Times New Roman" w:cs="Times New Roman"/>
                <w:sz w:val="20"/>
              </w:rPr>
              <w:t xml:space="preserve"> the European Commission’s administrative practice </w:t>
            </w:r>
            <w:r w:rsidR="00224B7E">
              <w:rPr>
                <w:rFonts w:ascii="Times New Roman" w:hAnsi="Times New Roman" w:cs="Times New Roman"/>
                <w:sz w:val="20"/>
              </w:rPr>
              <w:t>because</w:t>
            </w:r>
            <w:r w:rsidRPr="00C91EA2">
              <w:rPr>
                <w:rFonts w:ascii="Times New Roman" w:hAnsi="Times New Roman" w:cs="Times New Roman"/>
                <w:sz w:val="20"/>
              </w:rPr>
              <w:t xml:space="preserve">, amongst other reasons, the Commission </w:t>
            </w:r>
            <w:r w:rsidR="00002DFB">
              <w:rPr>
                <w:rFonts w:ascii="Times New Roman" w:hAnsi="Times New Roman" w:cs="Times New Roman"/>
                <w:sz w:val="20"/>
              </w:rPr>
              <w:t xml:space="preserve">limits </w:t>
            </w:r>
            <w:r w:rsidRPr="00C91EA2">
              <w:rPr>
                <w:rFonts w:ascii="Times New Roman" w:hAnsi="Times New Roman" w:cs="Times New Roman"/>
                <w:sz w:val="20"/>
              </w:rPr>
              <w:t xml:space="preserve">White Areas </w:t>
            </w:r>
            <w:r w:rsidR="00002DFB">
              <w:rPr>
                <w:rFonts w:ascii="Times New Roman" w:hAnsi="Times New Roman" w:cs="Times New Roman"/>
                <w:sz w:val="20"/>
              </w:rPr>
              <w:t xml:space="preserve">to </w:t>
            </w:r>
            <w:r w:rsidRPr="00C91EA2">
              <w:rPr>
                <w:rFonts w:ascii="Times New Roman" w:hAnsi="Times New Roman" w:cs="Times New Roman"/>
                <w:sz w:val="20"/>
              </w:rPr>
              <w:t xml:space="preserve">those where there is </w:t>
            </w:r>
            <w:r w:rsidR="00002DFB">
              <w:rPr>
                <w:rFonts w:ascii="Times New Roman" w:hAnsi="Times New Roman" w:cs="Times New Roman"/>
                <w:sz w:val="20"/>
              </w:rPr>
              <w:t xml:space="preserve">not only </w:t>
            </w:r>
            <w:r w:rsidRPr="00C91EA2">
              <w:rPr>
                <w:rFonts w:ascii="Times New Roman" w:hAnsi="Times New Roman" w:cs="Times New Roman"/>
                <w:sz w:val="20"/>
              </w:rPr>
              <w:t>currently no broadband network, but also in which no deployment of such network was foreseen in the next three years. This resulted in a reduction of the number of eligible areas to 2</w:t>
            </w:r>
            <w:r>
              <w:rPr>
                <w:rFonts w:ascii="Times New Roman" w:hAnsi="Times New Roman" w:cs="Times New Roman"/>
                <w:sz w:val="20"/>
              </w:rPr>
              <w:t>,</w:t>
            </w:r>
            <w:r w:rsidRPr="00C91EA2">
              <w:rPr>
                <w:rFonts w:ascii="Times New Roman" w:hAnsi="Times New Roman" w:cs="Times New Roman"/>
                <w:sz w:val="20"/>
              </w:rPr>
              <w:t>287 localities.</w:t>
            </w:r>
          </w:p>
          <w:p w14:paraId="44400E2A" w14:textId="77777777" w:rsidR="006018AA" w:rsidRPr="00C91EA2" w:rsidRDefault="006018AA" w:rsidP="00FA09FE">
            <w:pPr>
              <w:pStyle w:val="ListParagraph"/>
              <w:numPr>
                <w:ilvl w:val="0"/>
                <w:numId w:val="90"/>
              </w:numPr>
              <w:jc w:val="both"/>
              <w:rPr>
                <w:rFonts w:ascii="Times New Roman" w:hAnsi="Times New Roman" w:cs="Times New Roman"/>
              </w:rPr>
            </w:pPr>
            <w:r w:rsidRPr="00C91EA2">
              <w:rPr>
                <w:rFonts w:ascii="Times New Roman" w:hAnsi="Times New Roman" w:cs="Times New Roman"/>
                <w:sz w:val="20"/>
              </w:rPr>
              <w:t>ANCOM finally identified 743 localities to be eligible to the Ro-net project. It was decided that the project would be limited to the establishment of a new backhaul network with a view to stimulating a competitive environment which would allow the establishment of local access networks on commercial basis.</w:t>
            </w:r>
          </w:p>
          <w:p w14:paraId="686C3A1F" w14:textId="77777777" w:rsidR="006018AA" w:rsidRPr="007575D7" w:rsidRDefault="006018AA" w:rsidP="00FA09FE">
            <w:pPr>
              <w:jc w:val="both"/>
              <w:rPr>
                <w:rFonts w:ascii="Times New Roman" w:hAnsi="Times New Roman" w:cs="Times New Roman"/>
                <w:b/>
              </w:rPr>
            </w:pPr>
          </w:p>
          <w:p w14:paraId="1AFEA170" w14:textId="77777777" w:rsidR="006018AA" w:rsidRPr="00C91EA2" w:rsidRDefault="007E2FFB" w:rsidP="00FA09FE">
            <w:pPr>
              <w:rPr>
                <w:rFonts w:ascii="Times New Roman" w:hAnsi="Times New Roman" w:cs="Times New Roman"/>
              </w:rPr>
            </w:pPr>
            <w:r>
              <w:rPr>
                <w:rFonts w:ascii="Times New Roman" w:hAnsi="Times New Roman" w:cs="Times New Roman"/>
                <w:i/>
                <w:sz w:val="20"/>
              </w:rPr>
              <w:t>Source</w:t>
            </w:r>
            <w:r w:rsidR="006018AA" w:rsidRPr="00C91EA2">
              <w:rPr>
                <w:rFonts w:ascii="Times New Roman" w:hAnsi="Times New Roman" w:cs="Times New Roman"/>
                <w:i/>
                <w:sz w:val="20"/>
              </w:rPr>
              <w:t xml:space="preserve">: WBG </w:t>
            </w:r>
            <w:r w:rsidR="00F66F82">
              <w:rPr>
                <w:rFonts w:ascii="Times New Roman" w:hAnsi="Times New Roman" w:cs="Times New Roman"/>
                <w:i/>
                <w:sz w:val="20"/>
              </w:rPr>
              <w:t xml:space="preserve">Markets and </w:t>
            </w:r>
            <w:r w:rsidR="006018AA" w:rsidRPr="00C91EA2">
              <w:rPr>
                <w:rFonts w:ascii="Times New Roman" w:hAnsi="Times New Roman" w:cs="Times New Roman"/>
                <w:i/>
                <w:sz w:val="20"/>
              </w:rPr>
              <w:t>Competition team</w:t>
            </w:r>
            <w:r w:rsidR="00F66F82">
              <w:rPr>
                <w:rFonts w:ascii="Times New Roman" w:hAnsi="Times New Roman" w:cs="Times New Roman"/>
                <w:i/>
                <w:sz w:val="20"/>
              </w:rPr>
              <w:t xml:space="preserve"> elaboration.</w:t>
            </w:r>
          </w:p>
        </w:tc>
      </w:tr>
    </w:tbl>
    <w:p w14:paraId="2530D874" w14:textId="77777777" w:rsidR="006018AA" w:rsidRDefault="006018AA" w:rsidP="006018AA">
      <w:pPr>
        <w:jc w:val="both"/>
        <w:rPr>
          <w:rFonts w:ascii="Times New Roman" w:hAnsi="Times New Roman" w:cs="Times New Roman"/>
        </w:rPr>
      </w:pPr>
    </w:p>
    <w:p w14:paraId="5DECAD4F" w14:textId="77777777" w:rsidR="00711D1F" w:rsidRPr="00C91EA2" w:rsidRDefault="00711D1F" w:rsidP="006018AA">
      <w:pPr>
        <w:jc w:val="both"/>
        <w:rPr>
          <w:rFonts w:ascii="Times New Roman" w:hAnsi="Times New Roman" w:cs="Times New Roman"/>
        </w:rPr>
      </w:pPr>
    </w:p>
    <w:p w14:paraId="5BC1A15D" w14:textId="77777777" w:rsidR="006018AA" w:rsidRPr="00045BB4" w:rsidRDefault="006018AA" w:rsidP="006018AA">
      <w:pPr>
        <w:pStyle w:val="Heading5"/>
        <w:rPr>
          <w:rFonts w:ascii="Times New Roman" w:hAnsi="Times New Roman" w:cs="Times New Roman"/>
          <w:sz w:val="24"/>
          <w:szCs w:val="24"/>
        </w:rPr>
      </w:pPr>
      <w:r w:rsidRPr="00045BB4">
        <w:rPr>
          <w:rFonts w:ascii="Times New Roman" w:hAnsi="Times New Roman" w:cs="Times New Roman"/>
          <w:sz w:val="24"/>
          <w:szCs w:val="24"/>
        </w:rPr>
        <w:t>A need for clarity on access to alternative state networks to offer backhaul capacity to the private sector</w:t>
      </w:r>
    </w:p>
    <w:p w14:paraId="2E585BAE" w14:textId="77777777" w:rsidR="006018AA" w:rsidRPr="00C91EA2" w:rsidRDefault="006018AA" w:rsidP="006018AA">
      <w:pPr>
        <w:jc w:val="both"/>
        <w:rPr>
          <w:rFonts w:ascii="Times New Roman" w:hAnsi="Times New Roman" w:cs="Times New Roman"/>
        </w:rPr>
      </w:pPr>
    </w:p>
    <w:p w14:paraId="0EC1F576" w14:textId="02843684" w:rsidR="0040301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Moreover, the </w:t>
      </w:r>
      <w:r>
        <w:rPr>
          <w:rFonts w:ascii="Times New Roman" w:hAnsi="Times New Roman" w:cs="Times New Roman"/>
          <w:b/>
        </w:rPr>
        <w:t>digital infrastructure of utility companies is not clearly regulated</w:t>
      </w:r>
      <w:r w:rsidRPr="00693AF8">
        <w:rPr>
          <w:rFonts w:ascii="Times New Roman" w:hAnsi="Times New Roman" w:cs="Times New Roman"/>
        </w:rPr>
        <w:t xml:space="preserve">. In this regard, the </w:t>
      </w:r>
      <w:proofErr w:type="spellStart"/>
      <w:r w:rsidRPr="00693AF8">
        <w:rPr>
          <w:rFonts w:ascii="Times New Roman" w:hAnsi="Times New Roman" w:cs="Times New Roman"/>
        </w:rPr>
        <w:t>Agence</w:t>
      </w:r>
      <w:proofErr w:type="spellEnd"/>
      <w:r w:rsidRPr="00693AF8">
        <w:rPr>
          <w:rFonts w:ascii="Times New Roman" w:hAnsi="Times New Roman" w:cs="Times New Roman"/>
        </w:rPr>
        <w:t xml:space="preserve"> de </w:t>
      </w:r>
      <w:proofErr w:type="spellStart"/>
      <w:r w:rsidRPr="00693AF8">
        <w:rPr>
          <w:rFonts w:ascii="Times New Roman" w:hAnsi="Times New Roman" w:cs="Times New Roman"/>
        </w:rPr>
        <w:t>l’Informatique</w:t>
      </w:r>
      <w:proofErr w:type="spellEnd"/>
      <w:r w:rsidRPr="00693AF8">
        <w:rPr>
          <w:rFonts w:ascii="Times New Roman" w:hAnsi="Times New Roman" w:cs="Times New Roman"/>
        </w:rPr>
        <w:t xml:space="preserve"> de </w:t>
      </w:r>
      <w:proofErr w:type="spellStart"/>
      <w:r w:rsidRPr="00693AF8">
        <w:rPr>
          <w:rFonts w:ascii="Times New Roman" w:hAnsi="Times New Roman" w:cs="Times New Roman"/>
        </w:rPr>
        <w:t>l’État</w:t>
      </w:r>
      <w:proofErr w:type="spellEnd"/>
      <w:r w:rsidRPr="00693AF8">
        <w:rPr>
          <w:rFonts w:ascii="Times New Roman" w:hAnsi="Times New Roman" w:cs="Times New Roman"/>
        </w:rPr>
        <w:t xml:space="preserve"> (ADIE), owner and manager of public fiber optic infrastructure, has spare capacity in the network that it currently manages, which could be more efficiently used by private operators</w:t>
      </w:r>
      <w:r w:rsidRPr="007C4977">
        <w:rPr>
          <w:rFonts w:ascii="Times New Roman" w:hAnsi="Times New Roman" w:cs="Times New Roman"/>
        </w:rPr>
        <w:t xml:space="preserve">. The lack of clarity regarding the possibility of ADIE offering backhaul services to private operators constrains </w:t>
      </w:r>
      <w:r w:rsidRPr="00B17E4F">
        <w:rPr>
          <w:rFonts w:ascii="Times New Roman" w:hAnsi="Times New Roman" w:cs="Times New Roman"/>
        </w:rPr>
        <w:t>market entry</w:t>
      </w:r>
      <w:r w:rsidR="00085665">
        <w:rPr>
          <w:rFonts w:ascii="Times New Roman" w:hAnsi="Times New Roman" w:cs="Times New Roman"/>
        </w:rPr>
        <w:t xml:space="preserve"> and </w:t>
      </w:r>
      <w:r w:rsidR="00085665" w:rsidRPr="00007A93">
        <w:rPr>
          <w:rFonts w:ascii="Times New Roman" w:hAnsi="Times New Roman" w:cs="Times New Roman"/>
        </w:rPr>
        <w:t>led to unused digital spare capacity</w:t>
      </w:r>
      <w:proofErr w:type="gramStart"/>
      <w:r w:rsidR="00085665" w:rsidRPr="00007A93">
        <w:rPr>
          <w:rFonts w:ascii="Times New Roman" w:hAnsi="Times New Roman" w:cs="Times New Roman"/>
        </w:rPr>
        <w:t>.</w:t>
      </w:r>
      <w:r w:rsidR="00085665">
        <w:rPr>
          <w:rFonts w:ascii="Times New Roman" w:hAnsi="Times New Roman" w:cs="Times New Roman"/>
        </w:rPr>
        <w:t xml:space="preserve"> </w:t>
      </w:r>
      <w:r w:rsidRPr="00672216">
        <w:rPr>
          <w:rFonts w:ascii="Times New Roman" w:hAnsi="Times New Roman" w:cs="Times New Roman"/>
        </w:rPr>
        <w:t>.</w:t>
      </w:r>
      <w:proofErr w:type="gramEnd"/>
      <w:r w:rsidRPr="00410F00">
        <w:rPr>
          <w:rFonts w:ascii="Times New Roman" w:hAnsi="Times New Roman" w:cs="Times New Roman"/>
        </w:rPr>
        <w:t xml:space="preserve"> </w:t>
      </w:r>
      <w:r w:rsidRPr="00A77445">
        <w:rPr>
          <w:rFonts w:ascii="Times New Roman" w:hAnsi="Times New Roman" w:cs="Times New Roman"/>
        </w:rPr>
        <w:t xml:space="preserve">Ongoing </w:t>
      </w:r>
      <w:r w:rsidR="005445C1">
        <w:rPr>
          <w:rFonts w:ascii="Times New Roman" w:hAnsi="Times New Roman" w:cs="Times New Roman"/>
        </w:rPr>
        <w:t>e</w:t>
      </w:r>
      <w:r w:rsidR="001A7482">
        <w:rPr>
          <w:rFonts w:ascii="Times New Roman" w:hAnsi="Times New Roman" w:cs="Times New Roman"/>
        </w:rPr>
        <w:t>fforts have been focusing</w:t>
      </w:r>
      <w:r w:rsidRPr="00A77445">
        <w:rPr>
          <w:rFonts w:ascii="Times New Roman" w:hAnsi="Times New Roman" w:cs="Times New Roman"/>
        </w:rPr>
        <w:t xml:space="preserve"> throughout 2016 and 2017 on the preparation of a technical/financial audit of ADIE’s assets, which is key for the </w:t>
      </w:r>
      <w:r w:rsidR="003B24ED">
        <w:rPr>
          <w:rFonts w:ascii="Times New Roman" w:hAnsi="Times New Roman" w:cs="Times New Roman"/>
        </w:rPr>
        <w:t>Government</w:t>
      </w:r>
      <w:r w:rsidRPr="00A77445">
        <w:rPr>
          <w:rFonts w:ascii="Times New Roman" w:hAnsi="Times New Roman" w:cs="Times New Roman"/>
        </w:rPr>
        <w:t xml:space="preserve"> to adopt a new management model for ADIE in accordance with economic a</w:t>
      </w:r>
      <w:r w:rsidR="001A7482">
        <w:rPr>
          <w:rFonts w:ascii="Times New Roman" w:hAnsi="Times New Roman" w:cs="Times New Roman"/>
        </w:rPr>
        <w:t>nd financial efficiency criteria</w:t>
      </w:r>
      <w:r w:rsidRPr="00A77445">
        <w:rPr>
          <w:rFonts w:ascii="Times New Roman" w:hAnsi="Times New Roman" w:cs="Times New Roman"/>
        </w:rPr>
        <w:t xml:space="preserve"> as well as national security objectives and public-private partnership principles.</w:t>
      </w:r>
      <w:r w:rsidR="00085665" w:rsidRPr="00085665">
        <w:rPr>
          <w:rFonts w:ascii="Times New Roman" w:hAnsi="Times New Roman" w:cs="Times New Roman"/>
        </w:rPr>
        <w:t xml:space="preserve"> </w:t>
      </w:r>
      <w:r w:rsidR="00085665" w:rsidRPr="00F777D7">
        <w:rPr>
          <w:rFonts w:ascii="Times New Roman" w:hAnsi="Times New Roman" w:cs="Times New Roman"/>
        </w:rPr>
        <w:t xml:space="preserve">In this respect, the Government and ADIE have adopted an </w:t>
      </w:r>
      <w:proofErr w:type="spellStart"/>
      <w:r w:rsidR="00085665" w:rsidRPr="00F777D7">
        <w:rPr>
          <w:rFonts w:ascii="Times New Roman" w:hAnsi="Times New Roman" w:cs="Times New Roman"/>
        </w:rPr>
        <w:t>Arrêté</w:t>
      </w:r>
      <w:proofErr w:type="spellEnd"/>
      <w:r w:rsidR="00085665" w:rsidRPr="00F777D7">
        <w:rPr>
          <w:rFonts w:ascii="Times New Roman" w:hAnsi="Times New Roman" w:cs="Times New Roman"/>
        </w:rPr>
        <w:t xml:space="preserve"> establishing a Committee to handle this topic.</w:t>
      </w:r>
    </w:p>
    <w:p w14:paraId="7A7D49C0" w14:textId="77777777" w:rsidR="00403012" w:rsidRPr="00C91EA2" w:rsidRDefault="00403012" w:rsidP="006018AA">
      <w:pPr>
        <w:jc w:val="both"/>
        <w:rPr>
          <w:rFonts w:ascii="Times New Roman" w:hAnsi="Times New Roman" w:cs="Times New Roman"/>
        </w:rPr>
      </w:pPr>
    </w:p>
    <w:p w14:paraId="33833CA4" w14:textId="77777777" w:rsidR="006018AA" w:rsidRPr="00C91EA2" w:rsidRDefault="006018AA" w:rsidP="006018AA">
      <w:pPr>
        <w:pStyle w:val="Heading4"/>
        <w:rPr>
          <w:rFonts w:ascii="Times New Roman" w:hAnsi="Times New Roman" w:cs="Times New Roman"/>
        </w:rPr>
      </w:pPr>
      <w:r w:rsidRPr="00C91EA2">
        <w:rPr>
          <w:rFonts w:ascii="Times New Roman" w:hAnsi="Times New Roman" w:cs="Times New Roman"/>
        </w:rPr>
        <w:t>Restrictions on competition between last mile providers e.g. Internet Service Providers (ISPs) and Mobile Virtual Network Operators (MVNOs)</w:t>
      </w:r>
    </w:p>
    <w:p w14:paraId="4CBA3D03" w14:textId="77777777" w:rsidR="006018AA" w:rsidRPr="00C91EA2" w:rsidRDefault="006018AA" w:rsidP="006018AA">
      <w:pPr>
        <w:rPr>
          <w:rFonts w:ascii="Times New Roman" w:hAnsi="Times New Roman" w:cs="Times New Roman"/>
        </w:rPr>
      </w:pPr>
    </w:p>
    <w:tbl>
      <w:tblPr>
        <w:tblStyle w:val="TableGrid"/>
        <w:tblW w:w="0" w:type="auto"/>
        <w:tblLook w:val="04A0" w:firstRow="1" w:lastRow="0" w:firstColumn="1" w:lastColumn="0" w:noHBand="0" w:noVBand="1"/>
      </w:tblPr>
      <w:tblGrid>
        <w:gridCol w:w="8536"/>
      </w:tblGrid>
      <w:tr w:rsidR="006018AA" w:rsidRPr="00C91EA2" w14:paraId="2B787BA4" w14:textId="77777777" w:rsidTr="009E5DD6">
        <w:tc>
          <w:tcPr>
            <w:tcW w:w="8500" w:type="dxa"/>
            <w:hideMark/>
          </w:tcPr>
          <w:p w14:paraId="1FC38956" w14:textId="0A4EB9D6" w:rsidR="006018AA" w:rsidRPr="00C91EA2" w:rsidRDefault="006018AA" w:rsidP="00FA09FE">
            <w:pPr>
              <w:pStyle w:val="Caption"/>
              <w:keepNext/>
              <w:rPr>
                <w:rFonts w:ascii="Times New Roman" w:hAnsi="Times New Roman"/>
              </w:rPr>
            </w:pPr>
            <w:bookmarkStart w:id="315" w:name="_Toc520725631"/>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75</w:t>
            </w:r>
            <w:r w:rsidR="00D91B27">
              <w:rPr>
                <w:rFonts w:ascii="Times New Roman" w:hAnsi="Times New Roman"/>
              </w:rPr>
              <w:fldChar w:fldCharType="end"/>
            </w:r>
            <w:r w:rsidRPr="00C91EA2">
              <w:rPr>
                <w:rFonts w:ascii="Times New Roman" w:hAnsi="Times New Roman"/>
              </w:rPr>
              <w:t>: Restrictions on competition between last mile providers</w:t>
            </w:r>
            <w:bookmarkEnd w:id="315"/>
          </w:p>
        </w:tc>
      </w:tr>
      <w:tr w:rsidR="006018AA" w:rsidRPr="00C91EA2" w14:paraId="5A7F9DC4" w14:textId="77777777" w:rsidTr="007575D7">
        <w:tc>
          <w:tcPr>
            <w:tcW w:w="8500" w:type="dxa"/>
            <w:hideMark/>
          </w:tcPr>
          <w:p w14:paraId="482BFC6C" w14:textId="77777777" w:rsidR="006018AA" w:rsidRPr="00C91EA2" w:rsidRDefault="006018AA" w:rsidP="00FA09FE">
            <w:pPr>
              <w:jc w:val="center"/>
              <w:rPr>
                <w:rFonts w:ascii="Times New Roman" w:hAnsi="Times New Roman" w:cs="Times New Roman"/>
              </w:rPr>
            </w:pPr>
            <w:r w:rsidRPr="00C91EA2">
              <w:rPr>
                <w:rFonts w:ascii="Times New Roman" w:hAnsi="Times New Roman" w:cs="Times New Roman"/>
                <w:noProof/>
              </w:rPr>
              <w:drawing>
                <wp:inline distT="0" distB="0" distL="0" distR="0" wp14:anchorId="03910146" wp14:editId="3F765F3C">
                  <wp:extent cx="5279666" cy="2006443"/>
                  <wp:effectExtent l="0" t="0" r="3810" b="63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stretch>
                            <a:fillRect/>
                          </a:stretch>
                        </pic:blipFill>
                        <pic:spPr bwMode="auto">
                          <a:xfrm>
                            <a:off x="0" y="0"/>
                            <a:ext cx="5279666" cy="2006443"/>
                          </a:xfrm>
                          <a:prstGeom prst="rect">
                            <a:avLst/>
                          </a:prstGeom>
                          <a:noFill/>
                        </pic:spPr>
                      </pic:pic>
                    </a:graphicData>
                  </a:graphic>
                </wp:inline>
              </w:drawing>
            </w:r>
          </w:p>
        </w:tc>
      </w:tr>
    </w:tbl>
    <w:p w14:paraId="6CD43C92" w14:textId="77777777" w:rsidR="006018AA" w:rsidRPr="00C91EA2" w:rsidRDefault="006018AA" w:rsidP="006018AA">
      <w:pPr>
        <w:rPr>
          <w:rFonts w:ascii="Times New Roman" w:hAnsi="Times New Roman" w:cs="Times New Roman"/>
        </w:rPr>
      </w:pPr>
    </w:p>
    <w:p w14:paraId="25249B1C" w14:textId="77777777" w:rsidR="006018AA" w:rsidRPr="00C91EA2" w:rsidRDefault="006018AA" w:rsidP="006018AA">
      <w:pPr>
        <w:jc w:val="both"/>
        <w:rPr>
          <w:rFonts w:ascii="Times New Roman" w:hAnsi="Times New Roman" w:cs="Times New Roman"/>
        </w:rPr>
      </w:pPr>
    </w:p>
    <w:p w14:paraId="085F5492" w14:textId="67712C61"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Telecommunications Code should incorporate </w:t>
      </w:r>
      <w:r>
        <w:rPr>
          <w:rFonts w:ascii="Times New Roman" w:hAnsi="Times New Roman" w:cs="Times New Roman"/>
          <w:b/>
        </w:rPr>
        <w:t xml:space="preserve">a </w:t>
      </w:r>
      <w:r w:rsidRPr="00C91EA2">
        <w:rPr>
          <w:rFonts w:ascii="Times New Roman" w:hAnsi="Times New Roman" w:cs="Times New Roman"/>
          <w:b/>
        </w:rPr>
        <w:t xml:space="preserve">“ladder of investment” </w:t>
      </w:r>
      <w:r>
        <w:rPr>
          <w:rFonts w:ascii="Times New Roman" w:hAnsi="Times New Roman" w:cs="Times New Roman"/>
          <w:b/>
        </w:rPr>
        <w:t xml:space="preserve">approach </w:t>
      </w:r>
      <w:r w:rsidR="00AF4E50">
        <w:rPr>
          <w:rFonts w:ascii="Times New Roman" w:hAnsi="Times New Roman" w:cs="Times New Roman"/>
          <w:b/>
        </w:rPr>
        <w:t>for new entrants in</w:t>
      </w:r>
      <w:r w:rsidRPr="00C91EA2">
        <w:rPr>
          <w:rFonts w:ascii="Times New Roman" w:hAnsi="Times New Roman" w:cs="Times New Roman"/>
          <w:b/>
        </w:rPr>
        <w:t xml:space="preserve"> the market along the value chain, notably ISPs and MVNOs.</w:t>
      </w:r>
      <w:r w:rsidRPr="00C91EA2">
        <w:rPr>
          <w:rFonts w:ascii="Times New Roman" w:hAnsi="Times New Roman" w:cs="Times New Roman"/>
        </w:rPr>
        <w:t xml:space="preserve"> Establishing a pricing system in accordance with the “ladder of investment” should provide incentives for investments in infrastructure </w:t>
      </w:r>
      <w:r>
        <w:rPr>
          <w:rFonts w:ascii="Times New Roman" w:hAnsi="Times New Roman" w:cs="Times New Roman"/>
        </w:rPr>
        <w:t>without establishing</w:t>
      </w:r>
      <w:r w:rsidRPr="00C91EA2">
        <w:rPr>
          <w:rFonts w:ascii="Times New Roman" w:hAnsi="Times New Roman" w:cs="Times New Roman"/>
        </w:rPr>
        <w:t xml:space="preserve"> an artificial barrier to entry for new market players. The “ladder of investment” approach is underpinned by the final objective of achieving facilities-based competition which should not be jeopardized by service-based competition. Thus, it provides entrants with successive levels of access, the so-called rungs of the ladder, whilst inducing them to climb the ladder through the setting of an access charge that is increased over time or by withdrawing access obligations after a certain date (sunset clauses).</w:t>
      </w:r>
      <w:r w:rsidRPr="00C91EA2">
        <w:rPr>
          <w:rStyle w:val="FootnoteReference"/>
          <w:rFonts w:ascii="Times New Roman" w:hAnsi="Times New Roman" w:cs="Times New Roman"/>
        </w:rPr>
        <w:footnoteReference w:id="243"/>
      </w:r>
    </w:p>
    <w:p w14:paraId="4C3C1EE2" w14:textId="77777777" w:rsidR="006018AA" w:rsidRPr="00C91EA2" w:rsidRDefault="006018AA" w:rsidP="006018AA">
      <w:pPr>
        <w:jc w:val="both"/>
        <w:rPr>
          <w:rFonts w:ascii="Times New Roman" w:hAnsi="Times New Roman" w:cs="Times New Roman"/>
        </w:rPr>
      </w:pPr>
    </w:p>
    <w:p w14:paraId="426DD181" w14:textId="0AAC3210" w:rsidR="005E01D7" w:rsidRDefault="006018AA" w:rsidP="006018AA">
      <w:pPr>
        <w:pStyle w:val="ListParagraph"/>
        <w:numPr>
          <w:ilvl w:val="0"/>
          <w:numId w:val="71"/>
        </w:numPr>
        <w:ind w:left="0" w:firstLine="0"/>
        <w:jc w:val="both"/>
        <w:rPr>
          <w:rFonts w:ascii="Times New Roman" w:hAnsi="Times New Roman" w:cs="Times New Roman"/>
        </w:rPr>
      </w:pPr>
      <w:r w:rsidRPr="00C538DB">
        <w:rPr>
          <w:rFonts w:ascii="Times New Roman" w:hAnsi="Times New Roman" w:cs="Times New Roman"/>
          <w:b/>
        </w:rPr>
        <w:t>Pursuant to the Telecommunications Code,</w:t>
      </w:r>
      <w:r w:rsidRPr="00B21E4D">
        <w:rPr>
          <w:rFonts w:ascii="Times New Roman" w:hAnsi="Times New Roman" w:cs="Times New Roman"/>
          <w:b/>
        </w:rPr>
        <w:t xml:space="preserve"> </w:t>
      </w:r>
      <w:r w:rsidRPr="00C538DB">
        <w:rPr>
          <w:rFonts w:ascii="Times New Roman" w:hAnsi="Times New Roman" w:cs="Times New Roman"/>
          <w:b/>
        </w:rPr>
        <w:t xml:space="preserve">all telecommunications networks and services open to the public, based on scarce resources or using the public domain, </w:t>
      </w:r>
      <w:r w:rsidR="005E01D7">
        <w:rPr>
          <w:rFonts w:ascii="Times New Roman" w:hAnsi="Times New Roman" w:cs="Times New Roman"/>
          <w:b/>
        </w:rPr>
        <w:t>were</w:t>
      </w:r>
      <w:r w:rsidR="005E01D7" w:rsidRPr="00C538DB">
        <w:rPr>
          <w:rFonts w:ascii="Times New Roman" w:hAnsi="Times New Roman" w:cs="Times New Roman"/>
          <w:b/>
        </w:rPr>
        <w:t xml:space="preserve"> </w:t>
      </w:r>
      <w:r w:rsidRPr="00C538DB">
        <w:rPr>
          <w:rFonts w:ascii="Times New Roman" w:hAnsi="Times New Roman" w:cs="Times New Roman"/>
          <w:b/>
        </w:rPr>
        <w:t>subject to a licensing regime</w:t>
      </w:r>
      <w:r w:rsidRPr="00C91EA2">
        <w:rPr>
          <w:rFonts w:ascii="Times New Roman" w:hAnsi="Times New Roman" w:cs="Times New Roman"/>
        </w:rPr>
        <w:t>. Contrary to the authorization regime, which does not limit the number of operators in the market, the licensing regime requires the launch of a tender procedure by ARTP</w:t>
      </w:r>
      <w:r w:rsidR="007107E0">
        <w:rPr>
          <w:rFonts w:ascii="Times New Roman" w:hAnsi="Times New Roman" w:cs="Times New Roman"/>
        </w:rPr>
        <w:t xml:space="preserve"> and a decision involving the </w:t>
      </w:r>
      <w:r w:rsidR="003B24ED">
        <w:rPr>
          <w:rFonts w:ascii="Times New Roman" w:hAnsi="Times New Roman" w:cs="Times New Roman"/>
        </w:rPr>
        <w:t>Government</w:t>
      </w:r>
      <w:r w:rsidR="007107E0">
        <w:rPr>
          <w:rFonts w:ascii="Times New Roman" w:hAnsi="Times New Roman" w:cs="Times New Roman"/>
        </w:rPr>
        <w:t xml:space="preserve"> </w:t>
      </w:r>
      <w:r w:rsidR="00772E3D">
        <w:rPr>
          <w:rFonts w:ascii="Times New Roman" w:hAnsi="Times New Roman" w:cs="Times New Roman"/>
        </w:rPr>
        <w:t>on the selection of the licensee</w:t>
      </w:r>
      <w:r w:rsidRPr="00C91EA2">
        <w:rPr>
          <w:rFonts w:ascii="Times New Roman" w:hAnsi="Times New Roman" w:cs="Times New Roman"/>
        </w:rPr>
        <w:t xml:space="preserve">. </w:t>
      </w:r>
      <w:r w:rsidR="007107E0" w:rsidRPr="00C91EA2">
        <w:rPr>
          <w:rFonts w:ascii="Times New Roman" w:hAnsi="Times New Roman" w:cs="Times New Roman"/>
        </w:rPr>
        <w:t xml:space="preserve">This means private operators </w:t>
      </w:r>
      <w:r w:rsidR="005E01D7">
        <w:rPr>
          <w:rFonts w:ascii="Times New Roman" w:hAnsi="Times New Roman" w:cs="Times New Roman"/>
        </w:rPr>
        <w:t>had to go</w:t>
      </w:r>
      <w:r w:rsidR="007107E0" w:rsidRPr="00C91EA2">
        <w:rPr>
          <w:rFonts w:ascii="Times New Roman" w:hAnsi="Times New Roman" w:cs="Times New Roman"/>
        </w:rPr>
        <w:t xml:space="preserve"> through a burdensome process, characterized by a high degree of administrative discretion </w:t>
      </w:r>
      <w:proofErr w:type="gramStart"/>
      <w:r w:rsidR="007107E0" w:rsidRPr="00C91EA2">
        <w:rPr>
          <w:rFonts w:ascii="Times New Roman" w:hAnsi="Times New Roman" w:cs="Times New Roman"/>
        </w:rPr>
        <w:t>in order to</w:t>
      </w:r>
      <w:proofErr w:type="gramEnd"/>
      <w:r w:rsidR="007107E0" w:rsidRPr="00C91EA2">
        <w:rPr>
          <w:rFonts w:ascii="Times New Roman" w:hAnsi="Times New Roman" w:cs="Times New Roman"/>
        </w:rPr>
        <w:t xml:space="preserve"> establish themselves.</w:t>
      </w:r>
      <w:r w:rsidR="007107E0" w:rsidRPr="00C91EA2">
        <w:rPr>
          <w:rStyle w:val="FootnoteReference"/>
          <w:rFonts w:ascii="Times New Roman" w:hAnsi="Times New Roman" w:cs="Times New Roman"/>
        </w:rPr>
        <w:footnoteReference w:id="244"/>
      </w:r>
      <w:r w:rsidR="007107E0" w:rsidRPr="00C91EA2">
        <w:rPr>
          <w:rFonts w:ascii="Times New Roman" w:hAnsi="Times New Roman" w:cs="Times New Roman"/>
        </w:rPr>
        <w:t xml:space="preserve"> </w:t>
      </w:r>
      <w:r>
        <w:rPr>
          <w:rFonts w:ascii="Times New Roman" w:hAnsi="Times New Roman" w:cs="Times New Roman"/>
        </w:rPr>
        <w:t>F</w:t>
      </w:r>
      <w:r w:rsidRPr="00C91EA2">
        <w:rPr>
          <w:rFonts w:ascii="Times New Roman" w:hAnsi="Times New Roman" w:cs="Times New Roman"/>
        </w:rPr>
        <w:t xml:space="preserve">or example, the total number of ISPs </w:t>
      </w:r>
      <w:r>
        <w:rPr>
          <w:rFonts w:ascii="Times New Roman" w:hAnsi="Times New Roman" w:cs="Times New Roman"/>
        </w:rPr>
        <w:t xml:space="preserve">was </w:t>
      </w:r>
      <w:r w:rsidRPr="00C91EA2">
        <w:rPr>
          <w:rFonts w:ascii="Times New Roman" w:hAnsi="Times New Roman" w:cs="Times New Roman"/>
        </w:rPr>
        <w:t>limited by license</w:t>
      </w:r>
      <w:r>
        <w:rPr>
          <w:rFonts w:ascii="Times New Roman" w:hAnsi="Times New Roman" w:cs="Times New Roman"/>
        </w:rPr>
        <w:t xml:space="preserve"> until January 2017, when Law </w:t>
      </w:r>
      <w:r w:rsidRPr="00CD39AC">
        <w:rPr>
          <w:rFonts w:ascii="Times New Roman" w:hAnsi="Times New Roman" w:cs="Times New Roman"/>
        </w:rPr>
        <w:t>2017-13</w:t>
      </w:r>
      <w:r>
        <w:rPr>
          <w:rFonts w:ascii="Times New Roman" w:hAnsi="Times New Roman" w:cs="Times New Roman"/>
        </w:rPr>
        <w:t xml:space="preserve"> established an authorization regime. </w:t>
      </w:r>
    </w:p>
    <w:p w14:paraId="3D1B9463" w14:textId="77777777" w:rsidR="005E5691" w:rsidRPr="007575D7" w:rsidRDefault="005E5691" w:rsidP="007575D7">
      <w:pPr>
        <w:pStyle w:val="ListParagraph"/>
        <w:rPr>
          <w:rFonts w:ascii="Times New Roman" w:hAnsi="Times New Roman" w:cs="Times New Roman"/>
        </w:rPr>
      </w:pPr>
    </w:p>
    <w:p w14:paraId="6C3D6D1D" w14:textId="639CC520" w:rsidR="005E5691" w:rsidRPr="00021E5E" w:rsidRDefault="005E5691" w:rsidP="005E5691">
      <w:pPr>
        <w:pStyle w:val="ListParagraph"/>
        <w:numPr>
          <w:ilvl w:val="0"/>
          <w:numId w:val="71"/>
        </w:numPr>
        <w:ind w:left="0" w:firstLine="0"/>
        <w:jc w:val="both"/>
        <w:rPr>
          <w:rFonts w:ascii="Times New Roman" w:hAnsi="Times New Roman" w:cs="Times New Roman"/>
          <w:b/>
        </w:rPr>
      </w:pPr>
      <w:r>
        <w:rPr>
          <w:rFonts w:ascii="Times New Roman" w:hAnsi="Times New Roman" w:cs="Times New Roman"/>
          <w:b/>
        </w:rPr>
        <w:t>The</w:t>
      </w:r>
      <w:r w:rsidRPr="00C91EA2">
        <w:rPr>
          <w:rFonts w:ascii="Times New Roman" w:hAnsi="Times New Roman" w:cs="Times New Roman"/>
          <w:b/>
        </w:rPr>
        <w:t xml:space="preserve"> way in which licenses </w:t>
      </w:r>
      <w:r>
        <w:rPr>
          <w:rFonts w:ascii="Times New Roman" w:hAnsi="Times New Roman" w:cs="Times New Roman"/>
          <w:b/>
        </w:rPr>
        <w:t>were</w:t>
      </w:r>
      <w:r w:rsidRPr="00C91EA2">
        <w:rPr>
          <w:rFonts w:ascii="Times New Roman" w:hAnsi="Times New Roman" w:cs="Times New Roman"/>
          <w:b/>
        </w:rPr>
        <w:t xml:space="preserve"> granted raise</w:t>
      </w:r>
      <w:r>
        <w:rPr>
          <w:rFonts w:ascii="Times New Roman" w:hAnsi="Times New Roman" w:cs="Times New Roman"/>
          <w:b/>
        </w:rPr>
        <w:t>d</w:t>
      </w:r>
      <w:r w:rsidRPr="00C91EA2">
        <w:rPr>
          <w:rFonts w:ascii="Times New Roman" w:hAnsi="Times New Roman" w:cs="Times New Roman"/>
          <w:b/>
        </w:rPr>
        <w:t xml:space="preserve"> competition concerns. </w:t>
      </w:r>
      <w:r w:rsidRPr="00C91EA2">
        <w:rPr>
          <w:rFonts w:ascii="Times New Roman" w:hAnsi="Times New Roman" w:cs="Times New Roman"/>
        </w:rPr>
        <w:t xml:space="preserve">An example is the </w:t>
      </w:r>
      <w:r>
        <w:rPr>
          <w:rFonts w:ascii="Times New Roman" w:hAnsi="Times New Roman" w:cs="Times New Roman"/>
        </w:rPr>
        <w:t xml:space="preserve">process for the </w:t>
      </w:r>
      <w:r w:rsidRPr="00C91EA2">
        <w:rPr>
          <w:rFonts w:ascii="Times New Roman" w:hAnsi="Times New Roman" w:cs="Times New Roman"/>
        </w:rPr>
        <w:t xml:space="preserve">award of three radio local loop concessions </w:t>
      </w:r>
      <w:r>
        <w:rPr>
          <w:rFonts w:ascii="Times New Roman" w:hAnsi="Times New Roman" w:cs="Times New Roman"/>
        </w:rPr>
        <w:t xml:space="preserve">launched </w:t>
      </w:r>
      <w:r w:rsidRPr="00C91EA2">
        <w:rPr>
          <w:rFonts w:ascii="Times New Roman" w:hAnsi="Times New Roman" w:cs="Times New Roman"/>
        </w:rPr>
        <w:t>in 2016</w:t>
      </w:r>
      <w:r>
        <w:rPr>
          <w:rFonts w:ascii="Times New Roman" w:hAnsi="Times New Roman" w:cs="Times New Roman"/>
        </w:rPr>
        <w:t xml:space="preserve">, which resulted in the awarding of three concessions </w:t>
      </w:r>
      <w:r w:rsidRPr="00C91EA2">
        <w:rPr>
          <w:rFonts w:ascii="Times New Roman" w:eastAsia="Times New Roman" w:hAnsi="Times New Roman" w:cs="Times New Roman"/>
          <w:lang w:eastAsia="fr-FR"/>
        </w:rPr>
        <w:t xml:space="preserve">to </w:t>
      </w:r>
      <w:proofErr w:type="spellStart"/>
      <w:r w:rsidRPr="00C91EA2">
        <w:rPr>
          <w:rFonts w:ascii="Times New Roman" w:eastAsia="Times New Roman" w:hAnsi="Times New Roman" w:cs="Times New Roman"/>
          <w:lang w:eastAsia="fr-FR"/>
        </w:rPr>
        <w:t>Waaw</w:t>
      </w:r>
      <w:proofErr w:type="spellEnd"/>
      <w:r w:rsidRPr="00C91EA2">
        <w:rPr>
          <w:rFonts w:ascii="Times New Roman" w:eastAsia="Times New Roman" w:hAnsi="Times New Roman" w:cs="Times New Roman"/>
          <w:lang w:eastAsia="fr-FR"/>
        </w:rPr>
        <w:t xml:space="preserve"> Sa, Africa Access and Arc Informatique in February 2017</w:t>
      </w:r>
      <w:r w:rsidRPr="00C91EA2">
        <w:rPr>
          <w:rFonts w:ascii="Times New Roman" w:hAnsi="Times New Roman" w:cs="Times New Roman"/>
        </w:rPr>
        <w:t>. First, ARTP’s</w:t>
      </w:r>
      <w:r w:rsidRPr="00C91EA2">
        <w:rPr>
          <w:rFonts w:ascii="Times New Roman" w:hAnsi="Times New Roman" w:cs="Times New Roman"/>
          <w:b/>
        </w:rPr>
        <w:t xml:space="preserve"> </w:t>
      </w:r>
      <w:r w:rsidRPr="00C91EA2">
        <w:rPr>
          <w:rFonts w:ascii="Times New Roman" w:eastAsia="Times New Roman" w:hAnsi="Times New Roman" w:cs="Times New Roman"/>
          <w:lang w:eastAsia="fr-FR"/>
        </w:rPr>
        <w:t>call for tender in 2016 unduly required that bidders must be controlled by Senegalese capital.</w:t>
      </w:r>
      <w:r w:rsidRPr="00C91EA2">
        <w:rPr>
          <w:rStyle w:val="FootnoteReference"/>
          <w:rFonts w:ascii="Times New Roman" w:eastAsia="Times New Roman" w:hAnsi="Times New Roman" w:cs="Times New Roman"/>
          <w:lang w:eastAsia="fr-FR"/>
        </w:rPr>
        <w:footnoteReference w:id="245"/>
      </w:r>
      <w:r w:rsidRPr="00C91EA2">
        <w:rPr>
          <w:rFonts w:ascii="Times New Roman" w:eastAsia="Times New Roman" w:hAnsi="Times New Roman" w:cs="Times New Roman"/>
          <w:lang w:eastAsia="fr-FR"/>
        </w:rPr>
        <w:t xml:space="preserve"> This may have introduced discriminatory treatment vis-à-vis other WAEMU firms, </w:t>
      </w:r>
      <w:proofErr w:type="spellStart"/>
      <w:r w:rsidRPr="00C91EA2">
        <w:rPr>
          <w:rFonts w:ascii="Times New Roman" w:eastAsia="Times New Roman" w:hAnsi="Times New Roman" w:cs="Times New Roman"/>
          <w:lang w:eastAsia="fr-FR"/>
        </w:rPr>
        <w:t>unleveling</w:t>
      </w:r>
      <w:proofErr w:type="spellEnd"/>
      <w:r w:rsidRPr="00C91EA2">
        <w:rPr>
          <w:rFonts w:ascii="Times New Roman" w:eastAsia="Times New Roman" w:hAnsi="Times New Roman" w:cs="Times New Roman"/>
          <w:lang w:eastAsia="fr-FR"/>
        </w:rPr>
        <w:t xml:space="preserve"> the playing field and potentially facilitating cartel-like behavior by restricting the numbe</w:t>
      </w:r>
      <w:r>
        <w:rPr>
          <w:rFonts w:ascii="Times New Roman" w:eastAsia="Times New Roman" w:hAnsi="Times New Roman" w:cs="Times New Roman"/>
          <w:lang w:eastAsia="fr-FR"/>
        </w:rPr>
        <w:t>r of potential bidders. Second</w:t>
      </w:r>
      <w:r w:rsidRPr="00C91EA2">
        <w:rPr>
          <w:rFonts w:ascii="Times New Roman" w:eastAsia="Times New Roman" w:hAnsi="Times New Roman" w:cs="Times New Roman"/>
          <w:lang w:eastAsia="fr-FR"/>
        </w:rPr>
        <w:t>, under the terms of the licenses, the three concessionaires are not in geographical competition between themselves given the different coverage obligations. Hence, each of the licensees will benefit from its own geographical monopol</w:t>
      </w:r>
      <w:r>
        <w:rPr>
          <w:rFonts w:ascii="Times New Roman" w:eastAsia="Times New Roman" w:hAnsi="Times New Roman" w:cs="Times New Roman"/>
          <w:lang w:eastAsia="fr-FR"/>
        </w:rPr>
        <w:t>y</w:t>
      </w:r>
      <w:r w:rsidRPr="00C91EA2">
        <w:rPr>
          <w:rFonts w:ascii="Times New Roman" w:eastAsia="Times New Roman" w:hAnsi="Times New Roman" w:cs="Times New Roman"/>
          <w:lang w:eastAsia="fr-FR"/>
        </w:rPr>
        <w:t xml:space="preserve"> since further market entry is prohibited. The </w:t>
      </w:r>
      <w:r>
        <w:rPr>
          <w:rFonts w:ascii="Times New Roman" w:eastAsia="Times New Roman" w:hAnsi="Times New Roman" w:cs="Times New Roman"/>
          <w:lang w:eastAsia="fr-FR"/>
        </w:rPr>
        <w:t>short duration</w:t>
      </w:r>
      <w:r w:rsidRPr="00C91EA2">
        <w:rPr>
          <w:rFonts w:ascii="Times New Roman" w:eastAsia="Times New Roman" w:hAnsi="Times New Roman" w:cs="Times New Roman"/>
          <w:lang w:eastAsia="fr-FR"/>
        </w:rPr>
        <w:t xml:space="preserve"> of the concessions</w:t>
      </w:r>
      <w:r>
        <w:rPr>
          <w:rFonts w:ascii="Times New Roman" w:eastAsia="Times New Roman" w:hAnsi="Times New Roman" w:cs="Times New Roman"/>
          <w:lang w:eastAsia="fr-FR"/>
        </w:rPr>
        <w:t xml:space="preserve"> </w:t>
      </w:r>
      <w:r w:rsidRPr="00C91EA2">
        <w:rPr>
          <w:rFonts w:ascii="Times New Roman" w:eastAsia="Times New Roman" w:hAnsi="Times New Roman" w:cs="Times New Roman"/>
          <w:lang w:eastAsia="fr-FR"/>
        </w:rPr>
        <w:t xml:space="preserve">(10 years), limits the possibilities for recouping the concessionaires’ investment in the relevant facilities </w:t>
      </w:r>
      <w:r>
        <w:rPr>
          <w:rFonts w:ascii="Times New Roman" w:eastAsia="Times New Roman" w:hAnsi="Times New Roman" w:cs="Times New Roman"/>
          <w:lang w:eastAsia="fr-FR"/>
        </w:rPr>
        <w:t xml:space="preserve">and </w:t>
      </w:r>
      <w:r w:rsidRPr="00C91EA2">
        <w:rPr>
          <w:rFonts w:ascii="Times New Roman" w:eastAsia="Times New Roman" w:hAnsi="Times New Roman" w:cs="Times New Roman"/>
          <w:lang w:eastAsia="fr-FR"/>
        </w:rPr>
        <w:t>may generate further negative effects</w:t>
      </w:r>
      <w:r>
        <w:rPr>
          <w:rFonts w:ascii="Times New Roman" w:eastAsia="Times New Roman" w:hAnsi="Times New Roman" w:cs="Times New Roman"/>
          <w:lang w:eastAsia="fr-FR"/>
        </w:rPr>
        <w:t xml:space="preserve"> (e.g. insufficient incentive for long-term investment)</w:t>
      </w:r>
      <w:r w:rsidRPr="00C91EA2">
        <w:rPr>
          <w:rFonts w:ascii="Times New Roman" w:eastAsia="Times New Roman" w:hAnsi="Times New Roman" w:cs="Times New Roman"/>
          <w:lang w:eastAsia="fr-FR"/>
        </w:rPr>
        <w:t xml:space="preserve">. </w:t>
      </w:r>
    </w:p>
    <w:p w14:paraId="18BE80BB" w14:textId="77777777" w:rsidR="005E01D7" w:rsidRPr="007575D7" w:rsidRDefault="005E01D7" w:rsidP="007575D7">
      <w:pPr>
        <w:pStyle w:val="ListParagraph"/>
        <w:rPr>
          <w:rFonts w:ascii="Times New Roman" w:hAnsi="Times New Roman" w:cs="Times New Roman"/>
        </w:rPr>
      </w:pPr>
    </w:p>
    <w:p w14:paraId="3979A6A2" w14:textId="51DAE54B" w:rsidR="006018AA" w:rsidRPr="00C91EA2" w:rsidRDefault="006018AA" w:rsidP="006018AA">
      <w:pPr>
        <w:pStyle w:val="ListParagraph"/>
        <w:numPr>
          <w:ilvl w:val="0"/>
          <w:numId w:val="71"/>
        </w:numPr>
        <w:ind w:left="0" w:firstLine="0"/>
        <w:jc w:val="both"/>
        <w:rPr>
          <w:rFonts w:ascii="Times New Roman" w:hAnsi="Times New Roman" w:cs="Times New Roman"/>
        </w:rPr>
      </w:pPr>
      <w:r w:rsidRPr="007575D7">
        <w:rPr>
          <w:rFonts w:ascii="Times New Roman" w:hAnsi="Times New Roman" w:cs="Times New Roman"/>
          <w:b/>
        </w:rPr>
        <w:t xml:space="preserve">These concerns </w:t>
      </w:r>
      <w:r w:rsidR="005E01D7" w:rsidRPr="007575D7">
        <w:rPr>
          <w:rFonts w:ascii="Times New Roman" w:hAnsi="Times New Roman" w:cs="Times New Roman"/>
          <w:b/>
        </w:rPr>
        <w:t>have been</w:t>
      </w:r>
      <w:r w:rsidRPr="007575D7">
        <w:rPr>
          <w:rFonts w:ascii="Times New Roman" w:hAnsi="Times New Roman" w:cs="Times New Roman"/>
          <w:b/>
        </w:rPr>
        <w:t xml:space="preserve"> alleviated by an authorization regime</w:t>
      </w:r>
      <w:r w:rsidR="005E01D7">
        <w:rPr>
          <w:rFonts w:ascii="Times New Roman" w:hAnsi="Times New Roman" w:cs="Times New Roman"/>
          <w:b/>
        </w:rPr>
        <w:t xml:space="preserve"> for ISPs</w:t>
      </w:r>
      <w:r w:rsidR="005E5691">
        <w:rPr>
          <w:rFonts w:ascii="Times New Roman" w:hAnsi="Times New Roman" w:cs="Times New Roman"/>
          <w:b/>
        </w:rPr>
        <w:t>, which requires further improvements</w:t>
      </w:r>
      <w:r>
        <w:rPr>
          <w:rFonts w:ascii="Times New Roman" w:hAnsi="Times New Roman" w:cs="Times New Roman"/>
        </w:rPr>
        <w:t xml:space="preserve">. </w:t>
      </w:r>
      <w:r w:rsidR="005E01D7" w:rsidRPr="005E01D7">
        <w:rPr>
          <w:rFonts w:ascii="Times New Roman" w:hAnsi="Times New Roman" w:cs="Times New Roman"/>
        </w:rPr>
        <w:t xml:space="preserve"> </w:t>
      </w:r>
      <w:r w:rsidR="005E01D7" w:rsidRPr="00FE00E4">
        <w:rPr>
          <w:rFonts w:ascii="Times New Roman" w:hAnsi="Times New Roman" w:cs="Times New Roman"/>
        </w:rPr>
        <w:t>Although the licensing regime has been amended and some absolute restrictions on entry have been lifted, the procedure is not as open and streamlined as in various other jurisdictions</w:t>
      </w:r>
      <w:r w:rsidR="005E01D7">
        <w:rPr>
          <w:rFonts w:ascii="Times New Roman" w:hAnsi="Times New Roman" w:cs="Times New Roman"/>
        </w:rPr>
        <w:t>. T</w:t>
      </w:r>
      <w:r w:rsidRPr="00C91EA2">
        <w:rPr>
          <w:rFonts w:ascii="Times New Roman" w:hAnsi="Times New Roman" w:cs="Times New Roman"/>
        </w:rPr>
        <w:t>he recent contract specifications (</w:t>
      </w:r>
      <w:r w:rsidRPr="00C91EA2">
        <w:rPr>
          <w:rFonts w:ascii="Times New Roman" w:hAnsi="Times New Roman" w:cs="Times New Roman"/>
          <w:i/>
        </w:rPr>
        <w:t>Cahier des Charges</w:t>
      </w:r>
      <w:r w:rsidRPr="00C91EA2">
        <w:rPr>
          <w:rFonts w:ascii="Times New Roman" w:hAnsi="Times New Roman" w:cs="Times New Roman"/>
        </w:rPr>
        <w:t xml:space="preserve">) for the exploitation of a network by an ISP </w:t>
      </w:r>
      <w:r w:rsidR="005E01D7">
        <w:rPr>
          <w:rFonts w:ascii="Times New Roman" w:hAnsi="Times New Roman" w:cs="Times New Roman"/>
        </w:rPr>
        <w:t>highlight</w:t>
      </w:r>
      <w:r w:rsidR="005E01D7" w:rsidRPr="00C91EA2">
        <w:rPr>
          <w:rFonts w:ascii="Times New Roman" w:hAnsi="Times New Roman" w:cs="Times New Roman"/>
        </w:rPr>
        <w:t xml:space="preserve"> </w:t>
      </w:r>
      <w:r w:rsidRPr="00C91EA2">
        <w:rPr>
          <w:rFonts w:ascii="Times New Roman" w:hAnsi="Times New Roman" w:cs="Times New Roman"/>
        </w:rPr>
        <w:t>the lack of clarity of the regulatory framewor</w:t>
      </w:r>
      <w:r w:rsidR="000C0B06">
        <w:rPr>
          <w:rFonts w:ascii="Times New Roman" w:hAnsi="Times New Roman" w:cs="Times New Roman"/>
        </w:rPr>
        <w:t>k. First</w:t>
      </w:r>
      <w:r w:rsidRPr="00C91EA2">
        <w:rPr>
          <w:rFonts w:ascii="Times New Roman" w:hAnsi="Times New Roman" w:cs="Times New Roman"/>
        </w:rPr>
        <w:t>, the contract specifications do not apply a uniform terminology to qualify the right of the ISP (i.e., license, author</w:t>
      </w:r>
      <w:r w:rsidR="000C0B06">
        <w:rPr>
          <w:rFonts w:ascii="Times New Roman" w:hAnsi="Times New Roman" w:cs="Times New Roman"/>
        </w:rPr>
        <w:t>ization or concession); second</w:t>
      </w:r>
      <w:r w:rsidRPr="00C91EA2">
        <w:rPr>
          <w:rFonts w:ascii="Times New Roman" w:hAnsi="Times New Roman" w:cs="Times New Roman"/>
        </w:rPr>
        <w:t>, the right to supply internet access when combined with a spectrum license for a wireless local loop appears to be assigned without a prior competitive procedure.</w:t>
      </w:r>
    </w:p>
    <w:p w14:paraId="588CFA10" w14:textId="77777777" w:rsidR="00F4327A" w:rsidRPr="007A12AA" w:rsidRDefault="00F4327A" w:rsidP="007A12AA">
      <w:pPr>
        <w:jc w:val="both"/>
        <w:rPr>
          <w:rFonts w:ascii="Times New Roman" w:hAnsi="Times New Roman" w:cs="Times New Roman"/>
          <w:b/>
        </w:rPr>
      </w:pPr>
    </w:p>
    <w:p w14:paraId="33622283" w14:textId="77777777" w:rsidR="006018AA" w:rsidRPr="00C91EA2" w:rsidRDefault="006018AA" w:rsidP="006018AA">
      <w:pPr>
        <w:pStyle w:val="Heading4"/>
        <w:rPr>
          <w:rFonts w:ascii="Times New Roman" w:hAnsi="Times New Roman" w:cs="Times New Roman"/>
        </w:rPr>
      </w:pPr>
      <w:r w:rsidRPr="00C91EA2">
        <w:rPr>
          <w:rFonts w:ascii="Times New Roman" w:hAnsi="Times New Roman" w:cs="Times New Roman"/>
        </w:rPr>
        <w:t>Spectrum management</w:t>
      </w:r>
    </w:p>
    <w:p w14:paraId="56D2C83E" w14:textId="77777777" w:rsidR="006018AA" w:rsidRPr="00C91EA2" w:rsidRDefault="006018AA" w:rsidP="006018AA">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8630"/>
      </w:tblGrid>
      <w:tr w:rsidR="006018AA" w:rsidRPr="00C91EA2" w14:paraId="3B99897C" w14:textId="77777777" w:rsidTr="00FA09FE">
        <w:tc>
          <w:tcPr>
            <w:tcW w:w="8630" w:type="dxa"/>
            <w:hideMark/>
          </w:tcPr>
          <w:p w14:paraId="6F58C564" w14:textId="716219D8" w:rsidR="006018AA" w:rsidRPr="00C91EA2" w:rsidRDefault="006018AA" w:rsidP="00FA09FE">
            <w:pPr>
              <w:pStyle w:val="Caption"/>
              <w:keepNext/>
              <w:rPr>
                <w:rFonts w:ascii="Times New Roman" w:hAnsi="Times New Roman"/>
              </w:rPr>
            </w:pPr>
            <w:bookmarkStart w:id="316" w:name="_Toc520725632"/>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76</w:t>
            </w:r>
            <w:r w:rsidR="00D91B27">
              <w:rPr>
                <w:rFonts w:ascii="Times New Roman" w:hAnsi="Times New Roman"/>
              </w:rPr>
              <w:fldChar w:fldCharType="end"/>
            </w:r>
            <w:r w:rsidRPr="00C91EA2">
              <w:rPr>
                <w:rFonts w:ascii="Times New Roman" w:hAnsi="Times New Roman"/>
              </w:rPr>
              <w:t>: Restrictions to competition due to spectrum management</w:t>
            </w:r>
            <w:bookmarkEnd w:id="316"/>
          </w:p>
        </w:tc>
      </w:tr>
      <w:tr w:rsidR="006018AA" w:rsidRPr="00C91EA2" w14:paraId="7C829E6D" w14:textId="77777777" w:rsidTr="00FA09FE">
        <w:tc>
          <w:tcPr>
            <w:tcW w:w="8630" w:type="dxa"/>
            <w:hideMark/>
          </w:tcPr>
          <w:p w14:paraId="0C3C3324" w14:textId="77777777" w:rsidR="006018AA" w:rsidRPr="00C91EA2" w:rsidRDefault="006018AA" w:rsidP="00FA09FE">
            <w:pPr>
              <w:rPr>
                <w:rFonts w:ascii="Times New Roman" w:hAnsi="Times New Roman" w:cs="Times New Roman"/>
              </w:rPr>
            </w:pPr>
            <w:r w:rsidRPr="00C91EA2">
              <w:rPr>
                <w:rFonts w:ascii="Times New Roman" w:hAnsi="Times New Roman" w:cs="Times New Roman"/>
                <w:noProof/>
              </w:rPr>
              <w:drawing>
                <wp:inline distT="0" distB="0" distL="0" distR="0" wp14:anchorId="7E2A6540" wp14:editId="44372914">
                  <wp:extent cx="5293761" cy="2595651"/>
                  <wp:effectExtent l="0" t="0" r="254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stretch>
                            <a:fillRect/>
                          </a:stretch>
                        </pic:blipFill>
                        <pic:spPr bwMode="auto">
                          <a:xfrm>
                            <a:off x="0" y="0"/>
                            <a:ext cx="5293761" cy="2595651"/>
                          </a:xfrm>
                          <a:prstGeom prst="rect">
                            <a:avLst/>
                          </a:prstGeom>
                          <a:noFill/>
                        </pic:spPr>
                      </pic:pic>
                    </a:graphicData>
                  </a:graphic>
                </wp:inline>
              </w:drawing>
            </w:r>
          </w:p>
        </w:tc>
      </w:tr>
    </w:tbl>
    <w:p w14:paraId="3A04BE33" w14:textId="77777777" w:rsidR="006018AA" w:rsidRPr="00C91EA2" w:rsidRDefault="006018AA" w:rsidP="006018AA">
      <w:pPr>
        <w:jc w:val="both"/>
        <w:rPr>
          <w:rFonts w:ascii="Times New Roman" w:hAnsi="Times New Roman" w:cs="Times New Roman"/>
          <w:b/>
        </w:rPr>
      </w:pPr>
    </w:p>
    <w:p w14:paraId="63017514" w14:textId="6F632D03"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limited availability of spectrum as a scarce resource determines entry in last mile mobile services. Entry cannot occur if </w:t>
      </w:r>
      <w:r w:rsidR="003B24ED">
        <w:rPr>
          <w:rFonts w:ascii="Times New Roman" w:hAnsi="Times New Roman" w:cs="Times New Roman"/>
          <w:b/>
        </w:rPr>
        <w:t>Government</w:t>
      </w:r>
      <w:r w:rsidRPr="00C91EA2">
        <w:rPr>
          <w:rFonts w:ascii="Times New Roman" w:hAnsi="Times New Roman" w:cs="Times New Roman"/>
          <w:b/>
        </w:rPr>
        <w:t>s or regulatory authorities do not issue spectrum licenses</w:t>
      </w:r>
      <w:r w:rsidRPr="00C91EA2">
        <w:rPr>
          <w:rFonts w:ascii="Times New Roman" w:hAnsi="Times New Roman" w:cs="Times New Roman"/>
        </w:rPr>
        <w:t xml:space="preserve">. Furthermore, in markets with dominant operators, competition can be harmed if spectrum caps or other mechanisms </w:t>
      </w:r>
      <w:r w:rsidRPr="00AA67B2">
        <w:rPr>
          <w:rFonts w:ascii="Times New Roman" w:hAnsi="Times New Roman" w:cs="Times New Roman"/>
        </w:rPr>
        <w:t>are not considered for future assignments to preserve or encourage competition in the market</w:t>
      </w:r>
      <w:r w:rsidRPr="00C91EA2">
        <w:rPr>
          <w:rFonts w:ascii="Times New Roman" w:hAnsi="Times New Roman" w:cs="Times New Roman"/>
        </w:rPr>
        <w:t>. There is also a risk that market players could adopt foreclosure strategies by limiting the access of actual or potential competitors to available spectrum.</w:t>
      </w:r>
    </w:p>
    <w:p w14:paraId="49F57634" w14:textId="77777777" w:rsidR="006018AA" w:rsidRPr="00C91EA2" w:rsidRDefault="006018AA" w:rsidP="006018AA">
      <w:pPr>
        <w:jc w:val="both"/>
        <w:rPr>
          <w:rFonts w:ascii="Times New Roman" w:hAnsi="Times New Roman" w:cs="Times New Roman"/>
        </w:rPr>
      </w:pPr>
    </w:p>
    <w:p w14:paraId="68C47EFB"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When the available spectrum is insufficient to meet the demand from new entrants, best international practice advises selecting new entrants through a competitive process</w:t>
      </w:r>
      <w:r w:rsidRPr="00C91EA2">
        <w:rPr>
          <w:rFonts w:ascii="Times New Roman" w:hAnsi="Times New Roman" w:cs="Times New Roman"/>
        </w:rPr>
        <w:t>. In both mobile and wireless markets, there are usually more market players interested than spectrum available for the service. By requiring potential licensees to compete for the license, scarce spectrum can be allocated to the operator that is best placed to maximize the benefit to customers and to succeed in a competitive market. Spectrum pricing principles should incentivize efficient use of spectrum – including separating management fees (based on administrative costs) from usage fees (based on either market-determined or administratively-calculated economic value). Spectrum pricing may also include the possibility of setting fees in favor of the new or smaller operators. Finally, including the possibility of spectrum trading and secondary markets in the regulatory framework can allow for efficient spectrum use over time.</w:t>
      </w:r>
    </w:p>
    <w:p w14:paraId="55485812" w14:textId="77777777" w:rsidR="006018AA" w:rsidRPr="00C91EA2" w:rsidRDefault="006018AA" w:rsidP="006018AA">
      <w:pPr>
        <w:jc w:val="both"/>
        <w:rPr>
          <w:rFonts w:ascii="Times New Roman" w:hAnsi="Times New Roman" w:cs="Times New Roman"/>
        </w:rPr>
      </w:pPr>
    </w:p>
    <w:p w14:paraId="5367922A" w14:textId="4AC2CC71"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Senegal has not yet deployed a full 4G network, despite there being adequate radio spectrum for that purpose</w:t>
      </w:r>
      <w:r w:rsidRPr="00C91EA2">
        <w:rPr>
          <w:rFonts w:ascii="Times New Roman" w:hAnsi="Times New Roman" w:cs="Times New Roman"/>
        </w:rPr>
        <w:t>. Moreover, the Telecommunications Code lacks rules that enable a more efficient allocation and assignment of radio spectrum</w:t>
      </w:r>
      <w:r>
        <w:rPr>
          <w:rFonts w:ascii="Times New Roman" w:hAnsi="Times New Roman" w:cs="Times New Roman"/>
        </w:rPr>
        <w:t>.</w:t>
      </w:r>
      <w:r w:rsidRPr="00C91EA2">
        <w:rPr>
          <w:rFonts w:ascii="Times New Roman" w:hAnsi="Times New Roman" w:cs="Times New Roman"/>
        </w:rPr>
        <w:t xml:space="preserve"> </w:t>
      </w:r>
      <w:proofErr w:type="gramStart"/>
      <w:r>
        <w:rPr>
          <w:rFonts w:ascii="Times New Roman" w:hAnsi="Times New Roman" w:cs="Times New Roman"/>
        </w:rPr>
        <w:t>In particular, it</w:t>
      </w:r>
      <w:proofErr w:type="gramEnd"/>
      <w:r>
        <w:rPr>
          <w:rFonts w:ascii="Times New Roman" w:hAnsi="Times New Roman" w:cs="Times New Roman"/>
        </w:rPr>
        <w:t xml:space="preserve"> lacks </w:t>
      </w:r>
      <w:r w:rsidRPr="00C91EA2">
        <w:rPr>
          <w:rFonts w:ascii="Times New Roman" w:hAnsi="Times New Roman" w:cs="Times New Roman"/>
        </w:rPr>
        <w:t xml:space="preserve">provisions enabling a secondary market for radio mobile wireless licenses (e.g. transfer and lease), as well as mechanisms limiting the incentives for spectrum hoarding (e.g. spectrum caps and usage fees). This ineffectiveness of the regulatory framework is liable to limit market entry and to further strengthen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dominance.</w:t>
      </w:r>
    </w:p>
    <w:p w14:paraId="475F371D" w14:textId="77777777" w:rsidR="006018AA" w:rsidRPr="00C91EA2" w:rsidRDefault="006018AA" w:rsidP="006018AA">
      <w:pPr>
        <w:jc w:val="both"/>
        <w:rPr>
          <w:rFonts w:ascii="Times New Roman" w:hAnsi="Times New Roman" w:cs="Times New Roman"/>
        </w:rPr>
      </w:pPr>
    </w:p>
    <w:p w14:paraId="2AD235EB" w14:textId="2E29EABC"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Contrary to international best practice, Senegal has awarded spectrum through direct negotiation with the incumbents, which can lead to inefficient outcomes</w:t>
      </w:r>
      <w:r w:rsidRPr="00C91EA2">
        <w:rPr>
          <w:rFonts w:ascii="Times New Roman" w:hAnsi="Times New Roman" w:cs="Times New Roman"/>
        </w:rPr>
        <w:t xml:space="preserve">. In 2016, direct negotiations were held between </w:t>
      </w:r>
      <w:proofErr w:type="spellStart"/>
      <w:r w:rsidRPr="00C91EA2">
        <w:rPr>
          <w:rFonts w:ascii="Times New Roman" w:hAnsi="Times New Roman" w:cs="Times New Roman"/>
        </w:rPr>
        <w:t>GoS</w:t>
      </w:r>
      <w:proofErr w:type="spellEnd"/>
      <w:r w:rsidRPr="00C91EA2">
        <w:rPr>
          <w:rFonts w:ascii="Times New Roman" w:hAnsi="Times New Roman" w:cs="Times New Roman"/>
        </w:rPr>
        <w:t xml:space="preserve"> and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to assign a </w:t>
      </w:r>
      <w:proofErr w:type="gramStart"/>
      <w:r w:rsidRPr="00C91EA2">
        <w:rPr>
          <w:rFonts w:ascii="Times New Roman" w:hAnsi="Times New Roman" w:cs="Times New Roman"/>
        </w:rPr>
        <w:t>17 year</w:t>
      </w:r>
      <w:proofErr w:type="gramEnd"/>
      <w:r w:rsidRPr="00C91EA2">
        <w:rPr>
          <w:rFonts w:ascii="Times New Roman" w:hAnsi="Times New Roman" w:cs="Times New Roman"/>
        </w:rPr>
        <w:t xml:space="preserve"> 4G license (1.5Ghz and 800Mhz) for CFA32bn. The remaining incumbents are now negotiating their 4G licenses. The Telecommunications Code is not clear regarding the administrative procedure to be followed in the case of assignment of spectrum rights. On the one hand, as it was previously explained, the Code determines that the license regime is applicable to telecommunications networks and services open to the public, based on scarce resources or </w:t>
      </w:r>
      <w:r w:rsidR="00F966F2">
        <w:rPr>
          <w:rFonts w:ascii="Times New Roman" w:hAnsi="Times New Roman" w:cs="Times New Roman"/>
        </w:rPr>
        <w:t>use of the</w:t>
      </w:r>
      <w:r w:rsidR="00F966F2" w:rsidRPr="00C91EA2">
        <w:rPr>
          <w:rFonts w:ascii="Times New Roman" w:hAnsi="Times New Roman" w:cs="Times New Roman"/>
        </w:rPr>
        <w:t xml:space="preserve"> </w:t>
      </w:r>
      <w:r w:rsidRPr="00C91EA2">
        <w:rPr>
          <w:rFonts w:ascii="Times New Roman" w:hAnsi="Times New Roman" w:cs="Times New Roman"/>
        </w:rPr>
        <w:t>public domain. Although this rule seems to be designed for radio spectrum, the Code then states that the use of spectrum frequencies is subject to authorization (Article 71). Thus, the assignment of radio frequencies would not be subject to a tender procedure, even though the Code determines that radio spectrum authorizations are assigned pursuant to objective, transparent and non-discriminatory conditions.</w:t>
      </w:r>
      <w:r w:rsidRPr="00C91EA2">
        <w:rPr>
          <w:rStyle w:val="FootnoteReference"/>
          <w:rFonts w:ascii="Times New Roman" w:hAnsi="Times New Roman" w:cs="Times New Roman"/>
        </w:rPr>
        <w:footnoteReference w:id="246"/>
      </w:r>
      <w:r w:rsidRPr="00C91EA2">
        <w:rPr>
          <w:rFonts w:ascii="Times New Roman" w:hAnsi="Times New Roman" w:cs="Times New Roman"/>
        </w:rPr>
        <w:t xml:space="preserve"> The lack of clarity of the Code persists since the Decree setting the conditions detailing the application of the Chapter on radio spectrum has not been approved yet.</w:t>
      </w:r>
      <w:r w:rsidRPr="00C91EA2">
        <w:rPr>
          <w:rStyle w:val="FootnoteReference"/>
          <w:rFonts w:ascii="Times New Roman" w:hAnsi="Times New Roman" w:cs="Times New Roman"/>
        </w:rPr>
        <w:footnoteReference w:id="247"/>
      </w:r>
    </w:p>
    <w:p w14:paraId="5D6B3ECD" w14:textId="77777777" w:rsidR="006018AA" w:rsidRPr="00C91EA2" w:rsidRDefault="006018AA" w:rsidP="006018AA">
      <w:pPr>
        <w:jc w:val="both"/>
        <w:rPr>
          <w:rFonts w:ascii="Times New Roman" w:hAnsi="Times New Roman" w:cs="Times New Roman"/>
        </w:rPr>
      </w:pPr>
    </w:p>
    <w:p w14:paraId="765534C8" w14:textId="5645DB5C"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w:t>
      </w:r>
      <w:r w:rsidR="003B24ED">
        <w:rPr>
          <w:rFonts w:ascii="Times New Roman" w:hAnsi="Times New Roman" w:cs="Times New Roman"/>
          <w:b/>
        </w:rPr>
        <w:t>Government</w:t>
      </w:r>
      <w:r w:rsidRPr="00C91EA2">
        <w:rPr>
          <w:rFonts w:ascii="Times New Roman" w:hAnsi="Times New Roman" w:cs="Times New Roman"/>
          <w:b/>
        </w:rPr>
        <w:t xml:space="preserve"> resorted to bilateral negotiations after the incumbents appear to have colluded to boycott an open tender</w:t>
      </w:r>
      <w:r w:rsidRPr="00C91EA2">
        <w:rPr>
          <w:rFonts w:ascii="Times New Roman" w:hAnsi="Times New Roman" w:cs="Times New Roman"/>
        </w:rPr>
        <w:t>. It should be noted that the original tender for 4G licenses in January 2016 was limited to the existing firms, meaning there was a higher risk of collusive behavior among participants. After the launch of the tender, the three mobile operators jointly refused to submit bids. In a joint letter to the ARTP, the operators argued that the price of 30 million FCFA was excessive and proposed their own valuation in an amount of 14.5 million FCFA for the three licenses.</w:t>
      </w:r>
      <w:r w:rsidRPr="00C91EA2">
        <w:rPr>
          <w:rStyle w:val="FootnoteReference"/>
          <w:rFonts w:ascii="Times New Roman" w:hAnsi="Times New Roman" w:cs="Times New Roman"/>
        </w:rPr>
        <w:footnoteReference w:id="248"/>
      </w:r>
      <w:r w:rsidRPr="00C91EA2">
        <w:rPr>
          <w:rFonts w:ascii="Times New Roman" w:hAnsi="Times New Roman" w:cs="Times New Roman"/>
        </w:rPr>
        <w:t xml:space="preserve"> Despite this joint boycott, ARTP did not start any investigation for the breach of the competition rules set forth in the Telecommunications Code.</w:t>
      </w:r>
      <w:r w:rsidRPr="00C91EA2">
        <w:rPr>
          <w:rStyle w:val="FootnoteReference"/>
          <w:rFonts w:ascii="Times New Roman" w:hAnsi="Times New Roman" w:cs="Times New Roman"/>
        </w:rPr>
        <w:footnoteReference w:id="249"/>
      </w:r>
      <w:r w:rsidRPr="00C91EA2">
        <w:rPr>
          <w:rFonts w:ascii="Times New Roman" w:hAnsi="Times New Roman" w:cs="Times New Roman"/>
        </w:rPr>
        <w:t xml:space="preserve"> ARTP opened a procedure against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with its Board voting in favor of the adoption of a sanction against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for breach of the public procurement rules, but did not ultimately take any action against the company.</w:t>
      </w:r>
    </w:p>
    <w:p w14:paraId="3DD6D597" w14:textId="77777777" w:rsidR="006018AA" w:rsidRPr="00C91EA2" w:rsidRDefault="006018AA" w:rsidP="006018AA">
      <w:pPr>
        <w:jc w:val="both"/>
        <w:rPr>
          <w:rFonts w:ascii="Times New Roman" w:hAnsi="Times New Roman" w:cs="Times New Roman"/>
        </w:rPr>
      </w:pPr>
    </w:p>
    <w:p w14:paraId="75CCE249" w14:textId="40C2BF3F"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Furthermore, it appears that the </w:t>
      </w:r>
      <w:r w:rsidR="003B24ED">
        <w:rPr>
          <w:rFonts w:ascii="Times New Roman" w:hAnsi="Times New Roman" w:cs="Times New Roman"/>
          <w:b/>
        </w:rPr>
        <w:t>Government</w:t>
      </w:r>
      <w:r w:rsidRPr="00C91EA2">
        <w:rPr>
          <w:rFonts w:ascii="Times New Roman" w:hAnsi="Times New Roman" w:cs="Times New Roman"/>
          <w:b/>
        </w:rPr>
        <w:t xml:space="preserve"> has chosen to sideline ARTP by directly negotiating with </w:t>
      </w:r>
      <w:proofErr w:type="spellStart"/>
      <w:r w:rsidRPr="00C91EA2">
        <w:rPr>
          <w:rFonts w:ascii="Times New Roman" w:hAnsi="Times New Roman" w:cs="Times New Roman"/>
          <w:b/>
        </w:rPr>
        <w:t>Sonatel</w:t>
      </w:r>
      <w:proofErr w:type="spellEnd"/>
      <w:r w:rsidRPr="00C91EA2">
        <w:rPr>
          <w:rFonts w:ascii="Times New Roman" w:hAnsi="Times New Roman" w:cs="Times New Roman"/>
          <w:b/>
        </w:rPr>
        <w:t xml:space="preserve"> </w:t>
      </w:r>
      <w:r w:rsidR="00F966F2">
        <w:rPr>
          <w:rFonts w:ascii="Times New Roman" w:hAnsi="Times New Roman" w:cs="Times New Roman"/>
          <w:b/>
        </w:rPr>
        <w:t>to renew</w:t>
      </w:r>
      <w:r w:rsidRPr="00C91EA2">
        <w:rPr>
          <w:rFonts w:ascii="Times New Roman" w:hAnsi="Times New Roman" w:cs="Times New Roman"/>
          <w:b/>
        </w:rPr>
        <w:t xml:space="preserve"> its global license (fix</w:t>
      </w:r>
      <w:r>
        <w:rPr>
          <w:rFonts w:ascii="Times New Roman" w:hAnsi="Times New Roman" w:cs="Times New Roman"/>
          <w:b/>
        </w:rPr>
        <w:t>ed</w:t>
      </w:r>
      <w:r w:rsidRPr="00C91EA2">
        <w:rPr>
          <w:rFonts w:ascii="Times New Roman" w:hAnsi="Times New Roman" w:cs="Times New Roman"/>
          <w:b/>
        </w:rPr>
        <w:t xml:space="preserve"> and mobile</w:t>
      </w:r>
      <w:r>
        <w:rPr>
          <w:rFonts w:ascii="Times New Roman" w:hAnsi="Times New Roman" w:cs="Times New Roman"/>
          <w:b/>
        </w:rPr>
        <w:t>)</w:t>
      </w:r>
      <w:r w:rsidRPr="008C54F2">
        <w:rPr>
          <w:rFonts w:ascii="Times New Roman" w:hAnsi="Times New Roman" w:cs="Times New Roman"/>
          <w:b/>
        </w:rPr>
        <w:t xml:space="preserve"> </w:t>
      </w:r>
      <w:r w:rsidRPr="00C91EA2">
        <w:rPr>
          <w:rFonts w:ascii="Times New Roman" w:hAnsi="Times New Roman" w:cs="Times New Roman"/>
          <w:b/>
        </w:rPr>
        <w:t>in 2016</w:t>
      </w:r>
      <w:r>
        <w:rPr>
          <w:rFonts w:ascii="Times New Roman" w:hAnsi="Times New Roman" w:cs="Times New Roman"/>
          <w:b/>
        </w:rPr>
        <w:t>, including an extension of its scope to deploy a 4G network</w:t>
      </w:r>
      <w:r w:rsidRPr="00C91EA2">
        <w:rPr>
          <w:rFonts w:ascii="Times New Roman" w:hAnsi="Times New Roman" w:cs="Times New Roman"/>
          <w:b/>
        </w:rPr>
        <w:t xml:space="preserve">. </w:t>
      </w:r>
      <w:r w:rsidRPr="00C91EA2">
        <w:rPr>
          <w:rFonts w:ascii="Times New Roman" w:hAnsi="Times New Roman" w:cs="Times New Roman"/>
        </w:rPr>
        <w:t xml:space="preserve">ARTP appears to not have participated in the process </w:t>
      </w:r>
      <w:r w:rsidR="00F966F2">
        <w:rPr>
          <w:rFonts w:ascii="Times New Roman" w:hAnsi="Times New Roman" w:cs="Times New Roman"/>
        </w:rPr>
        <w:t>that</w:t>
      </w:r>
      <w:r w:rsidR="00F966F2" w:rsidRPr="00C91EA2">
        <w:rPr>
          <w:rFonts w:ascii="Times New Roman" w:hAnsi="Times New Roman" w:cs="Times New Roman"/>
        </w:rPr>
        <w:t xml:space="preserve"> </w:t>
      </w:r>
      <w:r w:rsidRPr="00C91EA2">
        <w:rPr>
          <w:rFonts w:ascii="Times New Roman" w:hAnsi="Times New Roman" w:cs="Times New Roman"/>
        </w:rPr>
        <w:t xml:space="preserve">led to the assignment of this license, which clearly reveals </w:t>
      </w:r>
      <w:r w:rsidR="00F966F2">
        <w:rPr>
          <w:rFonts w:ascii="Times New Roman" w:hAnsi="Times New Roman" w:cs="Times New Roman"/>
        </w:rPr>
        <w:t>the process’s</w:t>
      </w:r>
      <w:r w:rsidR="00F966F2" w:rsidRPr="00C91EA2">
        <w:rPr>
          <w:rFonts w:ascii="Times New Roman" w:hAnsi="Times New Roman" w:cs="Times New Roman"/>
        </w:rPr>
        <w:t xml:space="preserve"> </w:t>
      </w:r>
      <w:r w:rsidRPr="00C91EA2">
        <w:rPr>
          <w:rFonts w:ascii="Times New Roman" w:hAnsi="Times New Roman" w:cs="Times New Roman"/>
        </w:rPr>
        <w:t xml:space="preserve">opaque and ad hoc nature, which ends up positively discriminating in favor of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the former incumbent.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new license has a duration of 17 years and cost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a total of </w:t>
      </w:r>
      <w:r w:rsidR="00351525" w:rsidRPr="00C91EA2">
        <w:rPr>
          <w:rFonts w:ascii="Times New Roman" w:hAnsi="Times New Roman" w:cs="Times New Roman"/>
        </w:rPr>
        <w:t xml:space="preserve">FCFA </w:t>
      </w:r>
      <w:r w:rsidRPr="00C91EA2">
        <w:rPr>
          <w:rFonts w:ascii="Times New Roman" w:hAnsi="Times New Roman" w:cs="Times New Roman"/>
        </w:rPr>
        <w:t xml:space="preserve">100 million, 68 million </w:t>
      </w:r>
      <w:r w:rsidR="0024721A">
        <w:rPr>
          <w:rFonts w:ascii="Times New Roman" w:hAnsi="Times New Roman" w:cs="Times New Roman"/>
        </w:rPr>
        <w:t xml:space="preserve">for </w:t>
      </w:r>
      <w:r w:rsidRPr="00C91EA2">
        <w:rPr>
          <w:rFonts w:ascii="Times New Roman" w:hAnsi="Times New Roman" w:cs="Times New Roman"/>
        </w:rPr>
        <w:t xml:space="preserve">the renewal of the concession, </w:t>
      </w:r>
      <w:r w:rsidR="00351525">
        <w:rPr>
          <w:rFonts w:ascii="Times New Roman" w:hAnsi="Times New Roman" w:cs="Times New Roman"/>
        </w:rPr>
        <w:t>FCFA</w:t>
      </w:r>
      <w:r w:rsidR="00351525" w:rsidRPr="00C91EA2">
        <w:rPr>
          <w:rFonts w:ascii="Times New Roman" w:hAnsi="Times New Roman" w:cs="Times New Roman"/>
        </w:rPr>
        <w:t xml:space="preserve"> </w:t>
      </w:r>
      <w:r w:rsidRPr="00C91EA2">
        <w:rPr>
          <w:rFonts w:ascii="Times New Roman" w:hAnsi="Times New Roman" w:cs="Times New Roman"/>
        </w:rPr>
        <w:t xml:space="preserve">20 million </w:t>
      </w:r>
      <w:r w:rsidR="0024721A">
        <w:rPr>
          <w:rFonts w:ascii="Times New Roman" w:hAnsi="Times New Roman" w:cs="Times New Roman"/>
        </w:rPr>
        <w:t>for</w:t>
      </w:r>
      <w:r w:rsidR="0024721A" w:rsidRPr="00C91EA2">
        <w:rPr>
          <w:rFonts w:ascii="Times New Roman" w:hAnsi="Times New Roman" w:cs="Times New Roman"/>
        </w:rPr>
        <w:t xml:space="preserve"> </w:t>
      </w:r>
      <w:r w:rsidRPr="00C91EA2">
        <w:rPr>
          <w:rFonts w:ascii="Times New Roman" w:hAnsi="Times New Roman" w:cs="Times New Roman"/>
        </w:rPr>
        <w:t xml:space="preserve">the assignment of frequencies in the 1800MHz band (2x10MHz) and </w:t>
      </w:r>
      <w:r w:rsidR="00351525">
        <w:rPr>
          <w:rFonts w:ascii="Times New Roman" w:hAnsi="Times New Roman" w:cs="Times New Roman"/>
        </w:rPr>
        <w:t>FCFA</w:t>
      </w:r>
      <w:r w:rsidR="00351525" w:rsidRPr="00C91EA2">
        <w:rPr>
          <w:rFonts w:ascii="Times New Roman" w:hAnsi="Times New Roman" w:cs="Times New Roman"/>
        </w:rPr>
        <w:t xml:space="preserve"> </w:t>
      </w:r>
      <w:r w:rsidRPr="00C91EA2">
        <w:rPr>
          <w:rFonts w:ascii="Times New Roman" w:hAnsi="Times New Roman" w:cs="Times New Roman"/>
        </w:rPr>
        <w:t>12 million for the 800 MHz frequency bands.</w:t>
      </w:r>
      <w:r w:rsidRPr="00C91EA2">
        <w:rPr>
          <w:rStyle w:val="FootnoteReference"/>
          <w:rFonts w:ascii="Times New Roman" w:hAnsi="Times New Roman" w:cs="Times New Roman"/>
        </w:rPr>
        <w:footnoteReference w:id="250"/>
      </w:r>
      <w:r w:rsidRPr="00C91EA2">
        <w:rPr>
          <w:rFonts w:ascii="Times New Roman" w:hAnsi="Times New Roman" w:cs="Times New Roman"/>
        </w:rPr>
        <w:t xml:space="preserve"> Although spectrum auctions are widely regarded as international best practice</w:t>
      </w:r>
      <w:r w:rsidR="006309CE">
        <w:rPr>
          <w:rFonts w:ascii="Times New Roman" w:hAnsi="Times New Roman" w:cs="Times New Roman"/>
        </w:rPr>
        <w:t xml:space="preserve"> </w:t>
      </w:r>
      <w:r w:rsidR="00A33395">
        <w:rPr>
          <w:rFonts w:ascii="Times New Roman" w:hAnsi="Times New Roman" w:cs="Times New Roman"/>
        </w:rPr>
        <w:t>f</w:t>
      </w:r>
      <w:r w:rsidRPr="00C91EA2">
        <w:rPr>
          <w:rFonts w:ascii="Times New Roman" w:hAnsi="Times New Roman" w:cs="Times New Roman"/>
        </w:rPr>
        <w:t>or the assignment of radio frequencies,</w:t>
      </w:r>
      <w:r w:rsidRPr="00C91EA2">
        <w:rPr>
          <w:rFonts w:ascii="Times New Roman" w:hAnsi="Times New Roman" w:cs="Times New Roman"/>
          <w:b/>
        </w:rPr>
        <w:t xml:space="preserve"> </w:t>
      </w:r>
      <w:r w:rsidRPr="00C91EA2">
        <w:rPr>
          <w:rFonts w:ascii="Times New Roman" w:hAnsi="Times New Roman" w:cs="Times New Roman"/>
        </w:rPr>
        <w:t>the fact is that, in Africa, only Nigeria has successfully carried-out a spectrum auction. The spectrum auction for 30MHz of 2.3GHz radio spectrum was launched in 2013 and it brought a new entrant to the market, even though the actual roll-out of the network only started in 2016.</w:t>
      </w:r>
      <w:r w:rsidRPr="00C91EA2">
        <w:rPr>
          <w:rStyle w:val="FootnoteReference"/>
          <w:rFonts w:ascii="Times New Roman" w:hAnsi="Times New Roman" w:cs="Times New Roman"/>
        </w:rPr>
        <w:footnoteReference w:id="251"/>
      </w:r>
      <w:r w:rsidRPr="00C91EA2">
        <w:rPr>
          <w:rFonts w:ascii="Times New Roman" w:hAnsi="Times New Roman" w:cs="Times New Roman"/>
        </w:rPr>
        <w:t xml:space="preserve"> Nigeria attempted to launch a new spectrum auction in 2016 for the assignment of 2.6GHz spectrum but no bidder met the reserve price. Other African countries that have abandoned plans to launch spectrum auctions include Mozambique, South Africa, Ghana, Kenya, Senegal and Egypt.</w:t>
      </w:r>
      <w:r w:rsidRPr="00C91EA2">
        <w:rPr>
          <w:rStyle w:val="FootnoteReference"/>
          <w:rFonts w:ascii="Times New Roman" w:hAnsi="Times New Roman" w:cs="Times New Roman"/>
        </w:rPr>
        <w:footnoteReference w:id="252"/>
      </w:r>
    </w:p>
    <w:p w14:paraId="501201F4" w14:textId="77777777" w:rsidR="006018AA" w:rsidRPr="00C91EA2" w:rsidRDefault="006018AA" w:rsidP="006018AA">
      <w:pPr>
        <w:jc w:val="both"/>
        <w:rPr>
          <w:rFonts w:ascii="Times New Roman" w:hAnsi="Times New Roman" w:cs="Times New Roman"/>
        </w:rPr>
      </w:pPr>
    </w:p>
    <w:p w14:paraId="5DE1DC29"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Since, so far, only </w:t>
      </w:r>
      <w:proofErr w:type="spellStart"/>
      <w:r w:rsidRPr="00C91EA2">
        <w:rPr>
          <w:rFonts w:ascii="Times New Roman" w:hAnsi="Times New Roman" w:cs="Times New Roman"/>
          <w:b/>
        </w:rPr>
        <w:t>Sonatel</w:t>
      </w:r>
      <w:proofErr w:type="spellEnd"/>
      <w:r w:rsidRPr="00C91EA2">
        <w:rPr>
          <w:rFonts w:ascii="Times New Roman" w:hAnsi="Times New Roman" w:cs="Times New Roman"/>
          <w:b/>
        </w:rPr>
        <w:t xml:space="preserve"> was assigned radio spectrum to deploy a 4G network, it will benefit from an advantage vis-à-vis its competitors that can reinforce its market dominance</w:t>
      </w:r>
      <w:r w:rsidRPr="00C91EA2">
        <w:rPr>
          <w:rFonts w:ascii="Times New Roman" w:hAnsi="Times New Roman" w:cs="Times New Roman"/>
        </w:rPr>
        <w:t xml:space="preserve">. In practice, this will allow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to consolidate a 4G network before any of its competitors, creating benefits for </w:t>
      </w:r>
      <w:proofErr w:type="spellStart"/>
      <w:r w:rsidRPr="00C91EA2">
        <w:rPr>
          <w:rFonts w:ascii="Times New Roman" w:hAnsi="Times New Roman" w:cs="Times New Roman"/>
        </w:rPr>
        <w:t>Sonatel</w:t>
      </w:r>
      <w:proofErr w:type="spellEnd"/>
      <w:r w:rsidRPr="00C91EA2">
        <w:rPr>
          <w:rFonts w:ascii="Times New Roman" w:hAnsi="Times New Roman" w:cs="Times New Roman"/>
        </w:rPr>
        <w:t xml:space="preserve"> from bandwagon effects and </w:t>
      </w:r>
      <w:proofErr w:type="spellStart"/>
      <w:r w:rsidRPr="00C91EA2">
        <w:rPr>
          <w:rFonts w:ascii="Times New Roman" w:hAnsi="Times New Roman" w:cs="Times New Roman"/>
        </w:rPr>
        <w:t>unleveling</w:t>
      </w:r>
      <w:proofErr w:type="spellEnd"/>
      <w:r w:rsidRPr="00C91EA2">
        <w:rPr>
          <w:rFonts w:ascii="Times New Roman" w:hAnsi="Times New Roman" w:cs="Times New Roman"/>
        </w:rPr>
        <w:t xml:space="preserve"> the playing field. </w:t>
      </w:r>
    </w:p>
    <w:p w14:paraId="3CC7E7A9" w14:textId="77777777" w:rsidR="006018AA" w:rsidRPr="00C91EA2" w:rsidRDefault="006018AA" w:rsidP="006018AA">
      <w:pPr>
        <w:jc w:val="both"/>
        <w:rPr>
          <w:rFonts w:ascii="Times New Roman" w:hAnsi="Times New Roman" w:cs="Times New Roman"/>
        </w:rPr>
      </w:pPr>
    </w:p>
    <w:p w14:paraId="5C0F2545" w14:textId="79579E31"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Further, putting in place safeguards against concentration of spectrum in the hands of a few players would also allow for a more efficient use of spectrum.</w:t>
      </w:r>
      <w:r w:rsidRPr="00C91EA2">
        <w:rPr>
          <w:rFonts w:ascii="Times New Roman" w:hAnsi="Times New Roman" w:cs="Times New Roman"/>
        </w:rPr>
        <w:t xml:space="preserve"> </w:t>
      </w:r>
      <w:r w:rsidR="000E7834">
        <w:rPr>
          <w:rFonts w:ascii="Times New Roman" w:hAnsi="Times New Roman" w:cs="Times New Roman"/>
        </w:rPr>
        <w:t>Since radio spectrum is an essential input for MNOs to compete in the mobile market, it is key that Senegal ensures that radio spectrum is not hoarded by the incumbents in a way that limits market entry or expansion by other operators. For example, in the US, the Federal Communications Commission (FCC) may limit participation in spectrum auctions (e.g. bidding credits, spectrum caps), as a way of promoting competition in mobile wireless communications markets.</w:t>
      </w:r>
      <w:r w:rsidR="000E7834">
        <w:rPr>
          <w:rStyle w:val="FootnoteReference"/>
          <w:rFonts w:ascii="Times New Roman" w:hAnsi="Times New Roman" w:cs="Times New Roman"/>
        </w:rPr>
        <w:footnoteReference w:id="253"/>
      </w:r>
      <w:r w:rsidR="000E7834">
        <w:rPr>
          <w:rFonts w:ascii="Times New Roman" w:hAnsi="Times New Roman" w:cs="Times New Roman"/>
        </w:rPr>
        <w:t xml:space="preserve"> Moreover, the FCC employs a </w:t>
      </w:r>
      <w:r w:rsidR="000E7834" w:rsidRPr="00F3546A">
        <w:rPr>
          <w:rFonts w:ascii="Times New Roman" w:hAnsi="Times New Roman" w:cs="Times New Roman"/>
        </w:rPr>
        <w:t xml:space="preserve">screening test to identify those markets </w:t>
      </w:r>
      <w:r w:rsidR="000E7834" w:rsidRPr="00305C3A">
        <w:rPr>
          <w:rFonts w:ascii="Times New Roman" w:hAnsi="Times New Roman" w:cs="Times New Roman"/>
        </w:rPr>
        <w:t>that may require further investigation in light of the post-merger concentration of</w:t>
      </w:r>
      <w:r w:rsidR="000E7834">
        <w:rPr>
          <w:rFonts w:ascii="Times New Roman" w:hAnsi="Times New Roman" w:cs="Times New Roman"/>
        </w:rPr>
        <w:t xml:space="preserve"> </w:t>
      </w:r>
      <w:r w:rsidR="000E7834" w:rsidRPr="00305C3A">
        <w:rPr>
          <w:rFonts w:ascii="Times New Roman" w:hAnsi="Times New Roman" w:cs="Times New Roman"/>
        </w:rPr>
        <w:t>spectrum</w:t>
      </w:r>
      <w:r w:rsidR="000E7834">
        <w:rPr>
          <w:rFonts w:ascii="Times New Roman" w:hAnsi="Times New Roman" w:cs="Times New Roman"/>
        </w:rPr>
        <w:t>.</w:t>
      </w:r>
      <w:r w:rsidR="000E7834">
        <w:rPr>
          <w:rStyle w:val="FootnoteReference"/>
          <w:rFonts w:ascii="Times New Roman" w:hAnsi="Times New Roman" w:cs="Times New Roman"/>
        </w:rPr>
        <w:footnoteReference w:id="254"/>
      </w:r>
      <w:r w:rsidR="000E7834">
        <w:rPr>
          <w:rFonts w:ascii="Times New Roman" w:hAnsi="Times New Roman" w:cs="Times New Roman"/>
        </w:rPr>
        <w:t xml:space="preserve"> </w:t>
      </w:r>
      <w:r w:rsidRPr="00C91EA2">
        <w:rPr>
          <w:rFonts w:ascii="Times New Roman" w:hAnsi="Times New Roman" w:cs="Times New Roman"/>
        </w:rPr>
        <w:t xml:space="preserve">However, </w:t>
      </w:r>
      <w:proofErr w:type="spellStart"/>
      <w:r w:rsidRPr="00C91EA2">
        <w:rPr>
          <w:rFonts w:ascii="Times New Roman" w:hAnsi="Times New Roman" w:cs="Times New Roman"/>
        </w:rPr>
        <w:t>Sonatel’s</w:t>
      </w:r>
      <w:proofErr w:type="spellEnd"/>
      <w:r w:rsidRPr="00C91EA2">
        <w:rPr>
          <w:rFonts w:ascii="Times New Roman" w:hAnsi="Times New Roman" w:cs="Times New Roman"/>
        </w:rPr>
        <w:t xml:space="preserve"> license does not include any requirement to supply third parties with access to fix</w:t>
      </w:r>
      <w:r>
        <w:rPr>
          <w:rFonts w:ascii="Times New Roman" w:hAnsi="Times New Roman" w:cs="Times New Roman"/>
        </w:rPr>
        <w:t>ed</w:t>
      </w:r>
      <w:r w:rsidRPr="00C91EA2">
        <w:rPr>
          <w:rFonts w:ascii="Times New Roman" w:hAnsi="Times New Roman" w:cs="Times New Roman"/>
        </w:rPr>
        <w:t xml:space="preserve"> and mobile infrastructures (fourth mobile operator, ISPs, roaming in rural areas). </w:t>
      </w:r>
    </w:p>
    <w:p w14:paraId="71B4F065" w14:textId="77777777" w:rsidR="00EE7EC1" w:rsidRPr="007575D7" w:rsidRDefault="00EE7EC1" w:rsidP="007575D7">
      <w:pPr>
        <w:pStyle w:val="ListParagraph"/>
        <w:rPr>
          <w:rFonts w:ascii="Times New Roman" w:hAnsi="Times New Roman" w:cs="Times New Roman"/>
        </w:rPr>
      </w:pPr>
    </w:p>
    <w:p w14:paraId="315CC379" w14:textId="75CDE487" w:rsidR="00EE7EC1" w:rsidRPr="00C91EA2" w:rsidRDefault="00EE7EC1" w:rsidP="006018AA">
      <w:pPr>
        <w:pStyle w:val="ListParagraph"/>
        <w:numPr>
          <w:ilvl w:val="0"/>
          <w:numId w:val="71"/>
        </w:numPr>
        <w:ind w:left="0" w:firstLine="0"/>
        <w:jc w:val="both"/>
        <w:rPr>
          <w:rFonts w:ascii="Times New Roman" w:hAnsi="Times New Roman" w:cs="Times New Roman"/>
        </w:rPr>
      </w:pPr>
      <w:r w:rsidRPr="007575D7">
        <w:rPr>
          <w:rFonts w:ascii="Times New Roman" w:eastAsia="Times New Roman" w:hAnsi="Times New Roman" w:cs="Times New Roman"/>
          <w:b/>
          <w:lang w:eastAsia="fr-FR"/>
        </w:rPr>
        <w:t>In tandem, Senegal could also benefit from the introduction of market-based mechanisms that could encourage a more efficient use of spectrum, namely by opening the possibility for spectrum trading and leasing</w:t>
      </w:r>
      <w:r>
        <w:rPr>
          <w:rFonts w:ascii="Times New Roman" w:eastAsia="Times New Roman" w:hAnsi="Times New Roman" w:cs="Times New Roman"/>
          <w:lang w:eastAsia="fr-FR"/>
        </w:rPr>
        <w:t xml:space="preserve">, subject to ARTP’s monitoring, and by increasing the flexibility of ARTP’s licenses by not locking them to a specific technology, unless necessary for interference reasons. Furthermore, </w:t>
      </w:r>
      <w:proofErr w:type="gramStart"/>
      <w:r>
        <w:rPr>
          <w:rFonts w:ascii="Times New Roman" w:eastAsia="Times New Roman" w:hAnsi="Times New Roman" w:cs="Times New Roman"/>
          <w:lang w:eastAsia="fr-FR"/>
        </w:rPr>
        <w:t>in light of</w:t>
      </w:r>
      <w:proofErr w:type="gramEnd"/>
      <w:r>
        <w:rPr>
          <w:rFonts w:ascii="Times New Roman" w:eastAsia="Times New Roman" w:hAnsi="Times New Roman" w:cs="Times New Roman"/>
          <w:lang w:eastAsia="fr-FR"/>
        </w:rPr>
        <w:t xml:space="preserve"> recent technological developments, such as the Internet of Things, which rely on unlicensed spectrum, it is increasingly important to assess the introduction of a framework governing unlicensed spectrum.</w:t>
      </w:r>
    </w:p>
    <w:p w14:paraId="4C15B0F7" w14:textId="77777777" w:rsidR="006018AA" w:rsidRPr="00C91EA2" w:rsidRDefault="006018AA" w:rsidP="006018AA">
      <w:pPr>
        <w:jc w:val="both"/>
        <w:rPr>
          <w:rFonts w:ascii="Times New Roman" w:hAnsi="Times New Roman" w:cs="Times New Roman"/>
        </w:rPr>
      </w:pPr>
    </w:p>
    <w:p w14:paraId="7732D8F5" w14:textId="40152420"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method for calculating radio spectrum fees should aim </w:t>
      </w:r>
      <w:r w:rsidR="00A33395">
        <w:rPr>
          <w:rFonts w:ascii="Times New Roman" w:hAnsi="Times New Roman" w:cs="Times New Roman"/>
          <w:b/>
        </w:rPr>
        <w:t>to ensure</w:t>
      </w:r>
      <w:r w:rsidRPr="00C91EA2">
        <w:rPr>
          <w:rFonts w:ascii="Times New Roman" w:hAnsi="Times New Roman" w:cs="Times New Roman"/>
          <w:b/>
        </w:rPr>
        <w:t xml:space="preserve"> an optimal use of this scarce resource and </w:t>
      </w:r>
      <w:r w:rsidR="00A33395">
        <w:rPr>
          <w:rFonts w:ascii="Times New Roman" w:hAnsi="Times New Roman" w:cs="Times New Roman"/>
          <w:b/>
        </w:rPr>
        <w:t>to compensate</w:t>
      </w:r>
      <w:r w:rsidRPr="00C91EA2">
        <w:rPr>
          <w:rFonts w:ascii="Times New Roman" w:hAnsi="Times New Roman" w:cs="Times New Roman"/>
          <w:b/>
        </w:rPr>
        <w:t xml:space="preserve"> the State for the administrative costs incurred with management tasks</w:t>
      </w:r>
      <w:r w:rsidRPr="00C91EA2">
        <w:rPr>
          <w:rFonts w:ascii="Times New Roman" w:hAnsi="Times New Roman" w:cs="Times New Roman"/>
        </w:rPr>
        <w:t xml:space="preserve">. However, in Senegal, spectrum charges seem to be outdated and overly high, in some cases representing 10 percent of the operators’ revenues. Furthermore, the fees charged in Senegal are typically much higher than those charged in other countries from the same region (e.g. Morocco). By treating radio spectrum fees as a mechanism of taxation rather than an instrument to ensure efficiency in spectrum use, the </w:t>
      </w:r>
      <w:r w:rsidR="003B24ED">
        <w:rPr>
          <w:rFonts w:ascii="Times New Roman" w:hAnsi="Times New Roman" w:cs="Times New Roman"/>
        </w:rPr>
        <w:t>Government</w:t>
      </w:r>
      <w:r w:rsidRPr="00C91EA2">
        <w:rPr>
          <w:rFonts w:ascii="Times New Roman" w:hAnsi="Times New Roman" w:cs="Times New Roman"/>
        </w:rPr>
        <w:t xml:space="preserve"> increases the operators’ incentives to pass-on associated costs to the consumers through higher tariffs.</w:t>
      </w:r>
    </w:p>
    <w:p w14:paraId="74BA180D" w14:textId="77777777" w:rsidR="00AE7CA8" w:rsidRPr="00AE7CA8" w:rsidRDefault="00AE7CA8" w:rsidP="00AE7CA8">
      <w:pPr>
        <w:jc w:val="both"/>
        <w:rPr>
          <w:rFonts w:ascii="Times New Roman" w:hAnsi="Times New Roman" w:cs="Times New Roman"/>
        </w:rPr>
      </w:pPr>
    </w:p>
    <w:p w14:paraId="22399E0A" w14:textId="541F3F56" w:rsidR="00AE7CA8" w:rsidRPr="00530B72" w:rsidRDefault="00AE7CA8" w:rsidP="00AE7CA8">
      <w:pPr>
        <w:pStyle w:val="ListParagraph"/>
        <w:numPr>
          <w:ilvl w:val="0"/>
          <w:numId w:val="71"/>
        </w:numPr>
        <w:ind w:left="0" w:firstLine="0"/>
        <w:jc w:val="both"/>
        <w:rPr>
          <w:rFonts w:ascii="Times New Roman" w:hAnsi="Times New Roman" w:cs="Times New Roman"/>
        </w:rPr>
      </w:pPr>
      <w:r w:rsidRPr="00E92654">
        <w:rPr>
          <w:rFonts w:ascii="Times New Roman" w:hAnsi="Times New Roman" w:cs="Times New Roman"/>
          <w:b/>
        </w:rPr>
        <w:t xml:space="preserve">The </w:t>
      </w:r>
      <w:r w:rsidR="003B24ED">
        <w:rPr>
          <w:rFonts w:ascii="Times New Roman" w:hAnsi="Times New Roman" w:cs="Times New Roman"/>
          <w:b/>
        </w:rPr>
        <w:t>Government</w:t>
      </w:r>
      <w:r w:rsidRPr="00E92654">
        <w:rPr>
          <w:rFonts w:ascii="Times New Roman" w:hAnsi="Times New Roman" w:cs="Times New Roman"/>
          <w:b/>
        </w:rPr>
        <w:t xml:space="preserve"> of Senegal is currently drafting </w:t>
      </w:r>
      <w:r w:rsidRPr="00E92654">
        <w:rPr>
          <w:rFonts w:ascii="Times New Roman" w:hAnsi="Times New Roman"/>
          <w:b/>
        </w:rPr>
        <w:t>a new Telecommunications Code Law and Implementation Decrees to address some of the regulatory shortcomings mentioned above</w:t>
      </w:r>
      <w:r>
        <w:rPr>
          <w:rFonts w:ascii="Times New Roman" w:hAnsi="Times New Roman"/>
        </w:rPr>
        <w:t>. A preliminary analysis indicates that, if enacted, this new telecommunications package will introduce necessary changes</w:t>
      </w:r>
      <w:r>
        <w:rPr>
          <w:rFonts w:ascii="Times New Roman" w:hAnsi="Times New Roman"/>
          <w:b/>
        </w:rPr>
        <w:t>,</w:t>
      </w:r>
      <w:r>
        <w:rPr>
          <w:rFonts w:ascii="Times New Roman" w:hAnsi="Times New Roman"/>
        </w:rPr>
        <w:t xml:space="preserve"> but also leave </w:t>
      </w:r>
      <w:r w:rsidRPr="00E92654">
        <w:rPr>
          <w:rFonts w:ascii="Times New Roman" w:hAnsi="Times New Roman"/>
        </w:rPr>
        <w:t>room for further improvements</w:t>
      </w:r>
      <w:r>
        <w:rPr>
          <w:rFonts w:ascii="Times New Roman" w:hAnsi="Times New Roman"/>
        </w:rPr>
        <w:t xml:space="preserve"> (see Box below).</w:t>
      </w:r>
    </w:p>
    <w:p w14:paraId="1770AE17" w14:textId="77777777" w:rsidR="006018AA" w:rsidRPr="00693AF8" w:rsidRDefault="006018AA" w:rsidP="006018AA">
      <w:pPr>
        <w:jc w:val="both"/>
        <w:rPr>
          <w:rFonts w:ascii="Times New Roman" w:hAnsi="Times New Roman" w:cs="Times New Roman"/>
        </w:rPr>
      </w:pPr>
    </w:p>
    <w:p w14:paraId="58D374A2" w14:textId="2EFDF68E" w:rsidR="006018AA" w:rsidRPr="00C91EA2" w:rsidRDefault="006018AA" w:rsidP="006018AA">
      <w:pPr>
        <w:pStyle w:val="Caption"/>
        <w:keepNext/>
        <w:rPr>
          <w:rFonts w:ascii="Times New Roman" w:hAnsi="Times New Roman"/>
        </w:rPr>
      </w:pPr>
      <w:bookmarkStart w:id="317" w:name="_Ref498525852"/>
      <w:bookmarkStart w:id="318" w:name="_Toc498526041"/>
      <w:bookmarkStart w:id="319" w:name="_Toc520725810"/>
      <w:r w:rsidRPr="00C91EA2">
        <w:rPr>
          <w:rFonts w:ascii="Times New Roman" w:hAnsi="Times New Roman"/>
        </w:rPr>
        <w:t xml:space="preserve">Box </w:t>
      </w:r>
      <w:r w:rsidR="009547FF">
        <w:rPr>
          <w:rFonts w:ascii="Times New Roman" w:hAnsi="Times New Roman"/>
        </w:rPr>
        <w:fldChar w:fldCharType="begin"/>
      </w:r>
      <w:r w:rsidR="009547FF">
        <w:rPr>
          <w:rFonts w:ascii="Times New Roman" w:hAnsi="Times New Roman"/>
        </w:rPr>
        <w:instrText xml:space="preserve"> SEQ Box \* ARABIC </w:instrText>
      </w:r>
      <w:r w:rsidR="009547FF">
        <w:rPr>
          <w:rFonts w:ascii="Times New Roman" w:hAnsi="Times New Roman"/>
        </w:rPr>
        <w:fldChar w:fldCharType="separate"/>
      </w:r>
      <w:r w:rsidR="008261B2">
        <w:rPr>
          <w:rFonts w:ascii="Times New Roman" w:hAnsi="Times New Roman"/>
          <w:noProof/>
        </w:rPr>
        <w:t>22</w:t>
      </w:r>
      <w:r w:rsidR="009547FF">
        <w:rPr>
          <w:rFonts w:ascii="Times New Roman" w:hAnsi="Times New Roman"/>
        </w:rPr>
        <w:fldChar w:fldCharType="end"/>
      </w:r>
      <w:bookmarkEnd w:id="317"/>
      <w:r w:rsidRPr="00C91EA2">
        <w:rPr>
          <w:rFonts w:ascii="Times New Roman" w:hAnsi="Times New Roman"/>
        </w:rPr>
        <w:t xml:space="preserve">: </w:t>
      </w:r>
      <w:r>
        <w:rPr>
          <w:rFonts w:ascii="Times New Roman" w:hAnsi="Times New Roman"/>
        </w:rPr>
        <w:t xml:space="preserve">Preliminary Analysis of the Draft Amendments to the </w:t>
      </w:r>
      <w:r w:rsidRPr="00C91EA2">
        <w:rPr>
          <w:rFonts w:ascii="Times New Roman" w:hAnsi="Times New Roman"/>
        </w:rPr>
        <w:t xml:space="preserve">Telecommunications Code </w:t>
      </w:r>
      <w:r>
        <w:rPr>
          <w:rFonts w:ascii="Times New Roman" w:hAnsi="Times New Roman"/>
        </w:rPr>
        <w:t>and Draft Implementation Decrees</w:t>
      </w:r>
      <w:bookmarkEnd w:id="318"/>
      <w:bookmarkEnd w:id="319"/>
    </w:p>
    <w:tbl>
      <w:tblPr>
        <w:tblStyle w:val="TableGrid"/>
        <w:tblW w:w="0" w:type="auto"/>
        <w:shd w:val="clear" w:color="auto" w:fill="F2F2F2" w:themeFill="background1" w:themeFillShade="F2"/>
        <w:tblLook w:val="04A0" w:firstRow="1" w:lastRow="0" w:firstColumn="1" w:lastColumn="0" w:noHBand="0" w:noVBand="1"/>
      </w:tblPr>
      <w:tblGrid>
        <w:gridCol w:w="8630"/>
      </w:tblGrid>
      <w:tr w:rsidR="006018AA" w:rsidRPr="00C91EA2" w14:paraId="194724E7" w14:textId="77777777" w:rsidTr="00FA09FE">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2E413E" w14:textId="77777777" w:rsidR="006018AA" w:rsidRDefault="006018AA" w:rsidP="00FA09FE">
            <w:pPr>
              <w:pStyle w:val="Caption"/>
              <w:jc w:val="both"/>
              <w:rPr>
                <w:rFonts w:ascii="Times New Roman" w:hAnsi="Times New Roman"/>
                <w:b w:val="0"/>
              </w:rPr>
            </w:pPr>
            <w:r>
              <w:rPr>
                <w:rFonts w:ascii="Times New Roman" w:hAnsi="Times New Roman"/>
                <w:b w:val="0"/>
              </w:rPr>
              <w:t>A new Draft Telecommunications Code Law and 11 draft Implementation Decrees are currently under discussion in Senegal. Some of the main changes of the proposed Telecommunications Package include:</w:t>
            </w:r>
          </w:p>
          <w:p w14:paraId="6089D1EC"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C</w:t>
            </w:r>
            <w:r w:rsidRPr="00D108B3">
              <w:rPr>
                <w:rFonts w:ascii="Times New Roman" w:hAnsi="Times New Roman" w:cs="Times New Roman"/>
                <w:sz w:val="20"/>
                <w:szCs w:val="20"/>
              </w:rPr>
              <w:t>reation of a</w:t>
            </w:r>
            <w:r>
              <w:rPr>
                <w:rFonts w:ascii="Times New Roman" w:hAnsi="Times New Roman" w:cs="Times New Roman"/>
                <w:sz w:val="20"/>
                <w:szCs w:val="20"/>
              </w:rPr>
              <w:t>n advisory Board within the Presidency of the Republic</w:t>
            </w:r>
            <w:r w:rsidRPr="00D108B3">
              <w:rPr>
                <w:rFonts w:ascii="Times New Roman" w:hAnsi="Times New Roman" w:cs="Times New Roman"/>
                <w:sz w:val="20"/>
                <w:szCs w:val="20"/>
              </w:rPr>
              <w:t xml:space="preserve"> </w:t>
            </w:r>
            <w:r>
              <w:rPr>
                <w:rFonts w:ascii="Times New Roman" w:hAnsi="Times New Roman" w:cs="Times New Roman"/>
                <w:sz w:val="20"/>
                <w:szCs w:val="20"/>
              </w:rPr>
              <w:t xml:space="preserve">(Digital National Council) </w:t>
            </w:r>
          </w:p>
          <w:p w14:paraId="224721E1"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ARTP is renamed ARCEP and is given regulatory powers over the postal sector in addition to electronic communications</w:t>
            </w:r>
          </w:p>
          <w:p w14:paraId="1DEB71BB"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 xml:space="preserve">Strengthening of the telecoms </w:t>
            </w:r>
            <w:r w:rsidRPr="00D108B3">
              <w:rPr>
                <w:rFonts w:ascii="Times New Roman" w:hAnsi="Times New Roman" w:cs="Times New Roman"/>
                <w:sz w:val="20"/>
                <w:szCs w:val="20"/>
              </w:rPr>
              <w:t>regulator’s powers to impose remedies on operators with SMP</w:t>
            </w:r>
          </w:p>
          <w:p w14:paraId="6C76E73A"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 xml:space="preserve">Strengthening of the telecom regulator’s powers to enforce the Competition Act’s rules in addition to the specific competition rules of the Telecommunications Code </w:t>
            </w:r>
            <w:r w:rsidRPr="00794810">
              <w:rPr>
                <w:rFonts w:ascii="Times New Roman" w:hAnsi="Times New Roman" w:cs="Times New Roman"/>
                <w:sz w:val="20"/>
                <w:szCs w:val="20"/>
              </w:rPr>
              <w:t xml:space="preserve">by allowing it to impose fines </w:t>
            </w:r>
            <w:r>
              <w:rPr>
                <w:rFonts w:ascii="Times New Roman" w:hAnsi="Times New Roman" w:cs="Times New Roman"/>
                <w:sz w:val="20"/>
                <w:szCs w:val="20"/>
              </w:rPr>
              <w:t xml:space="preserve">for anticompetitive conduct </w:t>
            </w:r>
            <w:r w:rsidRPr="00794810">
              <w:rPr>
                <w:rFonts w:ascii="Times New Roman" w:hAnsi="Times New Roman" w:cs="Times New Roman"/>
                <w:sz w:val="20"/>
                <w:szCs w:val="20"/>
              </w:rPr>
              <w:t xml:space="preserve">up to CFA 20 million </w:t>
            </w:r>
          </w:p>
          <w:p w14:paraId="2891832C"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Establishment of</w:t>
            </w:r>
            <w:r w:rsidRPr="00D108B3">
              <w:rPr>
                <w:rFonts w:ascii="Times New Roman" w:hAnsi="Times New Roman" w:cs="Times New Roman"/>
                <w:sz w:val="20"/>
                <w:szCs w:val="20"/>
              </w:rPr>
              <w:t xml:space="preserve"> an infrastructure sharing regime</w:t>
            </w:r>
          </w:p>
          <w:p w14:paraId="7162066C"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Listing of u</w:t>
            </w:r>
            <w:r w:rsidRPr="00D108B3">
              <w:rPr>
                <w:rFonts w:ascii="Times New Roman" w:hAnsi="Times New Roman" w:cs="Times New Roman"/>
                <w:sz w:val="20"/>
                <w:szCs w:val="20"/>
              </w:rPr>
              <w:t xml:space="preserve">niversal service </w:t>
            </w:r>
            <w:r>
              <w:rPr>
                <w:rFonts w:ascii="Times New Roman" w:hAnsi="Times New Roman" w:cs="Times New Roman"/>
                <w:sz w:val="20"/>
                <w:szCs w:val="20"/>
              </w:rPr>
              <w:t xml:space="preserve">obligations’ </w:t>
            </w:r>
            <w:r w:rsidRPr="00D108B3">
              <w:rPr>
                <w:rFonts w:ascii="Times New Roman" w:hAnsi="Times New Roman" w:cs="Times New Roman"/>
                <w:sz w:val="20"/>
                <w:szCs w:val="20"/>
              </w:rPr>
              <w:t>principles</w:t>
            </w:r>
          </w:p>
          <w:p w14:paraId="589D5C76"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Enhanced consumer protection rules</w:t>
            </w:r>
          </w:p>
          <w:p w14:paraId="27F10531" w14:textId="77777777" w:rsidR="006018AA" w:rsidRDefault="006018AA" w:rsidP="00FA09FE">
            <w:pPr>
              <w:pStyle w:val="ListParagraph"/>
              <w:numPr>
                <w:ilvl w:val="0"/>
                <w:numId w:val="136"/>
              </w:numPr>
              <w:rPr>
                <w:rFonts w:ascii="Times New Roman" w:hAnsi="Times New Roman" w:cs="Times New Roman"/>
                <w:sz w:val="20"/>
                <w:szCs w:val="20"/>
              </w:rPr>
            </w:pPr>
            <w:r w:rsidRPr="004E2185">
              <w:rPr>
                <w:rFonts w:ascii="Times New Roman" w:hAnsi="Times New Roman" w:cs="Times New Roman"/>
                <w:sz w:val="20"/>
                <w:szCs w:val="20"/>
              </w:rPr>
              <w:t>Clarification of spectrum management rules</w:t>
            </w:r>
          </w:p>
          <w:p w14:paraId="6460F8F9"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Establishment that ISPs and MVNOs are subject to a simple authorization procedure</w:t>
            </w:r>
          </w:p>
          <w:p w14:paraId="773C4FEE" w14:textId="5E36709C" w:rsidR="006018AA" w:rsidRPr="00C135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 xml:space="preserve">Enhancing the independence </w:t>
            </w:r>
            <w:r>
              <w:rPr>
                <w:rFonts w:ascii="Times New Roman" w:hAnsi="Times New Roman" w:cs="Times New Roman"/>
                <w:sz w:val="20"/>
              </w:rPr>
              <w:t>of the regulator by giving its Board the power to appoint the position of Director General.</w:t>
            </w:r>
          </w:p>
          <w:p w14:paraId="5FD357BE"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Specification of non-replicable essential facilities with regulated access: local loop, submarine cables’ capacity</w:t>
            </w:r>
          </w:p>
          <w:p w14:paraId="49D9FEA5"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Duty to offer objective, transparent and non-discriminatory conditions to MVNOs</w:t>
            </w:r>
          </w:p>
          <w:p w14:paraId="4B0AEBFD"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Number portability is part of dominant operators’ interconnection catalogue</w:t>
            </w:r>
          </w:p>
          <w:p w14:paraId="7D0C1FE6"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Power to impose remedies at retail level (e.g. tariffs tackling on-net/off-net differentiation)</w:t>
            </w:r>
          </w:p>
          <w:p w14:paraId="5530B656" w14:textId="77777777" w:rsidR="006018AA" w:rsidRDefault="006018AA" w:rsidP="00FA09FE">
            <w:pPr>
              <w:pStyle w:val="ListParagraph"/>
              <w:numPr>
                <w:ilvl w:val="0"/>
                <w:numId w:val="136"/>
              </w:numPr>
              <w:rPr>
                <w:rFonts w:ascii="Times New Roman" w:hAnsi="Times New Roman" w:cs="Times New Roman"/>
                <w:sz w:val="20"/>
                <w:szCs w:val="20"/>
              </w:rPr>
            </w:pPr>
            <w:r>
              <w:rPr>
                <w:rFonts w:ascii="Times New Roman" w:hAnsi="Times New Roman" w:cs="Times New Roman"/>
                <w:sz w:val="20"/>
                <w:szCs w:val="20"/>
              </w:rPr>
              <w:t xml:space="preserve">Possibility to impose asymmetric tariffs that favor new comers for at least a 3-year period </w:t>
            </w:r>
          </w:p>
          <w:p w14:paraId="48CFDDC7" w14:textId="77777777" w:rsidR="006018AA" w:rsidRPr="00D108B3" w:rsidRDefault="006018AA" w:rsidP="00FA09FE">
            <w:pPr>
              <w:pStyle w:val="ListParagraph"/>
              <w:rPr>
                <w:rFonts w:ascii="Times New Roman" w:hAnsi="Times New Roman" w:cs="Times New Roman"/>
                <w:sz w:val="20"/>
                <w:szCs w:val="20"/>
              </w:rPr>
            </w:pPr>
          </w:p>
          <w:p w14:paraId="697C01A5" w14:textId="698AF320" w:rsidR="006018AA" w:rsidRDefault="006018AA" w:rsidP="00FA09FE">
            <w:pPr>
              <w:jc w:val="both"/>
              <w:rPr>
                <w:rFonts w:ascii="Times New Roman" w:hAnsi="Times New Roman" w:cs="Times New Roman"/>
                <w:sz w:val="20"/>
              </w:rPr>
            </w:pPr>
            <w:r>
              <w:rPr>
                <w:rFonts w:ascii="Times New Roman" w:hAnsi="Times New Roman" w:cs="Times New Roman"/>
                <w:sz w:val="20"/>
              </w:rPr>
              <w:t xml:space="preserve">The Draft Telecommunications Code and Implementation Decrees might require further revisions. </w:t>
            </w:r>
            <w:r w:rsidR="00F61427">
              <w:rPr>
                <w:rFonts w:ascii="Times New Roman" w:hAnsi="Times New Roman" w:cs="Times New Roman"/>
                <w:sz w:val="20"/>
              </w:rPr>
              <w:t xml:space="preserve">Issues requiring revision </w:t>
            </w:r>
            <w:r>
              <w:rPr>
                <w:rFonts w:ascii="Times New Roman" w:hAnsi="Times New Roman" w:cs="Times New Roman"/>
                <w:sz w:val="20"/>
              </w:rPr>
              <w:t>include:</w:t>
            </w:r>
          </w:p>
          <w:p w14:paraId="5557F56D"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 xml:space="preserve">Presumption of dominance for operators with market shares larger than 25%, even though the SMP Implementing Decree determines that SMP is only presumed in the case of market shares above 40% during a 3-year period </w:t>
            </w:r>
            <w:r w:rsidRPr="00794810">
              <w:rPr>
                <w:rFonts w:ascii="Times New Roman" w:hAnsi="Times New Roman" w:cs="Times New Roman"/>
                <w:sz w:val="20"/>
              </w:rPr>
              <w:t>(non-rebuttable presumption if market share is larger than 50%)</w:t>
            </w:r>
          </w:p>
          <w:p w14:paraId="2A6F3250" w14:textId="129E0664"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 xml:space="preserve">Unclear distinction between a license and an authorization: representatives from the President of the Republic and </w:t>
            </w:r>
            <w:r w:rsidR="003B24ED">
              <w:rPr>
                <w:rFonts w:ascii="Times New Roman" w:hAnsi="Times New Roman" w:cs="Times New Roman"/>
                <w:sz w:val="20"/>
              </w:rPr>
              <w:t>Government</w:t>
            </w:r>
            <w:r>
              <w:rPr>
                <w:rFonts w:ascii="Times New Roman" w:hAnsi="Times New Roman" w:cs="Times New Roman"/>
                <w:sz w:val="20"/>
              </w:rPr>
              <w:t xml:space="preserve"> intervene and take the final decision both in the awarding of licenses and authorizations</w:t>
            </w:r>
          </w:p>
          <w:p w14:paraId="06E9E721"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 xml:space="preserve">Although the new Code is clearer in specifying that tariffs should be cost-oriented, providing some detail for certain tariffs (e.g., LRAIC for local loop unbundling), the cost methodology for all tariffs is not always clear </w:t>
            </w:r>
          </w:p>
          <w:p w14:paraId="56549C14"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Lack of reference to the competition issues that may result from infrastructure sharing agreements</w:t>
            </w:r>
          </w:p>
          <w:p w14:paraId="06F482DC"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Although ISPs are subject to an authorization procedure, they are still required to enter into an additional concession agreement with the State, which sets the conditions of the authorization (e.g. object, duration and renewability)</w:t>
            </w:r>
          </w:p>
          <w:p w14:paraId="6D4CF25C"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Even though the Telecommunications Code establishes that radio spectrum will be assigned competitively through licenses, the implementation Decree appears to limit transparent, objective and non-discriminatory assignments in those cases where there is more than one party interested in the same set of frequencies (and might not be known before the tender)</w:t>
            </w:r>
          </w:p>
          <w:p w14:paraId="3BFA955B"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 xml:space="preserve">Spectrum assignment requires the creation of a commission with representatives from the President of the Republic, Prime Minister, Telecom Ministry, Information Ministry, Interior Ministry, Finance Ministry and Media Regulator, which might require subsequent review based on practice to avoid suboptimal outcomes  </w:t>
            </w:r>
          </w:p>
          <w:p w14:paraId="1740871F"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Mobile Network Operators are prohibited from transferring assigned spectrum licenses</w:t>
            </w:r>
          </w:p>
          <w:p w14:paraId="218C798B"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Fees charged for spectrum licenses and number rights appear to have no connection with their administrative costs</w:t>
            </w:r>
          </w:p>
          <w:p w14:paraId="251F95B3"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The conditions governing number portability will only be determined in a subsequent ARCEP decision</w:t>
            </w:r>
          </w:p>
          <w:p w14:paraId="47BEC374" w14:textId="77777777" w:rsidR="006018AA" w:rsidRDefault="006018AA" w:rsidP="00FA09FE">
            <w:pPr>
              <w:pStyle w:val="ListParagraph"/>
              <w:numPr>
                <w:ilvl w:val="0"/>
                <w:numId w:val="136"/>
              </w:numPr>
              <w:jc w:val="both"/>
              <w:rPr>
                <w:rFonts w:ascii="Times New Roman" w:hAnsi="Times New Roman" w:cs="Times New Roman"/>
                <w:sz w:val="20"/>
              </w:rPr>
            </w:pPr>
            <w:r>
              <w:rPr>
                <w:rFonts w:ascii="Times New Roman" w:hAnsi="Times New Roman" w:cs="Times New Roman"/>
                <w:sz w:val="20"/>
              </w:rPr>
              <w:t>Lack of state aid analysis of the projects that benefit from funding by the Universal Service Fund</w:t>
            </w:r>
          </w:p>
          <w:p w14:paraId="7C5D014B" w14:textId="77777777" w:rsidR="006018AA" w:rsidRPr="00C91EA2" w:rsidRDefault="006018AA" w:rsidP="00FA09FE">
            <w:pPr>
              <w:jc w:val="both"/>
              <w:rPr>
                <w:rFonts w:ascii="Times New Roman" w:hAnsi="Times New Roman" w:cs="Times New Roman"/>
                <w:sz w:val="20"/>
              </w:rPr>
            </w:pPr>
          </w:p>
          <w:p w14:paraId="17079761" w14:textId="77777777" w:rsidR="006018AA" w:rsidRPr="00C91EA2" w:rsidRDefault="006018AA" w:rsidP="00FA09FE">
            <w:pPr>
              <w:rPr>
                <w:rFonts w:ascii="Times New Roman" w:hAnsi="Times New Roman" w:cs="Times New Roman"/>
                <w:i/>
                <w:sz w:val="20"/>
              </w:rPr>
            </w:pPr>
            <w:r w:rsidRPr="00C91EA2">
              <w:rPr>
                <w:rFonts w:ascii="Times New Roman" w:hAnsi="Times New Roman" w:cs="Times New Roman"/>
                <w:i/>
                <w:sz w:val="20"/>
              </w:rPr>
              <w:t xml:space="preserve">Source: </w:t>
            </w:r>
            <w:r w:rsidRPr="00F66F82">
              <w:rPr>
                <w:rFonts w:ascii="Times New Roman" w:hAnsi="Times New Roman" w:cs="Times New Roman"/>
                <w:i/>
                <w:sz w:val="20"/>
              </w:rPr>
              <w:t xml:space="preserve">WBG </w:t>
            </w:r>
            <w:r w:rsidR="00B2502A" w:rsidRPr="00F66F82">
              <w:rPr>
                <w:rFonts w:ascii="Times New Roman" w:hAnsi="Times New Roman" w:cs="Times New Roman"/>
                <w:i/>
                <w:sz w:val="20"/>
              </w:rPr>
              <w:t>Markets and Competition Team</w:t>
            </w:r>
            <w:r w:rsidR="00F66F82" w:rsidRPr="00F66F82">
              <w:rPr>
                <w:rFonts w:ascii="Times New Roman" w:hAnsi="Times New Roman" w:cs="Times New Roman"/>
                <w:i/>
                <w:sz w:val="20"/>
              </w:rPr>
              <w:t xml:space="preserve"> </w:t>
            </w:r>
            <w:r w:rsidRPr="00F66F82">
              <w:rPr>
                <w:rFonts w:ascii="Times New Roman" w:hAnsi="Times New Roman" w:cs="Times New Roman"/>
                <w:i/>
                <w:sz w:val="20"/>
              </w:rPr>
              <w:t>elaboration based on draft Telecommunications Code and 11 Draft Implementation Decrees</w:t>
            </w:r>
            <w:r w:rsidRPr="00E92654">
              <w:rPr>
                <w:rFonts w:ascii="Times New Roman" w:hAnsi="Times New Roman" w:cs="Times New Roman"/>
                <w:sz w:val="20"/>
              </w:rPr>
              <w:t xml:space="preserve"> </w:t>
            </w:r>
          </w:p>
        </w:tc>
      </w:tr>
    </w:tbl>
    <w:p w14:paraId="595F8264" w14:textId="77777777" w:rsidR="006018AA" w:rsidRPr="00C91EA2" w:rsidRDefault="006018AA" w:rsidP="006018AA">
      <w:pPr>
        <w:pStyle w:val="ListParagraph"/>
        <w:ind w:left="0"/>
        <w:jc w:val="both"/>
        <w:rPr>
          <w:rFonts w:ascii="Times New Roman" w:hAnsi="Times New Roman" w:cs="Times New Roman"/>
        </w:rPr>
      </w:pPr>
    </w:p>
    <w:p w14:paraId="401A1351" w14:textId="03393816" w:rsidR="00517BF6" w:rsidRDefault="00517BF6" w:rsidP="00C538DB">
      <w:pPr>
        <w:pStyle w:val="ListParagraph"/>
        <w:numPr>
          <w:ilvl w:val="0"/>
          <w:numId w:val="71"/>
        </w:numPr>
        <w:ind w:left="0" w:firstLine="0"/>
        <w:jc w:val="both"/>
        <w:rPr>
          <w:rFonts w:ascii="Times New Roman" w:hAnsi="Times New Roman" w:cs="Times New Roman"/>
        </w:rPr>
      </w:pPr>
      <w:r w:rsidRPr="00C538DB">
        <w:rPr>
          <w:rFonts w:ascii="Times New Roman" w:hAnsi="Times New Roman" w:cs="Times New Roman"/>
          <w:b/>
        </w:rPr>
        <w:t xml:space="preserve">Less distortive policies are available that would enable the </w:t>
      </w:r>
      <w:r w:rsidR="003B24ED">
        <w:rPr>
          <w:rFonts w:ascii="Times New Roman" w:hAnsi="Times New Roman" w:cs="Times New Roman"/>
          <w:b/>
        </w:rPr>
        <w:t>Government</w:t>
      </w:r>
      <w:r w:rsidRPr="00C538DB">
        <w:rPr>
          <w:rFonts w:ascii="Times New Roman" w:hAnsi="Times New Roman" w:cs="Times New Roman"/>
          <w:b/>
        </w:rPr>
        <w:t xml:space="preserve"> to achieve its policy objectives. </w:t>
      </w:r>
      <w:r w:rsidR="00961114">
        <w:rPr>
          <w:rFonts w:ascii="Times New Roman" w:hAnsi="Times New Roman" w:cs="Times New Roman"/>
        </w:rPr>
        <w:t>The table below</w:t>
      </w:r>
      <w:r w:rsidRPr="00C538DB">
        <w:rPr>
          <w:rFonts w:ascii="Times New Roman" w:hAnsi="Times New Roman" w:cs="Times New Roman"/>
        </w:rPr>
        <w:t xml:space="preserve"> summarizes the unintended consequences of </w:t>
      </w:r>
      <w:r w:rsidR="003B24ED">
        <w:rPr>
          <w:rFonts w:ascii="Times New Roman" w:hAnsi="Times New Roman" w:cs="Times New Roman"/>
        </w:rPr>
        <w:t>Government</w:t>
      </w:r>
      <w:r w:rsidRPr="00C538DB">
        <w:rPr>
          <w:rFonts w:ascii="Times New Roman" w:hAnsi="Times New Roman" w:cs="Times New Roman"/>
        </w:rPr>
        <w:t xml:space="preserve"> interventions used to achieve various policy </w:t>
      </w:r>
      <w:proofErr w:type="gramStart"/>
      <w:r w:rsidRPr="00C538DB">
        <w:rPr>
          <w:rFonts w:ascii="Times New Roman" w:hAnsi="Times New Roman" w:cs="Times New Roman"/>
        </w:rPr>
        <w:t>objectives, and</w:t>
      </w:r>
      <w:proofErr w:type="gramEnd"/>
      <w:r w:rsidRPr="00C538DB">
        <w:rPr>
          <w:rFonts w:ascii="Times New Roman" w:hAnsi="Times New Roman" w:cs="Times New Roman"/>
        </w:rPr>
        <w:t xml:space="preserve"> suggests less distortive measures available to the </w:t>
      </w:r>
      <w:r w:rsidR="003B24ED">
        <w:rPr>
          <w:rFonts w:ascii="Times New Roman" w:hAnsi="Times New Roman" w:cs="Times New Roman"/>
        </w:rPr>
        <w:t>Government</w:t>
      </w:r>
      <w:r w:rsidRPr="00C538DB">
        <w:rPr>
          <w:rFonts w:ascii="Times New Roman" w:hAnsi="Times New Roman" w:cs="Times New Roman"/>
        </w:rPr>
        <w:t xml:space="preserve"> of Senegal to achieve the same policy objectives. </w:t>
      </w:r>
      <w:r w:rsidR="008C66DD">
        <w:rPr>
          <w:rFonts w:ascii="Times New Roman" w:hAnsi="Times New Roman" w:cs="Times New Roman"/>
        </w:rPr>
        <w:t>The policies</w:t>
      </w:r>
      <w:r w:rsidRPr="00C538DB">
        <w:rPr>
          <w:rFonts w:ascii="Times New Roman" w:hAnsi="Times New Roman" w:cs="Times New Roman"/>
        </w:rPr>
        <w:t xml:space="preserve"> would </w:t>
      </w:r>
      <w:r w:rsidR="00961114">
        <w:rPr>
          <w:rFonts w:ascii="Times New Roman" w:hAnsi="Times New Roman" w:cs="Times New Roman"/>
        </w:rPr>
        <w:t xml:space="preserve">contribute for the development of </w:t>
      </w:r>
      <w:r w:rsidR="008C66DD">
        <w:rPr>
          <w:rFonts w:ascii="Times New Roman" w:hAnsi="Times New Roman" w:cs="Times New Roman"/>
        </w:rPr>
        <w:t>an</w:t>
      </w:r>
      <w:r w:rsidR="00961114">
        <w:rPr>
          <w:rFonts w:ascii="Times New Roman" w:hAnsi="Times New Roman" w:cs="Times New Roman"/>
        </w:rPr>
        <w:t xml:space="preserve"> innovative and competitive telecommunications sector </w:t>
      </w:r>
      <w:r w:rsidRPr="00C538DB">
        <w:rPr>
          <w:rFonts w:ascii="Times New Roman" w:hAnsi="Times New Roman" w:cs="Times New Roman"/>
        </w:rPr>
        <w:t>and increase consumer welfare</w:t>
      </w:r>
      <w:r w:rsidR="00961114">
        <w:rPr>
          <w:rFonts w:ascii="Times New Roman" w:hAnsi="Times New Roman" w:cs="Times New Roman"/>
        </w:rPr>
        <w:t xml:space="preserve"> in Senegal</w:t>
      </w:r>
      <w:r w:rsidRPr="00C538DB">
        <w:rPr>
          <w:rFonts w:ascii="Times New Roman" w:hAnsi="Times New Roman" w:cs="Times New Roman"/>
        </w:rPr>
        <w:t>.</w:t>
      </w:r>
    </w:p>
    <w:p w14:paraId="4363CDDD" w14:textId="77777777" w:rsidR="00961114" w:rsidRDefault="00961114" w:rsidP="00961114">
      <w:pPr>
        <w:jc w:val="both"/>
        <w:rPr>
          <w:rFonts w:ascii="Times New Roman" w:hAnsi="Times New Roman" w:cs="Times New Roman"/>
        </w:rPr>
      </w:pPr>
    </w:p>
    <w:p w14:paraId="66DD5D0B" w14:textId="77777777" w:rsidR="004A2E45" w:rsidRDefault="004A2E45" w:rsidP="00961114">
      <w:pPr>
        <w:jc w:val="both"/>
        <w:rPr>
          <w:rFonts w:ascii="Times New Roman" w:hAnsi="Times New Roman" w:cs="Times New Roman"/>
        </w:rPr>
      </w:pPr>
    </w:p>
    <w:p w14:paraId="55474CF5" w14:textId="77777777" w:rsidR="000C1A49" w:rsidRDefault="000C1A49">
      <w:pPr>
        <w:rPr>
          <w:rFonts w:ascii="Times New Roman" w:hAnsi="Times New Roman" w:cs="Times New Roman"/>
        </w:rPr>
        <w:sectPr w:rsidR="000C1A49" w:rsidSect="00B41724">
          <w:pgSz w:w="12240" w:h="15840" w:code="1"/>
          <w:pgMar w:top="1440" w:right="1800" w:bottom="1440" w:left="1800" w:header="720" w:footer="720" w:gutter="0"/>
          <w:cols w:space="720"/>
          <w:noEndnote/>
          <w:docGrid w:linePitch="326"/>
        </w:sectPr>
      </w:pPr>
    </w:p>
    <w:p w14:paraId="2B60244D" w14:textId="3DC85E5A" w:rsidR="000C1A49" w:rsidRDefault="000C1A49" w:rsidP="000C1A49">
      <w:pPr>
        <w:pStyle w:val="Caption"/>
        <w:keepNext/>
        <w:rPr>
          <w:rFonts w:ascii="Times New Roman" w:hAnsi="Times New Roman"/>
        </w:rPr>
      </w:pPr>
      <w:bookmarkStart w:id="320" w:name="_Toc520725701"/>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14</w:t>
      </w:r>
      <w:r w:rsidRPr="00C91EA2">
        <w:rPr>
          <w:rFonts w:ascii="Times New Roman" w:hAnsi="Times New Roman"/>
        </w:rPr>
        <w:fldChar w:fldCharType="end"/>
      </w:r>
      <w:r w:rsidRPr="00C91EA2">
        <w:rPr>
          <w:rFonts w:ascii="Times New Roman" w:hAnsi="Times New Roman"/>
        </w:rPr>
        <w:t xml:space="preserve">: Unintended consequences of </w:t>
      </w:r>
      <w:r w:rsidR="003B24ED">
        <w:rPr>
          <w:rFonts w:ascii="Times New Roman" w:hAnsi="Times New Roman"/>
        </w:rPr>
        <w:t>Government</w:t>
      </w:r>
      <w:r w:rsidRPr="00C91EA2">
        <w:rPr>
          <w:rFonts w:ascii="Times New Roman" w:hAnsi="Times New Roman"/>
        </w:rPr>
        <w:t xml:space="preserve"> policies</w:t>
      </w:r>
      <w:r>
        <w:rPr>
          <w:rFonts w:ascii="Times New Roman" w:hAnsi="Times New Roman"/>
        </w:rPr>
        <w:t xml:space="preserve"> in telecoms</w:t>
      </w:r>
      <w:bookmarkEnd w:id="320"/>
    </w:p>
    <w:tbl>
      <w:tblPr>
        <w:tblStyle w:val="ListTable3-Accent1"/>
        <w:tblW w:w="12554" w:type="dxa"/>
        <w:tblLayout w:type="fixed"/>
        <w:tblLook w:val="0420" w:firstRow="1" w:lastRow="0" w:firstColumn="0" w:lastColumn="0" w:noHBand="0" w:noVBand="1"/>
      </w:tblPr>
      <w:tblGrid>
        <w:gridCol w:w="3138"/>
        <w:gridCol w:w="3138"/>
        <w:gridCol w:w="3139"/>
        <w:gridCol w:w="3139"/>
      </w:tblGrid>
      <w:tr w:rsidR="00864D97" w:rsidRPr="00C91EA2" w14:paraId="3BA00D75" w14:textId="77777777" w:rsidTr="006B1718">
        <w:trPr>
          <w:cnfStyle w:val="100000000000" w:firstRow="1" w:lastRow="0" w:firstColumn="0" w:lastColumn="0" w:oddVBand="0" w:evenVBand="0" w:oddHBand="0" w:evenHBand="0" w:firstRowFirstColumn="0" w:firstRowLastColumn="0" w:lastRowFirstColumn="0" w:lastRowLastColumn="0"/>
          <w:trHeight w:val="633"/>
        </w:trPr>
        <w:tc>
          <w:tcPr>
            <w:tcW w:w="0" w:type="dxa"/>
            <w:tcBorders>
              <w:top w:val="single" w:sz="4" w:space="0" w:color="4F81BD" w:themeColor="accent1"/>
              <w:left w:val="single" w:sz="4" w:space="0" w:color="4F81BD" w:themeColor="accent1"/>
              <w:bottom w:val="nil"/>
              <w:right w:val="nil"/>
            </w:tcBorders>
            <w:hideMark/>
          </w:tcPr>
          <w:p w14:paraId="225D7AE3" w14:textId="77777777" w:rsidR="00864D97" w:rsidRPr="00C91EA2" w:rsidRDefault="00864D97" w:rsidP="006B1718">
            <w:pPr>
              <w:rPr>
                <w:rFonts w:ascii="Times New Roman" w:hAnsi="Times New Roman" w:cs="Times New Roman"/>
                <w:sz w:val="20"/>
                <w:szCs w:val="20"/>
              </w:rPr>
            </w:pPr>
            <w:r w:rsidRPr="00C91EA2">
              <w:rPr>
                <w:rFonts w:ascii="Times New Roman" w:hAnsi="Times New Roman" w:cs="Times New Roman"/>
                <w:b w:val="0"/>
                <w:bCs w:val="0"/>
                <w:sz w:val="20"/>
                <w:szCs w:val="20"/>
              </w:rPr>
              <w:t>Intended policy objectives</w:t>
            </w:r>
          </w:p>
        </w:tc>
        <w:tc>
          <w:tcPr>
            <w:tcW w:w="0" w:type="dxa"/>
            <w:tcBorders>
              <w:top w:val="single" w:sz="4" w:space="0" w:color="4F81BD" w:themeColor="accent1"/>
              <w:left w:val="nil"/>
              <w:bottom w:val="nil"/>
              <w:right w:val="nil"/>
            </w:tcBorders>
            <w:hideMark/>
          </w:tcPr>
          <w:p w14:paraId="774012EE" w14:textId="77777777" w:rsidR="00864D97" w:rsidRPr="00C91EA2" w:rsidRDefault="00864D97" w:rsidP="006B1718">
            <w:pPr>
              <w:rPr>
                <w:rFonts w:ascii="Times New Roman" w:hAnsi="Times New Roman" w:cs="Times New Roman"/>
                <w:sz w:val="20"/>
                <w:szCs w:val="20"/>
              </w:rPr>
            </w:pPr>
            <w:r w:rsidRPr="00C91EA2">
              <w:rPr>
                <w:rFonts w:ascii="Times New Roman" w:hAnsi="Times New Roman" w:cs="Times New Roman"/>
                <w:b w:val="0"/>
                <w:bCs w:val="0"/>
                <w:sz w:val="20"/>
                <w:szCs w:val="20"/>
              </w:rPr>
              <w:t xml:space="preserve">Current policy instruments </w:t>
            </w:r>
          </w:p>
        </w:tc>
        <w:tc>
          <w:tcPr>
            <w:tcW w:w="0" w:type="dxa"/>
            <w:tcBorders>
              <w:top w:val="single" w:sz="4" w:space="0" w:color="4F81BD" w:themeColor="accent1"/>
              <w:left w:val="nil"/>
              <w:bottom w:val="nil"/>
              <w:right w:val="nil"/>
            </w:tcBorders>
            <w:hideMark/>
          </w:tcPr>
          <w:p w14:paraId="702324B3" w14:textId="77777777" w:rsidR="00864D97" w:rsidRPr="00C91EA2" w:rsidRDefault="00864D97" w:rsidP="006B1718">
            <w:pPr>
              <w:rPr>
                <w:rFonts w:ascii="Times New Roman" w:hAnsi="Times New Roman" w:cs="Times New Roman"/>
                <w:sz w:val="20"/>
                <w:szCs w:val="20"/>
              </w:rPr>
            </w:pPr>
            <w:r w:rsidRPr="00C91EA2">
              <w:rPr>
                <w:rFonts w:ascii="Times New Roman" w:hAnsi="Times New Roman" w:cs="Times New Roman"/>
                <w:b w:val="0"/>
                <w:bCs w:val="0"/>
                <w:sz w:val="20"/>
                <w:szCs w:val="20"/>
              </w:rPr>
              <w:t>Unintended effect on market dynamics / competition</w:t>
            </w:r>
          </w:p>
        </w:tc>
        <w:tc>
          <w:tcPr>
            <w:tcW w:w="0" w:type="dxa"/>
            <w:tcBorders>
              <w:top w:val="single" w:sz="4" w:space="0" w:color="4F81BD" w:themeColor="accent1"/>
              <w:left w:val="nil"/>
              <w:bottom w:val="nil"/>
              <w:right w:val="single" w:sz="4" w:space="0" w:color="4F81BD" w:themeColor="accent1"/>
            </w:tcBorders>
            <w:hideMark/>
          </w:tcPr>
          <w:p w14:paraId="0F43EB21" w14:textId="77777777" w:rsidR="00864D97" w:rsidRPr="00C91EA2" w:rsidRDefault="00864D97" w:rsidP="006B1718">
            <w:pPr>
              <w:rPr>
                <w:rFonts w:ascii="Times New Roman" w:hAnsi="Times New Roman" w:cs="Times New Roman"/>
                <w:b w:val="0"/>
                <w:bCs w:val="0"/>
                <w:sz w:val="20"/>
                <w:szCs w:val="20"/>
              </w:rPr>
            </w:pPr>
            <w:r w:rsidRPr="00C91EA2">
              <w:rPr>
                <w:rFonts w:ascii="Times New Roman" w:hAnsi="Times New Roman" w:cs="Times New Roman"/>
                <w:b w:val="0"/>
                <w:bCs w:val="0"/>
                <w:sz w:val="20"/>
                <w:szCs w:val="20"/>
              </w:rPr>
              <w:t>Less distortive measures to achieve policy objective</w:t>
            </w:r>
          </w:p>
        </w:tc>
      </w:tr>
      <w:tr w:rsidR="00864D97" w:rsidRPr="00C91EA2" w14:paraId="4D3BCD62" w14:textId="77777777" w:rsidTr="006B1718">
        <w:trPr>
          <w:cnfStyle w:val="000000100000" w:firstRow="0" w:lastRow="0" w:firstColumn="0" w:lastColumn="0" w:oddVBand="0" w:evenVBand="0" w:oddHBand="1" w:evenHBand="0" w:firstRowFirstColumn="0" w:firstRowLastColumn="0" w:lastRowFirstColumn="0" w:lastRowLastColumn="0"/>
          <w:trHeight w:val="2464"/>
        </w:trPr>
        <w:tc>
          <w:tcPr>
            <w:tcW w:w="0" w:type="dxa"/>
            <w:tcBorders>
              <w:left w:val="single" w:sz="4" w:space="0" w:color="4F81BD" w:themeColor="accent1"/>
              <w:right w:val="nil"/>
            </w:tcBorders>
            <w:hideMark/>
          </w:tcPr>
          <w:p w14:paraId="06310B63" w14:textId="77777777" w:rsidR="00864D97" w:rsidRPr="00C91EA2" w:rsidRDefault="00864D97" w:rsidP="006B1718">
            <w:pPr>
              <w:rPr>
                <w:rFonts w:ascii="Times New Roman" w:hAnsi="Times New Roman" w:cs="Times New Roman"/>
                <w:sz w:val="20"/>
                <w:szCs w:val="20"/>
              </w:rPr>
            </w:pPr>
            <w:r w:rsidRPr="00C91EA2">
              <w:rPr>
                <w:rFonts w:ascii="Times New Roman" w:hAnsi="Times New Roman" w:cs="Times New Roman"/>
                <w:sz w:val="20"/>
                <w:szCs w:val="20"/>
              </w:rPr>
              <w:t xml:space="preserve">Increase </w:t>
            </w:r>
            <w:r>
              <w:rPr>
                <w:rFonts w:ascii="Times New Roman" w:hAnsi="Times New Roman" w:cs="Times New Roman"/>
                <w:sz w:val="20"/>
                <w:szCs w:val="20"/>
              </w:rPr>
              <w:t>internet penetration</w:t>
            </w:r>
          </w:p>
        </w:tc>
        <w:tc>
          <w:tcPr>
            <w:tcW w:w="0" w:type="dxa"/>
            <w:tcBorders>
              <w:left w:val="nil"/>
              <w:right w:val="nil"/>
            </w:tcBorders>
            <w:hideMark/>
          </w:tcPr>
          <w:p w14:paraId="228E8C30" w14:textId="5AFBBAF3" w:rsidR="00864D97" w:rsidRPr="00C91EA2" w:rsidRDefault="00864D97" w:rsidP="007575D7">
            <w:pPr>
              <w:numPr>
                <w:ilvl w:val="0"/>
                <w:numId w:val="36"/>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Authorization for entry for ISPs but each with geographic exclusivity</w:t>
            </w:r>
          </w:p>
          <w:p w14:paraId="51A4E241" w14:textId="77777777" w:rsidR="00864D97" w:rsidRDefault="00864D97" w:rsidP="007575D7">
            <w:pPr>
              <w:numPr>
                <w:ilvl w:val="0"/>
                <w:numId w:val="36"/>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Change of entry regime for ISPs in 2016 from license to authorization but lack of procedural clarity</w:t>
            </w:r>
          </w:p>
          <w:p w14:paraId="3D88C921" w14:textId="063FEA33" w:rsidR="00864D97" w:rsidRPr="00C91EA2" w:rsidRDefault="00864D97" w:rsidP="00864D97">
            <w:pPr>
              <w:numPr>
                <w:ilvl w:val="0"/>
                <w:numId w:val="36"/>
              </w:numPr>
              <w:tabs>
                <w:tab w:val="num" w:pos="720"/>
              </w:tabs>
              <w:spacing w:line="256" w:lineRule="auto"/>
              <w:rPr>
                <w:rFonts w:ascii="Times New Roman" w:hAnsi="Times New Roman" w:cs="Times New Roman"/>
                <w:sz w:val="20"/>
                <w:szCs w:val="20"/>
              </w:rPr>
            </w:pPr>
          </w:p>
        </w:tc>
        <w:tc>
          <w:tcPr>
            <w:tcW w:w="0" w:type="dxa"/>
            <w:tcBorders>
              <w:left w:val="nil"/>
              <w:right w:val="nil"/>
            </w:tcBorders>
            <w:hideMark/>
          </w:tcPr>
          <w:p w14:paraId="4398D7F2" w14:textId="77777777" w:rsidR="00864D97" w:rsidRPr="004D1A51" w:rsidRDefault="00864D97" w:rsidP="007575D7">
            <w:pPr>
              <w:numPr>
                <w:ilvl w:val="0"/>
                <w:numId w:val="36"/>
              </w:numPr>
              <w:tabs>
                <w:tab w:val="num" w:pos="720"/>
              </w:tabs>
              <w:spacing w:line="256" w:lineRule="auto"/>
              <w:jc w:val="both"/>
              <w:rPr>
                <w:rFonts w:ascii="Times New Roman" w:hAnsi="Times New Roman" w:cs="Times New Roman"/>
                <w:sz w:val="20"/>
                <w:szCs w:val="20"/>
              </w:rPr>
            </w:pPr>
            <w:r w:rsidRPr="004D1A51">
              <w:rPr>
                <w:rFonts w:ascii="Times New Roman" w:hAnsi="Times New Roman" w:cs="Times New Roman"/>
                <w:sz w:val="20"/>
                <w:szCs w:val="20"/>
              </w:rPr>
              <w:t xml:space="preserve">Regional exclusivity for ISPs creates regional market power and </w:t>
            </w:r>
            <w:r>
              <w:rPr>
                <w:rFonts w:ascii="Times New Roman" w:hAnsi="Times New Roman" w:cs="Times New Roman"/>
                <w:sz w:val="20"/>
                <w:szCs w:val="20"/>
              </w:rPr>
              <w:t>f</w:t>
            </w:r>
            <w:r w:rsidRPr="004D1A51">
              <w:rPr>
                <w:rFonts w:ascii="Times New Roman" w:hAnsi="Times New Roman" w:cs="Times New Roman"/>
                <w:sz w:val="20"/>
                <w:szCs w:val="20"/>
              </w:rPr>
              <w:t>acilitates collusion between ISPs</w:t>
            </w:r>
          </w:p>
          <w:p w14:paraId="59A13A66" w14:textId="2B51D087" w:rsidR="00864D97" w:rsidRPr="00C91EA2" w:rsidRDefault="00864D97" w:rsidP="007575D7">
            <w:pPr>
              <w:numPr>
                <w:ilvl w:val="0"/>
                <w:numId w:val="36"/>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Despite the change in entry regime from license to authorization in 2016, the current regime creates the risk for administrative discretion and capping of the total number of ISPs</w:t>
            </w:r>
          </w:p>
        </w:tc>
        <w:tc>
          <w:tcPr>
            <w:tcW w:w="0" w:type="dxa"/>
            <w:tcBorders>
              <w:left w:val="nil"/>
              <w:right w:val="single" w:sz="4" w:space="0" w:color="4F81BD" w:themeColor="accent1"/>
            </w:tcBorders>
            <w:hideMark/>
          </w:tcPr>
          <w:p w14:paraId="194A52F1" w14:textId="77777777" w:rsidR="00864D97" w:rsidRPr="00C91EA2" w:rsidRDefault="00864D97" w:rsidP="00864D97">
            <w:pPr>
              <w:numPr>
                <w:ilvl w:val="0"/>
                <w:numId w:val="39"/>
              </w:numPr>
              <w:spacing w:line="256" w:lineRule="auto"/>
              <w:jc w:val="both"/>
              <w:rPr>
                <w:rFonts w:ascii="Times New Roman" w:hAnsi="Times New Roman" w:cs="Times New Roman"/>
                <w:sz w:val="20"/>
                <w:szCs w:val="20"/>
              </w:rPr>
            </w:pPr>
            <w:r>
              <w:rPr>
                <w:rFonts w:ascii="Times New Roman" w:hAnsi="Times New Roman" w:cs="Times New Roman"/>
                <w:sz w:val="20"/>
                <w:szCs w:val="20"/>
              </w:rPr>
              <w:t>Eliminate regional exclusivity for ISPs</w:t>
            </w:r>
          </w:p>
          <w:p w14:paraId="535CB301" w14:textId="7CB9A614" w:rsidR="00864D97" w:rsidRDefault="00A0113C" w:rsidP="00864D97">
            <w:pPr>
              <w:numPr>
                <w:ilvl w:val="0"/>
                <w:numId w:val="39"/>
              </w:numPr>
              <w:spacing w:line="256" w:lineRule="auto"/>
              <w:jc w:val="both"/>
              <w:rPr>
                <w:rFonts w:ascii="Times New Roman" w:hAnsi="Times New Roman" w:cs="Times New Roman"/>
                <w:sz w:val="20"/>
                <w:szCs w:val="20"/>
              </w:rPr>
            </w:pPr>
            <w:r>
              <w:rPr>
                <w:rFonts w:ascii="Times New Roman" w:hAnsi="Times New Roman" w:cs="Times New Roman"/>
                <w:sz w:val="20"/>
                <w:szCs w:val="20"/>
              </w:rPr>
              <w:t>Streamline the authorization regime for</w:t>
            </w:r>
            <w:r w:rsidR="00864D97">
              <w:rPr>
                <w:rFonts w:ascii="Times New Roman" w:hAnsi="Times New Roman" w:cs="Times New Roman"/>
                <w:sz w:val="20"/>
                <w:szCs w:val="20"/>
              </w:rPr>
              <w:t xml:space="preserve"> ISPs</w:t>
            </w:r>
          </w:p>
          <w:p w14:paraId="264C03D5" w14:textId="01AEC714" w:rsidR="00864D97" w:rsidRPr="00C91EA2" w:rsidRDefault="00864D97" w:rsidP="007575D7">
            <w:pPr>
              <w:spacing w:line="256" w:lineRule="auto"/>
              <w:ind w:left="720"/>
              <w:jc w:val="both"/>
              <w:rPr>
                <w:rFonts w:ascii="Times New Roman" w:hAnsi="Times New Roman" w:cs="Times New Roman"/>
                <w:sz w:val="20"/>
                <w:szCs w:val="20"/>
              </w:rPr>
            </w:pPr>
          </w:p>
        </w:tc>
      </w:tr>
      <w:tr w:rsidR="00864D97" w:rsidRPr="00C91EA2" w14:paraId="4CAA75A9" w14:textId="77777777" w:rsidTr="006B1718">
        <w:trPr>
          <w:trHeight w:val="350"/>
        </w:trPr>
        <w:tc>
          <w:tcPr>
            <w:tcW w:w="0" w:type="dxa"/>
            <w:tcBorders>
              <w:top w:val="nil"/>
              <w:left w:val="single" w:sz="4" w:space="0" w:color="4F81BD" w:themeColor="accent1"/>
              <w:bottom w:val="nil"/>
              <w:right w:val="nil"/>
            </w:tcBorders>
            <w:hideMark/>
          </w:tcPr>
          <w:p w14:paraId="0A42FBA0" w14:textId="77777777" w:rsidR="00864D97" w:rsidRPr="00C91EA2" w:rsidRDefault="00864D97" w:rsidP="006B1718">
            <w:pPr>
              <w:rPr>
                <w:rFonts w:ascii="Times New Roman" w:hAnsi="Times New Roman" w:cs="Times New Roman"/>
                <w:sz w:val="20"/>
                <w:szCs w:val="20"/>
              </w:rPr>
            </w:pPr>
            <w:r w:rsidRPr="00C91EA2">
              <w:rPr>
                <w:rFonts w:ascii="Times New Roman" w:hAnsi="Times New Roman" w:cs="Times New Roman"/>
                <w:sz w:val="20"/>
                <w:szCs w:val="20"/>
              </w:rPr>
              <w:t xml:space="preserve">Increase </w:t>
            </w:r>
            <w:r>
              <w:rPr>
                <w:rFonts w:ascii="Times New Roman" w:hAnsi="Times New Roman" w:cs="Times New Roman"/>
                <w:sz w:val="20"/>
                <w:szCs w:val="20"/>
              </w:rPr>
              <w:t>mobile penetration and deployment of 4G network</w:t>
            </w:r>
          </w:p>
        </w:tc>
        <w:tc>
          <w:tcPr>
            <w:tcW w:w="0" w:type="dxa"/>
            <w:tcBorders>
              <w:top w:val="nil"/>
              <w:left w:val="nil"/>
              <w:bottom w:val="nil"/>
              <w:right w:val="nil"/>
            </w:tcBorders>
            <w:hideMark/>
          </w:tcPr>
          <w:p w14:paraId="46BBE67E" w14:textId="77777777" w:rsidR="00864D97" w:rsidRDefault="00864D97" w:rsidP="007575D7">
            <w:pPr>
              <w:numPr>
                <w:ilvl w:val="0"/>
                <w:numId w:val="37"/>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Attempt to assign spectrum through a tender procedure restricted to the incumbents</w:t>
            </w:r>
          </w:p>
          <w:p w14:paraId="3186408C" w14:textId="77777777" w:rsidR="00864D97" w:rsidRDefault="00864D97" w:rsidP="007575D7">
            <w:pPr>
              <w:numPr>
                <w:ilvl w:val="0"/>
                <w:numId w:val="37"/>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Direct assignment of 4G license to </w:t>
            </w:r>
            <w:proofErr w:type="spellStart"/>
            <w:r>
              <w:rPr>
                <w:rFonts w:ascii="Times New Roman" w:hAnsi="Times New Roman" w:cs="Times New Roman"/>
                <w:sz w:val="20"/>
                <w:szCs w:val="20"/>
              </w:rPr>
              <w:t>Sonatel</w:t>
            </w:r>
            <w:proofErr w:type="spellEnd"/>
            <w:r>
              <w:rPr>
                <w:rFonts w:ascii="Times New Roman" w:hAnsi="Times New Roman" w:cs="Times New Roman"/>
                <w:sz w:val="20"/>
                <w:szCs w:val="20"/>
              </w:rPr>
              <w:t xml:space="preserve"> without competitive tender</w:t>
            </w:r>
          </w:p>
          <w:p w14:paraId="06670D5C" w14:textId="77777777" w:rsidR="00864D97" w:rsidRDefault="00864D97" w:rsidP="00864D97">
            <w:pPr>
              <w:numPr>
                <w:ilvl w:val="0"/>
                <w:numId w:val="37"/>
              </w:numPr>
              <w:tabs>
                <w:tab w:val="num" w:pos="720"/>
              </w:tabs>
              <w:spacing w:line="256" w:lineRule="auto"/>
              <w:rPr>
                <w:rFonts w:ascii="Times New Roman" w:hAnsi="Times New Roman" w:cs="Times New Roman"/>
                <w:sz w:val="20"/>
                <w:szCs w:val="20"/>
              </w:rPr>
            </w:pPr>
            <w:r>
              <w:rPr>
                <w:rFonts w:ascii="Times New Roman" w:hAnsi="Times New Roman" w:cs="Times New Roman"/>
                <w:sz w:val="20"/>
                <w:szCs w:val="20"/>
              </w:rPr>
              <w:t>Allows for MVNO entry in the market subject to agreement by MNOs</w:t>
            </w:r>
          </w:p>
          <w:p w14:paraId="3A783560" w14:textId="77777777" w:rsidR="00864D97" w:rsidRDefault="00864D97" w:rsidP="00864D97">
            <w:pPr>
              <w:numPr>
                <w:ilvl w:val="0"/>
                <w:numId w:val="37"/>
              </w:numPr>
              <w:tabs>
                <w:tab w:val="num" w:pos="720"/>
              </w:tabs>
              <w:spacing w:line="256" w:lineRule="auto"/>
              <w:rPr>
                <w:rFonts w:ascii="Times New Roman" w:hAnsi="Times New Roman" w:cs="Times New Roman"/>
                <w:sz w:val="20"/>
                <w:szCs w:val="20"/>
              </w:rPr>
            </w:pPr>
            <w:r>
              <w:rPr>
                <w:rFonts w:ascii="Times New Roman" w:hAnsi="Times New Roman" w:cs="Times New Roman"/>
                <w:sz w:val="20"/>
                <w:szCs w:val="20"/>
              </w:rPr>
              <w:t>Regulatory framework enables number portability but no retail regulation</w:t>
            </w:r>
          </w:p>
          <w:p w14:paraId="30A46B22" w14:textId="291802C3" w:rsidR="00864D97" w:rsidRPr="00C91EA2" w:rsidRDefault="003D63D1" w:rsidP="007575D7">
            <w:pPr>
              <w:numPr>
                <w:ilvl w:val="0"/>
                <w:numId w:val="37"/>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High</w:t>
            </w:r>
            <w:r w:rsidR="00864D97">
              <w:rPr>
                <w:rFonts w:ascii="Times New Roman" w:hAnsi="Times New Roman" w:cs="Times New Roman"/>
                <w:sz w:val="20"/>
                <w:szCs w:val="20"/>
              </w:rPr>
              <w:t xml:space="preserve"> spectrum fees, which risk discouraging market entry</w:t>
            </w:r>
          </w:p>
          <w:p w14:paraId="2EAEC73A" w14:textId="77777777" w:rsidR="00864D97" w:rsidRPr="00C91EA2" w:rsidRDefault="00864D97" w:rsidP="006B1718">
            <w:pPr>
              <w:tabs>
                <w:tab w:val="num" w:pos="720"/>
              </w:tabs>
              <w:spacing w:line="256" w:lineRule="auto"/>
              <w:ind w:left="360"/>
              <w:rPr>
                <w:rFonts w:ascii="Times New Roman" w:hAnsi="Times New Roman" w:cs="Times New Roman"/>
                <w:sz w:val="20"/>
                <w:szCs w:val="20"/>
              </w:rPr>
            </w:pPr>
          </w:p>
        </w:tc>
        <w:tc>
          <w:tcPr>
            <w:tcW w:w="0" w:type="dxa"/>
            <w:tcBorders>
              <w:top w:val="nil"/>
              <w:left w:val="nil"/>
              <w:bottom w:val="nil"/>
              <w:right w:val="nil"/>
            </w:tcBorders>
            <w:hideMark/>
          </w:tcPr>
          <w:p w14:paraId="021DC7AD" w14:textId="77777777" w:rsidR="00864D97" w:rsidRPr="00BF20E4" w:rsidRDefault="00864D97" w:rsidP="007575D7">
            <w:pPr>
              <w:numPr>
                <w:ilvl w:val="0"/>
                <w:numId w:val="36"/>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Facilitates collusion between MNOs in the tender procedure</w:t>
            </w:r>
          </w:p>
          <w:p w14:paraId="4B81F5E3" w14:textId="77777777" w:rsidR="00864D97" w:rsidRDefault="00864D97" w:rsidP="007575D7">
            <w:pPr>
              <w:numPr>
                <w:ilvl w:val="0"/>
                <w:numId w:val="36"/>
              </w:numPr>
              <w:tabs>
                <w:tab w:val="num" w:pos="720"/>
              </w:tabs>
              <w:spacing w:line="256" w:lineRule="auto"/>
              <w:jc w:val="both"/>
              <w:rPr>
                <w:rFonts w:ascii="Times New Roman" w:hAnsi="Times New Roman" w:cs="Times New Roman"/>
                <w:sz w:val="20"/>
                <w:szCs w:val="20"/>
              </w:rPr>
            </w:pPr>
            <w:r w:rsidRPr="00827746">
              <w:rPr>
                <w:rFonts w:ascii="Times New Roman" w:hAnsi="Times New Roman" w:cs="Times New Roman"/>
                <w:sz w:val="20"/>
                <w:szCs w:val="20"/>
              </w:rPr>
              <w:t xml:space="preserve">By restricting the number of bidders, the State may end-up </w:t>
            </w:r>
            <w:proofErr w:type="gramStart"/>
            <w:r w:rsidRPr="00827746">
              <w:rPr>
                <w:rFonts w:ascii="Times New Roman" w:hAnsi="Times New Roman" w:cs="Times New Roman"/>
                <w:sz w:val="20"/>
                <w:szCs w:val="20"/>
              </w:rPr>
              <w:t>receiving</w:t>
            </w:r>
            <w:proofErr w:type="gramEnd"/>
            <w:r w:rsidRPr="00827746">
              <w:rPr>
                <w:rFonts w:ascii="Times New Roman" w:hAnsi="Times New Roman" w:cs="Times New Roman"/>
                <w:sz w:val="20"/>
                <w:szCs w:val="20"/>
              </w:rPr>
              <w:t xml:space="preserve"> less than the market value for the spectrum licenses and </w:t>
            </w:r>
            <w:r>
              <w:rPr>
                <w:rFonts w:ascii="Times New Roman" w:hAnsi="Times New Roman" w:cs="Times New Roman"/>
                <w:sz w:val="20"/>
                <w:szCs w:val="20"/>
              </w:rPr>
              <w:t>h</w:t>
            </w:r>
            <w:r w:rsidRPr="00827746">
              <w:rPr>
                <w:rFonts w:ascii="Times New Roman" w:hAnsi="Times New Roman" w:cs="Times New Roman"/>
                <w:sz w:val="20"/>
                <w:szCs w:val="20"/>
              </w:rPr>
              <w:t xml:space="preserve">inders market entry by newcomers who could deliver better prices and more innovative services for consumers </w:t>
            </w:r>
          </w:p>
          <w:p w14:paraId="53C2EE97" w14:textId="7C7969F1" w:rsidR="00864D97" w:rsidRDefault="00864D97" w:rsidP="007575D7">
            <w:pPr>
              <w:numPr>
                <w:ilvl w:val="0"/>
                <w:numId w:val="36"/>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Direct assignment of 4G license to </w:t>
            </w:r>
            <w:proofErr w:type="spellStart"/>
            <w:r>
              <w:rPr>
                <w:rFonts w:ascii="Times New Roman" w:hAnsi="Times New Roman" w:cs="Times New Roman"/>
                <w:sz w:val="20"/>
                <w:szCs w:val="20"/>
              </w:rPr>
              <w:t>Sonatel</w:t>
            </w:r>
            <w:proofErr w:type="spellEnd"/>
            <w:r>
              <w:rPr>
                <w:rFonts w:ascii="Times New Roman" w:hAnsi="Times New Roman" w:cs="Times New Roman"/>
                <w:sz w:val="20"/>
                <w:szCs w:val="20"/>
              </w:rPr>
              <w:t xml:space="preserve"> gives former incumbent a time advantage that distorts the level playing field</w:t>
            </w:r>
          </w:p>
          <w:p w14:paraId="58E23BEF" w14:textId="38265440" w:rsidR="003D63D1" w:rsidRPr="00827746" w:rsidRDefault="003D63D1" w:rsidP="007575D7">
            <w:pPr>
              <w:numPr>
                <w:ilvl w:val="0"/>
                <w:numId w:val="36"/>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Cumbersome procedural regime for activities that could be subject to an authorization regime, such as for the MVNOs</w:t>
            </w:r>
          </w:p>
          <w:p w14:paraId="7D73511B" w14:textId="77777777" w:rsidR="00864D97" w:rsidRDefault="00864D97" w:rsidP="007575D7">
            <w:pPr>
              <w:numPr>
                <w:ilvl w:val="0"/>
                <w:numId w:val="36"/>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Although the regulatory framework allows for number portability, the lack of retail regulation enables MNOs to charge prohibitive fees </w:t>
            </w:r>
          </w:p>
          <w:p w14:paraId="4BFB6DEC" w14:textId="77777777" w:rsidR="00864D97" w:rsidRPr="00BF20E4" w:rsidRDefault="00864D97" w:rsidP="007575D7">
            <w:pPr>
              <w:numPr>
                <w:ilvl w:val="0"/>
                <w:numId w:val="36"/>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Spectrum fees neither ensure an efficient use of the resource nor compensate the State for administrative costs incurred</w:t>
            </w:r>
          </w:p>
        </w:tc>
        <w:tc>
          <w:tcPr>
            <w:tcW w:w="0" w:type="dxa"/>
            <w:tcBorders>
              <w:top w:val="nil"/>
              <w:left w:val="nil"/>
              <w:bottom w:val="nil"/>
              <w:right w:val="single" w:sz="4" w:space="0" w:color="4F81BD" w:themeColor="accent1"/>
            </w:tcBorders>
            <w:hideMark/>
          </w:tcPr>
          <w:p w14:paraId="07B4CCFB" w14:textId="77777777" w:rsidR="00864D97" w:rsidRDefault="00864D97" w:rsidP="00864D97">
            <w:pPr>
              <w:numPr>
                <w:ilvl w:val="0"/>
                <w:numId w:val="39"/>
              </w:numPr>
              <w:spacing w:line="256" w:lineRule="auto"/>
              <w:jc w:val="both"/>
              <w:rPr>
                <w:rFonts w:ascii="Times New Roman" w:hAnsi="Times New Roman" w:cs="Times New Roman"/>
                <w:sz w:val="20"/>
                <w:szCs w:val="20"/>
              </w:rPr>
            </w:pPr>
            <w:r>
              <w:rPr>
                <w:rFonts w:ascii="Times New Roman" w:hAnsi="Times New Roman" w:cs="Times New Roman"/>
                <w:sz w:val="20"/>
                <w:szCs w:val="20"/>
              </w:rPr>
              <w:t>Assign spectrum competitively through a tender procedure that is not restricted to operators</w:t>
            </w:r>
            <w:r w:rsidRPr="00C91EA2">
              <w:rPr>
                <w:rFonts w:ascii="Times New Roman" w:hAnsi="Times New Roman" w:cs="Times New Roman"/>
                <w:sz w:val="20"/>
                <w:szCs w:val="20"/>
              </w:rPr>
              <w:t xml:space="preserve"> </w:t>
            </w:r>
          </w:p>
          <w:p w14:paraId="3E286F48" w14:textId="77777777" w:rsidR="00864D97" w:rsidRPr="00C91EA2" w:rsidRDefault="00864D97" w:rsidP="00864D97">
            <w:pPr>
              <w:numPr>
                <w:ilvl w:val="0"/>
                <w:numId w:val="39"/>
              </w:numPr>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Avoid phased assignment of radio frequencies for 4G </w:t>
            </w:r>
            <w:proofErr w:type="gramStart"/>
            <w:r>
              <w:rPr>
                <w:rFonts w:ascii="Times New Roman" w:hAnsi="Times New Roman" w:cs="Times New Roman"/>
                <w:sz w:val="20"/>
                <w:szCs w:val="20"/>
              </w:rPr>
              <w:t>so as to</w:t>
            </w:r>
            <w:proofErr w:type="gramEnd"/>
            <w:r>
              <w:rPr>
                <w:rFonts w:ascii="Times New Roman" w:hAnsi="Times New Roman" w:cs="Times New Roman"/>
                <w:sz w:val="20"/>
                <w:szCs w:val="20"/>
              </w:rPr>
              <w:t xml:space="preserve"> prevent undue first-mover advantages</w:t>
            </w:r>
          </w:p>
          <w:p w14:paraId="6E821CBC" w14:textId="235516E3" w:rsidR="00864D97" w:rsidRDefault="003D63D1" w:rsidP="00864D97">
            <w:pPr>
              <w:numPr>
                <w:ilvl w:val="0"/>
                <w:numId w:val="40"/>
              </w:numPr>
              <w:spacing w:line="256" w:lineRule="auto"/>
              <w:jc w:val="both"/>
              <w:rPr>
                <w:rFonts w:ascii="Times New Roman" w:hAnsi="Times New Roman" w:cs="Times New Roman"/>
                <w:sz w:val="20"/>
                <w:szCs w:val="20"/>
              </w:rPr>
            </w:pPr>
            <w:r w:rsidRPr="00D6708A">
              <w:rPr>
                <w:rFonts w:ascii="Times New Roman" w:hAnsi="Times New Roman" w:cs="Times New Roman"/>
                <w:color w:val="000000"/>
                <w:sz w:val="20"/>
              </w:rPr>
              <w:t xml:space="preserve">Rationalize administrative control of entry </w:t>
            </w:r>
            <w:proofErr w:type="gramStart"/>
            <w:r w:rsidRPr="00D6708A">
              <w:rPr>
                <w:rFonts w:ascii="Times New Roman" w:hAnsi="Times New Roman" w:cs="Times New Roman"/>
                <w:color w:val="000000"/>
                <w:sz w:val="20"/>
              </w:rPr>
              <w:t>MVNOs</w:t>
            </w:r>
            <w:r w:rsidR="00DC2AAF">
              <w:rPr>
                <w:rFonts w:ascii="Times New Roman" w:hAnsi="Times New Roman" w:cs="Times New Roman"/>
                <w:color w:val="000000"/>
                <w:sz w:val="20"/>
              </w:rPr>
              <w:t xml:space="preserve"> </w:t>
            </w:r>
            <w:r w:rsidRPr="00D6708A">
              <w:rPr>
                <w:rFonts w:ascii="Times New Roman" w:hAnsi="Times New Roman" w:cs="Times New Roman"/>
                <w:color w:val="000000"/>
                <w:sz w:val="20"/>
              </w:rPr>
              <w:t>.</w:t>
            </w:r>
            <w:r w:rsidR="00864D97">
              <w:rPr>
                <w:rFonts w:ascii="Times New Roman" w:hAnsi="Times New Roman" w:cs="Times New Roman"/>
                <w:sz w:val="20"/>
                <w:szCs w:val="20"/>
              </w:rPr>
              <w:t>Enable</w:t>
            </w:r>
            <w:proofErr w:type="gramEnd"/>
            <w:r w:rsidR="00864D97">
              <w:rPr>
                <w:rFonts w:ascii="Times New Roman" w:hAnsi="Times New Roman" w:cs="Times New Roman"/>
                <w:sz w:val="20"/>
                <w:szCs w:val="20"/>
              </w:rPr>
              <w:t xml:space="preserve"> ARTP to impose remedies </w:t>
            </w:r>
            <w:r>
              <w:rPr>
                <w:rFonts w:ascii="Times New Roman" w:hAnsi="Times New Roman" w:cs="Times New Roman"/>
                <w:sz w:val="20"/>
                <w:szCs w:val="20"/>
              </w:rPr>
              <w:t xml:space="preserve">in the retail market </w:t>
            </w:r>
            <w:r w:rsidR="00864D97">
              <w:rPr>
                <w:rFonts w:ascii="Times New Roman" w:hAnsi="Times New Roman" w:cs="Times New Roman"/>
                <w:sz w:val="20"/>
                <w:szCs w:val="20"/>
              </w:rPr>
              <w:t>combined with remedies</w:t>
            </w:r>
            <w:r>
              <w:rPr>
                <w:rFonts w:ascii="Times New Roman" w:hAnsi="Times New Roman" w:cs="Times New Roman"/>
                <w:sz w:val="20"/>
                <w:szCs w:val="20"/>
              </w:rPr>
              <w:t xml:space="preserve"> in the wholesale market</w:t>
            </w:r>
          </w:p>
          <w:p w14:paraId="10955A00" w14:textId="77777777" w:rsidR="00864D97" w:rsidRPr="00114CDB" w:rsidRDefault="00864D97" w:rsidP="00864D97">
            <w:pPr>
              <w:numPr>
                <w:ilvl w:val="0"/>
                <w:numId w:val="40"/>
              </w:numPr>
              <w:spacing w:line="256" w:lineRule="auto"/>
              <w:jc w:val="both"/>
              <w:rPr>
                <w:rFonts w:ascii="Times New Roman" w:hAnsi="Times New Roman" w:cs="Times New Roman"/>
                <w:sz w:val="20"/>
                <w:szCs w:val="20"/>
              </w:rPr>
            </w:pPr>
            <w:r>
              <w:rPr>
                <w:rFonts w:ascii="Times New Roman" w:hAnsi="Times New Roman" w:cs="Times New Roman"/>
                <w:sz w:val="20"/>
                <w:szCs w:val="20"/>
              </w:rPr>
              <w:t>Spectrum fees should reflect administrative costs incurred or incentivize the efficient use of radio frequencies (anti-hoarding purpose)</w:t>
            </w:r>
          </w:p>
        </w:tc>
      </w:tr>
      <w:tr w:rsidR="00864D97" w:rsidRPr="00C91EA2" w14:paraId="65FA9517" w14:textId="77777777" w:rsidTr="006B1718">
        <w:trPr>
          <w:cnfStyle w:val="000000100000" w:firstRow="0" w:lastRow="0" w:firstColumn="0" w:lastColumn="0" w:oddVBand="0" w:evenVBand="0" w:oddHBand="1" w:evenHBand="0" w:firstRowFirstColumn="0" w:firstRowLastColumn="0" w:lastRowFirstColumn="0" w:lastRowLastColumn="0"/>
          <w:trHeight w:val="989"/>
        </w:trPr>
        <w:tc>
          <w:tcPr>
            <w:tcW w:w="0" w:type="dxa"/>
            <w:tcBorders>
              <w:left w:val="single" w:sz="4" w:space="0" w:color="4F81BD" w:themeColor="accent1"/>
              <w:right w:val="nil"/>
            </w:tcBorders>
            <w:hideMark/>
          </w:tcPr>
          <w:p w14:paraId="4270AF0F" w14:textId="77777777" w:rsidR="00864D97" w:rsidRPr="00C91EA2" w:rsidRDefault="00864D97" w:rsidP="007575D7">
            <w:pPr>
              <w:jc w:val="both"/>
              <w:rPr>
                <w:rFonts w:ascii="Times New Roman" w:hAnsi="Times New Roman" w:cs="Times New Roman"/>
                <w:sz w:val="20"/>
                <w:szCs w:val="20"/>
              </w:rPr>
            </w:pPr>
            <w:r>
              <w:rPr>
                <w:rFonts w:ascii="Times New Roman" w:hAnsi="Times New Roman" w:cs="Times New Roman"/>
                <w:sz w:val="20"/>
                <w:szCs w:val="20"/>
              </w:rPr>
              <w:t>Increased market access and reduction of incumbents’ market power</w:t>
            </w:r>
          </w:p>
        </w:tc>
        <w:tc>
          <w:tcPr>
            <w:tcW w:w="0" w:type="dxa"/>
            <w:tcBorders>
              <w:left w:val="nil"/>
              <w:right w:val="nil"/>
            </w:tcBorders>
            <w:hideMark/>
          </w:tcPr>
          <w:p w14:paraId="77F8A40B" w14:textId="77777777" w:rsidR="00864D97"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Telecommunications Code uses the concept of SMP as a trigger for asymmetric regulation but presumes that operators with a market share of 25% have market power</w:t>
            </w:r>
          </w:p>
          <w:p w14:paraId="18BA32C9" w14:textId="77777777" w:rsidR="00864D97" w:rsidRPr="00C91EA2"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ARTP determines which operators have SMP on an infrequent basis </w:t>
            </w:r>
          </w:p>
          <w:p w14:paraId="3A3AF501" w14:textId="77777777" w:rsidR="00864D97"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Catalog of relevant markets where operators have SMP is infrequently reviewed</w:t>
            </w:r>
          </w:p>
          <w:p w14:paraId="02D5F2BF" w14:textId="77777777" w:rsidR="00864D97"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Telecommunications Code allows for the imposition of remedies but no enforcement by ARTP</w:t>
            </w:r>
          </w:p>
          <w:p w14:paraId="64CE3285" w14:textId="77777777" w:rsidR="00864D97"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ARTP has the power to enforce competition rules </w:t>
            </w:r>
            <w:r>
              <w:rPr>
                <w:rFonts w:ascii="Times New Roman" w:hAnsi="Times New Roman" w:cs="Times New Roman"/>
                <w:i/>
                <w:sz w:val="20"/>
                <w:szCs w:val="20"/>
              </w:rPr>
              <w:t xml:space="preserve">ex post </w:t>
            </w:r>
            <w:r>
              <w:rPr>
                <w:rFonts w:ascii="Times New Roman" w:hAnsi="Times New Roman" w:cs="Times New Roman"/>
                <w:sz w:val="20"/>
                <w:szCs w:val="20"/>
              </w:rPr>
              <w:t>but has not yet enforced them</w:t>
            </w:r>
          </w:p>
          <w:p w14:paraId="55750DCE" w14:textId="77777777" w:rsidR="00864D97"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MPT has adopted a Decree </w:t>
            </w:r>
            <w:r w:rsidRPr="005131C2">
              <w:rPr>
                <w:rFonts w:ascii="Times New Roman" w:hAnsi="Times New Roman" w:cs="Times New Roman"/>
                <w:sz w:val="20"/>
                <w:szCs w:val="20"/>
              </w:rPr>
              <w:t>establishing that a network operator should respect the principles of cost-orientation, transparency and non-discrimination when it faces a request for network sharing from another operator</w:t>
            </w:r>
          </w:p>
          <w:p w14:paraId="069F817D" w14:textId="77777777" w:rsidR="00864D97" w:rsidRPr="00C91EA2" w:rsidRDefault="00864D97" w:rsidP="006B1718">
            <w:pPr>
              <w:spacing w:line="256" w:lineRule="auto"/>
              <w:ind w:left="360"/>
              <w:rPr>
                <w:rFonts w:ascii="Times New Roman" w:hAnsi="Times New Roman" w:cs="Times New Roman"/>
                <w:sz w:val="20"/>
                <w:szCs w:val="20"/>
              </w:rPr>
            </w:pPr>
          </w:p>
        </w:tc>
        <w:tc>
          <w:tcPr>
            <w:tcW w:w="0" w:type="dxa"/>
            <w:tcBorders>
              <w:left w:val="nil"/>
              <w:right w:val="nil"/>
            </w:tcBorders>
            <w:hideMark/>
          </w:tcPr>
          <w:p w14:paraId="3037503C" w14:textId="77777777" w:rsidR="00864D97"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Catalog of operators with SMP is over-inclusive and ends-up covering operators without actual market power</w:t>
            </w:r>
          </w:p>
          <w:p w14:paraId="550DCDA3" w14:textId="77777777" w:rsidR="00864D97"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By not annually reviewing the list of relevant markets characterized by operators with SMP, ARTP is unable to follow recent technological changes and ends-up both overregulating markets where there is no longer SMP and under-regulating emerging markets where operators have SMP</w:t>
            </w:r>
          </w:p>
          <w:p w14:paraId="0D96B6C4" w14:textId="77777777" w:rsidR="00864D97"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 xml:space="preserve">ARTP does not impose effective remedies on operators with SMP and does not align </w:t>
            </w:r>
          </w:p>
          <w:p w14:paraId="69EE3ACB" w14:textId="77777777" w:rsidR="00864D97" w:rsidRPr="00C91EA2" w:rsidRDefault="00864D97" w:rsidP="007575D7">
            <w:pPr>
              <w:numPr>
                <w:ilvl w:val="0"/>
                <w:numId w:val="38"/>
              </w:numPr>
              <w:tabs>
                <w:tab w:val="num" w:pos="720"/>
              </w:tabs>
              <w:spacing w:line="256" w:lineRule="auto"/>
              <w:jc w:val="both"/>
              <w:rPr>
                <w:rFonts w:ascii="Times New Roman" w:hAnsi="Times New Roman" w:cs="Times New Roman"/>
                <w:sz w:val="20"/>
                <w:szCs w:val="20"/>
              </w:rPr>
            </w:pPr>
            <w:r>
              <w:rPr>
                <w:rFonts w:ascii="Times New Roman" w:hAnsi="Times New Roman" w:cs="Times New Roman"/>
                <w:sz w:val="20"/>
                <w:szCs w:val="20"/>
              </w:rPr>
              <w:t>ARTP has not effectively enforced the infrastructure sharing Decree</w:t>
            </w:r>
          </w:p>
        </w:tc>
        <w:tc>
          <w:tcPr>
            <w:tcW w:w="0" w:type="dxa"/>
            <w:tcBorders>
              <w:left w:val="nil"/>
              <w:right w:val="single" w:sz="4" w:space="0" w:color="4F81BD" w:themeColor="accent1"/>
            </w:tcBorders>
          </w:tcPr>
          <w:p w14:paraId="7352636C" w14:textId="77777777" w:rsidR="00864D97" w:rsidRDefault="00864D97" w:rsidP="00864D97">
            <w:pPr>
              <w:numPr>
                <w:ilvl w:val="0"/>
                <w:numId w:val="41"/>
              </w:numPr>
              <w:tabs>
                <w:tab w:val="clear" w:pos="1080"/>
              </w:tabs>
              <w:spacing w:line="256" w:lineRule="auto"/>
              <w:ind w:left="722"/>
              <w:jc w:val="both"/>
              <w:rPr>
                <w:rFonts w:ascii="Times New Roman" w:hAnsi="Times New Roman" w:cs="Times New Roman"/>
                <w:sz w:val="20"/>
                <w:szCs w:val="20"/>
              </w:rPr>
            </w:pPr>
            <w:r>
              <w:rPr>
                <w:rFonts w:ascii="Times New Roman" w:hAnsi="Times New Roman" w:cs="Times New Roman"/>
                <w:sz w:val="20"/>
                <w:szCs w:val="20"/>
              </w:rPr>
              <w:t>Eliminate the Telecommunications Code presumption of dominance for operators with a market share of at least 25%</w:t>
            </w:r>
          </w:p>
          <w:p w14:paraId="3ABD12BB" w14:textId="77777777" w:rsidR="00864D97" w:rsidRDefault="00864D97" w:rsidP="00864D97">
            <w:pPr>
              <w:numPr>
                <w:ilvl w:val="0"/>
                <w:numId w:val="41"/>
              </w:numPr>
              <w:tabs>
                <w:tab w:val="clear" w:pos="1080"/>
              </w:tabs>
              <w:spacing w:line="256" w:lineRule="auto"/>
              <w:ind w:left="722"/>
              <w:jc w:val="both"/>
              <w:rPr>
                <w:rFonts w:ascii="Times New Roman" w:hAnsi="Times New Roman" w:cs="Times New Roman"/>
                <w:sz w:val="20"/>
                <w:szCs w:val="20"/>
              </w:rPr>
            </w:pPr>
            <w:r>
              <w:rPr>
                <w:rFonts w:ascii="Times New Roman" w:hAnsi="Times New Roman" w:cs="Times New Roman"/>
                <w:sz w:val="20"/>
                <w:szCs w:val="20"/>
              </w:rPr>
              <w:t xml:space="preserve">ARTP should annually review the list of operators with SMP </w:t>
            </w:r>
          </w:p>
          <w:p w14:paraId="02846A60" w14:textId="289AF805" w:rsidR="00864D97" w:rsidRDefault="00024BFF" w:rsidP="00864D97">
            <w:pPr>
              <w:numPr>
                <w:ilvl w:val="0"/>
                <w:numId w:val="41"/>
              </w:numPr>
              <w:tabs>
                <w:tab w:val="clear" w:pos="1080"/>
              </w:tabs>
              <w:spacing w:line="256" w:lineRule="auto"/>
              <w:ind w:left="722"/>
              <w:jc w:val="both"/>
              <w:rPr>
                <w:rFonts w:ascii="Times New Roman" w:hAnsi="Times New Roman" w:cs="Times New Roman"/>
                <w:sz w:val="20"/>
                <w:szCs w:val="20"/>
              </w:rPr>
            </w:pPr>
            <w:r>
              <w:rPr>
                <w:rFonts w:ascii="Times New Roman" w:hAnsi="Times New Roman" w:cs="Times New Roman"/>
                <w:sz w:val="20"/>
                <w:szCs w:val="20"/>
              </w:rPr>
              <w:t>ARTP should set e</w:t>
            </w:r>
            <w:r w:rsidR="00864D97">
              <w:rPr>
                <w:rFonts w:ascii="Times New Roman" w:hAnsi="Times New Roman" w:cs="Times New Roman"/>
                <w:sz w:val="20"/>
                <w:szCs w:val="20"/>
              </w:rPr>
              <w:t>ffective remedies on the markets where operators have SMP</w:t>
            </w:r>
          </w:p>
          <w:p w14:paraId="2CF1A192" w14:textId="77777777" w:rsidR="00864D97" w:rsidRPr="00C91EA2" w:rsidRDefault="00864D97" w:rsidP="00864D97">
            <w:pPr>
              <w:numPr>
                <w:ilvl w:val="0"/>
                <w:numId w:val="41"/>
              </w:numPr>
              <w:tabs>
                <w:tab w:val="clear" w:pos="1080"/>
              </w:tabs>
              <w:spacing w:line="256" w:lineRule="auto"/>
              <w:ind w:left="722"/>
              <w:jc w:val="both"/>
              <w:rPr>
                <w:rFonts w:ascii="Times New Roman" w:hAnsi="Times New Roman" w:cs="Times New Roman"/>
                <w:sz w:val="20"/>
                <w:szCs w:val="20"/>
              </w:rPr>
            </w:pPr>
            <w:r>
              <w:rPr>
                <w:rFonts w:ascii="Times New Roman" w:hAnsi="Times New Roman" w:cs="Times New Roman"/>
                <w:sz w:val="20"/>
                <w:szCs w:val="20"/>
              </w:rPr>
              <w:t xml:space="preserve">ARTP should effectively enforce </w:t>
            </w:r>
            <w:r w:rsidRPr="00D30FE1">
              <w:rPr>
                <w:rFonts w:ascii="Times New Roman" w:hAnsi="Times New Roman" w:cs="Times New Roman"/>
                <w:i/>
                <w:sz w:val="20"/>
                <w:szCs w:val="20"/>
              </w:rPr>
              <w:t>ex post</w:t>
            </w:r>
            <w:r>
              <w:rPr>
                <w:rFonts w:ascii="Times New Roman" w:hAnsi="Times New Roman" w:cs="Times New Roman"/>
                <w:i/>
                <w:sz w:val="20"/>
                <w:szCs w:val="20"/>
              </w:rPr>
              <w:t xml:space="preserve"> </w:t>
            </w:r>
            <w:r>
              <w:rPr>
                <w:rFonts w:ascii="Times New Roman" w:hAnsi="Times New Roman" w:cs="Times New Roman"/>
                <w:sz w:val="20"/>
                <w:szCs w:val="20"/>
              </w:rPr>
              <w:t>the competition rules set forth in the Telecommunications Code</w:t>
            </w:r>
          </w:p>
          <w:p w14:paraId="4CD01676" w14:textId="77777777" w:rsidR="00864D97" w:rsidRPr="00C91EA2" w:rsidRDefault="00864D97" w:rsidP="006B1718">
            <w:pPr>
              <w:spacing w:line="256" w:lineRule="auto"/>
              <w:jc w:val="both"/>
              <w:rPr>
                <w:rFonts w:ascii="Times New Roman" w:hAnsi="Times New Roman" w:cs="Times New Roman"/>
                <w:sz w:val="20"/>
                <w:szCs w:val="20"/>
              </w:rPr>
            </w:pPr>
          </w:p>
        </w:tc>
      </w:tr>
    </w:tbl>
    <w:p w14:paraId="59368698" w14:textId="77777777" w:rsidR="000C1A49" w:rsidRPr="00C91EA2" w:rsidRDefault="000C1A49" w:rsidP="000C1A49">
      <w:pPr>
        <w:rPr>
          <w:rFonts w:ascii="Times New Roman" w:hAnsi="Times New Roman" w:cs="Times New Roman"/>
        </w:rPr>
        <w:sectPr w:rsidR="000C1A49" w:rsidRPr="00C91EA2" w:rsidSect="00B41724">
          <w:pgSz w:w="15840" w:h="12240" w:orient="landscape"/>
          <w:pgMar w:top="1800" w:right="1440" w:bottom="1800" w:left="1440" w:header="720" w:footer="720" w:gutter="0"/>
          <w:cols w:space="720"/>
        </w:sectPr>
      </w:pPr>
    </w:p>
    <w:p w14:paraId="1BD65CFF" w14:textId="77777777" w:rsidR="004A2E45" w:rsidRPr="00C538DB" w:rsidRDefault="004A2E45" w:rsidP="00961114">
      <w:pPr>
        <w:jc w:val="both"/>
        <w:rPr>
          <w:rFonts w:ascii="Times New Roman" w:hAnsi="Times New Roman" w:cs="Times New Roman"/>
        </w:rPr>
      </w:pPr>
    </w:p>
    <w:p w14:paraId="09BA6C12" w14:textId="77777777" w:rsidR="006018AA" w:rsidRDefault="006018AA" w:rsidP="006018AA">
      <w:pPr>
        <w:pStyle w:val="Heading3"/>
        <w:rPr>
          <w:rFonts w:ascii="Times New Roman" w:hAnsi="Times New Roman" w:cs="Times New Roman"/>
        </w:rPr>
      </w:pPr>
      <w:bookmarkStart w:id="321" w:name="_Toc494097791"/>
      <w:bookmarkStart w:id="322" w:name="_Toc520724119"/>
      <w:r w:rsidRPr="00C91EA2">
        <w:rPr>
          <w:rFonts w:ascii="Times New Roman" w:hAnsi="Times New Roman" w:cs="Times New Roman"/>
        </w:rPr>
        <w:t>5.2.4 Recommendations</w:t>
      </w:r>
      <w:bookmarkEnd w:id="321"/>
      <w:bookmarkEnd w:id="322"/>
    </w:p>
    <w:p w14:paraId="4FD0A250" w14:textId="77777777" w:rsidR="006018AA" w:rsidRDefault="006018AA" w:rsidP="006018AA">
      <w:pPr>
        <w:jc w:val="both"/>
      </w:pPr>
    </w:p>
    <w:p w14:paraId="11EFC49C" w14:textId="77777777" w:rsidR="006018AA" w:rsidRPr="00403012" w:rsidRDefault="006018AA" w:rsidP="002321B6">
      <w:pPr>
        <w:pStyle w:val="ListParagraph"/>
        <w:numPr>
          <w:ilvl w:val="0"/>
          <w:numId w:val="71"/>
        </w:numPr>
        <w:ind w:left="0" w:firstLine="0"/>
        <w:jc w:val="both"/>
        <w:rPr>
          <w:rFonts w:ascii="Times New Roman" w:hAnsi="Times New Roman" w:cs="Times New Roman"/>
        </w:rPr>
      </w:pPr>
      <w:r w:rsidRPr="005A26C7">
        <w:rPr>
          <w:rFonts w:ascii="Times New Roman" w:hAnsi="Times New Roman" w:cs="Times New Roman"/>
          <w:bCs/>
        </w:rPr>
        <w:t xml:space="preserve">To tackle the competition-related constraints identified above, </w:t>
      </w:r>
      <w:r w:rsidRPr="005A26C7">
        <w:rPr>
          <w:rFonts w:ascii="Times New Roman" w:hAnsi="Times New Roman" w:cs="Times New Roman"/>
          <w:b/>
          <w:bCs/>
        </w:rPr>
        <w:t xml:space="preserve">the following tables provide a series of actionable and prioritized pro-competition solutions related to the current regulatory framework governing the telecom sector and the overall functioning of the sector. </w:t>
      </w:r>
      <w:r w:rsidR="00F4327A">
        <w:rPr>
          <w:rFonts w:ascii="Times New Roman" w:hAnsi="Times New Roman" w:cs="Times New Roman"/>
          <w:bCs/>
        </w:rPr>
        <w:t xml:space="preserve">They also </w:t>
      </w:r>
      <w:r w:rsidRPr="005A26C7">
        <w:rPr>
          <w:rFonts w:ascii="Times New Roman" w:hAnsi="Times New Roman" w:cs="Times New Roman"/>
          <w:bCs/>
        </w:rPr>
        <w:t>identify the bodies with responsibility to implement the recommendations. Notwithstanding, it is acknowledged that for the recommendations to be successful, a broad coalition is necessary, including the President’</w:t>
      </w:r>
      <w:r w:rsidR="008F1AA1">
        <w:rPr>
          <w:rFonts w:ascii="Times New Roman" w:hAnsi="Times New Roman" w:cs="Times New Roman"/>
          <w:bCs/>
        </w:rPr>
        <w:t>s</w:t>
      </w:r>
      <w:r w:rsidRPr="005A26C7">
        <w:rPr>
          <w:rFonts w:ascii="Times New Roman" w:hAnsi="Times New Roman" w:cs="Times New Roman"/>
          <w:bCs/>
        </w:rPr>
        <w:t xml:space="preserve"> Office, the Ministry of Economy and Finance, the MPT, ARTP, ADIE, and the private sector association (OPTIC).</w:t>
      </w:r>
    </w:p>
    <w:p w14:paraId="36565D94" w14:textId="77777777" w:rsidR="006018AA" w:rsidRPr="00C91EA2" w:rsidRDefault="006018AA" w:rsidP="006018AA">
      <w:pPr>
        <w:jc w:val="both"/>
        <w:rPr>
          <w:rFonts w:ascii="Times New Roman" w:hAnsi="Times New Roman" w:cs="Times New Roman"/>
        </w:rPr>
      </w:pPr>
    </w:p>
    <w:p w14:paraId="2A50C67E" w14:textId="5A2B0762" w:rsidR="006018AA" w:rsidRDefault="006018AA" w:rsidP="0095220A">
      <w:pPr>
        <w:pStyle w:val="Caption"/>
        <w:keepNext/>
        <w:rPr>
          <w:rFonts w:ascii="Times New Roman" w:hAnsi="Times New Roman"/>
        </w:rPr>
      </w:pPr>
      <w:bookmarkStart w:id="323" w:name="_Toc520725702"/>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15</w:t>
      </w:r>
      <w:r w:rsidRPr="00C91EA2">
        <w:rPr>
          <w:rFonts w:ascii="Times New Roman" w:hAnsi="Times New Roman"/>
        </w:rPr>
        <w:fldChar w:fldCharType="end"/>
      </w:r>
      <w:r w:rsidRPr="00C91EA2">
        <w:rPr>
          <w:rFonts w:ascii="Times New Roman" w:hAnsi="Times New Roman"/>
        </w:rPr>
        <w:t xml:space="preserve">: Recommendations </w:t>
      </w:r>
      <w:r w:rsidR="0095220A">
        <w:rPr>
          <w:rFonts w:ascii="Times New Roman" w:hAnsi="Times New Roman"/>
        </w:rPr>
        <w:t>for the telecommunications sector</w:t>
      </w:r>
      <w:bookmarkEnd w:id="323"/>
    </w:p>
    <w:tbl>
      <w:tblPr>
        <w:tblStyle w:val="ListTable3-Accent1"/>
        <w:tblW w:w="0" w:type="auto"/>
        <w:tblLook w:val="0420" w:firstRow="1" w:lastRow="0" w:firstColumn="0" w:lastColumn="0" w:noHBand="0" w:noVBand="1"/>
      </w:tblPr>
      <w:tblGrid>
        <w:gridCol w:w="5576"/>
        <w:gridCol w:w="2160"/>
        <w:gridCol w:w="894"/>
      </w:tblGrid>
      <w:tr w:rsidR="00A66014" w:rsidRPr="00C91EA2" w14:paraId="365873EA" w14:textId="77777777" w:rsidTr="002F5637">
        <w:trPr>
          <w:cnfStyle w:val="100000000000" w:firstRow="1" w:lastRow="0" w:firstColumn="0" w:lastColumn="0" w:oddVBand="0" w:evenVBand="0" w:oddHBand="0" w:evenHBand="0" w:firstRowFirstColumn="0" w:firstRowLastColumn="0" w:lastRowFirstColumn="0" w:lastRowLastColumn="0"/>
          <w:trHeight w:val="217"/>
        </w:trPr>
        <w:tc>
          <w:tcPr>
            <w:tcW w:w="0" w:type="auto"/>
            <w:hideMark/>
          </w:tcPr>
          <w:p w14:paraId="3CCDEE56" w14:textId="77777777" w:rsidR="00A66014" w:rsidRPr="00C91EA2" w:rsidRDefault="00A66014" w:rsidP="002F5637">
            <w:pPr>
              <w:jc w:val="both"/>
              <w:rPr>
                <w:rFonts w:ascii="Times New Roman" w:hAnsi="Times New Roman" w:cs="Times New Roman"/>
                <w:sz w:val="20"/>
              </w:rPr>
            </w:pPr>
            <w:r w:rsidRPr="00C91EA2">
              <w:rPr>
                <w:rFonts w:ascii="Times New Roman" w:hAnsi="Times New Roman" w:cs="Times New Roman"/>
                <w:b w:val="0"/>
                <w:bCs w:val="0"/>
                <w:sz w:val="20"/>
              </w:rPr>
              <w:t>Recommendation</w:t>
            </w:r>
            <w:r>
              <w:rPr>
                <w:rFonts w:ascii="Times New Roman" w:hAnsi="Times New Roman" w:cs="Times New Roman"/>
                <w:b w:val="0"/>
                <w:bCs w:val="0"/>
                <w:sz w:val="20"/>
              </w:rPr>
              <w:t xml:space="preserve">s </w:t>
            </w:r>
          </w:p>
        </w:tc>
        <w:tc>
          <w:tcPr>
            <w:tcW w:w="0" w:type="auto"/>
            <w:hideMark/>
          </w:tcPr>
          <w:p w14:paraId="433D1B67" w14:textId="77777777" w:rsidR="00A66014" w:rsidRPr="00C91EA2" w:rsidRDefault="00A66014" w:rsidP="002F5637">
            <w:pPr>
              <w:jc w:val="both"/>
              <w:rPr>
                <w:rFonts w:ascii="Times New Roman" w:hAnsi="Times New Roman" w:cs="Times New Roman"/>
                <w:sz w:val="20"/>
              </w:rPr>
            </w:pPr>
            <w:r>
              <w:rPr>
                <w:rFonts w:ascii="Times New Roman" w:hAnsi="Times New Roman" w:cs="Times New Roman"/>
                <w:b w:val="0"/>
                <w:bCs w:val="0"/>
                <w:sz w:val="20"/>
                <w:lang w:val="en-GB"/>
              </w:rPr>
              <w:t>Respons</w:t>
            </w:r>
            <w:r w:rsidRPr="00C91EA2">
              <w:rPr>
                <w:rFonts w:ascii="Times New Roman" w:hAnsi="Times New Roman" w:cs="Times New Roman"/>
                <w:b w:val="0"/>
                <w:bCs w:val="0"/>
                <w:sz w:val="20"/>
                <w:lang w:val="en-GB"/>
              </w:rPr>
              <w:t>ibility</w:t>
            </w:r>
          </w:p>
        </w:tc>
        <w:tc>
          <w:tcPr>
            <w:tcW w:w="0" w:type="auto"/>
            <w:hideMark/>
          </w:tcPr>
          <w:p w14:paraId="1A51272C" w14:textId="77777777" w:rsidR="00A66014" w:rsidRPr="00C91EA2" w:rsidRDefault="00A66014" w:rsidP="002F5637">
            <w:pPr>
              <w:jc w:val="both"/>
              <w:rPr>
                <w:rFonts w:ascii="Times New Roman" w:hAnsi="Times New Roman" w:cs="Times New Roman"/>
                <w:sz w:val="20"/>
              </w:rPr>
            </w:pPr>
            <w:r>
              <w:rPr>
                <w:rFonts w:ascii="Times New Roman" w:hAnsi="Times New Roman" w:cs="Times New Roman"/>
                <w:b w:val="0"/>
                <w:bCs w:val="0"/>
                <w:sz w:val="20"/>
                <w:lang w:val="en-GB"/>
              </w:rPr>
              <w:t>Priori</w:t>
            </w:r>
            <w:r w:rsidRPr="00C91EA2">
              <w:rPr>
                <w:rFonts w:ascii="Times New Roman" w:hAnsi="Times New Roman" w:cs="Times New Roman"/>
                <w:b w:val="0"/>
                <w:bCs w:val="0"/>
                <w:sz w:val="20"/>
                <w:lang w:val="en-GB"/>
              </w:rPr>
              <w:t>ty</w:t>
            </w:r>
          </w:p>
        </w:tc>
      </w:tr>
      <w:tr w:rsidR="00A66014" w:rsidRPr="00C91EA2" w14:paraId="5B6E9D3D" w14:textId="77777777" w:rsidTr="002F5637">
        <w:trPr>
          <w:cnfStyle w:val="000000100000" w:firstRow="0" w:lastRow="0" w:firstColumn="0" w:lastColumn="0" w:oddVBand="0" w:evenVBand="0" w:oddHBand="1" w:evenHBand="0" w:firstRowFirstColumn="0" w:firstRowLastColumn="0" w:lastRowFirstColumn="0" w:lastRowLastColumn="0"/>
          <w:trHeight w:val="175"/>
        </w:trPr>
        <w:tc>
          <w:tcPr>
            <w:tcW w:w="0" w:type="auto"/>
            <w:gridSpan w:val="3"/>
            <w:shd w:val="clear" w:color="auto" w:fill="C6D9F1" w:themeFill="text2" w:themeFillTint="33"/>
          </w:tcPr>
          <w:p w14:paraId="7A63A2EF" w14:textId="77777777" w:rsidR="00A66014" w:rsidRPr="00C91EA2" w:rsidRDefault="00A66014" w:rsidP="002F5637">
            <w:pPr>
              <w:jc w:val="center"/>
              <w:rPr>
                <w:rFonts w:ascii="Times New Roman" w:hAnsi="Times New Roman" w:cs="Times New Roman"/>
                <w:b/>
                <w:bCs/>
                <w:sz w:val="20"/>
                <w:lang w:val="en-GB"/>
              </w:rPr>
            </w:pPr>
            <w:r w:rsidRPr="00911A0A">
              <w:rPr>
                <w:rFonts w:ascii="Times New Roman" w:hAnsi="Times New Roman" w:cs="Times New Roman"/>
                <w:b/>
                <w:bCs/>
                <w:sz w:val="20"/>
              </w:rPr>
              <w:t>Recommendations to encourage entry and level playing field between services-based competitors</w:t>
            </w:r>
          </w:p>
        </w:tc>
      </w:tr>
      <w:tr w:rsidR="00A66014" w:rsidRPr="00C91EA2" w14:paraId="188F44B9" w14:textId="77777777" w:rsidTr="002F5637">
        <w:trPr>
          <w:trHeight w:val="649"/>
        </w:trPr>
        <w:tc>
          <w:tcPr>
            <w:tcW w:w="0" w:type="auto"/>
          </w:tcPr>
          <w:p w14:paraId="3CE056AF" w14:textId="77777777" w:rsidR="00A66014"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 xml:space="preserve">2.1 </w:t>
            </w:r>
            <w:r w:rsidRPr="00911A0A">
              <w:rPr>
                <w:rFonts w:ascii="Times New Roman" w:hAnsi="Times New Roman" w:cs="Times New Roman"/>
                <w:color w:val="000000"/>
                <w:sz w:val="20"/>
              </w:rPr>
              <w:t xml:space="preserve">Focus regulation on markets that need it. Markets should meet the ‘three criteria </w:t>
            </w:r>
            <w:proofErr w:type="gramStart"/>
            <w:r w:rsidRPr="00911A0A">
              <w:rPr>
                <w:rFonts w:ascii="Times New Roman" w:hAnsi="Times New Roman" w:cs="Times New Roman"/>
                <w:color w:val="000000"/>
                <w:sz w:val="20"/>
              </w:rPr>
              <w:t>test</w:t>
            </w:r>
            <w:proofErr w:type="gramEnd"/>
            <w:r w:rsidRPr="00911A0A">
              <w:rPr>
                <w:rFonts w:ascii="Times New Roman" w:hAnsi="Times New Roman" w:cs="Times New Roman"/>
                <w:color w:val="000000"/>
                <w:sz w:val="20"/>
              </w:rPr>
              <w:t>’: (1) high and non-transitory barriers to entry; (2) market structure does not tend towards effective competition; (3) inadequacy of competition law to tackle market failure.</w:t>
            </w:r>
          </w:p>
          <w:p w14:paraId="3D931516" w14:textId="5B6E9894" w:rsidR="00847F11" w:rsidRDefault="00847F11" w:rsidP="002F5637">
            <w:pPr>
              <w:jc w:val="both"/>
              <w:rPr>
                <w:rFonts w:ascii="Times New Roman" w:hAnsi="Times New Roman" w:cs="Times New Roman"/>
                <w:color w:val="000000"/>
                <w:sz w:val="20"/>
              </w:rPr>
            </w:pPr>
          </w:p>
        </w:tc>
        <w:tc>
          <w:tcPr>
            <w:tcW w:w="0" w:type="auto"/>
          </w:tcPr>
          <w:p w14:paraId="4E9CC45C" w14:textId="77777777" w:rsidR="00A66014" w:rsidRDefault="00A66014" w:rsidP="002F5637">
            <w:pPr>
              <w:rPr>
                <w:rFonts w:ascii="Times New Roman" w:hAnsi="Times New Roman" w:cs="Times New Roman"/>
                <w:color w:val="000000"/>
                <w:sz w:val="20"/>
              </w:rPr>
            </w:pPr>
            <w:r>
              <w:rPr>
                <w:rFonts w:ascii="Times New Roman" w:hAnsi="Times New Roman" w:cs="Times New Roman"/>
                <w:color w:val="000000"/>
                <w:sz w:val="20"/>
              </w:rPr>
              <w:t xml:space="preserve">Government </w:t>
            </w:r>
            <w:r w:rsidRPr="00C91EA2">
              <w:rPr>
                <w:rFonts w:ascii="Times New Roman" w:hAnsi="Times New Roman" w:cs="Times New Roman"/>
                <w:color w:val="000000"/>
                <w:sz w:val="20"/>
              </w:rPr>
              <w:t>and Parliament</w:t>
            </w:r>
          </w:p>
        </w:tc>
        <w:tc>
          <w:tcPr>
            <w:tcW w:w="0" w:type="auto"/>
          </w:tcPr>
          <w:p w14:paraId="6F25CF51"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High</w:t>
            </w:r>
          </w:p>
        </w:tc>
      </w:tr>
      <w:tr w:rsidR="00A66014" w:rsidRPr="00C91EA2" w14:paraId="1F4B86FE" w14:textId="77777777" w:rsidTr="002F5637">
        <w:trPr>
          <w:cnfStyle w:val="000000100000" w:firstRow="0" w:lastRow="0" w:firstColumn="0" w:lastColumn="0" w:oddVBand="0" w:evenVBand="0" w:oddHBand="1" w:evenHBand="0" w:firstRowFirstColumn="0" w:firstRowLastColumn="0" w:lastRowFirstColumn="0" w:lastRowLastColumn="0"/>
          <w:trHeight w:val="649"/>
        </w:trPr>
        <w:tc>
          <w:tcPr>
            <w:tcW w:w="0" w:type="auto"/>
          </w:tcPr>
          <w:p w14:paraId="4B4C2F12" w14:textId="3F1D17CD" w:rsidR="00A66014"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 xml:space="preserve">2.2 </w:t>
            </w:r>
            <w:r w:rsidRPr="00911A0A">
              <w:rPr>
                <w:rFonts w:ascii="Times New Roman" w:hAnsi="Times New Roman" w:cs="Times New Roman"/>
                <w:color w:val="000000"/>
                <w:sz w:val="20"/>
              </w:rPr>
              <w:t>Refocus ex ante regulation on SMP operators. Alleviate the regulatory burden that falls on operators without SMP</w:t>
            </w:r>
            <w:r w:rsidR="000E7834">
              <w:rPr>
                <w:rFonts w:ascii="Times New Roman" w:hAnsi="Times New Roman" w:cs="Times New Roman"/>
                <w:color w:val="000000"/>
                <w:sz w:val="20"/>
              </w:rPr>
              <w:t>.</w:t>
            </w:r>
          </w:p>
          <w:p w14:paraId="73F93142" w14:textId="77777777" w:rsidR="00264199" w:rsidRPr="00264199" w:rsidRDefault="00264199" w:rsidP="00264199">
            <w:pPr>
              <w:jc w:val="both"/>
              <w:rPr>
                <w:rFonts w:ascii="Times New Roman" w:hAnsi="Times New Roman" w:cs="Times New Roman"/>
                <w:color w:val="000000"/>
                <w:sz w:val="20"/>
              </w:rPr>
            </w:pPr>
            <w:r w:rsidRPr="007575D7">
              <w:rPr>
                <w:rFonts w:ascii="Times New Roman" w:hAnsi="Times New Roman" w:cs="Times New Roman"/>
                <w:color w:val="000000"/>
                <w:sz w:val="20"/>
              </w:rPr>
              <w:t xml:space="preserve">ARTP could consider (i) imposing obligations on </w:t>
            </w:r>
            <w:proofErr w:type="spellStart"/>
            <w:r w:rsidRPr="007575D7">
              <w:rPr>
                <w:rFonts w:ascii="Times New Roman" w:hAnsi="Times New Roman" w:cs="Times New Roman"/>
                <w:color w:val="000000"/>
                <w:sz w:val="20"/>
              </w:rPr>
              <w:t>Sonatel</w:t>
            </w:r>
            <w:proofErr w:type="spellEnd"/>
            <w:r w:rsidRPr="007575D7">
              <w:rPr>
                <w:rFonts w:ascii="Times New Roman" w:hAnsi="Times New Roman" w:cs="Times New Roman"/>
                <w:color w:val="000000"/>
                <w:sz w:val="20"/>
              </w:rPr>
              <w:t xml:space="preserve"> to grant fair, transparent and non-discriminatory access to the non-replicable infrastructure and assets it owns (including civil engineering, such as ducts and poles); and (ii) setting-up lower termination rates to mitigate the club effects which currently favor </w:t>
            </w:r>
            <w:proofErr w:type="spellStart"/>
            <w:r w:rsidRPr="007575D7">
              <w:rPr>
                <w:rFonts w:ascii="Times New Roman" w:hAnsi="Times New Roman" w:cs="Times New Roman"/>
                <w:color w:val="000000"/>
                <w:sz w:val="20"/>
              </w:rPr>
              <w:t>Sonatel’s</w:t>
            </w:r>
            <w:proofErr w:type="spellEnd"/>
            <w:r w:rsidRPr="007575D7">
              <w:rPr>
                <w:rFonts w:ascii="Times New Roman" w:hAnsi="Times New Roman" w:cs="Times New Roman"/>
                <w:color w:val="000000"/>
                <w:sz w:val="20"/>
              </w:rPr>
              <w:t xml:space="preserve"> network and increase the risks of anticompetitive behavior.</w:t>
            </w:r>
          </w:p>
          <w:p w14:paraId="5A26E8F7" w14:textId="77777777" w:rsidR="00264199" w:rsidRPr="00911A0A" w:rsidRDefault="00264199" w:rsidP="002F5637">
            <w:pPr>
              <w:jc w:val="both"/>
              <w:rPr>
                <w:rFonts w:ascii="Times New Roman" w:hAnsi="Times New Roman" w:cs="Times New Roman"/>
                <w:color w:val="000000"/>
                <w:sz w:val="20"/>
              </w:rPr>
            </w:pPr>
          </w:p>
          <w:p w14:paraId="65ABBDF3" w14:textId="61D8D3F9" w:rsidR="00A66014" w:rsidRDefault="00A66014" w:rsidP="002F5637">
            <w:pPr>
              <w:jc w:val="both"/>
              <w:rPr>
                <w:rFonts w:ascii="Times New Roman" w:hAnsi="Times New Roman" w:cs="Times New Roman"/>
                <w:color w:val="000000"/>
                <w:sz w:val="20"/>
              </w:rPr>
            </w:pPr>
          </w:p>
        </w:tc>
        <w:tc>
          <w:tcPr>
            <w:tcW w:w="0" w:type="auto"/>
          </w:tcPr>
          <w:p w14:paraId="08A2ED6B" w14:textId="46B3CA27" w:rsidR="00A66014" w:rsidRDefault="00013CCB" w:rsidP="002F5637">
            <w:pPr>
              <w:rPr>
                <w:rFonts w:ascii="Times New Roman" w:hAnsi="Times New Roman" w:cs="Times New Roman"/>
                <w:color w:val="000000"/>
                <w:sz w:val="20"/>
              </w:rPr>
            </w:pPr>
            <w:r>
              <w:rPr>
                <w:rFonts w:ascii="Times New Roman" w:hAnsi="Times New Roman" w:cs="Times New Roman"/>
                <w:color w:val="000000"/>
                <w:sz w:val="20"/>
              </w:rPr>
              <w:t>ARTP</w:t>
            </w:r>
          </w:p>
        </w:tc>
        <w:tc>
          <w:tcPr>
            <w:tcW w:w="0" w:type="auto"/>
          </w:tcPr>
          <w:p w14:paraId="6D7AE90D"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High</w:t>
            </w:r>
          </w:p>
        </w:tc>
      </w:tr>
      <w:tr w:rsidR="00A66014" w:rsidRPr="00C91EA2" w14:paraId="6C99E0FE" w14:textId="77777777" w:rsidTr="002F5637">
        <w:trPr>
          <w:trHeight w:val="649"/>
        </w:trPr>
        <w:tc>
          <w:tcPr>
            <w:tcW w:w="0" w:type="auto"/>
          </w:tcPr>
          <w:p w14:paraId="7FDFA6DC" w14:textId="77777777" w:rsidR="00A66014"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 xml:space="preserve">2.3 </w:t>
            </w:r>
            <w:r w:rsidRPr="00911A0A">
              <w:rPr>
                <w:rFonts w:ascii="Times New Roman" w:hAnsi="Times New Roman" w:cs="Times New Roman"/>
                <w:color w:val="000000"/>
                <w:sz w:val="20"/>
              </w:rPr>
              <w:t>Analyze effective competition to declare SMP. Considering eliminating in the Telecommunications Code 25-percent-market-share presumption of dominance or replacing it by a rebuttable presumption of 40%.</w:t>
            </w:r>
          </w:p>
          <w:p w14:paraId="2F868E13" w14:textId="3D18EA41" w:rsidR="00847F11" w:rsidRDefault="00847F11" w:rsidP="002F5637">
            <w:pPr>
              <w:jc w:val="both"/>
              <w:rPr>
                <w:rFonts w:ascii="Times New Roman" w:hAnsi="Times New Roman" w:cs="Times New Roman"/>
                <w:color w:val="000000"/>
                <w:sz w:val="20"/>
              </w:rPr>
            </w:pPr>
          </w:p>
        </w:tc>
        <w:tc>
          <w:tcPr>
            <w:tcW w:w="0" w:type="auto"/>
          </w:tcPr>
          <w:p w14:paraId="58053389" w14:textId="77777777" w:rsidR="00A66014" w:rsidRDefault="00A66014" w:rsidP="002F5637">
            <w:pPr>
              <w:rPr>
                <w:rFonts w:ascii="Times New Roman" w:hAnsi="Times New Roman" w:cs="Times New Roman"/>
                <w:color w:val="000000"/>
                <w:sz w:val="20"/>
              </w:rPr>
            </w:pPr>
            <w:r>
              <w:rPr>
                <w:rFonts w:ascii="Times New Roman" w:hAnsi="Times New Roman" w:cs="Times New Roman"/>
                <w:color w:val="000000"/>
                <w:sz w:val="20"/>
              </w:rPr>
              <w:t xml:space="preserve">Government </w:t>
            </w:r>
            <w:r w:rsidRPr="00C91EA2">
              <w:rPr>
                <w:rFonts w:ascii="Times New Roman" w:hAnsi="Times New Roman" w:cs="Times New Roman"/>
                <w:color w:val="000000"/>
                <w:sz w:val="20"/>
              </w:rPr>
              <w:t>and Parliament</w:t>
            </w:r>
          </w:p>
        </w:tc>
        <w:tc>
          <w:tcPr>
            <w:tcW w:w="0" w:type="auto"/>
          </w:tcPr>
          <w:p w14:paraId="5A96F74B"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Medium</w:t>
            </w:r>
          </w:p>
        </w:tc>
      </w:tr>
      <w:tr w:rsidR="00A66014" w:rsidRPr="00C91EA2" w14:paraId="6CF8E1D0" w14:textId="77777777" w:rsidTr="002F5637">
        <w:trPr>
          <w:cnfStyle w:val="000000100000" w:firstRow="0" w:lastRow="0" w:firstColumn="0" w:lastColumn="0" w:oddVBand="0" w:evenVBand="0" w:oddHBand="1" w:evenHBand="0" w:firstRowFirstColumn="0" w:firstRowLastColumn="0" w:lastRowFirstColumn="0" w:lastRowLastColumn="0"/>
          <w:trHeight w:val="649"/>
        </w:trPr>
        <w:tc>
          <w:tcPr>
            <w:tcW w:w="0" w:type="auto"/>
          </w:tcPr>
          <w:p w14:paraId="66596DED" w14:textId="13527096" w:rsidR="00A66014" w:rsidRPr="007575D7" w:rsidRDefault="00A66014" w:rsidP="002F5637">
            <w:pPr>
              <w:jc w:val="both"/>
              <w:rPr>
                <w:rFonts w:ascii="Times New Roman" w:hAnsi="Times New Roman"/>
                <w:color w:val="000000"/>
              </w:rPr>
            </w:pPr>
            <w:r>
              <w:rPr>
                <w:rFonts w:ascii="Times New Roman" w:hAnsi="Times New Roman" w:cs="Times New Roman"/>
                <w:color w:val="000000"/>
                <w:sz w:val="20"/>
              </w:rPr>
              <w:t xml:space="preserve">2.4 </w:t>
            </w:r>
            <w:r w:rsidRPr="00911A0A">
              <w:rPr>
                <w:rFonts w:ascii="Times New Roman" w:hAnsi="Times New Roman" w:cs="Times New Roman"/>
                <w:color w:val="000000"/>
                <w:sz w:val="20"/>
              </w:rPr>
              <w:t xml:space="preserve">Boost the technical independence of ARTP.  </w:t>
            </w:r>
            <w:r w:rsidR="00264199" w:rsidRPr="007575D7">
              <w:rPr>
                <w:rFonts w:ascii="Times New Roman" w:hAnsi="Times New Roman" w:cs="Times New Roman"/>
                <w:color w:val="000000"/>
                <w:sz w:val="20"/>
              </w:rPr>
              <w:t xml:space="preserve">Ensure check and balances and implement a transparent and technical selection process to appoint Board members and the </w:t>
            </w:r>
            <w:proofErr w:type="gramStart"/>
            <w:r w:rsidR="00264199" w:rsidRPr="007575D7">
              <w:rPr>
                <w:rFonts w:ascii="Times New Roman" w:hAnsi="Times New Roman" w:cs="Times New Roman"/>
                <w:color w:val="000000"/>
                <w:sz w:val="20"/>
              </w:rPr>
              <w:t>Director, and</w:t>
            </w:r>
            <w:proofErr w:type="gramEnd"/>
            <w:r w:rsidR="00264199" w:rsidRPr="007575D7">
              <w:rPr>
                <w:rFonts w:ascii="Times New Roman" w:hAnsi="Times New Roman" w:cs="Times New Roman"/>
                <w:color w:val="000000"/>
                <w:sz w:val="20"/>
              </w:rPr>
              <w:t xml:space="preserve"> involve the President of the Republic in the selection of all Board members</w:t>
            </w:r>
            <w:r w:rsidR="00264199" w:rsidRPr="00264199">
              <w:rPr>
                <w:rFonts w:ascii="Times New Roman" w:hAnsi="Times New Roman"/>
                <w:b/>
                <w:bCs/>
                <w:color w:val="000000"/>
              </w:rPr>
              <w:t>.</w:t>
            </w:r>
          </w:p>
          <w:p w14:paraId="61C6BE40" w14:textId="77777777" w:rsidR="00A66014" w:rsidRDefault="00A66014" w:rsidP="002F5637">
            <w:pPr>
              <w:jc w:val="both"/>
              <w:rPr>
                <w:rFonts w:ascii="Times New Roman" w:hAnsi="Times New Roman" w:cs="Times New Roman"/>
                <w:color w:val="000000"/>
                <w:sz w:val="20"/>
              </w:rPr>
            </w:pPr>
            <w:r w:rsidRPr="00911A0A">
              <w:rPr>
                <w:rFonts w:ascii="Times New Roman" w:hAnsi="Times New Roman" w:cs="Times New Roman"/>
                <w:color w:val="000000"/>
                <w:sz w:val="20"/>
              </w:rPr>
              <w:t>Undertake a functional review of ARTP to identify areas for making its mandate more effective.</w:t>
            </w:r>
          </w:p>
          <w:p w14:paraId="207D80FB" w14:textId="7A5F0877" w:rsidR="00A66014" w:rsidRDefault="00A66014" w:rsidP="002F5637">
            <w:pPr>
              <w:jc w:val="both"/>
              <w:rPr>
                <w:rFonts w:ascii="Times New Roman" w:hAnsi="Times New Roman" w:cs="Times New Roman"/>
                <w:color w:val="000000"/>
                <w:sz w:val="20"/>
              </w:rPr>
            </w:pPr>
          </w:p>
        </w:tc>
        <w:tc>
          <w:tcPr>
            <w:tcW w:w="0" w:type="auto"/>
          </w:tcPr>
          <w:p w14:paraId="09C9EDF6" w14:textId="77777777" w:rsidR="00A66014" w:rsidRDefault="00A66014" w:rsidP="002F5637">
            <w:pPr>
              <w:rPr>
                <w:rFonts w:ascii="Times New Roman" w:hAnsi="Times New Roman" w:cs="Times New Roman"/>
                <w:color w:val="000000"/>
                <w:sz w:val="20"/>
              </w:rPr>
            </w:pPr>
            <w:r>
              <w:rPr>
                <w:rFonts w:ascii="Times New Roman" w:hAnsi="Times New Roman" w:cs="Times New Roman"/>
                <w:color w:val="000000"/>
                <w:sz w:val="20"/>
              </w:rPr>
              <w:t xml:space="preserve">Government </w:t>
            </w:r>
            <w:r w:rsidRPr="00C91EA2">
              <w:rPr>
                <w:rFonts w:ascii="Times New Roman" w:hAnsi="Times New Roman" w:cs="Times New Roman"/>
                <w:color w:val="000000"/>
                <w:sz w:val="20"/>
              </w:rPr>
              <w:t>and Parliament</w:t>
            </w:r>
          </w:p>
        </w:tc>
        <w:tc>
          <w:tcPr>
            <w:tcW w:w="0" w:type="auto"/>
          </w:tcPr>
          <w:p w14:paraId="22BAA281"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High</w:t>
            </w:r>
          </w:p>
        </w:tc>
      </w:tr>
      <w:tr w:rsidR="00A66014" w:rsidRPr="00C91EA2" w14:paraId="18D69F09" w14:textId="77777777" w:rsidTr="002F5637">
        <w:trPr>
          <w:trHeight w:val="649"/>
        </w:trPr>
        <w:tc>
          <w:tcPr>
            <w:tcW w:w="0" w:type="auto"/>
          </w:tcPr>
          <w:p w14:paraId="27B01F6A" w14:textId="77777777" w:rsidR="00A66014"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 xml:space="preserve">2.5 </w:t>
            </w:r>
            <w:r w:rsidRPr="00911A0A">
              <w:rPr>
                <w:rFonts w:ascii="Times New Roman" w:hAnsi="Times New Roman" w:cs="Times New Roman"/>
                <w:color w:val="000000"/>
                <w:sz w:val="20"/>
              </w:rPr>
              <w:t>Adopt the bylaws necessary to ensure the effectiveness of the Telecommunications Code to open markets to competition (e.g. applicable costs to termination rates and charges for access to infrastructure, spectrum assignment rules and fees, integrate asymmetric regulation principle).</w:t>
            </w:r>
          </w:p>
          <w:p w14:paraId="22FBD62F" w14:textId="1A28BB8F" w:rsidR="00847F11" w:rsidRPr="00BB17ED" w:rsidRDefault="00847F11" w:rsidP="002F5637">
            <w:pPr>
              <w:jc w:val="both"/>
              <w:rPr>
                <w:rFonts w:ascii="Times New Roman" w:hAnsi="Times New Roman" w:cs="Times New Roman"/>
                <w:color w:val="000000"/>
                <w:sz w:val="20"/>
              </w:rPr>
            </w:pPr>
          </w:p>
        </w:tc>
        <w:tc>
          <w:tcPr>
            <w:tcW w:w="0" w:type="auto"/>
          </w:tcPr>
          <w:p w14:paraId="32549906"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Ministry of Post and Telecommunications (</w:t>
            </w:r>
            <w:r w:rsidRPr="00C91EA2">
              <w:rPr>
                <w:rFonts w:ascii="Times New Roman" w:hAnsi="Times New Roman" w:cs="Times New Roman"/>
                <w:color w:val="000000"/>
                <w:sz w:val="20"/>
              </w:rPr>
              <w:t>MPT</w:t>
            </w:r>
            <w:r>
              <w:rPr>
                <w:rFonts w:ascii="Times New Roman" w:hAnsi="Times New Roman" w:cs="Times New Roman"/>
                <w:color w:val="000000"/>
                <w:sz w:val="20"/>
              </w:rPr>
              <w:t>)</w:t>
            </w:r>
          </w:p>
        </w:tc>
        <w:tc>
          <w:tcPr>
            <w:tcW w:w="0" w:type="auto"/>
          </w:tcPr>
          <w:p w14:paraId="727F4DBF"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A66014" w:rsidRPr="00C91EA2" w14:paraId="02A04CEA" w14:textId="77777777" w:rsidTr="002F5637">
        <w:trPr>
          <w:cnfStyle w:val="000000100000" w:firstRow="0" w:lastRow="0" w:firstColumn="0" w:lastColumn="0" w:oddVBand="0" w:evenVBand="0" w:oddHBand="1" w:evenHBand="0" w:firstRowFirstColumn="0" w:firstRowLastColumn="0" w:lastRowFirstColumn="0" w:lastRowLastColumn="0"/>
          <w:trHeight w:val="649"/>
        </w:trPr>
        <w:tc>
          <w:tcPr>
            <w:tcW w:w="0" w:type="auto"/>
            <w:hideMark/>
          </w:tcPr>
          <w:p w14:paraId="7C9FDF7A" w14:textId="2AD4B651"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 xml:space="preserve">2.6 </w:t>
            </w:r>
            <w:r w:rsidR="00264199">
              <w:rPr>
                <w:rFonts w:ascii="Times New Roman" w:hAnsi="Times New Roman" w:cs="Times New Roman"/>
                <w:color w:val="000000"/>
                <w:sz w:val="20"/>
              </w:rPr>
              <w:t>Strengthen</w:t>
            </w:r>
            <w:r w:rsidRPr="00911A0A">
              <w:rPr>
                <w:rFonts w:ascii="Times New Roman" w:hAnsi="Times New Roman" w:cs="Times New Roman"/>
                <w:color w:val="000000"/>
                <w:sz w:val="20"/>
              </w:rPr>
              <w:t xml:space="preserve"> powers to investigate and sanction anticompetitive conduct (e.g. margin squeeze, refusal to deal)</w:t>
            </w:r>
          </w:p>
        </w:tc>
        <w:tc>
          <w:tcPr>
            <w:tcW w:w="0" w:type="auto"/>
            <w:hideMark/>
          </w:tcPr>
          <w:p w14:paraId="1C4D48E7"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ARTP</w:t>
            </w:r>
            <w:r>
              <w:rPr>
                <w:rFonts w:ascii="Times New Roman" w:hAnsi="Times New Roman" w:cs="Times New Roman"/>
                <w:color w:val="000000"/>
                <w:sz w:val="20"/>
              </w:rPr>
              <w:t xml:space="preserve"> </w:t>
            </w:r>
            <w:r w:rsidRPr="00D373FB">
              <w:rPr>
                <w:rFonts w:ascii="Times New Roman" w:hAnsi="Times New Roman" w:cs="Times New Roman"/>
                <w:color w:val="000000"/>
                <w:sz w:val="20"/>
              </w:rPr>
              <w:t>with support of MTP</w:t>
            </w:r>
          </w:p>
        </w:tc>
        <w:tc>
          <w:tcPr>
            <w:tcW w:w="0" w:type="auto"/>
            <w:hideMark/>
          </w:tcPr>
          <w:p w14:paraId="5BF289E0"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Low</w:t>
            </w:r>
          </w:p>
        </w:tc>
      </w:tr>
      <w:tr w:rsidR="00374E4E" w:rsidRPr="00C91EA2" w14:paraId="1F8E0D2F" w14:textId="77777777" w:rsidTr="002F5637">
        <w:trPr>
          <w:trHeight w:val="649"/>
        </w:trPr>
        <w:tc>
          <w:tcPr>
            <w:tcW w:w="0" w:type="auto"/>
          </w:tcPr>
          <w:p w14:paraId="14146533" w14:textId="6D7B2147" w:rsidR="00374E4E" w:rsidRPr="00374E4E" w:rsidRDefault="00374E4E" w:rsidP="00374E4E">
            <w:pPr>
              <w:jc w:val="both"/>
              <w:rPr>
                <w:rFonts w:ascii="Times New Roman" w:hAnsi="Times New Roman"/>
                <w:color w:val="000000"/>
              </w:rPr>
            </w:pPr>
            <w:r>
              <w:rPr>
                <w:rFonts w:ascii="Times New Roman" w:hAnsi="Times New Roman" w:cs="Times New Roman"/>
                <w:color w:val="000000"/>
                <w:sz w:val="20"/>
              </w:rPr>
              <w:t>2.7</w:t>
            </w:r>
            <w:r w:rsidRPr="007575D7">
              <w:rPr>
                <w:rFonts w:ascii="Times New Roman" w:hAnsi="Times New Roman" w:cs="Times New Roman"/>
                <w:color w:val="000000"/>
                <w:sz w:val="20"/>
              </w:rPr>
              <w:t xml:space="preserve"> Promote a clarification or a change in regional rules regarding the competences of Senegal’s authorities with powers to enforce the national competition rules (notably, the National Competition Commission and the ARTP in the telecom sector) vis-à-vis the WAEMU Commission</w:t>
            </w:r>
          </w:p>
          <w:p w14:paraId="01705A90" w14:textId="331735DD" w:rsidR="00374E4E" w:rsidRDefault="00374E4E" w:rsidP="002F5637">
            <w:pPr>
              <w:jc w:val="both"/>
              <w:rPr>
                <w:rFonts w:ascii="Times New Roman" w:hAnsi="Times New Roman" w:cs="Times New Roman"/>
                <w:color w:val="000000"/>
                <w:sz w:val="20"/>
              </w:rPr>
            </w:pPr>
          </w:p>
        </w:tc>
        <w:tc>
          <w:tcPr>
            <w:tcW w:w="0" w:type="auto"/>
          </w:tcPr>
          <w:p w14:paraId="4E4EEC9A" w14:textId="6574B4AB" w:rsidR="00374E4E" w:rsidRPr="00C91EA2" w:rsidRDefault="00374E4E" w:rsidP="002F5637">
            <w:pPr>
              <w:jc w:val="both"/>
              <w:rPr>
                <w:rFonts w:ascii="Times New Roman" w:hAnsi="Times New Roman" w:cs="Times New Roman"/>
                <w:color w:val="000000"/>
                <w:sz w:val="20"/>
              </w:rPr>
            </w:pPr>
            <w:r>
              <w:rPr>
                <w:rFonts w:ascii="Times New Roman" w:hAnsi="Times New Roman" w:cs="Times New Roman"/>
                <w:color w:val="000000"/>
                <w:sz w:val="20"/>
              </w:rPr>
              <w:t xml:space="preserve">Government and Parliament </w:t>
            </w:r>
          </w:p>
        </w:tc>
        <w:tc>
          <w:tcPr>
            <w:tcW w:w="0" w:type="auto"/>
          </w:tcPr>
          <w:p w14:paraId="44D7A2D1" w14:textId="2F058E8B" w:rsidR="00374E4E" w:rsidRDefault="00374E4E" w:rsidP="002F5637">
            <w:pPr>
              <w:jc w:val="both"/>
              <w:rPr>
                <w:rFonts w:ascii="Times New Roman" w:hAnsi="Times New Roman" w:cs="Times New Roman"/>
                <w:color w:val="000000"/>
                <w:sz w:val="20"/>
              </w:rPr>
            </w:pPr>
            <w:r>
              <w:rPr>
                <w:rFonts w:ascii="Times New Roman" w:hAnsi="Times New Roman" w:cs="Times New Roman"/>
                <w:color w:val="000000"/>
                <w:sz w:val="20"/>
              </w:rPr>
              <w:t>High</w:t>
            </w:r>
          </w:p>
        </w:tc>
      </w:tr>
      <w:tr w:rsidR="00374E4E" w:rsidRPr="00C91EA2" w14:paraId="16FF925A" w14:textId="77777777" w:rsidTr="002F5637">
        <w:trPr>
          <w:cnfStyle w:val="000000100000" w:firstRow="0" w:lastRow="0" w:firstColumn="0" w:lastColumn="0" w:oddVBand="0" w:evenVBand="0" w:oddHBand="1" w:evenHBand="0" w:firstRowFirstColumn="0" w:firstRowLastColumn="0" w:lastRowFirstColumn="0" w:lastRowLastColumn="0"/>
          <w:trHeight w:val="649"/>
        </w:trPr>
        <w:tc>
          <w:tcPr>
            <w:tcW w:w="0" w:type="auto"/>
          </w:tcPr>
          <w:p w14:paraId="2761C132" w14:textId="6C3D6CE9" w:rsidR="00374E4E" w:rsidRPr="007575D7" w:rsidRDefault="00374E4E" w:rsidP="00374E4E">
            <w:pPr>
              <w:jc w:val="both"/>
              <w:rPr>
                <w:rFonts w:ascii="Times New Roman" w:hAnsi="Times New Roman" w:cs="Times New Roman"/>
                <w:color w:val="000000"/>
                <w:sz w:val="20"/>
              </w:rPr>
            </w:pPr>
            <w:r>
              <w:rPr>
                <w:rFonts w:ascii="Times New Roman" w:hAnsi="Times New Roman" w:cs="Times New Roman"/>
                <w:color w:val="000000"/>
                <w:sz w:val="20"/>
              </w:rPr>
              <w:t>2.8</w:t>
            </w:r>
            <w:r w:rsidRPr="007575D7">
              <w:rPr>
                <w:rFonts w:ascii="Times New Roman" w:hAnsi="Times New Roman" w:cs="Times New Roman"/>
                <w:color w:val="000000"/>
                <w:sz w:val="20"/>
              </w:rPr>
              <w:t xml:space="preserve"> Develop mechanisms of collaboration both at the regional level (National Competition Commission (NCC)/ ARTP with the WAEMU Commission), and at the national level (NCC, ARTP, other sectoral regulators). This collaboration could involve memoranda of understanding (MoUs) on how these bodies will exercise their functions when dealing with issues involving the enforcement of competition rules, exchange of information, development and exchanging of skills and expertise, etc.</w:t>
            </w:r>
          </w:p>
          <w:p w14:paraId="62D5E17A" w14:textId="32137924" w:rsidR="00374E4E" w:rsidRDefault="00374E4E" w:rsidP="002F5637">
            <w:pPr>
              <w:jc w:val="both"/>
              <w:rPr>
                <w:rFonts w:ascii="Times New Roman" w:hAnsi="Times New Roman" w:cs="Times New Roman"/>
                <w:color w:val="000000"/>
                <w:sz w:val="20"/>
              </w:rPr>
            </w:pPr>
          </w:p>
        </w:tc>
        <w:tc>
          <w:tcPr>
            <w:tcW w:w="0" w:type="auto"/>
          </w:tcPr>
          <w:p w14:paraId="4237E681" w14:textId="78AB954E" w:rsidR="00374E4E" w:rsidRPr="00C91EA2" w:rsidRDefault="00374E4E" w:rsidP="002F5637">
            <w:pPr>
              <w:jc w:val="both"/>
              <w:rPr>
                <w:rFonts w:ascii="Times New Roman" w:hAnsi="Times New Roman" w:cs="Times New Roman"/>
                <w:color w:val="000000"/>
                <w:sz w:val="20"/>
              </w:rPr>
            </w:pPr>
            <w:r>
              <w:rPr>
                <w:rFonts w:ascii="Times New Roman" w:hAnsi="Times New Roman" w:cs="Times New Roman"/>
                <w:color w:val="000000"/>
                <w:sz w:val="20"/>
              </w:rPr>
              <w:t>ARTP, NCC, WAEMU Commission</w:t>
            </w:r>
          </w:p>
        </w:tc>
        <w:tc>
          <w:tcPr>
            <w:tcW w:w="0" w:type="auto"/>
          </w:tcPr>
          <w:p w14:paraId="7592ACE4" w14:textId="0658D3B6" w:rsidR="00374E4E" w:rsidRDefault="00374E4E" w:rsidP="002F5637">
            <w:pPr>
              <w:jc w:val="both"/>
              <w:rPr>
                <w:rFonts w:ascii="Times New Roman" w:hAnsi="Times New Roman" w:cs="Times New Roman"/>
                <w:color w:val="000000"/>
                <w:sz w:val="20"/>
              </w:rPr>
            </w:pPr>
            <w:r>
              <w:rPr>
                <w:rFonts w:ascii="Times New Roman" w:hAnsi="Times New Roman" w:cs="Times New Roman"/>
                <w:color w:val="000000"/>
                <w:sz w:val="20"/>
              </w:rPr>
              <w:t>High</w:t>
            </w:r>
          </w:p>
        </w:tc>
      </w:tr>
      <w:tr w:rsidR="00A66014" w:rsidRPr="00C91EA2" w14:paraId="30946F2F" w14:textId="77777777" w:rsidTr="002F5637">
        <w:trPr>
          <w:trHeight w:val="161"/>
        </w:trPr>
        <w:tc>
          <w:tcPr>
            <w:tcW w:w="0" w:type="auto"/>
            <w:gridSpan w:val="3"/>
            <w:shd w:val="clear" w:color="auto" w:fill="C6D9F1" w:themeFill="text2" w:themeFillTint="33"/>
            <w:hideMark/>
          </w:tcPr>
          <w:p w14:paraId="5AB36E1F" w14:textId="77777777" w:rsidR="00A66014" w:rsidRPr="00C91EA2" w:rsidRDefault="00A66014" w:rsidP="002F5637">
            <w:pPr>
              <w:jc w:val="center"/>
              <w:rPr>
                <w:rFonts w:ascii="Times New Roman" w:hAnsi="Times New Roman" w:cs="Times New Roman"/>
                <w:sz w:val="20"/>
              </w:rPr>
            </w:pPr>
            <w:r w:rsidRPr="00D373FB">
              <w:rPr>
                <w:rFonts w:ascii="Times New Roman" w:hAnsi="Times New Roman" w:cs="Times New Roman"/>
                <w:b/>
                <w:bCs/>
                <w:sz w:val="20"/>
              </w:rPr>
              <w:t>Recommendations to promote entry by facilities-based competitors</w:t>
            </w:r>
          </w:p>
        </w:tc>
      </w:tr>
      <w:tr w:rsidR="00A66014" w:rsidRPr="00C91EA2" w14:paraId="29CB16C0" w14:textId="77777777" w:rsidTr="002F5637">
        <w:trPr>
          <w:cnfStyle w:val="000000100000" w:firstRow="0" w:lastRow="0" w:firstColumn="0" w:lastColumn="0" w:oddVBand="0" w:evenVBand="0" w:oddHBand="1" w:evenHBand="0" w:firstRowFirstColumn="0" w:firstRowLastColumn="0" w:lastRowFirstColumn="0" w:lastRowLastColumn="0"/>
          <w:trHeight w:val="745"/>
        </w:trPr>
        <w:tc>
          <w:tcPr>
            <w:tcW w:w="0" w:type="auto"/>
            <w:hideMark/>
          </w:tcPr>
          <w:p w14:paraId="497A3956" w14:textId="3D630948" w:rsidR="00A66014"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2.</w:t>
            </w:r>
            <w:r w:rsidR="00374E4E">
              <w:rPr>
                <w:rFonts w:ascii="Times New Roman" w:hAnsi="Times New Roman" w:cs="Times New Roman"/>
                <w:color w:val="000000"/>
                <w:sz w:val="20"/>
              </w:rPr>
              <w:t>9</w:t>
            </w:r>
            <w:r w:rsidRPr="00C91EA2">
              <w:rPr>
                <w:rFonts w:ascii="Times New Roman" w:hAnsi="Times New Roman" w:cs="Times New Roman"/>
                <w:color w:val="000000"/>
                <w:sz w:val="20"/>
              </w:rPr>
              <w:t xml:space="preserve"> </w:t>
            </w:r>
            <w:r>
              <w:rPr>
                <w:rFonts w:ascii="Times New Roman" w:hAnsi="Times New Roman" w:cs="Times New Roman"/>
                <w:color w:val="000000"/>
                <w:sz w:val="20"/>
              </w:rPr>
              <w:t>I</w:t>
            </w:r>
            <w:r w:rsidRPr="00D373FB">
              <w:rPr>
                <w:rFonts w:ascii="Times New Roman" w:hAnsi="Times New Roman" w:cs="Times New Roman"/>
                <w:color w:val="000000"/>
                <w:sz w:val="20"/>
              </w:rPr>
              <w:t xml:space="preserve">dentify services where regulation can allow for facilities-based competition or support services-based competition. </w:t>
            </w:r>
          </w:p>
          <w:p w14:paraId="70F67B38" w14:textId="7D7EE380" w:rsidR="00A66014" w:rsidRPr="00C91EA2" w:rsidRDefault="00A66014" w:rsidP="002F5637">
            <w:pPr>
              <w:jc w:val="both"/>
              <w:rPr>
                <w:rFonts w:ascii="Times New Roman" w:hAnsi="Times New Roman" w:cs="Times New Roman"/>
                <w:color w:val="000000"/>
                <w:sz w:val="20"/>
              </w:rPr>
            </w:pPr>
          </w:p>
        </w:tc>
        <w:tc>
          <w:tcPr>
            <w:tcW w:w="0" w:type="auto"/>
            <w:hideMark/>
          </w:tcPr>
          <w:p w14:paraId="3AE21186"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MPT</w:t>
            </w:r>
          </w:p>
        </w:tc>
        <w:tc>
          <w:tcPr>
            <w:tcW w:w="0" w:type="auto"/>
            <w:hideMark/>
          </w:tcPr>
          <w:p w14:paraId="0DC71707"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A66014" w:rsidRPr="00C91EA2" w14:paraId="58546CBF" w14:textId="77777777" w:rsidTr="007575D7">
        <w:trPr>
          <w:trHeight w:val="620"/>
        </w:trPr>
        <w:tc>
          <w:tcPr>
            <w:tcW w:w="0" w:type="auto"/>
            <w:hideMark/>
          </w:tcPr>
          <w:p w14:paraId="6F3487DB" w14:textId="51EC04A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2.</w:t>
            </w:r>
            <w:r w:rsidR="00374E4E">
              <w:rPr>
                <w:rFonts w:ascii="Times New Roman" w:hAnsi="Times New Roman" w:cs="Times New Roman"/>
                <w:color w:val="000000"/>
                <w:sz w:val="20"/>
              </w:rPr>
              <w:t>10</w:t>
            </w:r>
            <w:r w:rsidRPr="00C91EA2">
              <w:rPr>
                <w:rFonts w:ascii="Times New Roman" w:hAnsi="Times New Roman" w:cs="Times New Roman"/>
                <w:color w:val="000000"/>
                <w:sz w:val="20"/>
              </w:rPr>
              <w:t xml:space="preserve"> </w:t>
            </w:r>
            <w:r w:rsidRPr="00D373FB">
              <w:rPr>
                <w:rFonts w:ascii="Times New Roman" w:hAnsi="Times New Roman" w:cs="Times New Roman"/>
                <w:color w:val="000000"/>
                <w:sz w:val="20"/>
              </w:rPr>
              <w:t xml:space="preserve">Evaluate developing a framework for broadband support that prevents negative effects on private investment. </w:t>
            </w:r>
          </w:p>
        </w:tc>
        <w:tc>
          <w:tcPr>
            <w:tcW w:w="0" w:type="auto"/>
            <w:hideMark/>
          </w:tcPr>
          <w:p w14:paraId="4D4CE108"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0" w:type="auto"/>
            <w:hideMark/>
          </w:tcPr>
          <w:p w14:paraId="1961CF25"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High</w:t>
            </w:r>
          </w:p>
        </w:tc>
      </w:tr>
      <w:tr w:rsidR="00A66014" w:rsidRPr="00C91EA2" w14:paraId="28A0D018" w14:textId="77777777" w:rsidTr="002F5637">
        <w:trPr>
          <w:cnfStyle w:val="000000100000" w:firstRow="0" w:lastRow="0" w:firstColumn="0" w:lastColumn="0" w:oddVBand="0" w:evenVBand="0" w:oddHBand="1" w:evenHBand="0" w:firstRowFirstColumn="0" w:firstRowLastColumn="0" w:lastRowFirstColumn="0" w:lastRowLastColumn="0"/>
          <w:trHeight w:val="560"/>
        </w:trPr>
        <w:tc>
          <w:tcPr>
            <w:tcW w:w="0" w:type="auto"/>
            <w:hideMark/>
          </w:tcPr>
          <w:p w14:paraId="1B4F588C" w14:textId="667B6969" w:rsidR="00A66014" w:rsidRDefault="00A66014" w:rsidP="002F5637">
            <w:pPr>
              <w:jc w:val="both"/>
              <w:rPr>
                <w:rFonts w:ascii="Times New Roman" w:hAnsi="Times New Roman" w:cs="Times New Roman"/>
                <w:color w:val="000000"/>
                <w:sz w:val="20"/>
                <w:lang w:val="en-GB"/>
              </w:rPr>
            </w:pPr>
            <w:r>
              <w:rPr>
                <w:rFonts w:ascii="Times New Roman" w:hAnsi="Times New Roman" w:cs="Times New Roman"/>
                <w:color w:val="000000"/>
                <w:sz w:val="20"/>
              </w:rPr>
              <w:t>2.</w:t>
            </w:r>
            <w:r w:rsidR="00374E4E">
              <w:rPr>
                <w:rFonts w:ascii="Times New Roman" w:hAnsi="Times New Roman" w:cs="Times New Roman"/>
                <w:color w:val="000000"/>
                <w:sz w:val="20"/>
              </w:rPr>
              <w:t>11</w:t>
            </w:r>
            <w:r w:rsidRPr="00C91EA2">
              <w:rPr>
                <w:rFonts w:ascii="Times New Roman" w:hAnsi="Times New Roman" w:cs="Times New Roman"/>
                <w:color w:val="000000"/>
                <w:sz w:val="20"/>
                <w:lang w:val="en-GB"/>
              </w:rPr>
              <w:t xml:space="preserve"> </w:t>
            </w:r>
            <w:r w:rsidRPr="00D373FB">
              <w:rPr>
                <w:rFonts w:ascii="Times New Roman" w:hAnsi="Times New Roman" w:cs="Times New Roman"/>
                <w:color w:val="000000"/>
                <w:sz w:val="20"/>
                <w:lang w:val="en-GB"/>
              </w:rPr>
              <w:t>Prevent cross-subsidization between competitive and non-competitive market segments. Identify public service obligations.</w:t>
            </w:r>
          </w:p>
          <w:p w14:paraId="39DCBEF8" w14:textId="1B836892" w:rsidR="00847F11" w:rsidRPr="00C91EA2" w:rsidRDefault="00847F11" w:rsidP="002F5637">
            <w:pPr>
              <w:jc w:val="both"/>
              <w:rPr>
                <w:rFonts w:ascii="Times New Roman" w:hAnsi="Times New Roman" w:cs="Times New Roman"/>
                <w:color w:val="000000"/>
                <w:sz w:val="20"/>
              </w:rPr>
            </w:pPr>
          </w:p>
        </w:tc>
        <w:tc>
          <w:tcPr>
            <w:tcW w:w="0" w:type="auto"/>
            <w:hideMark/>
          </w:tcPr>
          <w:p w14:paraId="6496F2EE"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0" w:type="auto"/>
            <w:hideMark/>
          </w:tcPr>
          <w:p w14:paraId="0DF26F34"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High</w:t>
            </w:r>
          </w:p>
        </w:tc>
      </w:tr>
      <w:tr w:rsidR="00A66014" w:rsidRPr="00C91EA2" w14:paraId="39EDC12B" w14:textId="77777777" w:rsidTr="002F5637">
        <w:trPr>
          <w:trHeight w:val="543"/>
        </w:trPr>
        <w:tc>
          <w:tcPr>
            <w:tcW w:w="0" w:type="auto"/>
            <w:hideMark/>
          </w:tcPr>
          <w:p w14:paraId="497E89D5" w14:textId="2787CCD1" w:rsidR="00847F11"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2.</w:t>
            </w:r>
            <w:r w:rsidR="00374E4E">
              <w:rPr>
                <w:rFonts w:ascii="Times New Roman" w:hAnsi="Times New Roman" w:cs="Times New Roman"/>
                <w:color w:val="000000"/>
                <w:sz w:val="20"/>
              </w:rPr>
              <w:t>12</w:t>
            </w:r>
            <w:r w:rsidRPr="00C91EA2">
              <w:rPr>
                <w:rFonts w:ascii="Times New Roman" w:hAnsi="Times New Roman" w:cs="Times New Roman"/>
                <w:color w:val="000000"/>
                <w:sz w:val="20"/>
              </w:rPr>
              <w:t xml:space="preserve"> </w:t>
            </w:r>
            <w:r w:rsidRPr="00D373FB">
              <w:rPr>
                <w:rFonts w:ascii="Times New Roman" w:hAnsi="Times New Roman" w:cs="Times New Roman"/>
                <w:color w:val="000000"/>
                <w:sz w:val="20"/>
              </w:rPr>
              <w:t>Consider implementing principles of the “Ladder of investment” to accompany the entry of new players, notably ISPs, MVNO</w:t>
            </w:r>
            <w:r w:rsidR="00847F11">
              <w:rPr>
                <w:rFonts w:ascii="Times New Roman" w:hAnsi="Times New Roman" w:cs="Times New Roman"/>
                <w:color w:val="000000"/>
                <w:sz w:val="20"/>
              </w:rPr>
              <w:t>.</w:t>
            </w:r>
          </w:p>
          <w:p w14:paraId="3C5BF705" w14:textId="248F52C8" w:rsidR="00A66014" w:rsidRPr="00C91EA2" w:rsidRDefault="00A66014" w:rsidP="002F5637">
            <w:pPr>
              <w:jc w:val="both"/>
              <w:rPr>
                <w:rFonts w:ascii="Times New Roman" w:hAnsi="Times New Roman" w:cs="Times New Roman"/>
                <w:color w:val="000000"/>
                <w:sz w:val="20"/>
              </w:rPr>
            </w:pPr>
            <w:r w:rsidRPr="00D373FB">
              <w:rPr>
                <w:rFonts w:ascii="Times New Roman" w:hAnsi="Times New Roman" w:cs="Times New Roman"/>
                <w:color w:val="000000"/>
                <w:sz w:val="20"/>
              </w:rPr>
              <w:t xml:space="preserve"> </w:t>
            </w:r>
          </w:p>
        </w:tc>
        <w:tc>
          <w:tcPr>
            <w:tcW w:w="0" w:type="auto"/>
            <w:hideMark/>
          </w:tcPr>
          <w:p w14:paraId="2F204D8A"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0" w:type="auto"/>
            <w:hideMark/>
          </w:tcPr>
          <w:p w14:paraId="054B6EFE"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Med</w:t>
            </w:r>
            <w:r>
              <w:rPr>
                <w:rFonts w:ascii="Times New Roman" w:hAnsi="Times New Roman" w:cs="Times New Roman"/>
                <w:color w:val="000000"/>
                <w:sz w:val="20"/>
              </w:rPr>
              <w:t>ium</w:t>
            </w:r>
          </w:p>
        </w:tc>
      </w:tr>
      <w:tr w:rsidR="00A66014" w:rsidRPr="00C91EA2" w14:paraId="39587DFB" w14:textId="77777777" w:rsidTr="002F5637">
        <w:trPr>
          <w:cnfStyle w:val="000000100000" w:firstRow="0" w:lastRow="0" w:firstColumn="0" w:lastColumn="0" w:oddVBand="0" w:evenVBand="0" w:oddHBand="1" w:evenHBand="0" w:firstRowFirstColumn="0" w:firstRowLastColumn="0" w:lastRowFirstColumn="0" w:lastRowLastColumn="0"/>
          <w:trHeight w:val="543"/>
        </w:trPr>
        <w:tc>
          <w:tcPr>
            <w:tcW w:w="0" w:type="auto"/>
          </w:tcPr>
          <w:p w14:paraId="3696196C" w14:textId="1D590BC7" w:rsidR="00A66014" w:rsidRDefault="00A66014" w:rsidP="002F5637">
            <w:pPr>
              <w:jc w:val="both"/>
              <w:rPr>
                <w:rFonts w:ascii="Times New Roman" w:hAnsi="Times New Roman" w:cs="Times New Roman"/>
                <w:sz w:val="20"/>
              </w:rPr>
            </w:pPr>
            <w:proofErr w:type="gramStart"/>
            <w:r>
              <w:rPr>
                <w:rFonts w:ascii="Times New Roman" w:hAnsi="Times New Roman" w:cs="Times New Roman"/>
                <w:sz w:val="20"/>
              </w:rPr>
              <w:t>2.1</w:t>
            </w:r>
            <w:r w:rsidR="00374E4E">
              <w:rPr>
                <w:rFonts w:ascii="Times New Roman" w:hAnsi="Times New Roman" w:cs="Times New Roman"/>
                <w:sz w:val="20"/>
              </w:rPr>
              <w:t>3</w:t>
            </w:r>
            <w:r>
              <w:rPr>
                <w:rFonts w:ascii="Times New Roman" w:hAnsi="Times New Roman" w:cs="Times New Roman"/>
                <w:sz w:val="20"/>
              </w:rPr>
              <w:t xml:space="preserve"> </w:t>
            </w:r>
            <w:r w:rsidR="00654DE8">
              <w:rPr>
                <w:rFonts w:ascii="Times New Roman" w:hAnsi="Times New Roman" w:cs="Times New Roman"/>
                <w:sz w:val="20"/>
              </w:rPr>
              <w:t xml:space="preserve"> Clarify</w:t>
            </w:r>
            <w:proofErr w:type="gramEnd"/>
            <w:r w:rsidR="00654DE8">
              <w:rPr>
                <w:rFonts w:ascii="Times New Roman" w:hAnsi="Times New Roman" w:cs="Times New Roman"/>
                <w:sz w:val="20"/>
              </w:rPr>
              <w:t xml:space="preserve"> the regulatory regime applicable to State-owned infrastructure</w:t>
            </w:r>
            <w:r w:rsidR="00446499">
              <w:rPr>
                <w:rFonts w:ascii="Times New Roman" w:hAnsi="Times New Roman" w:cs="Times New Roman"/>
                <w:sz w:val="20"/>
              </w:rPr>
              <w:t xml:space="preserve"> </w:t>
            </w:r>
            <w:r w:rsidR="00654DE8">
              <w:rPr>
                <w:rFonts w:ascii="Times New Roman" w:hAnsi="Times New Roman" w:cs="Times New Roman"/>
                <w:sz w:val="20"/>
              </w:rPr>
              <w:t xml:space="preserve">to facilitate access </w:t>
            </w:r>
            <w:r w:rsidRPr="00D373FB">
              <w:rPr>
                <w:rFonts w:ascii="Times New Roman" w:hAnsi="Times New Roman" w:cs="Times New Roman"/>
                <w:sz w:val="20"/>
              </w:rPr>
              <w:t xml:space="preserve">(e.g. network of the </w:t>
            </w:r>
            <w:proofErr w:type="spellStart"/>
            <w:r w:rsidRPr="00D373FB">
              <w:rPr>
                <w:rFonts w:ascii="Times New Roman" w:hAnsi="Times New Roman" w:cs="Times New Roman"/>
                <w:sz w:val="20"/>
              </w:rPr>
              <w:t>Agence</w:t>
            </w:r>
            <w:proofErr w:type="spellEnd"/>
            <w:r w:rsidRPr="00D373FB">
              <w:rPr>
                <w:rFonts w:ascii="Times New Roman" w:hAnsi="Times New Roman" w:cs="Times New Roman"/>
                <w:sz w:val="20"/>
              </w:rPr>
              <w:t xml:space="preserve"> de </w:t>
            </w:r>
            <w:proofErr w:type="spellStart"/>
            <w:r w:rsidRPr="00D373FB">
              <w:rPr>
                <w:rFonts w:ascii="Times New Roman" w:hAnsi="Times New Roman" w:cs="Times New Roman"/>
                <w:sz w:val="20"/>
              </w:rPr>
              <w:t>l’Informatique</w:t>
            </w:r>
            <w:proofErr w:type="spellEnd"/>
            <w:r w:rsidRPr="00D373FB">
              <w:rPr>
                <w:rFonts w:ascii="Times New Roman" w:hAnsi="Times New Roman" w:cs="Times New Roman"/>
                <w:sz w:val="20"/>
              </w:rPr>
              <w:t xml:space="preserve"> de </w:t>
            </w:r>
            <w:proofErr w:type="spellStart"/>
            <w:r w:rsidRPr="00D373FB">
              <w:rPr>
                <w:rFonts w:ascii="Times New Roman" w:hAnsi="Times New Roman" w:cs="Times New Roman"/>
                <w:sz w:val="20"/>
              </w:rPr>
              <w:t>l’État</w:t>
            </w:r>
            <w:proofErr w:type="spellEnd"/>
            <w:r w:rsidRPr="00D373FB">
              <w:rPr>
                <w:rFonts w:ascii="Times New Roman" w:hAnsi="Times New Roman" w:cs="Times New Roman"/>
                <w:sz w:val="20"/>
              </w:rPr>
              <w:t xml:space="preserve"> - ADIE).</w:t>
            </w:r>
          </w:p>
          <w:p w14:paraId="71185F9E" w14:textId="2A73C695" w:rsidR="00847F11" w:rsidRPr="00C91EA2" w:rsidRDefault="00847F11" w:rsidP="002F5637">
            <w:pPr>
              <w:jc w:val="both"/>
              <w:rPr>
                <w:rFonts w:ascii="Times New Roman" w:hAnsi="Times New Roman" w:cs="Times New Roman"/>
                <w:color w:val="000000"/>
                <w:sz w:val="20"/>
              </w:rPr>
            </w:pPr>
          </w:p>
        </w:tc>
        <w:tc>
          <w:tcPr>
            <w:tcW w:w="0" w:type="auto"/>
          </w:tcPr>
          <w:p w14:paraId="4F1917CD"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0" w:type="auto"/>
          </w:tcPr>
          <w:p w14:paraId="10B2E06D"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Medium</w:t>
            </w:r>
          </w:p>
        </w:tc>
      </w:tr>
      <w:tr w:rsidR="00A66014" w:rsidRPr="00C91EA2" w14:paraId="30F37429" w14:textId="77777777" w:rsidTr="002F5637">
        <w:trPr>
          <w:trHeight w:val="543"/>
        </w:trPr>
        <w:tc>
          <w:tcPr>
            <w:tcW w:w="0" w:type="auto"/>
          </w:tcPr>
          <w:p w14:paraId="14BF0B0D" w14:textId="7C25A0CA" w:rsidR="00A66014" w:rsidRDefault="00A66014" w:rsidP="002F5637">
            <w:pPr>
              <w:jc w:val="both"/>
              <w:rPr>
                <w:rFonts w:ascii="Times New Roman" w:hAnsi="Times New Roman" w:cs="Times New Roman"/>
                <w:sz w:val="20"/>
              </w:rPr>
            </w:pPr>
            <w:r>
              <w:rPr>
                <w:rFonts w:ascii="Times New Roman" w:hAnsi="Times New Roman" w:cs="Times New Roman"/>
                <w:sz w:val="20"/>
              </w:rPr>
              <w:t>2.1</w:t>
            </w:r>
            <w:r w:rsidR="00374E4E">
              <w:rPr>
                <w:rFonts w:ascii="Times New Roman" w:hAnsi="Times New Roman" w:cs="Times New Roman"/>
                <w:sz w:val="20"/>
              </w:rPr>
              <w:t>4</w:t>
            </w:r>
            <w:r>
              <w:rPr>
                <w:rFonts w:ascii="Times New Roman" w:hAnsi="Times New Roman" w:cs="Times New Roman"/>
                <w:sz w:val="20"/>
              </w:rPr>
              <w:t xml:space="preserve"> </w:t>
            </w:r>
            <w:r w:rsidRPr="00FF1F10">
              <w:rPr>
                <w:rFonts w:ascii="Times New Roman" w:hAnsi="Times New Roman" w:cs="Times New Roman"/>
                <w:sz w:val="20"/>
              </w:rPr>
              <w:t xml:space="preserve">Consider regulating </w:t>
            </w:r>
            <w:proofErr w:type="spellStart"/>
            <w:r w:rsidRPr="00FF1F10">
              <w:rPr>
                <w:rFonts w:ascii="Times New Roman" w:hAnsi="Times New Roman" w:cs="Times New Roman"/>
                <w:sz w:val="20"/>
              </w:rPr>
              <w:t>Sonatel’s</w:t>
            </w:r>
            <w:proofErr w:type="spellEnd"/>
            <w:r w:rsidRPr="00FF1F10">
              <w:rPr>
                <w:rFonts w:ascii="Times New Roman" w:hAnsi="Times New Roman" w:cs="Times New Roman"/>
                <w:sz w:val="20"/>
              </w:rPr>
              <w:t xml:space="preserve"> passive infrastructure under open access principles (considering essential facilities).</w:t>
            </w:r>
          </w:p>
          <w:p w14:paraId="12E5CB7F" w14:textId="17578CBE" w:rsidR="00847F11" w:rsidRPr="00C91EA2" w:rsidRDefault="00847F11" w:rsidP="002F5637">
            <w:pPr>
              <w:jc w:val="both"/>
              <w:rPr>
                <w:rFonts w:ascii="Times New Roman" w:hAnsi="Times New Roman" w:cs="Times New Roman"/>
                <w:color w:val="000000"/>
                <w:sz w:val="20"/>
              </w:rPr>
            </w:pPr>
          </w:p>
        </w:tc>
        <w:tc>
          <w:tcPr>
            <w:tcW w:w="0" w:type="auto"/>
          </w:tcPr>
          <w:p w14:paraId="14BC7B4A" w14:textId="77777777" w:rsidR="00A66014" w:rsidRPr="00C91EA2" w:rsidRDefault="00A66014" w:rsidP="002F5637">
            <w:pPr>
              <w:jc w:val="both"/>
              <w:rPr>
                <w:rFonts w:ascii="Times New Roman" w:hAnsi="Times New Roman" w:cs="Times New Roman"/>
                <w:color w:val="000000"/>
                <w:sz w:val="20"/>
              </w:rPr>
            </w:pPr>
            <w:r w:rsidRPr="00C91EA2">
              <w:rPr>
                <w:rFonts w:ascii="Times New Roman" w:hAnsi="Times New Roman" w:cs="Times New Roman"/>
                <w:color w:val="000000"/>
                <w:sz w:val="20"/>
              </w:rPr>
              <w:t>ARTP</w:t>
            </w:r>
          </w:p>
        </w:tc>
        <w:tc>
          <w:tcPr>
            <w:tcW w:w="0" w:type="auto"/>
          </w:tcPr>
          <w:p w14:paraId="1DD2898C" w14:textId="77777777" w:rsidR="00A66014" w:rsidRPr="00C91EA2" w:rsidRDefault="00A66014" w:rsidP="002F5637">
            <w:pPr>
              <w:jc w:val="both"/>
              <w:rPr>
                <w:rFonts w:ascii="Times New Roman" w:hAnsi="Times New Roman" w:cs="Times New Roman"/>
                <w:color w:val="000000"/>
                <w:sz w:val="20"/>
              </w:rPr>
            </w:pPr>
            <w:r>
              <w:rPr>
                <w:rFonts w:ascii="Times New Roman" w:hAnsi="Times New Roman" w:cs="Times New Roman"/>
                <w:color w:val="000000"/>
                <w:sz w:val="20"/>
              </w:rPr>
              <w:t>Medium</w:t>
            </w:r>
          </w:p>
        </w:tc>
      </w:tr>
      <w:tr w:rsidR="00A66014" w:rsidRPr="00C91EA2" w14:paraId="7926530A" w14:textId="77777777" w:rsidTr="002F5637">
        <w:trPr>
          <w:cnfStyle w:val="000000100000" w:firstRow="0" w:lastRow="0" w:firstColumn="0" w:lastColumn="0" w:oddVBand="0" w:evenVBand="0" w:oddHBand="1" w:evenHBand="0" w:firstRowFirstColumn="0" w:firstRowLastColumn="0" w:lastRowFirstColumn="0" w:lastRowLastColumn="0"/>
          <w:trHeight w:val="300"/>
        </w:trPr>
        <w:tc>
          <w:tcPr>
            <w:tcW w:w="0" w:type="auto"/>
            <w:shd w:val="clear" w:color="auto" w:fill="4F81BD" w:themeFill="accent1"/>
            <w:hideMark/>
          </w:tcPr>
          <w:p w14:paraId="06BC1A7F" w14:textId="77777777" w:rsidR="00A66014" w:rsidRPr="00287C82" w:rsidRDefault="00A66014" w:rsidP="002F5637">
            <w:pPr>
              <w:rPr>
                <w:rFonts w:ascii="Times New Roman" w:hAnsi="Times New Roman" w:cs="Times New Roman"/>
                <w:b/>
                <w:color w:val="FFFFFF" w:themeColor="background1"/>
                <w:sz w:val="20"/>
              </w:rPr>
            </w:pPr>
            <w:r w:rsidRPr="00D6708A">
              <w:rPr>
                <w:rFonts w:ascii="Times New Roman" w:hAnsi="Times New Roman" w:cs="Times New Roman"/>
                <w:b/>
                <w:color w:val="FFFFFF" w:themeColor="background1"/>
                <w:sz w:val="20"/>
              </w:rPr>
              <w:t>Recommendations on boosting competition between last mile providers e.g. ISPs/MVNOs</w:t>
            </w:r>
          </w:p>
        </w:tc>
        <w:tc>
          <w:tcPr>
            <w:tcW w:w="0" w:type="auto"/>
            <w:shd w:val="clear" w:color="auto" w:fill="4F81BD" w:themeFill="accent1"/>
            <w:hideMark/>
          </w:tcPr>
          <w:p w14:paraId="79512631" w14:textId="77777777" w:rsidR="00A66014" w:rsidRPr="00287C82" w:rsidRDefault="00A66014" w:rsidP="002F5637">
            <w:pPr>
              <w:rPr>
                <w:rFonts w:ascii="Times New Roman" w:hAnsi="Times New Roman" w:cs="Times New Roman"/>
                <w:b/>
                <w:color w:val="FFFFFF" w:themeColor="background1"/>
                <w:sz w:val="20"/>
              </w:rPr>
            </w:pPr>
            <w:r w:rsidRPr="00287C82">
              <w:rPr>
                <w:rFonts w:ascii="Times New Roman" w:hAnsi="Times New Roman" w:cs="Times New Roman"/>
                <w:b/>
                <w:color w:val="FFFFFF" w:themeColor="background1"/>
                <w:sz w:val="20"/>
              </w:rPr>
              <w:t>Responsibility</w:t>
            </w:r>
          </w:p>
        </w:tc>
        <w:tc>
          <w:tcPr>
            <w:tcW w:w="0" w:type="auto"/>
            <w:shd w:val="clear" w:color="auto" w:fill="4F81BD" w:themeFill="accent1"/>
            <w:hideMark/>
          </w:tcPr>
          <w:p w14:paraId="39331E83" w14:textId="77777777" w:rsidR="00A66014" w:rsidRPr="00287C82" w:rsidRDefault="00A66014" w:rsidP="002F5637">
            <w:pPr>
              <w:rPr>
                <w:rFonts w:ascii="Times New Roman" w:hAnsi="Times New Roman" w:cs="Times New Roman"/>
                <w:b/>
                <w:color w:val="FFFFFF" w:themeColor="background1"/>
                <w:sz w:val="20"/>
              </w:rPr>
            </w:pPr>
            <w:r w:rsidRPr="00287C82">
              <w:rPr>
                <w:rFonts w:ascii="Times New Roman" w:hAnsi="Times New Roman" w:cs="Times New Roman"/>
                <w:b/>
                <w:color w:val="FFFFFF" w:themeColor="background1"/>
                <w:sz w:val="20"/>
              </w:rPr>
              <w:t>Priority</w:t>
            </w:r>
          </w:p>
        </w:tc>
      </w:tr>
      <w:tr w:rsidR="00A66014" w:rsidRPr="00C91EA2" w14:paraId="705FB077" w14:textId="77777777" w:rsidTr="002F5637">
        <w:trPr>
          <w:trHeight w:val="1539"/>
        </w:trPr>
        <w:tc>
          <w:tcPr>
            <w:tcW w:w="0" w:type="auto"/>
            <w:hideMark/>
          </w:tcPr>
          <w:p w14:paraId="4E4CA376" w14:textId="4A965ADF" w:rsidR="00A66014" w:rsidRPr="00D6708A" w:rsidRDefault="00A66014" w:rsidP="002F5637">
            <w:pPr>
              <w:rPr>
                <w:rFonts w:ascii="Times New Roman" w:hAnsi="Times New Roman" w:cs="Times New Roman"/>
                <w:color w:val="000000"/>
                <w:sz w:val="20"/>
              </w:rPr>
            </w:pPr>
            <w:r>
              <w:rPr>
                <w:rFonts w:ascii="Times New Roman" w:hAnsi="Times New Roman" w:cs="Times New Roman"/>
                <w:bCs/>
                <w:color w:val="000000"/>
                <w:sz w:val="20"/>
              </w:rPr>
              <w:t>2.1</w:t>
            </w:r>
            <w:r w:rsidR="00654DE8">
              <w:rPr>
                <w:rFonts w:ascii="Times New Roman" w:hAnsi="Times New Roman" w:cs="Times New Roman"/>
                <w:bCs/>
                <w:color w:val="000000"/>
                <w:sz w:val="20"/>
              </w:rPr>
              <w:t>5</w:t>
            </w:r>
            <w:r w:rsidRPr="009123D0">
              <w:rPr>
                <w:rFonts w:ascii="Times New Roman" w:hAnsi="Times New Roman" w:cs="Times New Roman"/>
                <w:bCs/>
                <w:color w:val="000000"/>
                <w:sz w:val="20"/>
              </w:rPr>
              <w:t xml:space="preserve"> </w:t>
            </w:r>
            <w:r w:rsidRPr="00D6708A">
              <w:rPr>
                <w:rFonts w:ascii="Times New Roman" w:hAnsi="Times New Roman" w:cs="Times New Roman"/>
                <w:color w:val="000000"/>
                <w:sz w:val="20"/>
              </w:rPr>
              <w:t>Rationalize administrative control of entry for ISPs and MVNOs.</w:t>
            </w:r>
          </w:p>
          <w:p w14:paraId="7D84A009" w14:textId="77777777" w:rsidR="00A44531" w:rsidRPr="007575D7" w:rsidRDefault="00A44531" w:rsidP="007575D7">
            <w:pPr>
              <w:rPr>
                <w:rFonts w:ascii="Times New Roman" w:hAnsi="Times New Roman" w:cs="Times New Roman"/>
                <w:color w:val="000000"/>
                <w:sz w:val="20"/>
              </w:rPr>
            </w:pPr>
          </w:p>
          <w:p w14:paraId="16F7DA1F" w14:textId="663169B7" w:rsidR="00BA1D0A" w:rsidRPr="00A44531" w:rsidRDefault="00BA1D0A" w:rsidP="007575D7">
            <w:pPr>
              <w:pStyle w:val="ListParagraph"/>
              <w:numPr>
                <w:ilvl w:val="0"/>
                <w:numId w:val="147"/>
              </w:numPr>
              <w:jc w:val="both"/>
              <w:rPr>
                <w:rFonts w:ascii="Times New Roman" w:hAnsi="Times New Roman" w:cs="Times New Roman"/>
                <w:color w:val="000000"/>
                <w:sz w:val="20"/>
              </w:rPr>
            </w:pPr>
            <w:r w:rsidRPr="007575D7">
              <w:rPr>
                <w:rFonts w:ascii="Times New Roman" w:hAnsi="Times New Roman" w:cs="Times New Roman"/>
                <w:color w:val="000000"/>
                <w:sz w:val="20"/>
              </w:rPr>
              <w:t>The</w:t>
            </w:r>
            <w:r w:rsidRPr="00A44531">
              <w:rPr>
                <w:rFonts w:ascii="Times New Roman" w:hAnsi="Times New Roman" w:cs="Times New Roman"/>
                <w:b/>
                <w:bCs/>
                <w:color w:val="000000"/>
                <w:sz w:val="20"/>
              </w:rPr>
              <w:t xml:space="preserve"> </w:t>
            </w:r>
            <w:r w:rsidRPr="007575D7">
              <w:rPr>
                <w:rFonts w:ascii="Times New Roman" w:hAnsi="Times New Roman" w:cs="Times New Roman"/>
                <w:color w:val="000000"/>
                <w:sz w:val="20"/>
              </w:rPr>
              <w:t>scope of the authorization regime should be broadened so that it applies to all administrative procedures where no scarce resources, such as frequencies, are involved. Market entry by MVNOs should only be subject to a general authorization regime</w:t>
            </w:r>
            <w:r w:rsidR="00847F11">
              <w:rPr>
                <w:rFonts w:ascii="Times New Roman" w:hAnsi="Times New Roman" w:cs="Times New Roman"/>
                <w:color w:val="000000"/>
                <w:sz w:val="20"/>
              </w:rPr>
              <w:t>.</w:t>
            </w:r>
          </w:p>
          <w:p w14:paraId="6D27D762" w14:textId="0528EFA9" w:rsidR="00A66014" w:rsidRPr="00F3546A" w:rsidRDefault="00A66014" w:rsidP="007575D7">
            <w:pPr>
              <w:pStyle w:val="ListParagraph"/>
              <w:numPr>
                <w:ilvl w:val="0"/>
                <w:numId w:val="147"/>
              </w:numPr>
              <w:jc w:val="both"/>
              <w:rPr>
                <w:rFonts w:ascii="Times New Roman" w:hAnsi="Times New Roman" w:cs="Times New Roman"/>
                <w:color w:val="000000"/>
                <w:sz w:val="20"/>
              </w:rPr>
            </w:pPr>
            <w:r w:rsidRPr="00F3546A">
              <w:rPr>
                <w:rFonts w:ascii="Times New Roman" w:hAnsi="Times New Roman" w:cs="Times New Roman"/>
                <w:color w:val="000000"/>
                <w:sz w:val="20"/>
              </w:rPr>
              <w:t>Continue the process of streamlining entry by setting a general authorization regime with minimal requirements at any time for the facilities-based or services-based operators without quantitative limitation</w:t>
            </w:r>
            <w:r w:rsidR="00847F11">
              <w:rPr>
                <w:rFonts w:ascii="Times New Roman" w:hAnsi="Times New Roman" w:cs="Times New Roman"/>
                <w:color w:val="000000"/>
                <w:sz w:val="20"/>
              </w:rPr>
              <w:t>s,</w:t>
            </w:r>
            <w:r w:rsidRPr="00F3546A">
              <w:rPr>
                <w:rFonts w:ascii="Times New Roman" w:hAnsi="Times New Roman" w:cs="Times New Roman"/>
                <w:color w:val="000000"/>
                <w:sz w:val="20"/>
              </w:rPr>
              <w:t xml:space="preserve"> geographical restriction</w:t>
            </w:r>
            <w:r w:rsidR="00847F11">
              <w:rPr>
                <w:rFonts w:ascii="Times New Roman" w:hAnsi="Times New Roman" w:cs="Times New Roman"/>
                <w:color w:val="000000"/>
                <w:sz w:val="20"/>
              </w:rPr>
              <w:t>s, and undue technological restrictions</w:t>
            </w:r>
            <w:r w:rsidRPr="00F3546A">
              <w:rPr>
                <w:rFonts w:ascii="Times New Roman" w:hAnsi="Times New Roman" w:cs="Times New Roman"/>
                <w:color w:val="000000"/>
                <w:sz w:val="20"/>
              </w:rPr>
              <w:t>.</w:t>
            </w:r>
          </w:p>
          <w:p w14:paraId="2C7EAB8F" w14:textId="59AEA0AC" w:rsidR="00A66014" w:rsidRPr="00F3546A" w:rsidRDefault="00A66014" w:rsidP="007575D7">
            <w:pPr>
              <w:pStyle w:val="ListParagraph"/>
              <w:numPr>
                <w:ilvl w:val="0"/>
                <w:numId w:val="147"/>
              </w:numPr>
              <w:jc w:val="both"/>
              <w:rPr>
                <w:rFonts w:ascii="Times New Roman" w:hAnsi="Times New Roman" w:cs="Times New Roman"/>
                <w:color w:val="000000"/>
                <w:sz w:val="20"/>
              </w:rPr>
            </w:pPr>
            <w:r w:rsidRPr="00F3546A">
              <w:rPr>
                <w:rFonts w:ascii="Times New Roman" w:hAnsi="Times New Roman" w:cs="Times New Roman"/>
                <w:color w:val="000000"/>
                <w:sz w:val="20"/>
              </w:rPr>
              <w:t>Only scarce frequencies, some infrastructure segments and some areas (low density) (which would be identified by ARTP after in-depth specific analysis)</w:t>
            </w:r>
            <w:r w:rsidR="00A44531">
              <w:rPr>
                <w:rFonts w:ascii="Times New Roman" w:hAnsi="Times New Roman" w:cs="Times New Roman"/>
                <w:color w:val="000000"/>
                <w:sz w:val="20"/>
              </w:rPr>
              <w:t xml:space="preserve"> should</w:t>
            </w:r>
            <w:r w:rsidRPr="00F3546A">
              <w:rPr>
                <w:rFonts w:ascii="Times New Roman" w:hAnsi="Times New Roman" w:cs="Times New Roman"/>
                <w:color w:val="000000"/>
                <w:sz w:val="20"/>
              </w:rPr>
              <w:t xml:space="preserve"> require calls for tenders</w:t>
            </w:r>
            <w:r w:rsidR="00847F11">
              <w:rPr>
                <w:rFonts w:ascii="Times New Roman" w:hAnsi="Times New Roman" w:cs="Times New Roman"/>
                <w:color w:val="000000"/>
                <w:sz w:val="20"/>
              </w:rPr>
              <w:t>.</w:t>
            </w:r>
          </w:p>
          <w:p w14:paraId="12886897" w14:textId="0E7EE749" w:rsidR="00A66014" w:rsidRPr="00F3546A" w:rsidRDefault="00A44531" w:rsidP="002F5637">
            <w:pPr>
              <w:pStyle w:val="ListParagraph"/>
              <w:numPr>
                <w:ilvl w:val="0"/>
                <w:numId w:val="147"/>
              </w:numPr>
              <w:rPr>
                <w:rFonts w:ascii="Times New Roman" w:hAnsi="Times New Roman" w:cs="Times New Roman"/>
                <w:color w:val="000000"/>
                <w:sz w:val="20"/>
              </w:rPr>
            </w:pPr>
            <w:r>
              <w:rPr>
                <w:rFonts w:ascii="Times New Roman" w:hAnsi="Times New Roman" w:cs="Times New Roman"/>
                <w:color w:val="000000"/>
                <w:sz w:val="20"/>
              </w:rPr>
              <w:t>There should be no decision</w:t>
            </w:r>
            <w:r w:rsidR="00A66014" w:rsidRPr="00F3546A">
              <w:rPr>
                <w:rFonts w:ascii="Times New Roman" w:hAnsi="Times New Roman" w:cs="Times New Roman"/>
                <w:color w:val="000000"/>
                <w:sz w:val="20"/>
              </w:rPr>
              <w:t xml:space="preserve"> on </w:t>
            </w:r>
            <w:r>
              <w:rPr>
                <w:rFonts w:ascii="Times New Roman" w:hAnsi="Times New Roman" w:cs="Times New Roman"/>
                <w:color w:val="000000"/>
                <w:sz w:val="20"/>
              </w:rPr>
              <w:t xml:space="preserve">the </w:t>
            </w:r>
            <w:r w:rsidR="00A66014" w:rsidRPr="00F3546A">
              <w:rPr>
                <w:rFonts w:ascii="Times New Roman" w:hAnsi="Times New Roman" w:cs="Times New Roman"/>
                <w:color w:val="000000"/>
                <w:sz w:val="20"/>
              </w:rPr>
              <w:t>number of market players when no scarce resources (spectrum) are involved</w:t>
            </w:r>
            <w:r w:rsidR="00847F11">
              <w:rPr>
                <w:rFonts w:ascii="Times New Roman" w:hAnsi="Times New Roman" w:cs="Times New Roman"/>
                <w:color w:val="000000"/>
                <w:sz w:val="20"/>
              </w:rPr>
              <w:t>.</w:t>
            </w:r>
          </w:p>
          <w:p w14:paraId="19BB450D" w14:textId="77777777" w:rsidR="00A66014" w:rsidRDefault="00A66014" w:rsidP="007575D7">
            <w:pPr>
              <w:numPr>
                <w:ilvl w:val="0"/>
                <w:numId w:val="95"/>
              </w:numPr>
              <w:jc w:val="both"/>
              <w:rPr>
                <w:rFonts w:ascii="Times New Roman" w:hAnsi="Times New Roman" w:cs="Times New Roman"/>
                <w:color w:val="000000"/>
                <w:sz w:val="20"/>
              </w:rPr>
            </w:pPr>
            <w:r w:rsidRPr="00D6708A">
              <w:rPr>
                <w:rFonts w:ascii="Times New Roman" w:hAnsi="Times New Roman" w:cs="Times New Roman"/>
                <w:color w:val="000000"/>
                <w:sz w:val="20"/>
              </w:rPr>
              <w:t xml:space="preserve">Ensure a technical and agile assessment for granting licenses by ARTP and the </w:t>
            </w:r>
            <w:r w:rsidR="0084733E" w:rsidRPr="0084733E">
              <w:rPr>
                <w:rFonts w:ascii="Times New Roman" w:hAnsi="Times New Roman" w:cs="Times New Roman"/>
                <w:color w:val="000000"/>
                <w:sz w:val="20"/>
              </w:rPr>
              <w:t>Commission with representatives from the Government and the President of the Republic</w:t>
            </w:r>
            <w:r w:rsidR="00847F11">
              <w:rPr>
                <w:rFonts w:ascii="Times New Roman" w:hAnsi="Times New Roman" w:cs="Times New Roman"/>
                <w:color w:val="000000"/>
                <w:sz w:val="20"/>
              </w:rPr>
              <w:t>.</w:t>
            </w:r>
          </w:p>
          <w:p w14:paraId="162121F4" w14:textId="066CDF32" w:rsidR="00847F11" w:rsidRPr="00C91EA2" w:rsidRDefault="00847F11" w:rsidP="007575D7">
            <w:pPr>
              <w:ind w:left="720"/>
              <w:jc w:val="both"/>
              <w:rPr>
                <w:rFonts w:ascii="Times New Roman" w:hAnsi="Times New Roman" w:cs="Times New Roman"/>
                <w:color w:val="000000"/>
                <w:sz w:val="20"/>
              </w:rPr>
            </w:pPr>
          </w:p>
        </w:tc>
        <w:tc>
          <w:tcPr>
            <w:tcW w:w="0" w:type="auto"/>
            <w:hideMark/>
          </w:tcPr>
          <w:p w14:paraId="102050DB" w14:textId="77777777" w:rsidR="00A66014" w:rsidRPr="00C91EA2" w:rsidRDefault="00A66014" w:rsidP="002F5637">
            <w:pPr>
              <w:rPr>
                <w:rFonts w:ascii="Times New Roman" w:hAnsi="Times New Roman" w:cs="Times New Roman"/>
                <w:color w:val="000000"/>
                <w:sz w:val="20"/>
              </w:rPr>
            </w:pPr>
            <w:r w:rsidRPr="00C91EA2">
              <w:rPr>
                <w:rFonts w:ascii="Times New Roman" w:hAnsi="Times New Roman" w:cs="Times New Roman"/>
                <w:color w:val="000000"/>
                <w:sz w:val="20"/>
              </w:rPr>
              <w:t>MPT and ARTP</w:t>
            </w:r>
          </w:p>
        </w:tc>
        <w:tc>
          <w:tcPr>
            <w:tcW w:w="0" w:type="auto"/>
            <w:hideMark/>
          </w:tcPr>
          <w:p w14:paraId="42CA9269" w14:textId="77777777" w:rsidR="00A66014" w:rsidRPr="00C91EA2" w:rsidRDefault="00A66014" w:rsidP="002F5637">
            <w:pPr>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A66014" w:rsidRPr="00C91EA2" w14:paraId="040A3866" w14:textId="77777777" w:rsidTr="002F5637">
        <w:trPr>
          <w:cnfStyle w:val="000000100000" w:firstRow="0" w:lastRow="0" w:firstColumn="0" w:lastColumn="0" w:oddVBand="0" w:evenVBand="0" w:oddHBand="1" w:evenHBand="0" w:firstRowFirstColumn="0" w:firstRowLastColumn="0" w:lastRowFirstColumn="0" w:lastRowLastColumn="0"/>
          <w:trHeight w:val="200"/>
        </w:trPr>
        <w:tc>
          <w:tcPr>
            <w:tcW w:w="0" w:type="auto"/>
            <w:shd w:val="clear" w:color="auto" w:fill="4F81BD" w:themeFill="accent1"/>
            <w:hideMark/>
          </w:tcPr>
          <w:p w14:paraId="2201BBC5" w14:textId="77777777" w:rsidR="00A66014" w:rsidRPr="00287C82" w:rsidRDefault="00A66014" w:rsidP="002F5637">
            <w:pPr>
              <w:rPr>
                <w:rFonts w:ascii="Times New Roman" w:hAnsi="Times New Roman" w:cs="Times New Roman"/>
                <w:b/>
                <w:color w:val="FFFFFF" w:themeColor="background1"/>
                <w:sz w:val="20"/>
              </w:rPr>
            </w:pPr>
            <w:r w:rsidRPr="00D6708A">
              <w:rPr>
                <w:rFonts w:ascii="Times New Roman" w:hAnsi="Times New Roman" w:cs="Times New Roman"/>
                <w:b/>
                <w:color w:val="FFFFFF" w:themeColor="background1"/>
                <w:sz w:val="20"/>
              </w:rPr>
              <w:t>Recommendations on strengthening spectrum management</w:t>
            </w:r>
          </w:p>
        </w:tc>
        <w:tc>
          <w:tcPr>
            <w:tcW w:w="0" w:type="auto"/>
            <w:shd w:val="clear" w:color="auto" w:fill="4F81BD" w:themeFill="accent1"/>
            <w:hideMark/>
          </w:tcPr>
          <w:p w14:paraId="378D35D4" w14:textId="77777777" w:rsidR="00A66014" w:rsidRPr="00287C82" w:rsidRDefault="00A66014" w:rsidP="002F5637">
            <w:pPr>
              <w:rPr>
                <w:rFonts w:ascii="Times New Roman" w:hAnsi="Times New Roman" w:cs="Times New Roman"/>
                <w:b/>
                <w:color w:val="FFFFFF" w:themeColor="background1"/>
                <w:sz w:val="20"/>
              </w:rPr>
            </w:pPr>
            <w:r w:rsidRPr="00287C82">
              <w:rPr>
                <w:rFonts w:ascii="Times New Roman" w:hAnsi="Times New Roman" w:cs="Times New Roman"/>
                <w:b/>
                <w:color w:val="FFFFFF" w:themeColor="background1"/>
                <w:sz w:val="20"/>
              </w:rPr>
              <w:t>Responsibility</w:t>
            </w:r>
          </w:p>
        </w:tc>
        <w:tc>
          <w:tcPr>
            <w:tcW w:w="0" w:type="auto"/>
            <w:shd w:val="clear" w:color="auto" w:fill="4F81BD" w:themeFill="accent1"/>
            <w:hideMark/>
          </w:tcPr>
          <w:p w14:paraId="3F56E7DF" w14:textId="77777777" w:rsidR="00A66014" w:rsidRPr="00287C82" w:rsidRDefault="00A66014" w:rsidP="002F5637">
            <w:pPr>
              <w:rPr>
                <w:rFonts w:ascii="Times New Roman" w:hAnsi="Times New Roman" w:cs="Times New Roman"/>
                <w:b/>
                <w:color w:val="FFFFFF" w:themeColor="background1"/>
                <w:sz w:val="20"/>
              </w:rPr>
            </w:pPr>
            <w:r w:rsidRPr="00287C82">
              <w:rPr>
                <w:rFonts w:ascii="Times New Roman" w:hAnsi="Times New Roman" w:cs="Times New Roman"/>
                <w:b/>
                <w:color w:val="FFFFFF" w:themeColor="background1"/>
                <w:sz w:val="20"/>
              </w:rPr>
              <w:t>Priority</w:t>
            </w:r>
          </w:p>
        </w:tc>
      </w:tr>
      <w:tr w:rsidR="00A66014" w:rsidRPr="00C91EA2" w14:paraId="193D2DBD" w14:textId="77777777" w:rsidTr="002F5637">
        <w:trPr>
          <w:trHeight w:val="410"/>
        </w:trPr>
        <w:tc>
          <w:tcPr>
            <w:tcW w:w="0" w:type="auto"/>
            <w:hideMark/>
          </w:tcPr>
          <w:p w14:paraId="17224120" w14:textId="44DE34B5" w:rsidR="00A66014" w:rsidRPr="00D6708A" w:rsidRDefault="00A66014" w:rsidP="007575D7">
            <w:pPr>
              <w:jc w:val="both"/>
              <w:rPr>
                <w:rFonts w:ascii="Times New Roman" w:hAnsi="Times New Roman" w:cs="Times New Roman"/>
                <w:color w:val="000000"/>
                <w:sz w:val="20"/>
              </w:rPr>
            </w:pPr>
            <w:r>
              <w:rPr>
                <w:rFonts w:ascii="Times New Roman" w:hAnsi="Times New Roman" w:cs="Times New Roman"/>
                <w:color w:val="000000"/>
                <w:sz w:val="20"/>
              </w:rPr>
              <w:t>2.1</w:t>
            </w:r>
            <w:r w:rsidR="00654DE8">
              <w:rPr>
                <w:rFonts w:ascii="Times New Roman" w:hAnsi="Times New Roman" w:cs="Times New Roman"/>
                <w:color w:val="000000"/>
                <w:sz w:val="20"/>
              </w:rPr>
              <w:t>6</w:t>
            </w:r>
            <w:r w:rsidR="00FC6157">
              <w:rPr>
                <w:rFonts w:ascii="Times New Roman" w:hAnsi="Times New Roman" w:cs="Times New Roman"/>
                <w:color w:val="000000"/>
                <w:sz w:val="20"/>
              </w:rPr>
              <w:t xml:space="preserve"> </w:t>
            </w:r>
            <w:r w:rsidR="00FC6157" w:rsidRPr="007575D7">
              <w:rPr>
                <w:rFonts w:ascii="Times New Roman" w:hAnsi="Times New Roman" w:cs="Times New Roman"/>
                <w:color w:val="000000"/>
                <w:sz w:val="20"/>
              </w:rPr>
              <w:t>Design a spectrum management policy so to facilitate the access to spectrum to those operators that will use spectrum in the most efficient way and considering technology neutrality.</w:t>
            </w:r>
            <w:r w:rsidR="00FC6157" w:rsidRPr="00FC6157">
              <w:rPr>
                <w:rFonts w:ascii="Times New Roman" w:hAnsi="Times New Roman"/>
                <w:b/>
                <w:bCs/>
                <w:color w:val="000000"/>
              </w:rPr>
              <w:t xml:space="preserve"> </w:t>
            </w:r>
            <w:r w:rsidRPr="00C91EA2">
              <w:rPr>
                <w:rFonts w:ascii="Times New Roman" w:hAnsi="Times New Roman" w:cs="Times New Roman"/>
                <w:color w:val="000000"/>
                <w:sz w:val="20"/>
              </w:rPr>
              <w:t xml:space="preserve"> </w:t>
            </w:r>
          </w:p>
          <w:p w14:paraId="51C5FDBD" w14:textId="10F017AA" w:rsidR="00A66014" w:rsidRPr="00F3546A" w:rsidRDefault="00A66014" w:rsidP="007575D7">
            <w:pPr>
              <w:pStyle w:val="ListParagraph"/>
              <w:rPr>
                <w:rFonts w:ascii="Times New Roman" w:hAnsi="Times New Roman" w:cs="Times New Roman"/>
                <w:color w:val="000000"/>
                <w:sz w:val="20"/>
              </w:rPr>
            </w:pPr>
          </w:p>
        </w:tc>
        <w:tc>
          <w:tcPr>
            <w:tcW w:w="0" w:type="auto"/>
            <w:hideMark/>
          </w:tcPr>
          <w:p w14:paraId="33A42529" w14:textId="77777777" w:rsidR="00A66014" w:rsidRPr="00C91EA2" w:rsidRDefault="00A66014" w:rsidP="002F5637">
            <w:pPr>
              <w:rPr>
                <w:rFonts w:ascii="Times New Roman" w:hAnsi="Times New Roman" w:cs="Times New Roman"/>
                <w:color w:val="000000"/>
                <w:sz w:val="20"/>
              </w:rPr>
            </w:pPr>
            <w:r w:rsidRPr="00C91EA2">
              <w:rPr>
                <w:rFonts w:ascii="Times New Roman" w:hAnsi="Times New Roman" w:cs="Times New Roman"/>
                <w:color w:val="000000"/>
                <w:sz w:val="20"/>
              </w:rPr>
              <w:t>MPT and ARTP</w:t>
            </w:r>
          </w:p>
        </w:tc>
        <w:tc>
          <w:tcPr>
            <w:tcW w:w="0" w:type="auto"/>
            <w:hideMark/>
          </w:tcPr>
          <w:p w14:paraId="3B32719B" w14:textId="77777777" w:rsidR="00A66014" w:rsidRPr="00C91EA2" w:rsidRDefault="00A66014" w:rsidP="002F5637">
            <w:pPr>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A66014" w:rsidRPr="00C91EA2" w14:paraId="74DFFEB6" w14:textId="77777777" w:rsidTr="002F5637">
        <w:trPr>
          <w:cnfStyle w:val="000000100000" w:firstRow="0" w:lastRow="0" w:firstColumn="0" w:lastColumn="0" w:oddVBand="0" w:evenVBand="0" w:oddHBand="1" w:evenHBand="0" w:firstRowFirstColumn="0" w:firstRowLastColumn="0" w:lastRowFirstColumn="0" w:lastRowLastColumn="0"/>
          <w:trHeight w:val="776"/>
        </w:trPr>
        <w:tc>
          <w:tcPr>
            <w:tcW w:w="0" w:type="auto"/>
            <w:hideMark/>
          </w:tcPr>
          <w:p w14:paraId="5B106AC0" w14:textId="119AE612" w:rsidR="00A66014" w:rsidRPr="00C91EA2" w:rsidRDefault="00A66014" w:rsidP="007575D7">
            <w:pPr>
              <w:jc w:val="both"/>
              <w:rPr>
                <w:rFonts w:ascii="Times New Roman" w:hAnsi="Times New Roman" w:cs="Times New Roman"/>
                <w:color w:val="000000"/>
                <w:sz w:val="20"/>
              </w:rPr>
            </w:pPr>
            <w:r>
              <w:rPr>
                <w:rFonts w:ascii="Times New Roman" w:hAnsi="Times New Roman" w:cs="Times New Roman"/>
                <w:color w:val="000000"/>
                <w:sz w:val="20"/>
              </w:rPr>
              <w:t>2.1</w:t>
            </w:r>
            <w:r w:rsidR="00654DE8">
              <w:rPr>
                <w:rFonts w:ascii="Times New Roman" w:hAnsi="Times New Roman" w:cs="Times New Roman"/>
                <w:color w:val="000000"/>
                <w:sz w:val="20"/>
              </w:rPr>
              <w:t>7</w:t>
            </w:r>
            <w:r w:rsidRPr="00C91EA2">
              <w:rPr>
                <w:rFonts w:ascii="Times New Roman" w:hAnsi="Times New Roman" w:cs="Times New Roman"/>
                <w:color w:val="000000"/>
                <w:sz w:val="20"/>
              </w:rPr>
              <w:t xml:space="preserve"> </w:t>
            </w:r>
            <w:r w:rsidRPr="00D6708A">
              <w:rPr>
                <w:rFonts w:ascii="Times New Roman" w:hAnsi="Times New Roman" w:cs="Times New Roman"/>
                <w:color w:val="000000"/>
                <w:sz w:val="20"/>
              </w:rPr>
              <w:t>Design and adopt open competitive tenders for spectrum assignment, with provisions to allow for new entry</w:t>
            </w:r>
            <w:r w:rsidR="00FC6157">
              <w:rPr>
                <w:rFonts w:ascii="Times New Roman" w:hAnsi="Times New Roman" w:cs="Times New Roman"/>
                <w:color w:val="000000"/>
                <w:sz w:val="20"/>
              </w:rPr>
              <w:t>.</w:t>
            </w:r>
            <w:r w:rsidRPr="00D6708A">
              <w:rPr>
                <w:rFonts w:ascii="Times New Roman" w:hAnsi="Times New Roman" w:cs="Times New Roman"/>
                <w:color w:val="000000"/>
                <w:sz w:val="20"/>
              </w:rPr>
              <w:t xml:space="preserve"> </w:t>
            </w:r>
          </w:p>
        </w:tc>
        <w:tc>
          <w:tcPr>
            <w:tcW w:w="0" w:type="auto"/>
            <w:hideMark/>
          </w:tcPr>
          <w:p w14:paraId="1FDC1F58" w14:textId="77777777" w:rsidR="00A66014" w:rsidRPr="00C91EA2" w:rsidRDefault="00A66014" w:rsidP="002F5637">
            <w:pPr>
              <w:rPr>
                <w:rFonts w:ascii="Times New Roman" w:hAnsi="Times New Roman" w:cs="Times New Roman"/>
                <w:color w:val="000000"/>
                <w:sz w:val="20"/>
              </w:rPr>
            </w:pPr>
            <w:r w:rsidRPr="00D6708A">
              <w:rPr>
                <w:rFonts w:ascii="Times New Roman" w:hAnsi="Times New Roman" w:cs="Times New Roman"/>
                <w:color w:val="000000"/>
                <w:sz w:val="20"/>
              </w:rPr>
              <w:t>ARTP &amp; spectrum management agency (MPT)</w:t>
            </w:r>
            <w:r w:rsidRPr="00C91EA2">
              <w:rPr>
                <w:rFonts w:ascii="Times New Roman" w:hAnsi="Times New Roman" w:cs="Times New Roman"/>
                <w:color w:val="000000"/>
                <w:sz w:val="20"/>
              </w:rPr>
              <w:t xml:space="preserve"> </w:t>
            </w:r>
          </w:p>
        </w:tc>
        <w:tc>
          <w:tcPr>
            <w:tcW w:w="0" w:type="auto"/>
            <w:hideMark/>
          </w:tcPr>
          <w:p w14:paraId="5AAB3368" w14:textId="77777777" w:rsidR="00A66014" w:rsidRPr="00C91EA2" w:rsidRDefault="00A66014" w:rsidP="002F5637">
            <w:pPr>
              <w:rPr>
                <w:rFonts w:ascii="Times New Roman" w:hAnsi="Times New Roman" w:cs="Times New Roman"/>
                <w:color w:val="000000"/>
                <w:sz w:val="20"/>
              </w:rPr>
            </w:pPr>
            <w:r w:rsidRPr="00C91EA2">
              <w:rPr>
                <w:rFonts w:ascii="Times New Roman" w:hAnsi="Times New Roman" w:cs="Times New Roman"/>
                <w:color w:val="000000"/>
                <w:sz w:val="20"/>
              </w:rPr>
              <w:t>High</w:t>
            </w:r>
          </w:p>
        </w:tc>
      </w:tr>
      <w:tr w:rsidR="00A66014" w:rsidRPr="00C91EA2" w14:paraId="67D6C580" w14:textId="77777777" w:rsidTr="002F5637">
        <w:trPr>
          <w:trHeight w:val="967"/>
        </w:trPr>
        <w:tc>
          <w:tcPr>
            <w:tcW w:w="0" w:type="auto"/>
            <w:hideMark/>
          </w:tcPr>
          <w:p w14:paraId="1A9EE482" w14:textId="7FD75EE6" w:rsidR="00A66014" w:rsidRDefault="00A66014" w:rsidP="007575D7">
            <w:pPr>
              <w:jc w:val="both"/>
              <w:rPr>
                <w:rFonts w:ascii="Times New Roman" w:hAnsi="Times New Roman" w:cs="Times New Roman"/>
                <w:color w:val="000000"/>
                <w:sz w:val="20"/>
              </w:rPr>
            </w:pPr>
            <w:r>
              <w:rPr>
                <w:rFonts w:ascii="Times New Roman" w:hAnsi="Times New Roman" w:cs="Times New Roman"/>
                <w:color w:val="000000"/>
                <w:sz w:val="20"/>
              </w:rPr>
              <w:t>2.1</w:t>
            </w:r>
            <w:r w:rsidR="00FC6157">
              <w:rPr>
                <w:rFonts w:ascii="Times New Roman" w:hAnsi="Times New Roman" w:cs="Times New Roman"/>
                <w:color w:val="000000"/>
                <w:sz w:val="20"/>
              </w:rPr>
              <w:t>8</w:t>
            </w:r>
            <w:r w:rsidRPr="00C91EA2">
              <w:rPr>
                <w:rFonts w:ascii="Times New Roman" w:hAnsi="Times New Roman" w:cs="Times New Roman"/>
                <w:color w:val="000000"/>
                <w:sz w:val="20"/>
              </w:rPr>
              <w:t xml:space="preserve"> </w:t>
            </w:r>
            <w:r w:rsidRPr="00A66014">
              <w:rPr>
                <w:rFonts w:ascii="Times New Roman" w:hAnsi="Times New Roman" w:cs="Times New Roman"/>
                <w:color w:val="000000"/>
                <w:sz w:val="20"/>
              </w:rPr>
              <w:t>Review and reform spectrum pricing principles to incentivize efficient use of spectrum – including separating management fees (based on administrative costs) from usage fees (based on either market-determined or administratively-calculated economic value)</w:t>
            </w:r>
            <w:r w:rsidR="00847F11">
              <w:rPr>
                <w:rFonts w:ascii="Times New Roman" w:hAnsi="Times New Roman" w:cs="Times New Roman"/>
                <w:color w:val="000000"/>
                <w:sz w:val="20"/>
              </w:rPr>
              <w:t xml:space="preserve">; </w:t>
            </w:r>
            <w:r w:rsidR="00847F11" w:rsidRPr="00847F11">
              <w:rPr>
                <w:rFonts w:ascii="Times New Roman" w:hAnsi="Times New Roman" w:cs="Times New Roman"/>
                <w:color w:val="000000"/>
                <w:sz w:val="20"/>
              </w:rPr>
              <w:t>allowing for spectrum trading and leasing subject to ARTP’s monitoring; and adopt more flexible spectrum licenses that do not lock operators into a particular technology (unless justified by interference reasons).</w:t>
            </w:r>
          </w:p>
          <w:p w14:paraId="5CB10D31" w14:textId="77777777" w:rsidR="00A66014" w:rsidRPr="00C91EA2" w:rsidRDefault="00A66014" w:rsidP="002F5637">
            <w:pPr>
              <w:rPr>
                <w:rFonts w:ascii="Times New Roman" w:hAnsi="Times New Roman" w:cs="Times New Roman"/>
                <w:color w:val="000000"/>
                <w:sz w:val="20"/>
              </w:rPr>
            </w:pPr>
          </w:p>
        </w:tc>
        <w:tc>
          <w:tcPr>
            <w:tcW w:w="0" w:type="auto"/>
            <w:hideMark/>
          </w:tcPr>
          <w:p w14:paraId="0F53F2F6" w14:textId="77777777" w:rsidR="00A66014" w:rsidRPr="00C91EA2" w:rsidRDefault="00A66014" w:rsidP="002F5637">
            <w:pPr>
              <w:rPr>
                <w:rFonts w:ascii="Times New Roman" w:hAnsi="Times New Roman" w:cs="Times New Roman"/>
                <w:color w:val="000000"/>
                <w:sz w:val="20"/>
              </w:rPr>
            </w:pPr>
            <w:r w:rsidRPr="00C91EA2">
              <w:rPr>
                <w:rFonts w:ascii="Times New Roman" w:hAnsi="Times New Roman" w:cs="Times New Roman"/>
                <w:color w:val="000000"/>
                <w:sz w:val="20"/>
              </w:rPr>
              <w:t xml:space="preserve">ARTP &amp; spectrum management agency (MPT) </w:t>
            </w:r>
          </w:p>
        </w:tc>
        <w:tc>
          <w:tcPr>
            <w:tcW w:w="0" w:type="auto"/>
            <w:hideMark/>
          </w:tcPr>
          <w:p w14:paraId="229C78E6" w14:textId="77777777" w:rsidR="00A66014" w:rsidRPr="00C91EA2" w:rsidRDefault="00A66014" w:rsidP="002F5637">
            <w:pPr>
              <w:rPr>
                <w:rFonts w:ascii="Times New Roman" w:hAnsi="Times New Roman" w:cs="Times New Roman"/>
                <w:color w:val="000000"/>
                <w:sz w:val="20"/>
              </w:rPr>
            </w:pPr>
            <w:r>
              <w:rPr>
                <w:rFonts w:ascii="Times New Roman" w:hAnsi="Times New Roman" w:cs="Times New Roman"/>
                <w:color w:val="000000"/>
                <w:sz w:val="20"/>
              </w:rPr>
              <w:t>Medium</w:t>
            </w:r>
          </w:p>
        </w:tc>
      </w:tr>
      <w:tr w:rsidR="00FC6157" w:rsidRPr="00C91EA2" w14:paraId="6F849E18" w14:textId="77777777" w:rsidTr="002F5637">
        <w:trPr>
          <w:cnfStyle w:val="000000100000" w:firstRow="0" w:lastRow="0" w:firstColumn="0" w:lastColumn="0" w:oddVBand="0" w:evenVBand="0" w:oddHBand="1" w:evenHBand="0" w:firstRowFirstColumn="0" w:firstRowLastColumn="0" w:lastRowFirstColumn="0" w:lastRowLastColumn="0"/>
          <w:trHeight w:val="967"/>
        </w:trPr>
        <w:tc>
          <w:tcPr>
            <w:tcW w:w="0" w:type="auto"/>
          </w:tcPr>
          <w:p w14:paraId="5EC566E1" w14:textId="77777777" w:rsidR="00FC6157" w:rsidRPr="007575D7" w:rsidRDefault="00FC6157" w:rsidP="007575D7">
            <w:pPr>
              <w:jc w:val="both"/>
              <w:rPr>
                <w:rFonts w:ascii="Times New Roman" w:hAnsi="Times New Roman" w:cs="Times New Roman"/>
                <w:color w:val="000000"/>
                <w:sz w:val="20"/>
              </w:rPr>
            </w:pPr>
            <w:r>
              <w:rPr>
                <w:rFonts w:ascii="Times New Roman" w:hAnsi="Times New Roman" w:cs="Times New Roman"/>
                <w:color w:val="000000"/>
                <w:sz w:val="20"/>
              </w:rPr>
              <w:t xml:space="preserve">2.19 </w:t>
            </w:r>
            <w:r w:rsidRPr="007575D7">
              <w:rPr>
                <w:rFonts w:ascii="Times New Roman" w:hAnsi="Times New Roman" w:cs="Times New Roman"/>
                <w:color w:val="000000"/>
                <w:sz w:val="20"/>
              </w:rPr>
              <w:t>Develop a framework for unlicensed spectrum that can address the challenges posed by new technological developments (e.g. Internet of Things)</w:t>
            </w:r>
          </w:p>
          <w:p w14:paraId="4F0A7A90" w14:textId="267DAF69" w:rsidR="00FC6157" w:rsidRDefault="00FC6157" w:rsidP="002F5637">
            <w:pPr>
              <w:rPr>
                <w:rFonts w:ascii="Times New Roman" w:hAnsi="Times New Roman" w:cs="Times New Roman"/>
                <w:color w:val="000000"/>
                <w:sz w:val="20"/>
              </w:rPr>
            </w:pPr>
          </w:p>
        </w:tc>
        <w:tc>
          <w:tcPr>
            <w:tcW w:w="0" w:type="auto"/>
          </w:tcPr>
          <w:p w14:paraId="600CB416" w14:textId="5830BA5A" w:rsidR="00FC6157" w:rsidRPr="00C91EA2" w:rsidRDefault="00FC6157" w:rsidP="002F5637">
            <w:pPr>
              <w:rPr>
                <w:rFonts w:ascii="Times New Roman" w:hAnsi="Times New Roman" w:cs="Times New Roman"/>
                <w:color w:val="000000"/>
                <w:sz w:val="20"/>
              </w:rPr>
            </w:pPr>
            <w:r w:rsidRPr="00C91EA2">
              <w:rPr>
                <w:rFonts w:ascii="Times New Roman" w:hAnsi="Times New Roman" w:cs="Times New Roman"/>
                <w:color w:val="000000"/>
                <w:sz w:val="20"/>
              </w:rPr>
              <w:t>ARTP &amp; spectrum management agency (MPT)</w:t>
            </w:r>
          </w:p>
        </w:tc>
        <w:tc>
          <w:tcPr>
            <w:tcW w:w="0" w:type="auto"/>
          </w:tcPr>
          <w:p w14:paraId="62659EA9" w14:textId="1A92DE18" w:rsidR="00FC6157" w:rsidRDefault="00FC6157" w:rsidP="002F5637">
            <w:pPr>
              <w:rPr>
                <w:rFonts w:ascii="Times New Roman" w:hAnsi="Times New Roman" w:cs="Times New Roman"/>
                <w:color w:val="000000"/>
                <w:sz w:val="20"/>
              </w:rPr>
            </w:pPr>
            <w:r>
              <w:rPr>
                <w:rFonts w:ascii="Times New Roman" w:hAnsi="Times New Roman" w:cs="Times New Roman"/>
                <w:color w:val="000000"/>
                <w:sz w:val="20"/>
              </w:rPr>
              <w:t xml:space="preserve">Medium </w:t>
            </w:r>
          </w:p>
        </w:tc>
      </w:tr>
      <w:tr w:rsidR="00A66014" w:rsidRPr="00C91EA2" w14:paraId="4EDD8368" w14:textId="77777777" w:rsidTr="002F5637">
        <w:trPr>
          <w:trHeight w:val="1168"/>
        </w:trPr>
        <w:tc>
          <w:tcPr>
            <w:tcW w:w="0" w:type="auto"/>
            <w:hideMark/>
          </w:tcPr>
          <w:p w14:paraId="3563B750" w14:textId="1D62D9FF" w:rsidR="00A66014" w:rsidRPr="00C91EA2" w:rsidRDefault="00A66014" w:rsidP="007575D7">
            <w:pPr>
              <w:jc w:val="both"/>
              <w:rPr>
                <w:rFonts w:ascii="Times New Roman" w:hAnsi="Times New Roman" w:cs="Times New Roman"/>
                <w:color w:val="000000"/>
                <w:sz w:val="20"/>
              </w:rPr>
            </w:pPr>
            <w:r>
              <w:rPr>
                <w:rFonts w:ascii="Times New Roman" w:hAnsi="Times New Roman" w:cs="Times New Roman"/>
                <w:color w:val="000000"/>
                <w:sz w:val="20"/>
              </w:rPr>
              <w:t>2.</w:t>
            </w:r>
            <w:r w:rsidR="00FC6157">
              <w:rPr>
                <w:rFonts w:ascii="Times New Roman" w:hAnsi="Times New Roman" w:cs="Times New Roman"/>
                <w:color w:val="000000"/>
                <w:sz w:val="20"/>
              </w:rPr>
              <w:t>20</w:t>
            </w:r>
            <w:r w:rsidRPr="00C91EA2">
              <w:rPr>
                <w:rFonts w:ascii="Times New Roman" w:hAnsi="Times New Roman" w:cs="Times New Roman"/>
                <w:color w:val="000000"/>
                <w:sz w:val="20"/>
              </w:rPr>
              <w:t xml:space="preserve"> </w:t>
            </w:r>
            <w:r w:rsidRPr="00A66014">
              <w:rPr>
                <w:rFonts w:ascii="Times New Roman" w:hAnsi="Times New Roman" w:cs="Times New Roman"/>
                <w:color w:val="000000"/>
                <w:sz w:val="20"/>
              </w:rPr>
              <w:t>Design a package of measures and launch a process to allow for entry of a fourth mobile 4G+ operator</w:t>
            </w:r>
            <w:r w:rsidR="00847F11">
              <w:rPr>
                <w:rFonts w:ascii="Times New Roman" w:hAnsi="Times New Roman" w:cs="Times New Roman"/>
                <w:color w:val="000000"/>
                <w:sz w:val="20"/>
              </w:rPr>
              <w:t>.</w:t>
            </w:r>
          </w:p>
        </w:tc>
        <w:tc>
          <w:tcPr>
            <w:tcW w:w="0" w:type="auto"/>
            <w:hideMark/>
          </w:tcPr>
          <w:p w14:paraId="4D7C3C8C" w14:textId="77777777" w:rsidR="00A66014" w:rsidRPr="00C91EA2" w:rsidRDefault="00A66014" w:rsidP="002F5637">
            <w:pPr>
              <w:rPr>
                <w:rFonts w:ascii="Times New Roman" w:hAnsi="Times New Roman" w:cs="Times New Roman"/>
                <w:color w:val="000000"/>
                <w:sz w:val="20"/>
              </w:rPr>
            </w:pPr>
            <w:r w:rsidRPr="00C91EA2">
              <w:rPr>
                <w:rFonts w:ascii="Times New Roman" w:hAnsi="Times New Roman" w:cs="Times New Roman"/>
                <w:color w:val="000000"/>
                <w:sz w:val="20"/>
              </w:rPr>
              <w:t xml:space="preserve">ARTP &amp; spectrum management agency (MPT) </w:t>
            </w:r>
          </w:p>
        </w:tc>
        <w:tc>
          <w:tcPr>
            <w:tcW w:w="0" w:type="auto"/>
            <w:hideMark/>
          </w:tcPr>
          <w:p w14:paraId="322BA173" w14:textId="77777777" w:rsidR="00A66014" w:rsidRPr="00C91EA2" w:rsidRDefault="00A66014" w:rsidP="002F5637">
            <w:pPr>
              <w:rPr>
                <w:rFonts w:ascii="Times New Roman" w:hAnsi="Times New Roman" w:cs="Times New Roman"/>
                <w:color w:val="000000"/>
                <w:sz w:val="20"/>
              </w:rPr>
            </w:pPr>
            <w:r w:rsidRPr="00C91EA2">
              <w:rPr>
                <w:rFonts w:ascii="Times New Roman" w:hAnsi="Times New Roman" w:cs="Times New Roman"/>
                <w:color w:val="000000"/>
                <w:sz w:val="20"/>
              </w:rPr>
              <w:t>Medium</w:t>
            </w:r>
          </w:p>
        </w:tc>
      </w:tr>
    </w:tbl>
    <w:p w14:paraId="23070353" w14:textId="77777777" w:rsidR="00A66014" w:rsidRDefault="00A66014" w:rsidP="007575D7"/>
    <w:p w14:paraId="2FD88AAA" w14:textId="77777777" w:rsidR="006018AA" w:rsidRPr="00C91EA2" w:rsidRDefault="006018AA" w:rsidP="006018AA">
      <w:pPr>
        <w:pStyle w:val="Heading1"/>
        <w:jc w:val="both"/>
        <w:rPr>
          <w:rFonts w:ascii="Times New Roman" w:hAnsi="Times New Roman" w:cs="Times New Roman"/>
        </w:rPr>
      </w:pPr>
      <w:bookmarkStart w:id="324" w:name="_Toc497990839"/>
      <w:bookmarkStart w:id="325" w:name="_Toc520724120"/>
      <w:r w:rsidRPr="00C91EA2">
        <w:rPr>
          <w:rFonts w:ascii="Times New Roman" w:hAnsi="Times New Roman" w:cs="Times New Roman"/>
        </w:rPr>
        <w:t xml:space="preserve">6. </w:t>
      </w:r>
      <w:bookmarkEnd w:id="324"/>
      <w:r w:rsidRPr="00C91EA2">
        <w:rPr>
          <w:rFonts w:ascii="Times New Roman" w:hAnsi="Times New Roman" w:cs="Times New Roman"/>
        </w:rPr>
        <w:t xml:space="preserve">Effectiveness of the </w:t>
      </w:r>
      <w:r>
        <w:rPr>
          <w:rFonts w:ascii="Times New Roman" w:hAnsi="Times New Roman" w:cs="Times New Roman"/>
        </w:rPr>
        <w:t>C</w:t>
      </w:r>
      <w:r w:rsidRPr="00C91EA2">
        <w:rPr>
          <w:rFonts w:ascii="Times New Roman" w:hAnsi="Times New Roman" w:cs="Times New Roman"/>
        </w:rPr>
        <w:t xml:space="preserve">ompetition </w:t>
      </w:r>
      <w:r>
        <w:rPr>
          <w:rFonts w:ascii="Times New Roman" w:hAnsi="Times New Roman" w:cs="Times New Roman"/>
        </w:rPr>
        <w:t>P</w:t>
      </w:r>
      <w:r w:rsidRPr="00C91EA2">
        <w:rPr>
          <w:rFonts w:ascii="Times New Roman" w:hAnsi="Times New Roman" w:cs="Times New Roman"/>
        </w:rPr>
        <w:t xml:space="preserve">olicy and </w:t>
      </w:r>
      <w:r>
        <w:rPr>
          <w:rFonts w:ascii="Times New Roman" w:hAnsi="Times New Roman" w:cs="Times New Roman"/>
        </w:rPr>
        <w:t>L</w:t>
      </w:r>
      <w:r w:rsidRPr="00C91EA2">
        <w:rPr>
          <w:rFonts w:ascii="Times New Roman" w:hAnsi="Times New Roman" w:cs="Times New Roman"/>
        </w:rPr>
        <w:t xml:space="preserve">aw to </w:t>
      </w:r>
      <w:r>
        <w:rPr>
          <w:rFonts w:ascii="Times New Roman" w:hAnsi="Times New Roman" w:cs="Times New Roman"/>
        </w:rPr>
        <w:t>A</w:t>
      </w:r>
      <w:r w:rsidRPr="00C91EA2">
        <w:rPr>
          <w:rFonts w:ascii="Times New Roman" w:hAnsi="Times New Roman" w:cs="Times New Roman"/>
        </w:rPr>
        <w:t xml:space="preserve">ddress </w:t>
      </w:r>
      <w:r>
        <w:rPr>
          <w:rFonts w:ascii="Times New Roman" w:hAnsi="Times New Roman" w:cs="Times New Roman"/>
        </w:rPr>
        <w:t>A</w:t>
      </w:r>
      <w:r w:rsidRPr="00C91EA2">
        <w:rPr>
          <w:rFonts w:ascii="Times New Roman" w:hAnsi="Times New Roman" w:cs="Times New Roman"/>
        </w:rPr>
        <w:t xml:space="preserve">nticompetitive </w:t>
      </w:r>
      <w:r>
        <w:rPr>
          <w:rFonts w:ascii="Times New Roman" w:hAnsi="Times New Roman" w:cs="Times New Roman"/>
        </w:rPr>
        <w:t>C</w:t>
      </w:r>
      <w:r w:rsidRPr="00C91EA2">
        <w:rPr>
          <w:rFonts w:ascii="Times New Roman" w:hAnsi="Times New Roman" w:cs="Times New Roman"/>
        </w:rPr>
        <w:t xml:space="preserve">onduct and </w:t>
      </w:r>
      <w:r>
        <w:rPr>
          <w:rFonts w:ascii="Times New Roman" w:hAnsi="Times New Roman" w:cs="Times New Roman"/>
        </w:rPr>
        <w:t>R</w:t>
      </w:r>
      <w:r w:rsidRPr="00C91EA2">
        <w:rPr>
          <w:rFonts w:ascii="Times New Roman" w:hAnsi="Times New Roman" w:cs="Times New Roman"/>
        </w:rPr>
        <w:t>egulations</w:t>
      </w:r>
      <w:bookmarkEnd w:id="325"/>
    </w:p>
    <w:p w14:paraId="214C6E08" w14:textId="77777777" w:rsidR="006018AA" w:rsidRPr="00403012" w:rsidRDefault="006018AA" w:rsidP="00403012">
      <w:pPr>
        <w:pStyle w:val="Heading2"/>
        <w:jc w:val="both"/>
        <w:rPr>
          <w:rFonts w:ascii="Times New Roman" w:hAnsi="Times New Roman" w:cs="Times New Roman"/>
        </w:rPr>
      </w:pPr>
      <w:bookmarkStart w:id="326" w:name="_Toc497990840"/>
      <w:bookmarkStart w:id="327" w:name="_Toc520724121"/>
      <w:r w:rsidRPr="00403012">
        <w:rPr>
          <w:rFonts w:ascii="Times New Roman" w:hAnsi="Times New Roman" w:cs="Times New Roman"/>
        </w:rPr>
        <w:t>6.1 The Effects of ECOWAS and WAEMU’s Competition Laws on Senegal’s Competition Policy</w:t>
      </w:r>
      <w:bookmarkEnd w:id="326"/>
      <w:bookmarkEnd w:id="327"/>
    </w:p>
    <w:p w14:paraId="0C25ED52" w14:textId="77777777" w:rsidR="006018AA" w:rsidRPr="00C91EA2" w:rsidRDefault="006018AA" w:rsidP="006018AA">
      <w:pPr>
        <w:jc w:val="both"/>
        <w:rPr>
          <w:rFonts w:ascii="Times New Roman" w:hAnsi="Times New Roman" w:cs="Times New Roman"/>
          <w:b/>
        </w:rPr>
      </w:pPr>
    </w:p>
    <w:p w14:paraId="260E100C" w14:textId="40E006EC" w:rsidR="006018AA" w:rsidRDefault="006018AA" w:rsidP="006018AA">
      <w:pPr>
        <w:pStyle w:val="ListParagraph"/>
        <w:numPr>
          <w:ilvl w:val="0"/>
          <w:numId w:val="71"/>
        </w:numPr>
        <w:ind w:left="0" w:firstLine="0"/>
        <w:jc w:val="both"/>
        <w:rPr>
          <w:rFonts w:ascii="Times New Roman" w:hAnsi="Times New Roman" w:cs="Times New Roman"/>
        </w:rPr>
      </w:pPr>
      <w:r w:rsidRPr="00B16B8C">
        <w:rPr>
          <w:rFonts w:ascii="Times New Roman" w:hAnsi="Times New Roman" w:cs="Times New Roman"/>
          <w:b/>
        </w:rPr>
        <w:t xml:space="preserve">Senegal is a Member State of two regional organizations: </w:t>
      </w:r>
      <w:proofErr w:type="gramStart"/>
      <w:r w:rsidRPr="00B16B8C">
        <w:rPr>
          <w:rFonts w:ascii="Times New Roman" w:hAnsi="Times New Roman" w:cs="Times New Roman"/>
          <w:b/>
        </w:rPr>
        <w:t>the</w:t>
      </w:r>
      <w:proofErr w:type="gramEnd"/>
      <w:r w:rsidRPr="00B16B8C">
        <w:rPr>
          <w:rFonts w:ascii="Times New Roman" w:hAnsi="Times New Roman" w:cs="Times New Roman"/>
          <w:b/>
        </w:rPr>
        <w:t xml:space="preserve"> West African Economic and Monetary Union (WAEMU)</w:t>
      </w:r>
      <w:r w:rsidRPr="00B16B8C">
        <w:rPr>
          <w:rStyle w:val="FootnoteReference"/>
          <w:rFonts w:ascii="Times New Roman" w:hAnsi="Times New Roman" w:cs="Times New Roman"/>
        </w:rPr>
        <w:footnoteReference w:id="255"/>
      </w:r>
      <w:r w:rsidRPr="00B16B8C">
        <w:rPr>
          <w:rFonts w:ascii="Times New Roman" w:hAnsi="Times New Roman" w:cs="Times New Roman"/>
          <w:b/>
        </w:rPr>
        <w:t xml:space="preserve"> and the Economic Community of West African States (ECOWAS),</w:t>
      </w:r>
      <w:r w:rsidRPr="00B16B8C">
        <w:rPr>
          <w:rStyle w:val="FootnoteReference"/>
          <w:rFonts w:ascii="Times New Roman" w:hAnsi="Times New Roman" w:cs="Times New Roman"/>
          <w:b/>
        </w:rPr>
        <w:footnoteReference w:id="256"/>
      </w:r>
      <w:r w:rsidRPr="00B16B8C">
        <w:rPr>
          <w:rFonts w:ascii="Times New Roman" w:hAnsi="Times New Roman" w:cs="Times New Roman"/>
          <w:b/>
        </w:rPr>
        <w:t xml:space="preserve"> each with its own set of competition rules. </w:t>
      </w:r>
      <w:r w:rsidRPr="00B16B8C">
        <w:rPr>
          <w:rFonts w:ascii="Times New Roman" w:hAnsi="Times New Roman" w:cs="Times New Roman"/>
        </w:rPr>
        <w:t>Because of this dual membership, Senegal is subject to contradictory jurisdictional rules, which deeply impact its national competition policy: whilst ECOWAS permits the application of national competition law to conduct that does not affect trade between Member States, WAEMU prohibits parallel national competition rules and centralizes all competition enforcement in the regional WAEMU Commission</w:t>
      </w:r>
      <w:r w:rsidRPr="00082DCF">
        <w:rPr>
          <w:rFonts w:ascii="Times New Roman" w:hAnsi="Times New Roman" w:cs="Times New Roman"/>
        </w:rPr>
        <w:t xml:space="preserve"> (see </w:t>
      </w:r>
      <w:r w:rsidR="00AE7CA8">
        <w:rPr>
          <w:rFonts w:ascii="Times New Roman" w:hAnsi="Times New Roman" w:cs="Times New Roman"/>
        </w:rPr>
        <w:t xml:space="preserve">Box </w:t>
      </w:r>
      <w:r w:rsidR="00C71560">
        <w:rPr>
          <w:rFonts w:ascii="Times New Roman" w:hAnsi="Times New Roman" w:cs="Times New Roman"/>
        </w:rPr>
        <w:t xml:space="preserve">23 </w:t>
      </w:r>
      <w:r w:rsidRPr="00082DCF">
        <w:rPr>
          <w:rFonts w:ascii="Times New Roman" w:hAnsi="Times New Roman" w:cs="Times New Roman"/>
        </w:rPr>
        <w:t xml:space="preserve">below and </w:t>
      </w:r>
      <w:r w:rsidRPr="00421227">
        <w:rPr>
          <w:rFonts w:ascii="Times New Roman" w:hAnsi="Times New Roman" w:cs="Times New Roman"/>
        </w:rPr>
        <w:t>Annex 7 for a detailed review of the ECOWAS and WAEMU competition rules</w:t>
      </w:r>
      <w:r w:rsidRPr="0029536D">
        <w:rPr>
          <w:rFonts w:ascii="Times New Roman" w:hAnsi="Times New Roman" w:cs="Times New Roman"/>
        </w:rPr>
        <w:t>).</w:t>
      </w:r>
    </w:p>
    <w:p w14:paraId="048A6B1D" w14:textId="77777777" w:rsidR="006018AA" w:rsidRPr="00C91EA2" w:rsidRDefault="006018AA" w:rsidP="006018AA">
      <w:pPr>
        <w:jc w:val="both"/>
        <w:rPr>
          <w:rFonts w:ascii="Times New Roman" w:hAnsi="Times New Roman" w:cs="Times New Roman"/>
        </w:rPr>
      </w:pPr>
    </w:p>
    <w:p w14:paraId="4D3BE757" w14:textId="29D54893" w:rsidR="006018AA" w:rsidRPr="00C91EA2" w:rsidRDefault="006018AA" w:rsidP="006018AA">
      <w:pPr>
        <w:pStyle w:val="Caption"/>
        <w:keepNext/>
        <w:jc w:val="both"/>
        <w:rPr>
          <w:rFonts w:ascii="Times New Roman" w:hAnsi="Times New Roman"/>
        </w:rPr>
      </w:pPr>
      <w:bookmarkStart w:id="328" w:name="_Toc520725811"/>
      <w:r w:rsidRPr="00C91EA2">
        <w:rPr>
          <w:rFonts w:ascii="Times New Roman" w:hAnsi="Times New Roman"/>
        </w:rPr>
        <w:t xml:space="preserve">Box </w:t>
      </w:r>
      <w:r w:rsidR="009547FF">
        <w:rPr>
          <w:rFonts w:ascii="Times New Roman" w:hAnsi="Times New Roman"/>
        </w:rPr>
        <w:fldChar w:fldCharType="begin"/>
      </w:r>
      <w:r w:rsidR="009547FF">
        <w:rPr>
          <w:rFonts w:ascii="Times New Roman" w:hAnsi="Times New Roman"/>
        </w:rPr>
        <w:instrText xml:space="preserve"> SEQ Box \* ARABIC </w:instrText>
      </w:r>
      <w:r w:rsidR="009547FF">
        <w:rPr>
          <w:rFonts w:ascii="Times New Roman" w:hAnsi="Times New Roman"/>
        </w:rPr>
        <w:fldChar w:fldCharType="separate"/>
      </w:r>
      <w:r w:rsidR="008261B2">
        <w:rPr>
          <w:rFonts w:ascii="Times New Roman" w:hAnsi="Times New Roman"/>
          <w:noProof/>
        </w:rPr>
        <w:t>23</w:t>
      </w:r>
      <w:r w:rsidR="009547FF">
        <w:rPr>
          <w:rFonts w:ascii="Times New Roman" w:hAnsi="Times New Roman"/>
        </w:rPr>
        <w:fldChar w:fldCharType="end"/>
      </w:r>
      <w:r w:rsidRPr="00B91FA9">
        <w:rPr>
          <w:rFonts w:ascii="Times New Roman" w:hAnsi="Times New Roman"/>
        </w:rPr>
        <w:t>: E</w:t>
      </w:r>
      <w:r w:rsidRPr="00C91EA2">
        <w:rPr>
          <w:rFonts w:ascii="Times New Roman" w:hAnsi="Times New Roman"/>
        </w:rPr>
        <w:t>COWAS’ and WAEMU’s competition law frameworks</w:t>
      </w:r>
      <w:bookmarkEnd w:id="328"/>
    </w:p>
    <w:tbl>
      <w:tblPr>
        <w:tblStyle w:val="TableGrid"/>
        <w:tblW w:w="5000" w:type="pct"/>
        <w:tblLook w:val="04A0" w:firstRow="1" w:lastRow="0" w:firstColumn="1" w:lastColumn="0" w:noHBand="0" w:noVBand="1"/>
      </w:tblPr>
      <w:tblGrid>
        <w:gridCol w:w="8630"/>
      </w:tblGrid>
      <w:tr w:rsidR="006018AA" w:rsidRPr="001164DA" w14:paraId="33F591B2" w14:textId="77777777" w:rsidTr="00FA09FE">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6CA1A" w14:textId="77777777" w:rsidR="006018AA" w:rsidRPr="00C91EA2" w:rsidRDefault="006018AA" w:rsidP="00FA09FE">
            <w:pPr>
              <w:spacing w:after="200"/>
              <w:jc w:val="both"/>
              <w:rPr>
                <w:rFonts w:ascii="Times New Roman" w:hAnsi="Times New Roman" w:cs="Times New Roman"/>
                <w:sz w:val="20"/>
                <w:szCs w:val="20"/>
              </w:rPr>
            </w:pPr>
            <w:r w:rsidRPr="00C91EA2">
              <w:rPr>
                <w:rFonts w:ascii="Times New Roman" w:hAnsi="Times New Roman" w:cs="Times New Roman"/>
                <w:sz w:val="20"/>
                <w:szCs w:val="20"/>
              </w:rPr>
              <w:t xml:space="preserve">The Economic Community of West African States (ECOWAS), or </w:t>
            </w:r>
            <w:proofErr w:type="spellStart"/>
            <w:r w:rsidRPr="00C91EA2">
              <w:rPr>
                <w:rFonts w:ascii="Times New Roman" w:hAnsi="Times New Roman" w:cs="Times New Roman"/>
                <w:sz w:val="20"/>
                <w:szCs w:val="20"/>
              </w:rPr>
              <w:t>Communauté</w:t>
            </w:r>
            <w:proofErr w:type="spellEnd"/>
            <w:r w:rsidRPr="00C91EA2">
              <w:rPr>
                <w:rFonts w:ascii="Times New Roman" w:hAnsi="Times New Roman" w:cs="Times New Roman"/>
                <w:sz w:val="20"/>
                <w:szCs w:val="20"/>
              </w:rPr>
              <w:t xml:space="preserve"> </w:t>
            </w:r>
            <w:proofErr w:type="spellStart"/>
            <w:r w:rsidRPr="00C91EA2">
              <w:rPr>
                <w:rFonts w:ascii="Times New Roman" w:hAnsi="Times New Roman" w:cs="Times New Roman"/>
                <w:sz w:val="20"/>
                <w:szCs w:val="20"/>
              </w:rPr>
              <w:t>économique</w:t>
            </w:r>
            <w:proofErr w:type="spellEnd"/>
            <w:r w:rsidRPr="00C91EA2">
              <w:rPr>
                <w:rFonts w:ascii="Times New Roman" w:hAnsi="Times New Roman" w:cs="Times New Roman"/>
                <w:sz w:val="20"/>
                <w:szCs w:val="20"/>
              </w:rPr>
              <w:t xml:space="preserve"> des </w:t>
            </w:r>
            <w:proofErr w:type="spellStart"/>
            <w:r w:rsidRPr="00C91EA2">
              <w:rPr>
                <w:rFonts w:ascii="Times New Roman" w:hAnsi="Times New Roman" w:cs="Times New Roman"/>
                <w:sz w:val="20"/>
                <w:szCs w:val="20"/>
              </w:rPr>
              <w:t>Etats</w:t>
            </w:r>
            <w:proofErr w:type="spellEnd"/>
            <w:r w:rsidRPr="00C91EA2">
              <w:rPr>
                <w:rFonts w:ascii="Times New Roman" w:hAnsi="Times New Roman" w:cs="Times New Roman"/>
                <w:sz w:val="20"/>
                <w:szCs w:val="20"/>
              </w:rPr>
              <w:t xml:space="preserve"> de </w:t>
            </w:r>
            <w:proofErr w:type="spellStart"/>
            <w:r w:rsidRPr="00C91EA2">
              <w:rPr>
                <w:rFonts w:ascii="Times New Roman" w:hAnsi="Times New Roman" w:cs="Times New Roman"/>
                <w:sz w:val="20"/>
                <w:szCs w:val="20"/>
              </w:rPr>
              <w:t>l</w:t>
            </w:r>
            <w:r>
              <w:rPr>
                <w:rFonts w:ascii="Times New Roman" w:hAnsi="Times New Roman" w:cs="Times New Roman"/>
                <w:sz w:val="20"/>
                <w:szCs w:val="20"/>
              </w:rPr>
              <w:t>’</w:t>
            </w:r>
            <w:r w:rsidRPr="00C91EA2">
              <w:rPr>
                <w:rFonts w:ascii="Times New Roman" w:hAnsi="Times New Roman" w:cs="Times New Roman"/>
                <w:sz w:val="20"/>
                <w:szCs w:val="20"/>
              </w:rPr>
              <w:t>Afrique</w:t>
            </w:r>
            <w:proofErr w:type="spellEnd"/>
            <w:r w:rsidRPr="00C91EA2">
              <w:rPr>
                <w:rFonts w:ascii="Times New Roman" w:hAnsi="Times New Roman" w:cs="Times New Roman"/>
                <w:sz w:val="20"/>
                <w:szCs w:val="20"/>
              </w:rPr>
              <w:t xml:space="preserve"> de </w:t>
            </w:r>
            <w:proofErr w:type="spellStart"/>
            <w:r w:rsidRPr="00C91EA2">
              <w:rPr>
                <w:rFonts w:ascii="Times New Roman" w:hAnsi="Times New Roman" w:cs="Times New Roman"/>
                <w:sz w:val="20"/>
                <w:szCs w:val="20"/>
              </w:rPr>
              <w:t>l</w:t>
            </w:r>
            <w:r>
              <w:rPr>
                <w:rFonts w:ascii="Times New Roman" w:hAnsi="Times New Roman" w:cs="Times New Roman"/>
                <w:sz w:val="20"/>
                <w:szCs w:val="20"/>
              </w:rPr>
              <w:t>’</w:t>
            </w:r>
            <w:r w:rsidRPr="00C91EA2">
              <w:rPr>
                <w:rFonts w:ascii="Times New Roman" w:hAnsi="Times New Roman" w:cs="Times New Roman"/>
                <w:sz w:val="20"/>
                <w:szCs w:val="20"/>
              </w:rPr>
              <w:t>Ouest</w:t>
            </w:r>
            <w:proofErr w:type="spellEnd"/>
            <w:r w:rsidRPr="00C91EA2">
              <w:rPr>
                <w:rFonts w:ascii="Times New Roman" w:hAnsi="Times New Roman" w:cs="Times New Roman"/>
                <w:sz w:val="20"/>
                <w:szCs w:val="20"/>
              </w:rPr>
              <w:t xml:space="preserve"> (CEDEAO) was established in Lagos on 28 May 1975 (amended by the Cotonou Treaty from 24 July 1993) with the mission of integrating West African States’ economies and societies to boost development and welfare. Although there is no explicit reference to it in the Treaty, the development of a regional competition policy and competition law can be understood in light of ECOWAS’ objective of establishing a common market.</w:t>
            </w:r>
          </w:p>
          <w:p w14:paraId="2EE42812" w14:textId="77777777" w:rsidR="006018AA" w:rsidRPr="00C91EA2" w:rsidRDefault="006018AA" w:rsidP="00FA09FE">
            <w:pPr>
              <w:spacing w:after="200"/>
              <w:jc w:val="both"/>
              <w:rPr>
                <w:rFonts w:ascii="Times New Roman" w:hAnsi="Times New Roman" w:cs="Times New Roman"/>
                <w:bCs/>
                <w:iCs/>
                <w:sz w:val="20"/>
                <w:szCs w:val="20"/>
              </w:rPr>
            </w:pPr>
            <w:r w:rsidRPr="00C91EA2">
              <w:rPr>
                <w:rFonts w:ascii="Times New Roman" w:hAnsi="Times New Roman" w:cs="Times New Roman"/>
                <w:sz w:val="20"/>
                <w:szCs w:val="20"/>
              </w:rPr>
              <w:t xml:space="preserve">ECOWAS two main competition law regulations were adopted in 2008 and consist of: (i) the Supplementary Act A/SA.1/06/08, adopting substantive competition law rules; and (ii) the Supplementary Act A/SA.2/06/08 establishing a regional competition authority for ECOWAS, that should cooperate with national and regional competition authorities, especially in the West African Economic and Monetary Union (WAEMU). A further Supplementary Act on competition law exemptions to certain categories of agreements and practices in the air transport sector was adopted in 2012 ECOWAS’ competition law applies to agreements, practices, mergers and distortions caused by Member States which are likely to </w:t>
            </w:r>
            <w:proofErr w:type="gramStart"/>
            <w:r w:rsidRPr="00C91EA2">
              <w:rPr>
                <w:rFonts w:ascii="Times New Roman" w:hAnsi="Times New Roman" w:cs="Times New Roman"/>
                <w:sz w:val="20"/>
                <w:szCs w:val="20"/>
              </w:rPr>
              <w:t>have an effect on</w:t>
            </w:r>
            <w:proofErr w:type="gramEnd"/>
            <w:r w:rsidRPr="00C91EA2">
              <w:rPr>
                <w:rFonts w:ascii="Times New Roman" w:hAnsi="Times New Roman" w:cs="Times New Roman"/>
                <w:sz w:val="20"/>
                <w:szCs w:val="20"/>
              </w:rPr>
              <w:t xml:space="preserve"> trade within ECOWAS. Hence, ECOWAS Member States may adopt and enforce their own national rules provided they are not inconsistent with ECOWAS competition rules and that all inconsistencies are eliminated within the shortest time possible.</w:t>
            </w:r>
          </w:p>
          <w:p w14:paraId="01E1F7D6" w14:textId="4271DD29" w:rsidR="006018AA" w:rsidRPr="00C91EA2" w:rsidRDefault="006018AA" w:rsidP="00FA09FE">
            <w:pPr>
              <w:spacing w:after="200"/>
              <w:jc w:val="both"/>
              <w:rPr>
                <w:rFonts w:ascii="Times New Roman" w:hAnsi="Times New Roman" w:cs="Times New Roman"/>
                <w:bCs/>
                <w:iCs/>
                <w:sz w:val="20"/>
                <w:szCs w:val="20"/>
              </w:rPr>
            </w:pPr>
            <w:r w:rsidRPr="00C91EA2">
              <w:rPr>
                <w:rFonts w:ascii="Times New Roman" w:hAnsi="Times New Roman" w:cs="Times New Roman"/>
                <w:sz w:val="20"/>
                <w:szCs w:val="20"/>
              </w:rPr>
              <w:t xml:space="preserve">The Treaty of Dakar from 1994 establishing WAEMU also included competition rules prohibiting anticompetitive agreements (Article 88), abuse of dominance (Article 89) and attributed enforcement competences to the ECOWAS Commission (Article 90). However, </w:t>
            </w:r>
            <w:r w:rsidR="00CB78A4">
              <w:rPr>
                <w:rFonts w:ascii="Times New Roman" w:hAnsi="Times New Roman" w:cs="Times New Roman"/>
                <w:sz w:val="20"/>
                <w:szCs w:val="20"/>
              </w:rPr>
              <w:t>in contrast to</w:t>
            </w:r>
            <w:r w:rsidRPr="00C91EA2">
              <w:rPr>
                <w:rFonts w:ascii="Times New Roman" w:hAnsi="Times New Roman" w:cs="Times New Roman"/>
                <w:sz w:val="20"/>
                <w:szCs w:val="20"/>
              </w:rPr>
              <w:t xml:space="preserve"> ECOWAS, WAEMU has exclusive competence to legislate on competition matters and its Commission has exclusive enforcement competences across the region, even when only national markets are affected. WAEMU’s Member States, on the other hand can only enforce unfair competition rules. This centralized model does not stem from Dakar Treaty but rather from the WAEMU’s Court of Justice Opinion 003/2000/CJ/UEMOA, where it was </w:t>
            </w:r>
            <w:r w:rsidR="00CB78A4">
              <w:rPr>
                <w:rFonts w:ascii="Times New Roman" w:hAnsi="Times New Roman" w:cs="Times New Roman"/>
                <w:sz w:val="20"/>
                <w:szCs w:val="20"/>
              </w:rPr>
              <w:t>held</w:t>
            </w:r>
            <w:r w:rsidR="00CB78A4" w:rsidRPr="00C91EA2">
              <w:rPr>
                <w:rFonts w:ascii="Times New Roman" w:hAnsi="Times New Roman" w:cs="Times New Roman"/>
                <w:sz w:val="20"/>
                <w:szCs w:val="20"/>
              </w:rPr>
              <w:t xml:space="preserve"> </w:t>
            </w:r>
            <w:r w:rsidRPr="00C91EA2">
              <w:rPr>
                <w:rFonts w:ascii="Times New Roman" w:hAnsi="Times New Roman" w:cs="Times New Roman"/>
                <w:sz w:val="20"/>
                <w:szCs w:val="20"/>
              </w:rPr>
              <w:t>that the Union had exclusive competence to adopt regulations on agreements, abuse of dominant position and state aid.</w:t>
            </w:r>
          </w:p>
          <w:p w14:paraId="54ED702F" w14:textId="77777777" w:rsidR="006018AA" w:rsidRPr="007575D7" w:rsidRDefault="006018AA" w:rsidP="00FA09FE">
            <w:pPr>
              <w:rPr>
                <w:rFonts w:ascii="Times New Roman" w:hAnsi="Times New Roman" w:cs="Times New Roman"/>
                <w:lang w:val="fr-FR"/>
              </w:rPr>
            </w:pPr>
            <w:proofErr w:type="gramStart"/>
            <w:r w:rsidRPr="00402578">
              <w:rPr>
                <w:rFonts w:ascii="Times New Roman" w:hAnsi="Times New Roman" w:cs="Times New Roman"/>
                <w:i/>
                <w:sz w:val="18"/>
                <w:szCs w:val="20"/>
                <w:lang w:val="fr-FR"/>
              </w:rPr>
              <w:t>Sources</w:t>
            </w:r>
            <w:r w:rsidRPr="007575D7">
              <w:rPr>
                <w:rFonts w:ascii="Times New Roman" w:hAnsi="Times New Roman" w:cs="Times New Roman"/>
                <w:sz w:val="18"/>
                <w:szCs w:val="20"/>
                <w:lang w:val="fr-FR"/>
              </w:rPr>
              <w:t>:</w:t>
            </w:r>
            <w:proofErr w:type="gramEnd"/>
            <w:r w:rsidRPr="007575D7">
              <w:rPr>
                <w:rFonts w:ascii="Times New Roman" w:hAnsi="Times New Roman" w:cs="Times New Roman"/>
                <w:lang w:val="fr-FR"/>
              </w:rPr>
              <w:t xml:space="preserve"> </w:t>
            </w:r>
            <w:r w:rsidRPr="007575D7">
              <w:rPr>
                <w:rFonts w:ascii="Times New Roman" w:hAnsi="Times New Roman" w:cs="Times New Roman"/>
                <w:sz w:val="18"/>
                <w:szCs w:val="20"/>
                <w:lang w:val="fr-FR"/>
              </w:rPr>
              <w:t xml:space="preserve">UNCTAD, </w:t>
            </w:r>
            <w:proofErr w:type="spellStart"/>
            <w:r w:rsidRPr="007575D7">
              <w:rPr>
                <w:rFonts w:ascii="Times New Roman" w:hAnsi="Times New Roman" w:cs="Times New Roman"/>
                <w:sz w:val="18"/>
                <w:szCs w:val="20"/>
                <w:lang w:val="fr-FR"/>
              </w:rPr>
              <w:t>Voluntary</w:t>
            </w:r>
            <w:proofErr w:type="spellEnd"/>
            <w:r w:rsidRPr="007575D7">
              <w:rPr>
                <w:rFonts w:ascii="Times New Roman" w:hAnsi="Times New Roman" w:cs="Times New Roman"/>
                <w:sz w:val="18"/>
                <w:szCs w:val="20"/>
                <w:lang w:val="fr-FR"/>
              </w:rPr>
              <w:t xml:space="preserve"> </w:t>
            </w:r>
            <w:proofErr w:type="spellStart"/>
            <w:r w:rsidRPr="007575D7">
              <w:rPr>
                <w:rFonts w:ascii="Times New Roman" w:hAnsi="Times New Roman" w:cs="Times New Roman"/>
                <w:sz w:val="18"/>
                <w:szCs w:val="20"/>
                <w:lang w:val="fr-FR"/>
              </w:rPr>
              <w:t>peer</w:t>
            </w:r>
            <w:proofErr w:type="spellEnd"/>
            <w:r w:rsidRPr="007575D7">
              <w:rPr>
                <w:rFonts w:ascii="Times New Roman" w:hAnsi="Times New Roman" w:cs="Times New Roman"/>
                <w:sz w:val="18"/>
                <w:szCs w:val="20"/>
                <w:lang w:val="fr-FR"/>
              </w:rPr>
              <w:t xml:space="preserve"> </w:t>
            </w:r>
            <w:proofErr w:type="spellStart"/>
            <w:r w:rsidRPr="007575D7">
              <w:rPr>
                <w:rFonts w:ascii="Times New Roman" w:hAnsi="Times New Roman" w:cs="Times New Roman"/>
                <w:sz w:val="18"/>
                <w:szCs w:val="20"/>
                <w:lang w:val="fr-FR"/>
              </w:rPr>
              <w:t>review</w:t>
            </w:r>
            <w:proofErr w:type="spellEnd"/>
            <w:r w:rsidRPr="007575D7">
              <w:rPr>
                <w:rFonts w:ascii="Times New Roman" w:hAnsi="Times New Roman" w:cs="Times New Roman"/>
                <w:sz w:val="18"/>
                <w:szCs w:val="20"/>
                <w:lang w:val="fr-FR"/>
              </w:rPr>
              <w:t xml:space="preserve"> of </w:t>
            </w:r>
            <w:proofErr w:type="spellStart"/>
            <w:r w:rsidRPr="007575D7">
              <w:rPr>
                <w:rFonts w:ascii="Times New Roman" w:hAnsi="Times New Roman" w:cs="Times New Roman"/>
                <w:sz w:val="18"/>
                <w:szCs w:val="20"/>
                <w:lang w:val="fr-FR"/>
              </w:rPr>
              <w:t>competition</w:t>
            </w:r>
            <w:proofErr w:type="spellEnd"/>
            <w:r w:rsidRPr="007575D7">
              <w:rPr>
                <w:rFonts w:ascii="Times New Roman" w:hAnsi="Times New Roman" w:cs="Times New Roman"/>
                <w:sz w:val="18"/>
                <w:szCs w:val="20"/>
                <w:lang w:val="fr-FR"/>
              </w:rPr>
              <w:t xml:space="preserve"> </w:t>
            </w:r>
            <w:proofErr w:type="spellStart"/>
            <w:r w:rsidRPr="007575D7">
              <w:rPr>
                <w:rFonts w:ascii="Times New Roman" w:hAnsi="Times New Roman" w:cs="Times New Roman"/>
                <w:sz w:val="18"/>
                <w:szCs w:val="20"/>
                <w:lang w:val="fr-FR"/>
              </w:rPr>
              <w:t>policies</w:t>
            </w:r>
            <w:proofErr w:type="spellEnd"/>
            <w:r w:rsidRPr="007575D7">
              <w:rPr>
                <w:rFonts w:ascii="Times New Roman" w:hAnsi="Times New Roman" w:cs="Times New Roman"/>
                <w:sz w:val="18"/>
                <w:szCs w:val="20"/>
                <w:lang w:val="fr-FR"/>
              </w:rPr>
              <w:t xml:space="preserve"> of WAEMU, Benin and Senegal, 2008; Mor Bakhoum, “Cohérence Institutionnelle et Effectivité d’une Politique Régionale de la Concurrence: Le Cas de l’Union Économique et Monétaire Ouest-Africaine (UEMOA)”, Revue International de droit économique, 2011/3 </w:t>
            </w:r>
            <w:proofErr w:type="spellStart"/>
            <w:r w:rsidRPr="007575D7">
              <w:rPr>
                <w:rFonts w:ascii="Times New Roman" w:hAnsi="Times New Roman" w:cs="Times New Roman"/>
                <w:sz w:val="18"/>
                <w:szCs w:val="20"/>
                <w:lang w:val="fr-FR"/>
              </w:rPr>
              <w:t>t.XXV</w:t>
            </w:r>
            <w:proofErr w:type="spellEnd"/>
            <w:r w:rsidRPr="007575D7">
              <w:rPr>
                <w:rFonts w:ascii="Times New Roman" w:hAnsi="Times New Roman" w:cs="Times New Roman"/>
                <w:sz w:val="18"/>
                <w:szCs w:val="20"/>
                <w:lang w:val="fr-FR"/>
              </w:rPr>
              <w:t>, pp. 305-332</w:t>
            </w:r>
            <w:r w:rsidRPr="007575D7">
              <w:rPr>
                <w:rFonts w:ascii="Times New Roman" w:hAnsi="Times New Roman" w:cs="Times New Roman"/>
                <w:i/>
                <w:sz w:val="18"/>
                <w:szCs w:val="20"/>
                <w:lang w:val="fr-FR"/>
              </w:rPr>
              <w:t>.</w:t>
            </w:r>
          </w:p>
        </w:tc>
      </w:tr>
    </w:tbl>
    <w:p w14:paraId="6EE3233E" w14:textId="77777777" w:rsidR="006018AA" w:rsidRPr="007575D7" w:rsidRDefault="006018AA" w:rsidP="006018AA">
      <w:pPr>
        <w:jc w:val="both"/>
        <w:rPr>
          <w:rFonts w:ascii="Times New Roman" w:hAnsi="Times New Roman" w:cs="Times New Roman"/>
          <w:lang w:val="fr-FR"/>
        </w:rPr>
      </w:pPr>
    </w:p>
    <w:p w14:paraId="1ACBE99A" w14:textId="77777777" w:rsidR="006018AA" w:rsidRDefault="006018AA" w:rsidP="006018AA">
      <w:pPr>
        <w:pStyle w:val="ListParagraph"/>
        <w:numPr>
          <w:ilvl w:val="0"/>
          <w:numId w:val="71"/>
        </w:numPr>
        <w:ind w:left="0" w:firstLine="0"/>
        <w:jc w:val="both"/>
        <w:rPr>
          <w:rFonts w:ascii="Times New Roman" w:hAnsi="Times New Roman" w:cs="Times New Roman"/>
          <w:b/>
        </w:rPr>
      </w:pPr>
      <w:r>
        <w:rPr>
          <w:rFonts w:ascii="Times New Roman" w:hAnsi="Times New Roman" w:cs="Times New Roman"/>
          <w:b/>
        </w:rPr>
        <w:t xml:space="preserve">The WAEMU Court of Justice ruled that national competition laws were superseded by WAEMU’s competition law and that national competition agencies could not enforce competition law at the national level. </w:t>
      </w:r>
      <w:r>
        <w:rPr>
          <w:rFonts w:ascii="Times New Roman" w:hAnsi="Times New Roman" w:cs="Times New Roman"/>
        </w:rPr>
        <w:t>Although L</w:t>
      </w:r>
      <w:r w:rsidRPr="008B6C7B">
        <w:rPr>
          <w:rFonts w:ascii="Times New Roman" w:hAnsi="Times New Roman" w:cs="Times New Roman"/>
        </w:rPr>
        <w:t xml:space="preserve">aw 94-63 of 22 august 1994 on prices, competition and economic litigation (Competition Act) </w:t>
      </w:r>
      <w:r>
        <w:rPr>
          <w:rFonts w:ascii="Times New Roman" w:hAnsi="Times New Roman" w:cs="Times New Roman"/>
        </w:rPr>
        <w:t xml:space="preserve">was not explicitly revoked, it became unenforceable by </w:t>
      </w:r>
      <w:r w:rsidRPr="00B16B8C">
        <w:rPr>
          <w:rFonts w:ascii="Times New Roman" w:hAnsi="Times New Roman" w:cs="Times New Roman"/>
        </w:rPr>
        <w:t>the NCC (which had operated since 1994 and had previously issued decisions against anticompetitive practices in Senegal)</w:t>
      </w:r>
      <w:r w:rsidRPr="008B6C7B">
        <w:rPr>
          <w:rFonts w:ascii="Times New Roman" w:hAnsi="Times New Roman" w:cs="Times New Roman"/>
          <w:b/>
        </w:rPr>
        <w:t>.</w:t>
      </w:r>
      <w:r>
        <w:rPr>
          <w:rFonts w:ascii="Times New Roman" w:hAnsi="Times New Roman" w:cs="Times New Roman"/>
          <w:b/>
        </w:rPr>
        <w:t xml:space="preserve"> </w:t>
      </w:r>
    </w:p>
    <w:p w14:paraId="1BCD77F6" w14:textId="77777777" w:rsidR="006018AA" w:rsidRDefault="006018AA" w:rsidP="006018AA">
      <w:pPr>
        <w:jc w:val="both"/>
        <w:rPr>
          <w:rFonts w:ascii="Times New Roman" w:hAnsi="Times New Roman" w:cs="Times New Roman"/>
          <w:b/>
        </w:rPr>
      </w:pPr>
    </w:p>
    <w:p w14:paraId="347FE8FE" w14:textId="7F5E90C5" w:rsidR="006018AA" w:rsidRDefault="006018AA" w:rsidP="006018AA">
      <w:pPr>
        <w:pStyle w:val="ListParagraph"/>
        <w:numPr>
          <w:ilvl w:val="0"/>
          <w:numId w:val="71"/>
        </w:numPr>
        <w:ind w:left="0" w:firstLine="0"/>
        <w:jc w:val="both"/>
        <w:rPr>
          <w:rFonts w:ascii="Times New Roman" w:hAnsi="Times New Roman" w:cs="Times New Roman"/>
        </w:rPr>
      </w:pPr>
      <w:r w:rsidRPr="00B7573D">
        <w:rPr>
          <w:rFonts w:ascii="Times New Roman" w:hAnsi="Times New Roman" w:cs="Times New Roman"/>
          <w:b/>
        </w:rPr>
        <w:t>In addition to the NCC, there are sector-specific regulators with a competition law mandate in their specific sectors</w:t>
      </w:r>
      <w:r>
        <w:rPr>
          <w:rFonts w:ascii="Times New Roman" w:hAnsi="Times New Roman" w:cs="Times New Roman"/>
        </w:rPr>
        <w:t xml:space="preserve"> </w:t>
      </w:r>
      <w:r w:rsidRPr="00B16B8C">
        <w:rPr>
          <w:rFonts w:ascii="Times New Roman" w:hAnsi="Times New Roman" w:cs="Times New Roman"/>
        </w:rPr>
        <w:t>(Telecommunications and P</w:t>
      </w:r>
      <w:r>
        <w:rPr>
          <w:rFonts w:ascii="Times New Roman" w:hAnsi="Times New Roman" w:cs="Times New Roman"/>
        </w:rPr>
        <w:t>ostal Regulatory Authority (ARTP</w:t>
      </w:r>
      <w:r w:rsidRPr="00B16B8C">
        <w:rPr>
          <w:rFonts w:ascii="Times New Roman" w:hAnsi="Times New Roman" w:cs="Times New Roman"/>
        </w:rPr>
        <w:t>),</w:t>
      </w:r>
      <w:r w:rsidRPr="00B16B8C">
        <w:rPr>
          <w:rStyle w:val="FootnoteReference"/>
          <w:rFonts w:ascii="Times New Roman" w:hAnsi="Times New Roman" w:cs="Times New Roman"/>
        </w:rPr>
        <w:footnoteReference w:id="257"/>
      </w:r>
      <w:r w:rsidRPr="00B16B8C">
        <w:rPr>
          <w:rFonts w:ascii="Times New Roman" w:hAnsi="Times New Roman" w:cs="Times New Roman"/>
        </w:rPr>
        <w:t xml:space="preserve"> Public Procurement Regulatory Authority (ARMP), and Power Sector Regulatory Commission (CRSE)</w:t>
      </w:r>
      <w:r w:rsidRPr="00082DCF">
        <w:rPr>
          <w:rStyle w:val="FootnoteReference"/>
          <w:rFonts w:ascii="Times New Roman" w:hAnsi="Times New Roman" w:cs="Times New Roman"/>
        </w:rPr>
        <w:footnoteReference w:id="258"/>
      </w:r>
      <w:r w:rsidRPr="00B16B8C">
        <w:rPr>
          <w:rFonts w:ascii="Times New Roman" w:hAnsi="Times New Roman" w:cs="Times New Roman"/>
        </w:rPr>
        <w:t>)</w:t>
      </w:r>
      <w:r>
        <w:rPr>
          <w:rFonts w:ascii="Times New Roman" w:hAnsi="Times New Roman" w:cs="Times New Roman"/>
        </w:rPr>
        <w:t xml:space="preserve">, </w:t>
      </w:r>
      <w:r w:rsidRPr="00BB72A4">
        <w:rPr>
          <w:rFonts w:ascii="Times New Roman" w:hAnsi="Times New Roman" w:cs="Times New Roman"/>
          <w:b/>
        </w:rPr>
        <w:t>which might give rise to legal uncertainty</w:t>
      </w:r>
      <w:r w:rsidRPr="00B16B8C">
        <w:rPr>
          <w:rFonts w:ascii="Times New Roman" w:hAnsi="Times New Roman" w:cs="Times New Roman"/>
        </w:rPr>
        <w:t xml:space="preserve">. </w:t>
      </w:r>
      <w:r w:rsidRPr="00082DCF">
        <w:rPr>
          <w:rFonts w:ascii="Times New Roman" w:hAnsi="Times New Roman" w:cs="Times New Roman"/>
        </w:rPr>
        <w:t>The competition powers of sector-specific regulators are set forth in Law No. 2002-23 of 4 September 2002, on the regulatory framework for the concessionaires of public services. Pursuant to this Law, one of the missions of the regulatory authorities consists in taking all measures necessary to ensure healthy and fair competition in the regulated sector and to boost private sector participation.</w:t>
      </w:r>
      <w:r w:rsidRPr="00082DCF">
        <w:rPr>
          <w:rStyle w:val="FootnoteReference"/>
          <w:rFonts w:ascii="Times New Roman" w:hAnsi="Times New Roman" w:cs="Times New Roman"/>
        </w:rPr>
        <w:footnoteReference w:id="259"/>
      </w:r>
      <w:r w:rsidRPr="00082DCF">
        <w:rPr>
          <w:rFonts w:ascii="Times New Roman" w:hAnsi="Times New Roman" w:cs="Times New Roman"/>
        </w:rPr>
        <w:t xml:space="preserve"> The competition powers of regulatory authorities </w:t>
      </w:r>
      <w:r>
        <w:rPr>
          <w:rFonts w:ascii="Times New Roman" w:hAnsi="Times New Roman" w:cs="Times New Roman"/>
        </w:rPr>
        <w:t xml:space="preserve">include </w:t>
      </w:r>
      <w:r w:rsidRPr="00082DCF">
        <w:rPr>
          <w:rFonts w:ascii="Times New Roman" w:hAnsi="Times New Roman" w:cs="Times New Roman"/>
        </w:rPr>
        <w:t>the enforcement of the prohibition of anticompetitive practices</w:t>
      </w:r>
      <w:r>
        <w:rPr>
          <w:rFonts w:ascii="Times New Roman" w:hAnsi="Times New Roman" w:cs="Times New Roman"/>
        </w:rPr>
        <w:t xml:space="preserve"> (Box </w:t>
      </w:r>
      <w:r w:rsidR="00837543">
        <w:rPr>
          <w:rFonts w:ascii="Times New Roman" w:hAnsi="Times New Roman" w:cs="Times New Roman"/>
        </w:rPr>
        <w:t>24</w:t>
      </w:r>
      <w:r>
        <w:rPr>
          <w:rFonts w:ascii="Times New Roman" w:hAnsi="Times New Roman" w:cs="Times New Roman"/>
        </w:rPr>
        <w:t>)</w:t>
      </w:r>
      <w:r w:rsidRPr="00082DCF">
        <w:rPr>
          <w:rFonts w:ascii="Times New Roman" w:hAnsi="Times New Roman" w:cs="Times New Roman"/>
        </w:rPr>
        <w:t>.</w:t>
      </w:r>
      <w:r w:rsidRPr="00082DCF">
        <w:rPr>
          <w:rStyle w:val="FootnoteReference"/>
          <w:rFonts w:ascii="Times New Roman" w:hAnsi="Times New Roman" w:cs="Times New Roman"/>
        </w:rPr>
        <w:footnoteReference w:id="260"/>
      </w:r>
      <w:r w:rsidRPr="00082DCF">
        <w:rPr>
          <w:rFonts w:ascii="Times New Roman" w:hAnsi="Times New Roman" w:cs="Times New Roman"/>
        </w:rPr>
        <w:t xml:space="preserve"> </w:t>
      </w:r>
      <w:r>
        <w:rPr>
          <w:rFonts w:ascii="Times New Roman" w:hAnsi="Times New Roman" w:cs="Times New Roman"/>
        </w:rPr>
        <w:t xml:space="preserve">It remains to be confirmed whether the competition provisions in this law are still applicable in the respective sectors. As mentioned in the previous section, the 2011 Telecommunication Code also includes competition rules that would be applicable in the telecommunication sector. </w:t>
      </w:r>
    </w:p>
    <w:p w14:paraId="53FCEF4F" w14:textId="5C6E2617" w:rsidR="00837543" w:rsidRPr="007575D7" w:rsidRDefault="00837543" w:rsidP="007575D7"/>
    <w:p w14:paraId="3100E772" w14:textId="69E22F14" w:rsidR="00837543" w:rsidRPr="007575D7" w:rsidRDefault="00837543" w:rsidP="007575D7">
      <w:pPr>
        <w:pStyle w:val="Caption"/>
        <w:keepNext/>
        <w:rPr>
          <w:rFonts w:ascii="Times New Roman" w:hAnsi="Times New Roman"/>
        </w:rPr>
      </w:pPr>
      <w:bookmarkStart w:id="329" w:name="_Toc520725812"/>
      <w:r w:rsidRPr="007575D7">
        <w:rPr>
          <w:rFonts w:ascii="Times New Roman" w:hAnsi="Times New Roman"/>
        </w:rPr>
        <w:t xml:space="preserve">Box </w:t>
      </w:r>
      <w:r w:rsidRPr="007575D7">
        <w:rPr>
          <w:rFonts w:ascii="Times New Roman" w:hAnsi="Times New Roman"/>
        </w:rPr>
        <w:fldChar w:fldCharType="begin"/>
      </w:r>
      <w:r w:rsidRPr="007575D7">
        <w:rPr>
          <w:rFonts w:ascii="Times New Roman" w:hAnsi="Times New Roman"/>
        </w:rPr>
        <w:instrText xml:space="preserve"> SEQ Box \* ARABIC </w:instrText>
      </w:r>
      <w:r w:rsidRPr="007575D7">
        <w:rPr>
          <w:rFonts w:ascii="Times New Roman" w:hAnsi="Times New Roman"/>
        </w:rPr>
        <w:fldChar w:fldCharType="separate"/>
      </w:r>
      <w:r w:rsidR="008261B2">
        <w:rPr>
          <w:rFonts w:ascii="Times New Roman" w:hAnsi="Times New Roman"/>
          <w:noProof/>
        </w:rPr>
        <w:t>24</w:t>
      </w:r>
      <w:r w:rsidRPr="007575D7">
        <w:rPr>
          <w:rFonts w:ascii="Times New Roman" w:hAnsi="Times New Roman"/>
        </w:rPr>
        <w:fldChar w:fldCharType="end"/>
      </w:r>
      <w:r>
        <w:rPr>
          <w:rFonts w:ascii="Times New Roman" w:hAnsi="Times New Roman"/>
        </w:rPr>
        <w:t xml:space="preserve">: </w:t>
      </w:r>
      <w:r w:rsidRPr="00B16B8C">
        <w:rPr>
          <w:rFonts w:ascii="Times New Roman" w:hAnsi="Times New Roman"/>
        </w:rPr>
        <w:t>Competition powers of sector-specific regulators are set forth in Law No. 2002-23</w:t>
      </w:r>
      <w:bookmarkEnd w:id="329"/>
    </w:p>
    <w:tbl>
      <w:tblPr>
        <w:tblStyle w:val="TableGrid"/>
        <w:tblW w:w="0" w:type="auto"/>
        <w:shd w:val="clear" w:color="auto" w:fill="F2F2F2" w:themeFill="background1" w:themeFillShade="F2"/>
        <w:tblLook w:val="04A0" w:firstRow="1" w:lastRow="0" w:firstColumn="1" w:lastColumn="0" w:noHBand="0" w:noVBand="1"/>
      </w:tblPr>
      <w:tblGrid>
        <w:gridCol w:w="8630"/>
      </w:tblGrid>
      <w:tr w:rsidR="006018AA" w:rsidRPr="00C91EA2" w14:paraId="443CF22E" w14:textId="77777777" w:rsidTr="00FA09FE">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EAD5B2" w14:textId="77777777" w:rsidR="006018AA" w:rsidRPr="00B16B8C" w:rsidRDefault="006018AA" w:rsidP="00FA09FE">
            <w:pPr>
              <w:jc w:val="both"/>
              <w:rPr>
                <w:rFonts w:ascii="Times New Roman" w:hAnsi="Times New Roman" w:cs="Times New Roman"/>
                <w:sz w:val="20"/>
                <w:szCs w:val="20"/>
              </w:rPr>
            </w:pPr>
            <w:r w:rsidRPr="00B16B8C">
              <w:rPr>
                <w:rFonts w:ascii="Times New Roman" w:hAnsi="Times New Roman" w:cs="Times New Roman"/>
                <w:sz w:val="20"/>
                <w:szCs w:val="20"/>
              </w:rPr>
              <w:t xml:space="preserve">Article 21 of Law No. 2002-23, prohibits anticompetitive practices which have as their object or effect the prevention, restriction or distortion of competition in the market, and </w:t>
            </w:r>
            <w:proofErr w:type="gramStart"/>
            <w:r w:rsidRPr="00B16B8C">
              <w:rPr>
                <w:rFonts w:ascii="Times New Roman" w:hAnsi="Times New Roman" w:cs="Times New Roman"/>
                <w:sz w:val="20"/>
                <w:szCs w:val="20"/>
              </w:rPr>
              <w:t>in particular those</w:t>
            </w:r>
            <w:proofErr w:type="gramEnd"/>
            <w:r w:rsidRPr="00B16B8C">
              <w:rPr>
                <w:rFonts w:ascii="Times New Roman" w:hAnsi="Times New Roman" w:cs="Times New Roman"/>
                <w:sz w:val="20"/>
                <w:szCs w:val="20"/>
              </w:rPr>
              <w:t xml:space="preserve"> which:</w:t>
            </w:r>
          </w:p>
          <w:p w14:paraId="2114E495" w14:textId="77777777" w:rsidR="006018AA" w:rsidRPr="00B16B8C" w:rsidRDefault="006018AA" w:rsidP="00FA09FE">
            <w:pPr>
              <w:pStyle w:val="ListParagraph"/>
              <w:numPr>
                <w:ilvl w:val="0"/>
                <w:numId w:val="4"/>
              </w:numPr>
              <w:jc w:val="both"/>
              <w:rPr>
                <w:rFonts w:ascii="Times New Roman" w:hAnsi="Times New Roman" w:cs="Times New Roman"/>
                <w:sz w:val="20"/>
                <w:szCs w:val="20"/>
              </w:rPr>
            </w:pPr>
            <w:r w:rsidRPr="00B16B8C">
              <w:rPr>
                <w:rFonts w:ascii="Times New Roman" w:hAnsi="Times New Roman" w:cs="Times New Roman"/>
                <w:sz w:val="20"/>
                <w:szCs w:val="20"/>
              </w:rPr>
              <w:t>Limit market access or freedom to compete by other companies;</w:t>
            </w:r>
          </w:p>
          <w:p w14:paraId="3991F694" w14:textId="19DE8191" w:rsidR="006018AA" w:rsidRPr="00B16B8C" w:rsidRDefault="006018AA" w:rsidP="00FA09FE">
            <w:pPr>
              <w:pStyle w:val="ListParagraph"/>
              <w:numPr>
                <w:ilvl w:val="0"/>
                <w:numId w:val="4"/>
              </w:numPr>
              <w:jc w:val="both"/>
              <w:rPr>
                <w:rFonts w:ascii="Times New Roman" w:hAnsi="Times New Roman" w:cs="Times New Roman"/>
                <w:sz w:val="20"/>
                <w:szCs w:val="20"/>
              </w:rPr>
            </w:pPr>
            <w:r w:rsidRPr="00B16B8C">
              <w:rPr>
                <w:rFonts w:ascii="Times New Roman" w:hAnsi="Times New Roman" w:cs="Times New Roman"/>
                <w:sz w:val="20"/>
                <w:szCs w:val="20"/>
              </w:rPr>
              <w:t xml:space="preserve">Hinder price setting through market mechanisms by artificially favoring their rise or decline through anticompetitive dumping or cross-subsidization. The latter </w:t>
            </w:r>
            <w:proofErr w:type="gramStart"/>
            <w:r w:rsidRPr="00B16B8C">
              <w:rPr>
                <w:rFonts w:ascii="Times New Roman" w:hAnsi="Times New Roman" w:cs="Times New Roman"/>
                <w:sz w:val="20"/>
                <w:szCs w:val="20"/>
              </w:rPr>
              <w:t>is considered to be</w:t>
            </w:r>
            <w:proofErr w:type="gramEnd"/>
            <w:r w:rsidRPr="00B16B8C">
              <w:rPr>
                <w:rFonts w:ascii="Times New Roman" w:hAnsi="Times New Roman" w:cs="Times New Roman"/>
                <w:sz w:val="20"/>
                <w:szCs w:val="20"/>
              </w:rPr>
              <w:t xml:space="preserve"> anticompetitive whenever it serves to subsidize services which are open to competition through financial resources resulting from exclusive services;</w:t>
            </w:r>
          </w:p>
          <w:p w14:paraId="2FAD6C6D" w14:textId="77777777" w:rsidR="006018AA" w:rsidRPr="00B16B8C" w:rsidRDefault="006018AA" w:rsidP="00FA09FE">
            <w:pPr>
              <w:pStyle w:val="ListParagraph"/>
              <w:numPr>
                <w:ilvl w:val="0"/>
                <w:numId w:val="4"/>
              </w:numPr>
              <w:jc w:val="both"/>
              <w:rPr>
                <w:rFonts w:ascii="Times New Roman" w:hAnsi="Times New Roman" w:cs="Times New Roman"/>
                <w:sz w:val="20"/>
                <w:szCs w:val="20"/>
              </w:rPr>
            </w:pPr>
            <w:r w:rsidRPr="00B16B8C">
              <w:rPr>
                <w:rFonts w:ascii="Times New Roman" w:hAnsi="Times New Roman" w:cs="Times New Roman"/>
                <w:sz w:val="20"/>
                <w:szCs w:val="20"/>
              </w:rPr>
              <w:t>limit or control production, markets, technical development, or investment;</w:t>
            </w:r>
          </w:p>
          <w:p w14:paraId="2B255137" w14:textId="77777777" w:rsidR="006018AA" w:rsidRPr="00B16B8C" w:rsidRDefault="006018AA" w:rsidP="00FA09FE">
            <w:pPr>
              <w:pStyle w:val="ListParagraph"/>
              <w:numPr>
                <w:ilvl w:val="0"/>
                <w:numId w:val="4"/>
              </w:numPr>
              <w:jc w:val="both"/>
              <w:rPr>
                <w:rFonts w:ascii="Times New Roman" w:hAnsi="Times New Roman" w:cs="Times New Roman"/>
                <w:sz w:val="20"/>
                <w:szCs w:val="20"/>
              </w:rPr>
            </w:pPr>
            <w:r w:rsidRPr="00B16B8C">
              <w:rPr>
                <w:rFonts w:ascii="Times New Roman" w:hAnsi="Times New Roman" w:cs="Times New Roman"/>
                <w:sz w:val="20"/>
                <w:szCs w:val="20"/>
              </w:rPr>
              <w:t>refuse timely access to technical information on essential facilities and relevant commercial information for other companies to carry out their activity.</w:t>
            </w:r>
          </w:p>
          <w:p w14:paraId="51A9669F" w14:textId="77777777" w:rsidR="006018AA" w:rsidRPr="00B16B8C" w:rsidRDefault="006018AA" w:rsidP="00FA09FE">
            <w:pPr>
              <w:jc w:val="both"/>
              <w:rPr>
                <w:rFonts w:ascii="Times New Roman" w:hAnsi="Times New Roman" w:cs="Times New Roman"/>
                <w:sz w:val="20"/>
                <w:szCs w:val="20"/>
              </w:rPr>
            </w:pPr>
          </w:p>
          <w:p w14:paraId="6AD2D214" w14:textId="6A1A8355" w:rsidR="006018AA" w:rsidRPr="00B16B8C" w:rsidRDefault="006018AA" w:rsidP="00FA09FE">
            <w:pPr>
              <w:jc w:val="both"/>
              <w:rPr>
                <w:rFonts w:ascii="Times New Roman" w:hAnsi="Times New Roman" w:cs="Times New Roman"/>
                <w:sz w:val="20"/>
                <w:szCs w:val="20"/>
              </w:rPr>
            </w:pPr>
            <w:r w:rsidRPr="00B16B8C">
              <w:rPr>
                <w:rFonts w:ascii="Times New Roman" w:hAnsi="Times New Roman" w:cs="Times New Roman"/>
                <w:sz w:val="20"/>
                <w:szCs w:val="20"/>
              </w:rPr>
              <w:t>Similarly</w:t>
            </w:r>
            <w:r>
              <w:rPr>
                <w:rFonts w:ascii="Times New Roman" w:hAnsi="Times New Roman" w:cs="Times New Roman"/>
                <w:sz w:val="20"/>
                <w:szCs w:val="20"/>
              </w:rPr>
              <w:t>,</w:t>
            </w:r>
            <w:r w:rsidRPr="00B16B8C">
              <w:rPr>
                <w:rFonts w:ascii="Times New Roman" w:hAnsi="Times New Roman" w:cs="Times New Roman"/>
                <w:sz w:val="20"/>
                <w:szCs w:val="20"/>
              </w:rPr>
              <w:t xml:space="preserve"> to the Competition Act, </w:t>
            </w:r>
            <w:r w:rsidR="007D3518">
              <w:rPr>
                <w:rFonts w:ascii="Times New Roman" w:hAnsi="Times New Roman" w:cs="Times New Roman"/>
                <w:sz w:val="20"/>
                <w:szCs w:val="20"/>
              </w:rPr>
              <w:t xml:space="preserve">in </w:t>
            </w:r>
            <w:r w:rsidRPr="00B16B8C">
              <w:rPr>
                <w:rFonts w:ascii="Times New Roman" w:hAnsi="Times New Roman" w:cs="Times New Roman"/>
                <w:sz w:val="20"/>
                <w:szCs w:val="20"/>
              </w:rPr>
              <w:t xml:space="preserve">Law No. 2002-23 </w:t>
            </w:r>
            <w:r w:rsidR="007D3518">
              <w:rPr>
                <w:rFonts w:ascii="Times New Roman" w:hAnsi="Times New Roman" w:cs="Times New Roman"/>
                <w:sz w:val="20"/>
                <w:szCs w:val="20"/>
              </w:rPr>
              <w:t xml:space="preserve">the </w:t>
            </w:r>
            <w:r w:rsidRPr="00B16B8C">
              <w:rPr>
                <w:rFonts w:ascii="Times New Roman" w:hAnsi="Times New Roman" w:cs="Times New Roman"/>
                <w:sz w:val="20"/>
                <w:szCs w:val="20"/>
              </w:rPr>
              <w:t xml:space="preserve">definition of abuse of dominance </w:t>
            </w:r>
            <w:r w:rsidRPr="00B16B8C">
              <w:rPr>
                <w:rFonts w:ascii="Times New Roman" w:hAnsi="Times New Roman" w:cs="Times New Roman"/>
                <w:bCs/>
                <w:sz w:val="20"/>
                <w:szCs w:val="20"/>
              </w:rPr>
              <w:t xml:space="preserve">is not in line with standard antitrust analysis since it </w:t>
            </w:r>
            <w:r w:rsidRPr="00B16B8C">
              <w:rPr>
                <w:rFonts w:ascii="Times New Roman" w:hAnsi="Times New Roman" w:cs="Times New Roman"/>
                <w:sz w:val="20"/>
                <w:szCs w:val="20"/>
              </w:rPr>
              <w:t xml:space="preserve">establishes certain prohibitions of unilateral practices independently from their effect on the market. Pursuant to Article 22, an abuse of dominance may consist of: (i) any abuse by one or more undertakings of a dominant position within the common market or in a substantial part of it; or (ii) in the state of dependency </w:t>
            </w:r>
            <w:proofErr w:type="gramStart"/>
            <w:r w:rsidRPr="00B16B8C">
              <w:rPr>
                <w:rFonts w:ascii="Times New Roman" w:hAnsi="Times New Roman" w:cs="Times New Roman"/>
                <w:sz w:val="20"/>
                <w:szCs w:val="20"/>
              </w:rPr>
              <w:t>as regards</w:t>
            </w:r>
            <w:proofErr w:type="gramEnd"/>
            <w:r w:rsidRPr="00B16B8C">
              <w:rPr>
                <w:rFonts w:ascii="Times New Roman" w:hAnsi="Times New Roman" w:cs="Times New Roman"/>
                <w:sz w:val="20"/>
                <w:szCs w:val="20"/>
              </w:rPr>
              <w:t xml:space="preserve"> a client or a supplier without equivalent alternatives. These abuses may consist in the refusal or discriminatory access to networks or services open to public as well as unjustified or discriminatory break-down of established commercial relations. The concept of dominant position is ascertained based on the significant influence of an operator in the market. </w:t>
            </w:r>
            <w:proofErr w:type="gramStart"/>
            <w:r w:rsidR="007D3518">
              <w:rPr>
                <w:rFonts w:ascii="Times New Roman" w:hAnsi="Times New Roman" w:cs="Times New Roman"/>
                <w:sz w:val="20"/>
                <w:szCs w:val="20"/>
              </w:rPr>
              <w:t>In particular, i</w:t>
            </w:r>
            <w:r w:rsidR="007D3518" w:rsidRPr="00B16B8C">
              <w:rPr>
                <w:rFonts w:ascii="Times New Roman" w:hAnsi="Times New Roman" w:cs="Times New Roman"/>
                <w:sz w:val="20"/>
                <w:szCs w:val="20"/>
              </w:rPr>
              <w:t>t</w:t>
            </w:r>
            <w:proofErr w:type="gramEnd"/>
            <w:r w:rsidR="007D3518" w:rsidRPr="00B16B8C">
              <w:rPr>
                <w:rFonts w:ascii="Times New Roman" w:hAnsi="Times New Roman" w:cs="Times New Roman"/>
                <w:sz w:val="20"/>
                <w:szCs w:val="20"/>
              </w:rPr>
              <w:t xml:space="preserve"> </w:t>
            </w:r>
            <w:r w:rsidRPr="00B16B8C">
              <w:rPr>
                <w:rFonts w:ascii="Times New Roman" w:hAnsi="Times New Roman" w:cs="Times New Roman"/>
                <w:sz w:val="20"/>
                <w:szCs w:val="20"/>
              </w:rPr>
              <w:t>may take into consideration: the turnover of the operator and the market dimension; the control of channels to access final consumers; its access to financial resources and its engagement in anticompetitive practices.</w:t>
            </w:r>
          </w:p>
          <w:p w14:paraId="34D22DD2" w14:textId="77777777" w:rsidR="006018AA" w:rsidRDefault="006018AA" w:rsidP="00FA09FE">
            <w:pPr>
              <w:jc w:val="both"/>
              <w:rPr>
                <w:rFonts w:ascii="Times New Roman" w:hAnsi="Times New Roman" w:cs="Times New Roman"/>
              </w:rPr>
            </w:pPr>
          </w:p>
          <w:p w14:paraId="7E34A222" w14:textId="77777777" w:rsidR="006018AA" w:rsidRPr="007575D7" w:rsidRDefault="006018AA" w:rsidP="00FA09FE">
            <w:pPr>
              <w:jc w:val="both"/>
              <w:rPr>
                <w:rFonts w:ascii="Times New Roman" w:hAnsi="Times New Roman" w:cs="Times New Roman"/>
                <w:sz w:val="20"/>
                <w:szCs w:val="20"/>
              </w:rPr>
            </w:pPr>
            <w:r w:rsidRPr="007575D7">
              <w:rPr>
                <w:rFonts w:ascii="Times New Roman" w:hAnsi="Times New Roman" w:cs="Times New Roman"/>
                <w:i/>
                <w:sz w:val="20"/>
                <w:szCs w:val="20"/>
              </w:rPr>
              <w:t>Source:</w:t>
            </w:r>
            <w:r w:rsidRPr="007575D7">
              <w:rPr>
                <w:rFonts w:ascii="Times New Roman" w:hAnsi="Times New Roman" w:cs="Times New Roman"/>
                <w:sz w:val="20"/>
                <w:szCs w:val="20"/>
              </w:rPr>
              <w:t xml:space="preserve"> </w:t>
            </w:r>
            <w:r w:rsidR="00B2502A" w:rsidRPr="007575D7">
              <w:rPr>
                <w:rFonts w:ascii="Times New Roman" w:hAnsi="Times New Roman" w:cs="Times New Roman"/>
                <w:sz w:val="20"/>
                <w:szCs w:val="20"/>
              </w:rPr>
              <w:t>Markets and Competition Team</w:t>
            </w:r>
            <w:r w:rsidR="007D3518" w:rsidRPr="007575D7">
              <w:rPr>
                <w:rFonts w:ascii="Times New Roman" w:hAnsi="Times New Roman" w:cs="Times New Roman"/>
                <w:sz w:val="20"/>
                <w:szCs w:val="20"/>
              </w:rPr>
              <w:t xml:space="preserve"> </w:t>
            </w:r>
            <w:r w:rsidRPr="007575D7">
              <w:rPr>
                <w:rFonts w:ascii="Times New Roman" w:hAnsi="Times New Roman" w:cs="Times New Roman"/>
                <w:sz w:val="20"/>
                <w:szCs w:val="20"/>
              </w:rPr>
              <w:t>elaboration.</w:t>
            </w:r>
          </w:p>
        </w:tc>
      </w:tr>
    </w:tbl>
    <w:p w14:paraId="7123A40D" w14:textId="77777777" w:rsidR="006018AA" w:rsidRDefault="006018AA" w:rsidP="006018AA">
      <w:pPr>
        <w:jc w:val="both"/>
        <w:rPr>
          <w:rFonts w:ascii="Times New Roman" w:hAnsi="Times New Roman" w:cs="Times New Roman"/>
        </w:rPr>
      </w:pPr>
    </w:p>
    <w:p w14:paraId="7F5982A7" w14:textId="77777777" w:rsidR="006018AA" w:rsidRDefault="006018AA" w:rsidP="006018AA">
      <w:pPr>
        <w:jc w:val="both"/>
        <w:rPr>
          <w:rFonts w:ascii="Times New Roman" w:hAnsi="Times New Roman" w:cs="Times New Roman"/>
        </w:rPr>
      </w:pPr>
    </w:p>
    <w:p w14:paraId="27F62B4B" w14:textId="77777777" w:rsidR="006018AA" w:rsidRPr="00403012" w:rsidRDefault="006018AA" w:rsidP="00086112">
      <w:pPr>
        <w:pStyle w:val="Heading2"/>
        <w:rPr>
          <w:rFonts w:ascii="Times New Roman" w:hAnsi="Times New Roman" w:cs="Times New Roman"/>
        </w:rPr>
      </w:pPr>
      <w:bookmarkStart w:id="330" w:name="_Toc520724122"/>
      <w:r w:rsidRPr="00403012">
        <w:rPr>
          <w:rFonts w:ascii="Times New Roman" w:hAnsi="Times New Roman" w:cs="Times New Roman"/>
        </w:rPr>
        <w:t>6.2 Senegal’s National Competition Commission (NCC)’s Powers under WAEMU’s Competition Law</w:t>
      </w:r>
      <w:bookmarkEnd w:id="330"/>
    </w:p>
    <w:p w14:paraId="29E7A202" w14:textId="77777777" w:rsidR="006018AA" w:rsidRDefault="006018AA" w:rsidP="006018AA">
      <w:pPr>
        <w:jc w:val="both"/>
        <w:rPr>
          <w:rFonts w:ascii="Times New Roman" w:hAnsi="Times New Roman" w:cs="Times New Roman"/>
        </w:rPr>
      </w:pPr>
    </w:p>
    <w:p w14:paraId="363EDE53" w14:textId="77777777" w:rsidR="006018AA" w:rsidRDefault="006018AA" w:rsidP="006018AA">
      <w:pPr>
        <w:jc w:val="both"/>
        <w:rPr>
          <w:rFonts w:ascii="Times New Roman" w:hAnsi="Times New Roman" w:cs="Times New Roman"/>
          <w:b/>
          <w:i/>
        </w:rPr>
      </w:pPr>
      <w:r w:rsidRPr="00FA67C4">
        <w:rPr>
          <w:rFonts w:ascii="Times New Roman" w:hAnsi="Times New Roman" w:cs="Times New Roman"/>
          <w:b/>
          <w:i/>
        </w:rPr>
        <w:t xml:space="preserve">Lack of effective </w:t>
      </w:r>
      <w:r>
        <w:rPr>
          <w:rFonts w:ascii="Times New Roman" w:hAnsi="Times New Roman" w:cs="Times New Roman"/>
          <w:b/>
          <w:i/>
        </w:rPr>
        <w:t xml:space="preserve">powers for competition law enforcement at </w:t>
      </w:r>
      <w:r w:rsidR="007D3518">
        <w:rPr>
          <w:rFonts w:ascii="Times New Roman" w:hAnsi="Times New Roman" w:cs="Times New Roman"/>
          <w:b/>
          <w:i/>
        </w:rPr>
        <w:t xml:space="preserve">the </w:t>
      </w:r>
      <w:r>
        <w:rPr>
          <w:rFonts w:ascii="Times New Roman" w:hAnsi="Times New Roman" w:cs="Times New Roman"/>
          <w:b/>
          <w:i/>
        </w:rPr>
        <w:t>national level</w:t>
      </w:r>
    </w:p>
    <w:p w14:paraId="24E3E774" w14:textId="77777777" w:rsidR="006018AA" w:rsidRPr="00FA67C4" w:rsidRDefault="006018AA" w:rsidP="006018AA">
      <w:pPr>
        <w:jc w:val="both"/>
        <w:rPr>
          <w:rFonts w:ascii="Times New Roman" w:hAnsi="Times New Roman" w:cs="Times New Roman"/>
          <w:b/>
          <w:i/>
        </w:rPr>
      </w:pPr>
    </w:p>
    <w:p w14:paraId="563303B0" w14:textId="162D4DCA" w:rsidR="006018AA" w:rsidRDefault="006018AA"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At the WAEMU level, t</w:t>
      </w:r>
      <w:r w:rsidRPr="00C91EA2">
        <w:rPr>
          <w:rFonts w:ascii="Times New Roman" w:hAnsi="Times New Roman" w:cs="Times New Roman"/>
          <w:b/>
        </w:rPr>
        <w:t>he WAEMU Commission has exclusive competence to enforce the competition rules,</w:t>
      </w:r>
      <w:r w:rsidRPr="00C91EA2">
        <w:rPr>
          <w:rStyle w:val="FootnoteReference"/>
          <w:rFonts w:ascii="Times New Roman" w:hAnsi="Times New Roman" w:cs="Times New Roman"/>
          <w:b/>
          <w:bCs/>
        </w:rPr>
        <w:footnoteReference w:id="261"/>
      </w:r>
      <w:r w:rsidRPr="00C91EA2">
        <w:rPr>
          <w:rFonts w:ascii="Times New Roman" w:hAnsi="Times New Roman" w:cs="Times New Roman"/>
          <w:b/>
        </w:rPr>
        <w:t xml:space="preserve"> even though Nationa</w:t>
      </w:r>
      <w:r>
        <w:rPr>
          <w:rFonts w:ascii="Times New Roman" w:hAnsi="Times New Roman" w:cs="Times New Roman"/>
          <w:b/>
        </w:rPr>
        <w:t>l Competition Authorities</w:t>
      </w:r>
      <w:r w:rsidRPr="00C91EA2">
        <w:rPr>
          <w:rFonts w:ascii="Times New Roman" w:hAnsi="Times New Roman" w:cs="Times New Roman"/>
          <w:b/>
        </w:rPr>
        <w:t xml:space="preserve"> </w:t>
      </w:r>
      <w:r>
        <w:rPr>
          <w:rFonts w:ascii="Times New Roman" w:hAnsi="Times New Roman" w:cs="Times New Roman"/>
          <w:b/>
        </w:rPr>
        <w:t xml:space="preserve">(NCAs) </w:t>
      </w:r>
      <w:r w:rsidRPr="00C91EA2">
        <w:rPr>
          <w:rFonts w:ascii="Times New Roman" w:hAnsi="Times New Roman" w:cs="Times New Roman"/>
          <w:b/>
        </w:rPr>
        <w:t>participate in the Competition Advisory Committee, which issues a non-binding opinion prior to the Commission’s decision.</w:t>
      </w:r>
      <w:r w:rsidRPr="00C91EA2">
        <w:rPr>
          <w:rStyle w:val="FootnoteReference"/>
          <w:rFonts w:ascii="Times New Roman" w:hAnsi="Times New Roman" w:cs="Times New Roman"/>
        </w:rPr>
        <w:footnoteReference w:id="262"/>
      </w:r>
      <w:r w:rsidRPr="00C91EA2">
        <w:rPr>
          <w:rFonts w:ascii="Times New Roman" w:hAnsi="Times New Roman" w:cs="Times New Roman"/>
        </w:rPr>
        <w:t xml:space="preserve"> The WAEMU Commission has exclusive competence to investigate:</w:t>
      </w:r>
      <w:r>
        <w:rPr>
          <w:rFonts w:ascii="Times New Roman" w:hAnsi="Times New Roman" w:cs="Times New Roman"/>
        </w:rPr>
        <w:t xml:space="preserve"> (i)</w:t>
      </w:r>
      <w:r w:rsidRPr="00C91EA2">
        <w:rPr>
          <w:rFonts w:ascii="Times New Roman" w:hAnsi="Times New Roman" w:cs="Times New Roman"/>
        </w:rPr>
        <w:t xml:space="preserve"> State aid; </w:t>
      </w:r>
      <w:r>
        <w:rPr>
          <w:rFonts w:ascii="Times New Roman" w:hAnsi="Times New Roman" w:cs="Times New Roman"/>
        </w:rPr>
        <w:t xml:space="preserve">(ii) </w:t>
      </w:r>
      <w:r w:rsidRPr="00C91EA2">
        <w:rPr>
          <w:rFonts w:ascii="Times New Roman" w:hAnsi="Times New Roman" w:cs="Times New Roman"/>
        </w:rPr>
        <w:t>antico</w:t>
      </w:r>
      <w:r>
        <w:rPr>
          <w:rFonts w:ascii="Times New Roman" w:hAnsi="Times New Roman" w:cs="Times New Roman"/>
        </w:rPr>
        <w:t>mpetitive State practices; and (iii) a</w:t>
      </w:r>
      <w:r w:rsidRPr="00C91EA2">
        <w:rPr>
          <w:rFonts w:ascii="Times New Roman" w:hAnsi="Times New Roman" w:cs="Times New Roman"/>
        </w:rPr>
        <w:t>nticompetitive practices with a cross border effect.</w:t>
      </w:r>
      <w:r w:rsidRPr="00C91EA2">
        <w:rPr>
          <w:rStyle w:val="FootnoteReference"/>
          <w:rFonts w:ascii="Times New Roman" w:hAnsi="Times New Roman" w:cs="Times New Roman"/>
        </w:rPr>
        <w:footnoteReference w:id="263"/>
      </w:r>
      <w:r w:rsidRPr="00C91EA2">
        <w:rPr>
          <w:rFonts w:ascii="Times New Roman" w:hAnsi="Times New Roman" w:cs="Times New Roman"/>
        </w:rPr>
        <w:t xml:space="preserve"> Before issuing a decision on an anticompetitive practice, the </w:t>
      </w:r>
      <w:r>
        <w:rPr>
          <w:rFonts w:ascii="Times New Roman" w:hAnsi="Times New Roman" w:cs="Times New Roman"/>
        </w:rPr>
        <w:t xml:space="preserve">WAEMU </w:t>
      </w:r>
      <w:r w:rsidRPr="00C91EA2">
        <w:rPr>
          <w:rFonts w:ascii="Times New Roman" w:hAnsi="Times New Roman" w:cs="Times New Roman"/>
        </w:rPr>
        <w:t>Commission must first obtain a non-binding opinion issued by the Advisory Committee consisting of two members appointed by each Member State.</w:t>
      </w:r>
      <w:r w:rsidRPr="00C91EA2">
        <w:rPr>
          <w:rStyle w:val="FootnoteReference"/>
          <w:rFonts w:ascii="Times New Roman" w:hAnsi="Times New Roman" w:cs="Times New Roman"/>
          <w:b/>
        </w:rPr>
        <w:footnoteReference w:id="264"/>
      </w:r>
      <w:r w:rsidRPr="00C91EA2">
        <w:rPr>
          <w:rFonts w:ascii="Times New Roman" w:hAnsi="Times New Roman" w:cs="Times New Roman"/>
        </w:rPr>
        <w:t xml:space="preserve">  NCAs perform a secondary role in the enforcement of WAEMU competition rules. Their role is limited to a permanent monitoring of the national markets in order to identify failures stemming from anticompetitive practices,</w:t>
      </w:r>
      <w:r w:rsidRPr="00C91EA2">
        <w:rPr>
          <w:rStyle w:val="FootnoteReference"/>
          <w:rFonts w:ascii="Times New Roman" w:hAnsi="Times New Roman" w:cs="Times New Roman"/>
        </w:rPr>
        <w:footnoteReference w:id="265"/>
      </w:r>
      <w:r w:rsidRPr="00C91EA2">
        <w:rPr>
          <w:rFonts w:ascii="Times New Roman" w:hAnsi="Times New Roman" w:cs="Times New Roman"/>
        </w:rPr>
        <w:t xml:space="preserve"> and to cooperate with the WAEMU Commission during the investigation stage.</w:t>
      </w:r>
      <w:r w:rsidRPr="00C91EA2">
        <w:rPr>
          <w:rStyle w:val="FootnoteReference"/>
          <w:rFonts w:ascii="Times New Roman" w:hAnsi="Times New Roman" w:cs="Times New Roman"/>
        </w:rPr>
        <w:footnoteReference w:id="266"/>
      </w:r>
      <w:r w:rsidRPr="00C91EA2">
        <w:rPr>
          <w:rFonts w:ascii="Times New Roman" w:hAnsi="Times New Roman" w:cs="Times New Roman"/>
        </w:rPr>
        <w:t xml:space="preserve"> Whilst the WAEMU Commission is under the obligation to inform NCAs about the investigations carried</w:t>
      </w:r>
      <w:r w:rsidR="007D3518">
        <w:rPr>
          <w:rFonts w:ascii="Times New Roman" w:hAnsi="Times New Roman" w:cs="Times New Roman"/>
        </w:rPr>
        <w:t xml:space="preserve"> </w:t>
      </w:r>
      <w:r w:rsidRPr="00C91EA2">
        <w:rPr>
          <w:rFonts w:ascii="Times New Roman" w:hAnsi="Times New Roman" w:cs="Times New Roman"/>
        </w:rPr>
        <w:t>out nationally,</w:t>
      </w:r>
      <w:r w:rsidRPr="00C91EA2">
        <w:rPr>
          <w:rStyle w:val="FootnoteReference"/>
          <w:rFonts w:ascii="Times New Roman" w:hAnsi="Times New Roman" w:cs="Times New Roman"/>
        </w:rPr>
        <w:footnoteReference w:id="267"/>
      </w:r>
      <w:r w:rsidRPr="00C91EA2">
        <w:rPr>
          <w:rFonts w:ascii="Times New Roman" w:hAnsi="Times New Roman" w:cs="Times New Roman"/>
        </w:rPr>
        <w:t xml:space="preserve"> the latter are subject to a wide array of obligations vis-à-vis the WAEMU Commission, including: (i) sending the requests for negative certificate; (ii) sending notifications for exemptions and complaints; (iii) sending a quarterly report to the Commission with information on market inquiries; (iv) following the implementation of the decisions establishing a sanction; (v) reporting state aids and sending quarterly report to the Commission; and (vi) issuing an annual report on competition in the country.</w:t>
      </w:r>
      <w:r w:rsidRPr="00C91EA2">
        <w:rPr>
          <w:rStyle w:val="FootnoteReference"/>
          <w:rFonts w:ascii="Times New Roman" w:hAnsi="Times New Roman" w:cs="Times New Roman"/>
        </w:rPr>
        <w:footnoteReference w:id="268"/>
      </w:r>
    </w:p>
    <w:p w14:paraId="7E2159C4" w14:textId="77777777" w:rsidR="006018AA" w:rsidRPr="00C91EA2" w:rsidRDefault="006018AA" w:rsidP="006018AA">
      <w:pPr>
        <w:jc w:val="both"/>
        <w:rPr>
          <w:rFonts w:ascii="Times New Roman" w:hAnsi="Times New Roman" w:cs="Times New Roman"/>
        </w:rPr>
      </w:pPr>
    </w:p>
    <w:p w14:paraId="607DA472" w14:textId="2C0F538C"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Pursuant to WAEMU law, the </w:t>
      </w:r>
      <w:r>
        <w:rPr>
          <w:rFonts w:ascii="Times New Roman" w:hAnsi="Times New Roman" w:cs="Times New Roman"/>
          <w:b/>
        </w:rPr>
        <w:t xml:space="preserve">Senegalese </w:t>
      </w:r>
      <w:r w:rsidRPr="00C91EA2">
        <w:rPr>
          <w:rFonts w:ascii="Times New Roman" w:hAnsi="Times New Roman" w:cs="Times New Roman"/>
          <w:b/>
        </w:rPr>
        <w:t>NCC may only conduct preliminary investigations and market analyses.</w:t>
      </w:r>
      <w:r w:rsidRPr="00C91EA2">
        <w:rPr>
          <w:rFonts w:ascii="Times New Roman" w:hAnsi="Times New Roman" w:cs="Times New Roman"/>
        </w:rPr>
        <w:t xml:space="preserve"> WAEMU’s rules set forth the obligation for </w:t>
      </w:r>
      <w:r>
        <w:rPr>
          <w:rFonts w:ascii="Times New Roman" w:hAnsi="Times New Roman" w:cs="Times New Roman"/>
        </w:rPr>
        <w:t>national competition authorities (</w:t>
      </w:r>
      <w:r w:rsidRPr="00C91EA2">
        <w:rPr>
          <w:rFonts w:ascii="Times New Roman" w:hAnsi="Times New Roman" w:cs="Times New Roman"/>
        </w:rPr>
        <w:t>NCAs</w:t>
      </w:r>
      <w:r>
        <w:rPr>
          <w:rFonts w:ascii="Times New Roman" w:hAnsi="Times New Roman" w:cs="Times New Roman"/>
        </w:rPr>
        <w:t>)</w:t>
      </w:r>
      <w:r w:rsidRPr="00C91EA2">
        <w:rPr>
          <w:rFonts w:ascii="Times New Roman" w:hAnsi="Times New Roman" w:cs="Times New Roman"/>
        </w:rPr>
        <w:t xml:space="preserve"> to issue quarterly reports on their activities to keep the WAEMU Commission informed.</w:t>
      </w:r>
      <w:r>
        <w:rPr>
          <w:rFonts w:ascii="Times New Roman" w:hAnsi="Times New Roman" w:cs="Times New Roman"/>
        </w:rPr>
        <w:t xml:space="preserve"> </w:t>
      </w:r>
      <w:r w:rsidRPr="00C91EA2">
        <w:rPr>
          <w:rFonts w:ascii="Times New Roman" w:hAnsi="Times New Roman" w:cs="Times New Roman"/>
        </w:rPr>
        <w:t xml:space="preserve">Under WAEMU competition law, the NCC may conduct investigations at the WAEMU Commission’s request. These investigations are conducted in accordance with the scope and purpose set-out in the order issued by the </w:t>
      </w:r>
      <w:r>
        <w:rPr>
          <w:rFonts w:ascii="Times New Roman" w:hAnsi="Times New Roman" w:cs="Times New Roman"/>
        </w:rPr>
        <w:t xml:space="preserve">WAEMU </w:t>
      </w:r>
      <w:r w:rsidRPr="00C91EA2">
        <w:rPr>
          <w:rFonts w:ascii="Times New Roman" w:hAnsi="Times New Roman" w:cs="Times New Roman"/>
        </w:rPr>
        <w:t>Commission. The order must also describe how the inspection should be carried</w:t>
      </w:r>
      <w:r w:rsidR="007D3518">
        <w:rPr>
          <w:rFonts w:ascii="Times New Roman" w:hAnsi="Times New Roman" w:cs="Times New Roman"/>
        </w:rPr>
        <w:t xml:space="preserve"> </w:t>
      </w:r>
      <w:r w:rsidRPr="00C91EA2">
        <w:rPr>
          <w:rFonts w:ascii="Times New Roman" w:hAnsi="Times New Roman" w:cs="Times New Roman"/>
        </w:rPr>
        <w:t xml:space="preserve">out and the consequences in case of failure to comply (e.g. applicable penalties). The NCC’s agents may also be requested </w:t>
      </w:r>
      <w:r w:rsidR="007D3518">
        <w:rPr>
          <w:rFonts w:ascii="Times New Roman" w:hAnsi="Times New Roman" w:cs="Times New Roman"/>
        </w:rPr>
        <w:t>to assist</w:t>
      </w:r>
      <w:r w:rsidRPr="00C91EA2">
        <w:rPr>
          <w:rFonts w:ascii="Times New Roman" w:hAnsi="Times New Roman" w:cs="Times New Roman"/>
        </w:rPr>
        <w:t xml:space="preserve"> the </w:t>
      </w:r>
      <w:r>
        <w:rPr>
          <w:rFonts w:ascii="Times New Roman" w:hAnsi="Times New Roman" w:cs="Times New Roman"/>
        </w:rPr>
        <w:t xml:space="preserve">WAEMU </w:t>
      </w:r>
      <w:r w:rsidRPr="00C91EA2">
        <w:rPr>
          <w:rFonts w:ascii="Times New Roman" w:hAnsi="Times New Roman" w:cs="Times New Roman"/>
        </w:rPr>
        <w:t>Commission’s officials during an inspection. Finally, in accordance with the Competition Act, the NCC has the power to carry-out inspections and to subpoena companies to testify and submit documents.</w:t>
      </w:r>
      <w:r w:rsidRPr="00C91EA2">
        <w:rPr>
          <w:rStyle w:val="FootnoteReference"/>
          <w:rFonts w:ascii="Times New Roman" w:hAnsi="Times New Roman" w:cs="Times New Roman"/>
        </w:rPr>
        <w:footnoteReference w:id="269"/>
      </w:r>
      <w:r w:rsidRPr="00C91EA2">
        <w:rPr>
          <w:rFonts w:ascii="Times New Roman" w:hAnsi="Times New Roman" w:cs="Times New Roman"/>
        </w:rPr>
        <w:t xml:space="preserve"> Agents of the Ministry of Commerce can also request intervention by civil, military and para-military forces.</w:t>
      </w:r>
      <w:r w:rsidRPr="00C91EA2">
        <w:rPr>
          <w:rStyle w:val="FootnoteReference"/>
          <w:rFonts w:ascii="Times New Roman" w:hAnsi="Times New Roman" w:cs="Times New Roman"/>
        </w:rPr>
        <w:footnoteReference w:id="270"/>
      </w:r>
      <w:r>
        <w:rPr>
          <w:rFonts w:ascii="Times New Roman" w:hAnsi="Times New Roman" w:cs="Times New Roman"/>
        </w:rPr>
        <w:t xml:space="preserve"> </w:t>
      </w:r>
    </w:p>
    <w:p w14:paraId="4F1A8726" w14:textId="77777777" w:rsidR="006018AA" w:rsidRDefault="006018AA" w:rsidP="006018AA">
      <w:pPr>
        <w:jc w:val="both"/>
        <w:rPr>
          <w:rFonts w:ascii="Times New Roman" w:hAnsi="Times New Roman" w:cs="Times New Roman"/>
        </w:rPr>
      </w:pPr>
    </w:p>
    <w:p w14:paraId="47BF9F8F" w14:textId="6304F6FA" w:rsidR="006018AA" w:rsidRPr="00B7157C" w:rsidRDefault="006018AA" w:rsidP="006018AA">
      <w:pPr>
        <w:pStyle w:val="ListParagraph"/>
        <w:numPr>
          <w:ilvl w:val="0"/>
          <w:numId w:val="71"/>
        </w:numPr>
        <w:ind w:left="0" w:firstLine="0"/>
        <w:jc w:val="both"/>
        <w:rPr>
          <w:rFonts w:ascii="Times New Roman" w:hAnsi="Times New Roman" w:cs="Times New Roman"/>
          <w:bCs/>
        </w:rPr>
      </w:pPr>
      <w:r>
        <w:rPr>
          <w:rFonts w:ascii="Times New Roman" w:hAnsi="Times New Roman" w:cs="Times New Roman"/>
          <w:b/>
        </w:rPr>
        <w:t>The</w:t>
      </w:r>
      <w:r w:rsidRPr="00C91EA2">
        <w:rPr>
          <w:rFonts w:ascii="Times New Roman" w:hAnsi="Times New Roman" w:cs="Times New Roman"/>
          <w:b/>
        </w:rPr>
        <w:t xml:space="preserve"> lack of effectiveness of the </w:t>
      </w:r>
      <w:r>
        <w:rPr>
          <w:rFonts w:ascii="Times New Roman" w:hAnsi="Times New Roman" w:cs="Times New Roman"/>
          <w:b/>
        </w:rPr>
        <w:t xml:space="preserve">NCC </w:t>
      </w:r>
      <w:r w:rsidRPr="00C91EA2">
        <w:rPr>
          <w:rFonts w:ascii="Times New Roman" w:hAnsi="Times New Roman" w:cs="Times New Roman"/>
          <w:b/>
        </w:rPr>
        <w:t>has only accentuated since 200</w:t>
      </w:r>
      <w:r>
        <w:rPr>
          <w:rFonts w:ascii="Times New Roman" w:hAnsi="Times New Roman" w:cs="Times New Roman"/>
          <w:b/>
        </w:rPr>
        <w:t xml:space="preserve">3, </w:t>
      </w:r>
      <w:r w:rsidRPr="00C23ED2">
        <w:rPr>
          <w:rFonts w:ascii="Times New Roman" w:hAnsi="Times New Roman" w:cs="Times New Roman"/>
          <w:b/>
        </w:rPr>
        <w:t xml:space="preserve">when WAEMU competition law entered </w:t>
      </w:r>
      <w:r>
        <w:rPr>
          <w:rFonts w:ascii="Times New Roman" w:hAnsi="Times New Roman" w:cs="Times New Roman"/>
          <w:b/>
        </w:rPr>
        <w:t xml:space="preserve">into </w:t>
      </w:r>
      <w:r w:rsidRPr="00C23ED2">
        <w:rPr>
          <w:rFonts w:ascii="Times New Roman" w:hAnsi="Times New Roman" w:cs="Times New Roman"/>
          <w:b/>
        </w:rPr>
        <w:t>force</w:t>
      </w:r>
      <w:r w:rsidRPr="00C91EA2">
        <w:rPr>
          <w:rFonts w:ascii="Times New Roman" w:hAnsi="Times New Roman" w:cs="Times New Roman"/>
        </w:rPr>
        <w:t xml:space="preserve">. On the one hand, the centralization of enforcement powers in the </w:t>
      </w:r>
      <w:r>
        <w:rPr>
          <w:rFonts w:ascii="Times New Roman" w:hAnsi="Times New Roman" w:cs="Times New Roman"/>
        </w:rPr>
        <w:t xml:space="preserve">WAEMU </w:t>
      </w:r>
      <w:r w:rsidRPr="00C91EA2">
        <w:rPr>
          <w:rFonts w:ascii="Times New Roman" w:hAnsi="Times New Roman" w:cs="Times New Roman"/>
        </w:rPr>
        <w:t xml:space="preserve">Commission prevents it from acting </w:t>
      </w:r>
      <w:proofErr w:type="gramStart"/>
      <w:r w:rsidRPr="00C91EA2">
        <w:rPr>
          <w:rFonts w:ascii="Times New Roman" w:hAnsi="Times New Roman" w:cs="Times New Roman"/>
        </w:rPr>
        <w:t>in the area of</w:t>
      </w:r>
      <w:proofErr w:type="gramEnd"/>
      <w:r w:rsidRPr="00C91EA2">
        <w:rPr>
          <w:rFonts w:ascii="Times New Roman" w:hAnsi="Times New Roman" w:cs="Times New Roman"/>
        </w:rPr>
        <w:t xml:space="preserve"> competition law. On the other hand, the WAEMU Commission lacks resources to effectively enforce competition in the internal market, which creates an enforcement gap in the Member States.</w:t>
      </w:r>
      <w:r w:rsidRPr="00C91EA2">
        <w:rPr>
          <w:rStyle w:val="FootnoteReference"/>
          <w:rFonts w:ascii="Times New Roman" w:hAnsi="Times New Roman" w:cs="Times New Roman"/>
        </w:rPr>
        <w:footnoteReference w:id="271"/>
      </w:r>
      <w:r>
        <w:rPr>
          <w:rFonts w:ascii="Times New Roman" w:hAnsi="Times New Roman" w:cs="Times New Roman"/>
          <w:b/>
        </w:rPr>
        <w:t xml:space="preserve"> </w:t>
      </w:r>
      <w:r w:rsidRPr="00793573">
        <w:rPr>
          <w:rFonts w:ascii="Times New Roman" w:hAnsi="Times New Roman" w:cs="Times New Roman"/>
        </w:rPr>
        <w:t xml:space="preserve">In fact, </w:t>
      </w:r>
      <w:r w:rsidRPr="009B7337">
        <w:rPr>
          <w:rFonts w:ascii="Times New Roman" w:hAnsi="Times New Roman" w:cs="Times New Roman"/>
        </w:rPr>
        <w:t>the NCC has not been enforcing the country’s competition rules since WAEMU’s competition law came into force</w:t>
      </w:r>
      <w:r w:rsidRPr="00B7157C">
        <w:rPr>
          <w:rFonts w:ascii="Times New Roman" w:hAnsi="Times New Roman" w:cs="Times New Roman"/>
        </w:rPr>
        <w:t xml:space="preserve">. The </w:t>
      </w:r>
      <w:r w:rsidR="003B24ED">
        <w:rPr>
          <w:rFonts w:ascii="Times New Roman" w:hAnsi="Times New Roman" w:cs="Times New Roman"/>
        </w:rPr>
        <w:t>Government</w:t>
      </w:r>
      <w:r w:rsidRPr="00B7157C">
        <w:rPr>
          <w:rFonts w:ascii="Times New Roman" w:hAnsi="Times New Roman" w:cs="Times New Roman"/>
        </w:rPr>
        <w:t xml:space="preserve"> has put forward plans to reform the country’s competition </w:t>
      </w:r>
      <w:proofErr w:type="gramStart"/>
      <w:r w:rsidRPr="00B7157C">
        <w:rPr>
          <w:rFonts w:ascii="Times New Roman" w:hAnsi="Times New Roman" w:cs="Times New Roman"/>
        </w:rPr>
        <w:t>law</w:t>
      </w:r>
      <w:proofErr w:type="gramEnd"/>
      <w:r w:rsidRPr="00B7157C">
        <w:rPr>
          <w:rFonts w:ascii="Times New Roman" w:hAnsi="Times New Roman" w:cs="Times New Roman"/>
        </w:rPr>
        <w:t xml:space="preserve"> but </w:t>
      </w:r>
      <w:r w:rsidRPr="00B7157C">
        <w:rPr>
          <w:rFonts w:ascii="Times New Roman" w:hAnsi="Times New Roman" w:cs="Times New Roman"/>
          <w:bCs/>
        </w:rPr>
        <w:t>such changes have not been yet implemented.</w:t>
      </w:r>
      <w:r>
        <w:rPr>
          <w:rFonts w:ascii="Times New Roman" w:hAnsi="Times New Roman" w:cs="Times New Roman"/>
          <w:bCs/>
        </w:rPr>
        <w:t xml:space="preserve"> </w:t>
      </w:r>
    </w:p>
    <w:p w14:paraId="1D591A3A" w14:textId="77777777" w:rsidR="006018AA" w:rsidRDefault="006018AA" w:rsidP="006018AA">
      <w:pPr>
        <w:jc w:val="both"/>
        <w:rPr>
          <w:rFonts w:ascii="Times New Roman" w:hAnsi="Times New Roman" w:cs="Times New Roman"/>
        </w:rPr>
      </w:pPr>
    </w:p>
    <w:p w14:paraId="7E4FDE69" w14:textId="68CA444E" w:rsidR="006018AA" w:rsidRPr="00C91EA2" w:rsidRDefault="006018AA"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E</w:t>
      </w:r>
      <w:r w:rsidRPr="00C91EA2">
        <w:rPr>
          <w:rFonts w:ascii="Times New Roman" w:hAnsi="Times New Roman" w:cs="Times New Roman"/>
          <w:b/>
        </w:rPr>
        <w:t xml:space="preserve">ven before 2003, the </w:t>
      </w:r>
      <w:r>
        <w:rPr>
          <w:rFonts w:ascii="Times New Roman" w:hAnsi="Times New Roman" w:cs="Times New Roman"/>
          <w:b/>
        </w:rPr>
        <w:t xml:space="preserve">NCC </w:t>
      </w:r>
      <w:r w:rsidRPr="00C91EA2">
        <w:rPr>
          <w:rFonts w:ascii="Times New Roman" w:hAnsi="Times New Roman" w:cs="Times New Roman"/>
          <w:b/>
        </w:rPr>
        <w:t>had a poor track record in terms of competition law enforcement</w:t>
      </w:r>
      <w:r w:rsidRPr="00C91EA2">
        <w:rPr>
          <w:rFonts w:ascii="Times New Roman" w:hAnsi="Times New Roman" w:cs="Times New Roman"/>
        </w:rPr>
        <w:t>.</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272"/>
      </w:r>
      <w:r w:rsidRPr="00C91EA2">
        <w:rPr>
          <w:rFonts w:ascii="Times New Roman" w:hAnsi="Times New Roman" w:cs="Times New Roman"/>
        </w:rPr>
        <w:t xml:space="preserve"> This was a consequence of the legal burdens created by the Competition Act in what concerns the imposition of sanctions and of insufficient human and financial resources.</w:t>
      </w:r>
      <w:r w:rsidRPr="00C91EA2">
        <w:rPr>
          <w:rStyle w:val="FootnoteReference"/>
          <w:rFonts w:ascii="Times New Roman" w:hAnsi="Times New Roman" w:cs="Times New Roman"/>
        </w:rPr>
        <w:footnoteReference w:id="273"/>
      </w:r>
      <w:r w:rsidRPr="00C91EA2">
        <w:rPr>
          <w:rFonts w:ascii="Times New Roman" w:hAnsi="Times New Roman" w:cs="Times New Roman"/>
        </w:rPr>
        <w:t xml:space="preserve"> </w:t>
      </w:r>
      <w:r w:rsidRPr="00EF78E4">
        <w:rPr>
          <w:rFonts w:ascii="Times New Roman" w:hAnsi="Times New Roman" w:cs="Times New Roman"/>
        </w:rPr>
        <w:t>Prior to 2003, the NCC had concluded one cartel case in the insurance sector and one abuse of dominance case in the air travel sector</w:t>
      </w:r>
      <w:r w:rsidRPr="00B7157C">
        <w:rPr>
          <w:rFonts w:ascii="Times New Roman" w:hAnsi="Times New Roman" w:cs="Times New Roman"/>
        </w:rPr>
        <w:t>. The cartel case pertained to a decision by the Senegalese Federation of Insurance Companies in 2002 to exclude a brokerage company from the market. The NCC adopted a decision and published it in the newspapers</w:t>
      </w:r>
      <w:r>
        <w:rPr>
          <w:rFonts w:ascii="Times New Roman" w:hAnsi="Times New Roman" w:cs="Times New Roman"/>
        </w:rPr>
        <w:t>,</w:t>
      </w:r>
      <w:r w:rsidRPr="00B7157C">
        <w:rPr>
          <w:rFonts w:ascii="Times New Roman" w:hAnsi="Times New Roman" w:cs="Times New Roman"/>
        </w:rPr>
        <w:t xml:space="preserve"> triggering many members of the association to comply with the decision.</w:t>
      </w:r>
      <w:r w:rsidRPr="00EF78E4">
        <w:rPr>
          <w:rStyle w:val="FootnoteReference"/>
          <w:rFonts w:ascii="Times New Roman" w:hAnsi="Times New Roman" w:cs="Times New Roman"/>
        </w:rPr>
        <w:t xml:space="preserve"> </w:t>
      </w:r>
      <w:r w:rsidRPr="00B7157C">
        <w:rPr>
          <w:rStyle w:val="FootnoteReference"/>
          <w:rFonts w:ascii="Times New Roman" w:hAnsi="Times New Roman" w:cs="Times New Roman"/>
        </w:rPr>
        <w:footnoteReference w:id="274"/>
      </w:r>
      <w:r w:rsidRPr="00B7157C">
        <w:rPr>
          <w:rFonts w:ascii="Times New Roman" w:hAnsi="Times New Roman" w:cs="Times New Roman"/>
        </w:rPr>
        <w:t xml:space="preserve"> </w:t>
      </w:r>
      <w:r w:rsidR="007D3518">
        <w:rPr>
          <w:rFonts w:ascii="Times New Roman" w:hAnsi="Times New Roman" w:cs="Times New Roman"/>
        </w:rPr>
        <w:t>T</w:t>
      </w:r>
      <w:r w:rsidRPr="00B7157C">
        <w:rPr>
          <w:rFonts w:ascii="Times New Roman" w:hAnsi="Times New Roman" w:cs="Times New Roman"/>
        </w:rPr>
        <w:t>he abuse of dominance case concerned a decision by Air France in 2002 to reduce the compensation paid to travel agencies.</w:t>
      </w:r>
      <w:r w:rsidRPr="00B7157C">
        <w:rPr>
          <w:rStyle w:val="FootnoteReference"/>
          <w:rFonts w:ascii="Times New Roman" w:hAnsi="Times New Roman" w:cs="Times New Roman"/>
        </w:rPr>
        <w:footnoteReference w:id="275"/>
      </w:r>
      <w:r w:rsidRPr="00B7157C">
        <w:rPr>
          <w:rFonts w:ascii="Times New Roman" w:hAnsi="Times New Roman" w:cs="Times New Roman"/>
        </w:rPr>
        <w:t xml:space="preserve"> The NCC found Air France to be dominant in the market of direct flights between Dakar and Paris and that its decision to unilaterally lower the percentage of ticket sales paid to travel age</w:t>
      </w:r>
      <w:r>
        <w:rPr>
          <w:rFonts w:ascii="Times New Roman" w:hAnsi="Times New Roman" w:cs="Times New Roman"/>
        </w:rPr>
        <w:t>ncies from 10 percent to 7 per</w:t>
      </w:r>
      <w:r w:rsidRPr="00B7157C">
        <w:rPr>
          <w:rFonts w:ascii="Times New Roman" w:hAnsi="Times New Roman" w:cs="Times New Roman"/>
        </w:rPr>
        <w:t xml:space="preserve">cent amounted </w:t>
      </w:r>
      <w:r w:rsidR="007D3518">
        <w:rPr>
          <w:rFonts w:ascii="Times New Roman" w:hAnsi="Times New Roman" w:cs="Times New Roman"/>
        </w:rPr>
        <w:t>to</w:t>
      </w:r>
      <w:r w:rsidRPr="00B7157C">
        <w:rPr>
          <w:rFonts w:ascii="Times New Roman" w:hAnsi="Times New Roman" w:cs="Times New Roman"/>
        </w:rPr>
        <w:t xml:space="preserve"> an abuse of its dominant position. In both cases, the Competition Commission did not impose sanctions to the companies concerned </w:t>
      </w:r>
      <w:proofErr w:type="gramStart"/>
      <w:r w:rsidRPr="00B7157C">
        <w:rPr>
          <w:rFonts w:ascii="Times New Roman" w:hAnsi="Times New Roman" w:cs="Times New Roman"/>
        </w:rPr>
        <w:t>on the ground that</w:t>
      </w:r>
      <w:proofErr w:type="gramEnd"/>
      <w:r w:rsidRPr="00B7157C">
        <w:rPr>
          <w:rFonts w:ascii="Times New Roman" w:hAnsi="Times New Roman" w:cs="Times New Roman"/>
        </w:rPr>
        <w:t xml:space="preserve"> it must first issue a cease and desist order before it can a</w:t>
      </w:r>
      <w:r w:rsidRPr="00EF78E4">
        <w:rPr>
          <w:rFonts w:ascii="Times New Roman" w:hAnsi="Times New Roman" w:cs="Times New Roman"/>
        </w:rPr>
        <w:t>ctually impose fines.</w:t>
      </w:r>
      <w:r w:rsidRPr="00B7157C">
        <w:rPr>
          <w:rStyle w:val="FootnoteReference"/>
          <w:rFonts w:ascii="Times New Roman" w:hAnsi="Times New Roman" w:cs="Times New Roman"/>
        </w:rPr>
        <w:footnoteReference w:id="276"/>
      </w:r>
      <w:r>
        <w:rPr>
          <w:rFonts w:ascii="Times New Roman" w:hAnsi="Times New Roman" w:cs="Times New Roman"/>
        </w:rPr>
        <w:t xml:space="preserve"> </w:t>
      </w:r>
    </w:p>
    <w:p w14:paraId="59145CF3" w14:textId="77777777" w:rsidR="006018AA" w:rsidRDefault="006018AA" w:rsidP="006018AA">
      <w:pPr>
        <w:jc w:val="both"/>
        <w:rPr>
          <w:rFonts w:ascii="Times New Roman" w:hAnsi="Times New Roman" w:cs="Times New Roman"/>
        </w:rPr>
      </w:pPr>
    </w:p>
    <w:p w14:paraId="7D3ECB63" w14:textId="674FF69D" w:rsidR="006018AA" w:rsidRPr="00793573" w:rsidRDefault="006018AA"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Currently, t</w:t>
      </w:r>
      <w:r w:rsidRPr="00C91EA2">
        <w:rPr>
          <w:rFonts w:ascii="Times New Roman" w:hAnsi="Times New Roman" w:cs="Times New Roman"/>
          <w:b/>
        </w:rPr>
        <w:t xml:space="preserve">he NCC </w:t>
      </w:r>
      <w:r>
        <w:rPr>
          <w:rFonts w:ascii="Times New Roman" w:hAnsi="Times New Roman" w:cs="Times New Roman"/>
          <w:b/>
        </w:rPr>
        <w:t xml:space="preserve">lacks sufficient funding to fulfil its WAEMU law mandate of </w:t>
      </w:r>
      <w:r w:rsidRPr="00C91EA2">
        <w:rPr>
          <w:rFonts w:ascii="Times New Roman" w:hAnsi="Times New Roman" w:cs="Times New Roman"/>
          <w:b/>
        </w:rPr>
        <w:t>conduct</w:t>
      </w:r>
      <w:r>
        <w:rPr>
          <w:rFonts w:ascii="Times New Roman" w:hAnsi="Times New Roman" w:cs="Times New Roman"/>
          <w:b/>
        </w:rPr>
        <w:t>ing</w:t>
      </w:r>
      <w:r w:rsidRPr="00C91EA2">
        <w:rPr>
          <w:rFonts w:ascii="Times New Roman" w:hAnsi="Times New Roman" w:cs="Times New Roman"/>
          <w:b/>
        </w:rPr>
        <w:t xml:space="preserve"> preliminary investigations and</w:t>
      </w:r>
      <w:r w:rsidRPr="00C91EA2">
        <w:rPr>
          <w:rFonts w:ascii="Times New Roman" w:hAnsi="Times New Roman" w:cs="Times New Roman"/>
          <w:b/>
          <w:bCs/>
        </w:rPr>
        <w:t xml:space="preserve"> </w:t>
      </w:r>
      <w:r w:rsidRPr="00C91EA2">
        <w:rPr>
          <w:rFonts w:ascii="Times New Roman" w:hAnsi="Times New Roman" w:cs="Times New Roman"/>
          <w:b/>
        </w:rPr>
        <w:t>market analyses</w:t>
      </w:r>
      <w:r>
        <w:rPr>
          <w:rFonts w:ascii="Times New Roman" w:hAnsi="Times New Roman" w:cs="Times New Roman"/>
          <w:b/>
        </w:rPr>
        <w:t xml:space="preserve">. </w:t>
      </w:r>
      <w:r w:rsidRPr="00C91EA2">
        <w:rPr>
          <w:rFonts w:ascii="Times New Roman" w:hAnsi="Times New Roman" w:cs="Times New Roman"/>
          <w:bCs/>
        </w:rPr>
        <w:t>The NCC’s annual budget is manifestly insufficient to perform its mission, as well as to allow it to hire the required specialized staff (around USD 53,000 in 2016).</w:t>
      </w:r>
      <w:r>
        <w:rPr>
          <w:rFonts w:ascii="Times New Roman" w:hAnsi="Times New Roman" w:cs="Times New Roman"/>
          <w:bCs/>
        </w:rPr>
        <w:t xml:space="preserve"> </w:t>
      </w:r>
      <w:r>
        <w:rPr>
          <w:rFonts w:ascii="Times New Roman" w:hAnsi="Times New Roman" w:cs="Times New Roman"/>
        </w:rPr>
        <w:t xml:space="preserve">Although the </w:t>
      </w:r>
      <w:r w:rsidRPr="00C91EA2">
        <w:rPr>
          <w:rFonts w:ascii="Times New Roman" w:hAnsi="Times New Roman" w:cs="Times New Roman"/>
        </w:rPr>
        <w:t>NCC was created as an independent institution</w:t>
      </w:r>
      <w:r>
        <w:rPr>
          <w:rFonts w:ascii="Times New Roman" w:hAnsi="Times New Roman" w:cs="Times New Roman"/>
        </w:rPr>
        <w:t xml:space="preserve">, </w:t>
      </w:r>
      <w:r w:rsidRPr="00C91EA2">
        <w:rPr>
          <w:rFonts w:ascii="Times New Roman" w:hAnsi="Times New Roman" w:cs="Times New Roman"/>
        </w:rPr>
        <w:t xml:space="preserve">funding and staffing rules make it highly dependent on the </w:t>
      </w:r>
      <w:r w:rsidR="003B24ED">
        <w:rPr>
          <w:rFonts w:ascii="Times New Roman" w:hAnsi="Times New Roman" w:cs="Times New Roman"/>
        </w:rPr>
        <w:t>Government</w:t>
      </w:r>
      <w:r w:rsidRPr="00C91EA2">
        <w:rPr>
          <w:rFonts w:ascii="Times New Roman" w:hAnsi="Times New Roman" w:cs="Times New Roman"/>
        </w:rPr>
        <w:t>.</w:t>
      </w:r>
      <w:r w:rsidRPr="00C91EA2">
        <w:rPr>
          <w:rFonts w:ascii="Times New Roman" w:hAnsi="Times New Roman" w:cs="Times New Roman"/>
          <w:b/>
        </w:rPr>
        <w:t xml:space="preserve"> </w:t>
      </w:r>
      <w:r w:rsidRPr="00C91EA2">
        <w:rPr>
          <w:rFonts w:ascii="Times New Roman" w:hAnsi="Times New Roman" w:cs="Times New Roman"/>
        </w:rPr>
        <w:t xml:space="preserve">Because the </w:t>
      </w:r>
      <w:r w:rsidR="003B24ED">
        <w:rPr>
          <w:rFonts w:ascii="Times New Roman" w:hAnsi="Times New Roman" w:cs="Times New Roman"/>
        </w:rPr>
        <w:t>Government</w:t>
      </w:r>
      <w:r w:rsidRPr="00C91EA2">
        <w:rPr>
          <w:rFonts w:ascii="Times New Roman" w:hAnsi="Times New Roman" w:cs="Times New Roman"/>
        </w:rPr>
        <w:t xml:space="preserve"> effectively staffs and provides funds the agency, it ends up controlling it </w:t>
      </w:r>
      <w:r w:rsidRPr="00EF78E4">
        <w:rPr>
          <w:rFonts w:ascii="Times New Roman" w:hAnsi="Times New Roman" w:cs="Times New Roman"/>
          <w:i/>
        </w:rPr>
        <w:t>de facto</w:t>
      </w:r>
      <w:r w:rsidRPr="00C91EA2">
        <w:rPr>
          <w:rFonts w:ascii="Times New Roman" w:hAnsi="Times New Roman" w:cs="Times New Roman"/>
        </w:rPr>
        <w:t xml:space="preserve"> (the Commission’s staff simultaneously works for the Directorate of Internal Trade).</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277"/>
      </w:r>
      <w:r>
        <w:rPr>
          <w:rFonts w:ascii="Times New Roman" w:hAnsi="Times New Roman" w:cs="Times New Roman"/>
        </w:rPr>
        <w:t xml:space="preserve"> </w:t>
      </w:r>
      <w:r w:rsidRPr="00793573">
        <w:rPr>
          <w:rFonts w:ascii="Times New Roman" w:hAnsi="Times New Roman" w:cs="Times New Roman"/>
          <w:bCs/>
        </w:rPr>
        <w:t>The NCC’s Board lacks both technical and administrative staff to perform market studies as required under WAEMU’s competition law.</w:t>
      </w:r>
      <w:r w:rsidRPr="00B7157C">
        <w:rPr>
          <w:rFonts w:ascii="Times New Roman" w:hAnsi="Times New Roman" w:cs="Times New Roman"/>
          <w:bCs/>
        </w:rPr>
        <w:t xml:space="preserve"> NCC’s Board members only work part-time (formed by representatives of the judiciary and one </w:t>
      </w:r>
      <w:r w:rsidR="003B24ED">
        <w:rPr>
          <w:rFonts w:ascii="Times New Roman" w:hAnsi="Times New Roman" w:cs="Times New Roman"/>
          <w:bCs/>
        </w:rPr>
        <w:t>Government</w:t>
      </w:r>
      <w:r w:rsidRPr="00B7157C">
        <w:rPr>
          <w:rFonts w:ascii="Times New Roman" w:hAnsi="Times New Roman" w:cs="Times New Roman"/>
          <w:bCs/>
        </w:rPr>
        <w:t xml:space="preserve"> representative) and only meets sporadically</w:t>
      </w:r>
      <w:r>
        <w:rPr>
          <w:rFonts w:ascii="Times New Roman" w:hAnsi="Times New Roman" w:cs="Times New Roman"/>
          <w:bCs/>
        </w:rPr>
        <w:t>.</w:t>
      </w:r>
      <w:r w:rsidRPr="00B7157C">
        <w:rPr>
          <w:rFonts w:ascii="Times New Roman" w:hAnsi="Times New Roman" w:cs="Times New Roman"/>
          <w:bCs/>
        </w:rPr>
        <w:t xml:space="preserve"> Furthermore, the NCC lacks permanent headquarters since 1994.</w:t>
      </w:r>
      <w:r w:rsidRPr="00B7157C">
        <w:rPr>
          <w:rStyle w:val="FootnoteReference"/>
          <w:rFonts w:ascii="Times New Roman" w:hAnsi="Times New Roman" w:cs="Times New Roman"/>
          <w:bCs/>
        </w:rPr>
        <w:footnoteReference w:id="278"/>
      </w:r>
      <w:r w:rsidRPr="00B7157C">
        <w:rPr>
          <w:rFonts w:ascii="Times New Roman" w:hAnsi="Times New Roman" w:cs="Times New Roman"/>
          <w:bCs/>
        </w:rPr>
        <w:t xml:space="preserve"> This insufficiency of human and budgetary resources has weakened the functioning of the NCC and rendered competition law enforcement ineffective in Senegal.</w:t>
      </w:r>
    </w:p>
    <w:p w14:paraId="6D0D917E" w14:textId="77777777" w:rsidR="006018AA" w:rsidRDefault="006018AA" w:rsidP="006018AA">
      <w:pPr>
        <w:jc w:val="both"/>
        <w:rPr>
          <w:rFonts w:ascii="Times New Roman" w:hAnsi="Times New Roman" w:cs="Times New Roman"/>
        </w:rPr>
      </w:pPr>
    </w:p>
    <w:p w14:paraId="3C938AC8" w14:textId="77777777" w:rsidR="006018AA" w:rsidRPr="00FA67C4" w:rsidRDefault="006018AA" w:rsidP="006018AA">
      <w:pPr>
        <w:jc w:val="both"/>
        <w:rPr>
          <w:rFonts w:ascii="Times New Roman" w:hAnsi="Times New Roman" w:cs="Times New Roman"/>
          <w:b/>
          <w:i/>
        </w:rPr>
      </w:pPr>
      <w:r w:rsidRPr="00FA67C4">
        <w:rPr>
          <w:rFonts w:ascii="Times New Roman" w:hAnsi="Times New Roman" w:cs="Times New Roman"/>
          <w:b/>
          <w:i/>
        </w:rPr>
        <w:t xml:space="preserve">Lack of effectiveness of WAEMU competition rules enforcement </w:t>
      </w:r>
    </w:p>
    <w:p w14:paraId="033FE5D0" w14:textId="77777777" w:rsidR="006018AA" w:rsidRPr="00FA67C4" w:rsidRDefault="006018AA" w:rsidP="006018AA">
      <w:pPr>
        <w:jc w:val="both"/>
        <w:rPr>
          <w:rFonts w:ascii="Times New Roman" w:hAnsi="Times New Roman" w:cs="Times New Roman"/>
          <w:b/>
          <w:i/>
        </w:rPr>
      </w:pPr>
    </w:p>
    <w:p w14:paraId="45601728" w14:textId="77777777"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In parallel, the WAEMU Commission has also been largely ineffective in enforcing the competition rules across the internal market</w:t>
      </w:r>
      <w:r w:rsidRPr="00C91EA2">
        <w:rPr>
          <w:rFonts w:ascii="Times New Roman" w:hAnsi="Times New Roman" w:cs="Times New Roman"/>
        </w:rPr>
        <w:t xml:space="preserve">. Most Member States </w:t>
      </w:r>
      <w:r>
        <w:rPr>
          <w:rFonts w:ascii="Times New Roman" w:hAnsi="Times New Roman" w:cs="Times New Roman"/>
        </w:rPr>
        <w:t>have not</w:t>
      </w:r>
      <w:r w:rsidRPr="00C91EA2">
        <w:rPr>
          <w:rFonts w:ascii="Times New Roman" w:hAnsi="Times New Roman" w:cs="Times New Roman"/>
        </w:rPr>
        <w:t xml:space="preserve"> adjust</w:t>
      </w:r>
      <w:r>
        <w:rPr>
          <w:rFonts w:ascii="Times New Roman" w:hAnsi="Times New Roman" w:cs="Times New Roman"/>
        </w:rPr>
        <w:t>ed</w:t>
      </w:r>
      <w:r w:rsidRPr="00C91EA2">
        <w:rPr>
          <w:rFonts w:ascii="Times New Roman" w:hAnsi="Times New Roman" w:cs="Times New Roman"/>
        </w:rPr>
        <w:t xml:space="preserve"> their national laws in accordance with WAEMU law in the terms imposed by the Court of Justice; the WAEMU Commission remains severely constrained in terms of resources; and there is lack of effective cooperation between the WAEMU Commission and the national authorities, chiefly Senegal’s NCC.</w:t>
      </w:r>
      <w:r w:rsidRPr="00C91EA2">
        <w:rPr>
          <w:rStyle w:val="FootnoteReference"/>
          <w:rFonts w:ascii="Times New Roman" w:hAnsi="Times New Roman" w:cs="Times New Roman"/>
        </w:rPr>
        <w:footnoteReference w:id="279"/>
      </w:r>
    </w:p>
    <w:p w14:paraId="12653506" w14:textId="77777777" w:rsidR="006018AA" w:rsidRDefault="006018AA" w:rsidP="006018AA">
      <w:pPr>
        <w:jc w:val="both"/>
        <w:rPr>
          <w:rFonts w:ascii="Times New Roman" w:hAnsi="Times New Roman" w:cs="Times New Roman"/>
        </w:rPr>
      </w:pPr>
    </w:p>
    <w:p w14:paraId="4FAFE957" w14:textId="72FB1E24"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The WAEMU Commission has not yet enforced the competition rules on anticompetitive agreements and abuse of dominance, even if it has been active in several State aid and internal market cases involving Senegal.</w:t>
      </w:r>
      <w:r w:rsidRPr="00C91EA2">
        <w:rPr>
          <w:rStyle w:val="FootnoteReference"/>
          <w:rFonts w:ascii="Times New Roman" w:hAnsi="Times New Roman" w:cs="Times New Roman"/>
        </w:rPr>
        <w:footnoteReference w:id="280"/>
      </w:r>
      <w:r w:rsidRPr="00C91EA2">
        <w:rPr>
          <w:rFonts w:ascii="Times New Roman" w:hAnsi="Times New Roman" w:cs="Times New Roman"/>
        </w:rPr>
        <w:t xml:space="preserve"> </w:t>
      </w:r>
      <w:r w:rsidRPr="003A52AA">
        <w:rPr>
          <w:rFonts w:ascii="Times New Roman" w:hAnsi="Times New Roman" w:cs="Times New Roman"/>
          <w:bCs/>
        </w:rPr>
        <w:t xml:space="preserve">State </w:t>
      </w:r>
      <w:r>
        <w:rPr>
          <w:rFonts w:ascii="Times New Roman" w:hAnsi="Times New Roman" w:cs="Times New Roman"/>
          <w:bCs/>
        </w:rPr>
        <w:t xml:space="preserve">aid </w:t>
      </w:r>
      <w:r w:rsidRPr="003A52AA">
        <w:rPr>
          <w:rFonts w:ascii="Times New Roman" w:hAnsi="Times New Roman" w:cs="Times New Roman"/>
          <w:bCs/>
        </w:rPr>
        <w:t xml:space="preserve">can take various forms, including among others tax exemptions, loan guarantees, provision of resources at below market prices, subsidies, capital injections. </w:t>
      </w:r>
      <w:r>
        <w:rPr>
          <w:rFonts w:ascii="Times New Roman" w:hAnsi="Times New Roman" w:cs="Times New Roman"/>
          <w:bCs/>
        </w:rPr>
        <w:t>State aid</w:t>
      </w:r>
      <w:r w:rsidRPr="003A52AA">
        <w:rPr>
          <w:rFonts w:ascii="Times New Roman" w:hAnsi="Times New Roman" w:cs="Times New Roman"/>
          <w:bCs/>
        </w:rPr>
        <w:t xml:space="preserve"> may have a negative impact on competition</w:t>
      </w:r>
      <w:r>
        <w:rPr>
          <w:rFonts w:ascii="Times New Roman" w:hAnsi="Times New Roman" w:cs="Times New Roman"/>
          <w:bCs/>
        </w:rPr>
        <w:t>, even if it was originally designed to offer</w:t>
      </w:r>
      <w:r w:rsidRPr="003A52AA">
        <w:rPr>
          <w:rFonts w:ascii="Times New Roman" w:hAnsi="Times New Roman" w:cs="Times New Roman"/>
          <w:bCs/>
        </w:rPr>
        <w:t xml:space="preserve"> </w:t>
      </w:r>
      <w:r w:rsidR="003B24ED">
        <w:rPr>
          <w:rFonts w:ascii="Times New Roman" w:hAnsi="Times New Roman" w:cs="Times New Roman"/>
          <w:bCs/>
        </w:rPr>
        <w:t>Government</w:t>
      </w:r>
      <w:r w:rsidRPr="003A52AA">
        <w:rPr>
          <w:rFonts w:ascii="Times New Roman" w:hAnsi="Times New Roman" w:cs="Times New Roman"/>
          <w:bCs/>
        </w:rPr>
        <w:t xml:space="preserve"> support to private or</w:t>
      </w:r>
      <w:r w:rsidR="00FA09FE">
        <w:rPr>
          <w:rFonts w:ascii="Times New Roman" w:hAnsi="Times New Roman" w:cs="Times New Roman"/>
          <w:bCs/>
        </w:rPr>
        <w:t xml:space="preserve"> state-owned</w:t>
      </w:r>
      <w:r w:rsidRPr="003A52AA">
        <w:rPr>
          <w:rFonts w:ascii="Times New Roman" w:hAnsi="Times New Roman" w:cs="Times New Roman"/>
          <w:bCs/>
        </w:rPr>
        <w:t xml:space="preserve"> enterprises (SOEs)</w:t>
      </w:r>
      <w:r>
        <w:rPr>
          <w:rFonts w:ascii="Times New Roman" w:hAnsi="Times New Roman" w:cs="Times New Roman"/>
          <w:bCs/>
        </w:rPr>
        <w:t xml:space="preserve"> for specific objectives</w:t>
      </w:r>
      <w:r w:rsidRPr="003A52AA">
        <w:rPr>
          <w:rFonts w:ascii="Times New Roman" w:hAnsi="Times New Roman" w:cs="Times New Roman"/>
          <w:bCs/>
        </w:rPr>
        <w:t>. If not properly designed, state aid may provide an undue advantage to specific firms, reinforce a dominant position, thus facilitating anticompetitive behaviors or reduce a firm’s incentive to make investments, thus generating market inefficiencies</w:t>
      </w:r>
      <w:r>
        <w:rPr>
          <w:rFonts w:ascii="Times New Roman" w:hAnsi="Times New Roman" w:cs="Times New Roman"/>
          <w:bCs/>
        </w:rPr>
        <w:t xml:space="preserve"> (see Box </w:t>
      </w:r>
      <w:r w:rsidR="00A25CD1">
        <w:rPr>
          <w:rFonts w:ascii="Times New Roman" w:hAnsi="Times New Roman" w:cs="Times New Roman"/>
          <w:bCs/>
        </w:rPr>
        <w:t xml:space="preserve">25 </w:t>
      </w:r>
      <w:r>
        <w:rPr>
          <w:rFonts w:ascii="Times New Roman" w:hAnsi="Times New Roman" w:cs="Times New Roman"/>
          <w:bCs/>
        </w:rPr>
        <w:t>for State aid rules in WAEMU)</w:t>
      </w:r>
      <w:r w:rsidRPr="003A52AA">
        <w:rPr>
          <w:rFonts w:ascii="Times New Roman" w:hAnsi="Times New Roman" w:cs="Times New Roman"/>
          <w:bCs/>
        </w:rPr>
        <w:t>.</w:t>
      </w:r>
      <w:r>
        <w:rPr>
          <w:rFonts w:ascii="Times New Roman" w:hAnsi="Times New Roman" w:cs="Times New Roman"/>
          <w:bCs/>
        </w:rPr>
        <w:t xml:space="preserve"> </w:t>
      </w:r>
      <w:r w:rsidRPr="00C91EA2">
        <w:rPr>
          <w:rFonts w:ascii="Times New Roman" w:hAnsi="Times New Roman" w:cs="Times New Roman"/>
        </w:rPr>
        <w:t xml:space="preserve">For instance, in case SOCOCIM v. Senegal and Cement of Sahel, the Commission of WAEMU considered </w:t>
      </w:r>
      <w:r w:rsidR="003B7C04">
        <w:rPr>
          <w:rFonts w:ascii="Times New Roman" w:hAnsi="Times New Roman" w:cs="Times New Roman"/>
        </w:rPr>
        <w:t>a</w:t>
      </w:r>
      <w:r w:rsidRPr="00C91EA2">
        <w:rPr>
          <w:rFonts w:ascii="Times New Roman" w:hAnsi="Times New Roman" w:cs="Times New Roman"/>
        </w:rPr>
        <w:t xml:space="preserve"> tax exemption awarded </w:t>
      </w:r>
      <w:r w:rsidR="003B7C04">
        <w:rPr>
          <w:rFonts w:ascii="Times New Roman" w:hAnsi="Times New Roman" w:cs="Times New Roman"/>
        </w:rPr>
        <w:t>to be</w:t>
      </w:r>
      <w:r w:rsidR="003B7C04" w:rsidRPr="00C91EA2">
        <w:rPr>
          <w:rFonts w:ascii="Times New Roman" w:hAnsi="Times New Roman" w:cs="Times New Roman"/>
        </w:rPr>
        <w:t xml:space="preserve"> </w:t>
      </w:r>
      <w:r w:rsidRPr="00C91EA2">
        <w:rPr>
          <w:rFonts w:ascii="Times New Roman" w:hAnsi="Times New Roman" w:cs="Times New Roman"/>
        </w:rPr>
        <w:t xml:space="preserve">distortive of competition and it ordered Senegal to bring an end to such exemptions. In another case regarding tax exemptions by Senegal, the Commission decided that a tax exemption on the import of packaging in </w:t>
      </w:r>
      <w:proofErr w:type="spellStart"/>
      <w:r w:rsidRPr="00C91EA2">
        <w:rPr>
          <w:rFonts w:ascii="Times New Roman" w:hAnsi="Times New Roman" w:cs="Times New Roman"/>
        </w:rPr>
        <w:t>kraft</w:t>
      </w:r>
      <w:proofErr w:type="spellEnd"/>
      <w:r w:rsidRPr="00C91EA2">
        <w:rPr>
          <w:rFonts w:ascii="Times New Roman" w:hAnsi="Times New Roman" w:cs="Times New Roman"/>
        </w:rPr>
        <w:t xml:space="preserve"> paper placed local producers in a competitive disadvantage and it ordered Senegal to bring an end to the discriminatory tax regime. Senegal has also complained to the Commission in cases involving State aid awarded by other Member States. In the ASKY case, an agreement was struck between the </w:t>
      </w:r>
      <w:r w:rsidR="003B24ED">
        <w:rPr>
          <w:rFonts w:ascii="Times New Roman" w:hAnsi="Times New Roman" w:cs="Times New Roman"/>
        </w:rPr>
        <w:t>Government</w:t>
      </w:r>
      <w:r w:rsidRPr="00C91EA2">
        <w:rPr>
          <w:rFonts w:ascii="Times New Roman" w:hAnsi="Times New Roman" w:cs="Times New Roman"/>
        </w:rPr>
        <w:t xml:space="preserve"> of Togo and ASKY, by which the former granted immunities and tax exemptions to the latter. This agreement, which had not been notified to the Commission was the object of a complaint by Senegal </w:t>
      </w:r>
      <w:proofErr w:type="gramStart"/>
      <w:r w:rsidRPr="00C91EA2">
        <w:rPr>
          <w:rFonts w:ascii="Times New Roman" w:hAnsi="Times New Roman" w:cs="Times New Roman"/>
        </w:rPr>
        <w:t>on the grounds that</w:t>
      </w:r>
      <w:proofErr w:type="gramEnd"/>
      <w:r w:rsidRPr="00C91EA2">
        <w:rPr>
          <w:rFonts w:ascii="Times New Roman" w:hAnsi="Times New Roman" w:cs="Times New Roman"/>
        </w:rPr>
        <w:t xml:space="preserve"> it violated WAEMU’s State aid rules. The WAEMU has also opened a case against Senegal for breach of the internal market rules. In case “</w:t>
      </w:r>
      <w:proofErr w:type="spellStart"/>
      <w:r w:rsidRPr="00C91EA2">
        <w:rPr>
          <w:rFonts w:ascii="Times New Roman" w:hAnsi="Times New Roman" w:cs="Times New Roman"/>
        </w:rPr>
        <w:t>Norme</w:t>
      </w:r>
      <w:proofErr w:type="spellEnd"/>
      <w:r w:rsidRPr="00C91EA2">
        <w:rPr>
          <w:rFonts w:ascii="Times New Roman" w:hAnsi="Times New Roman" w:cs="Times New Roman"/>
        </w:rPr>
        <w:t xml:space="preserve"> NS-072”, Senegal adopted an indirect protectionist measure consisting of a regulation requiring a maximum 30% content of fat acid in refined palm oil, allegedly </w:t>
      </w:r>
      <w:proofErr w:type="gramStart"/>
      <w:r w:rsidRPr="00C91EA2">
        <w:rPr>
          <w:rFonts w:ascii="Times New Roman" w:hAnsi="Times New Roman" w:cs="Times New Roman"/>
        </w:rPr>
        <w:t>on the basis of</w:t>
      </w:r>
      <w:proofErr w:type="gramEnd"/>
      <w:r w:rsidRPr="00C91EA2">
        <w:rPr>
          <w:rFonts w:ascii="Times New Roman" w:hAnsi="Times New Roman" w:cs="Times New Roman"/>
        </w:rPr>
        <w:t xml:space="preserve"> health reasons. Because of this new regulation, refined palm oil imported from </w:t>
      </w:r>
      <w:r w:rsidR="00F65F5F">
        <w:rPr>
          <w:rFonts w:ascii="Times New Roman" w:hAnsi="Times New Roman" w:cs="Times New Roman"/>
        </w:rPr>
        <w:t>Cote D’Ivoire</w:t>
      </w:r>
      <w:r w:rsidRPr="00C91EA2">
        <w:rPr>
          <w:rFonts w:ascii="Times New Roman" w:hAnsi="Times New Roman" w:cs="Times New Roman"/>
        </w:rPr>
        <w:t xml:space="preserve"> was no longer allowed to be commercialized in Senegal. In a decision from 2010, the Commission required Senegal to eliminate </w:t>
      </w:r>
      <w:r w:rsidR="003B7C04">
        <w:rPr>
          <w:rFonts w:ascii="Times New Roman" w:hAnsi="Times New Roman" w:cs="Times New Roman"/>
        </w:rPr>
        <w:t>this</w:t>
      </w:r>
      <w:r w:rsidRPr="00C91EA2">
        <w:rPr>
          <w:rFonts w:ascii="Times New Roman" w:hAnsi="Times New Roman" w:cs="Times New Roman"/>
        </w:rPr>
        <w:t xml:space="preserve"> regulation.</w:t>
      </w:r>
      <w:r w:rsidRPr="00C91EA2">
        <w:rPr>
          <w:rStyle w:val="FootnoteReference"/>
          <w:rFonts w:ascii="Times New Roman" w:hAnsi="Times New Roman" w:cs="Times New Roman"/>
        </w:rPr>
        <w:footnoteReference w:id="281"/>
      </w:r>
    </w:p>
    <w:p w14:paraId="2A97975B" w14:textId="77777777" w:rsidR="006018AA" w:rsidRDefault="006018AA" w:rsidP="006018AA">
      <w:pPr>
        <w:jc w:val="both"/>
        <w:rPr>
          <w:rFonts w:ascii="Times New Roman" w:hAnsi="Times New Roman" w:cs="Times New Roman"/>
        </w:rPr>
      </w:pPr>
    </w:p>
    <w:p w14:paraId="1496555A" w14:textId="371B1D40" w:rsidR="006018AA" w:rsidRDefault="006018AA"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Given</w:t>
      </w:r>
      <w:r w:rsidRPr="00793573">
        <w:rPr>
          <w:rFonts w:ascii="Times New Roman" w:hAnsi="Times New Roman" w:cs="Times New Roman"/>
          <w:b/>
        </w:rPr>
        <w:t xml:space="preserve"> the lack of enforcement of WAEMU competition law by the WAEMU’s Commission, it is argued that Senegal’s Competition Act </w:t>
      </w:r>
      <w:r w:rsidRPr="00C34BC9">
        <w:rPr>
          <w:rFonts w:ascii="Times New Roman" w:hAnsi="Times New Roman" w:cs="Times New Roman"/>
          <w:b/>
        </w:rPr>
        <w:t xml:space="preserve">and sector-specific competition rules </w:t>
      </w:r>
      <w:r w:rsidRPr="00793573">
        <w:rPr>
          <w:rFonts w:ascii="Times New Roman" w:hAnsi="Times New Roman" w:cs="Times New Roman"/>
          <w:b/>
        </w:rPr>
        <w:t xml:space="preserve">effectively </w:t>
      </w:r>
      <w:r w:rsidRPr="00C34BC9">
        <w:rPr>
          <w:rFonts w:ascii="Times New Roman" w:hAnsi="Times New Roman" w:cs="Times New Roman"/>
          <w:b/>
        </w:rPr>
        <w:t>remain</w:t>
      </w:r>
      <w:r w:rsidRPr="00793573">
        <w:rPr>
          <w:rFonts w:ascii="Times New Roman" w:hAnsi="Times New Roman" w:cs="Times New Roman"/>
          <w:b/>
        </w:rPr>
        <w:t xml:space="preserve"> in force in Senegal</w:t>
      </w:r>
      <w:r w:rsidRPr="00C34BC9">
        <w:rPr>
          <w:rFonts w:ascii="Times New Roman" w:hAnsi="Times New Roman" w:cs="Times New Roman"/>
        </w:rPr>
        <w:t xml:space="preserve">. </w:t>
      </w:r>
      <w:r>
        <w:rPr>
          <w:rFonts w:ascii="Times New Roman" w:hAnsi="Times New Roman" w:cs="Times New Roman"/>
        </w:rPr>
        <w:t xml:space="preserve">In fact, the NCC has even issued competition decisions in 2002 and 2003, after the WAEMU Court of Justice judgment 2000 ruling that Member States should not enforce competition rules. </w:t>
      </w:r>
      <w:r w:rsidRPr="00C91EA2">
        <w:rPr>
          <w:rFonts w:ascii="Times New Roman" w:hAnsi="Times New Roman" w:cs="Times New Roman"/>
        </w:rPr>
        <w:t>Notwithstanding the Court of Justice’s Opinion No. 03/2000, Senegal has not actually revoked its Act No. 94-63 of 22 August 1994 on prices, competition and economic disputes (‘Competition Act’). During the drafting of WAEMU’s secondary legislation, the Senegalese Competition Commission drafted an opini</w:t>
      </w:r>
      <w:r>
        <w:rPr>
          <w:rFonts w:ascii="Times New Roman" w:hAnsi="Times New Roman" w:cs="Times New Roman"/>
        </w:rPr>
        <w:t>on arguing against the centraliz</w:t>
      </w:r>
      <w:r w:rsidRPr="00C91EA2">
        <w:rPr>
          <w:rFonts w:ascii="Times New Roman" w:hAnsi="Times New Roman" w:cs="Times New Roman"/>
        </w:rPr>
        <w:t>ed approach defended by the Court of Justice.</w:t>
      </w:r>
      <w:r w:rsidRPr="00C91EA2">
        <w:rPr>
          <w:rStyle w:val="FootnoteReference"/>
          <w:rFonts w:ascii="Times New Roman" w:hAnsi="Times New Roman" w:cs="Times New Roman"/>
        </w:rPr>
        <w:footnoteReference w:id="282"/>
      </w:r>
      <w:r>
        <w:rPr>
          <w:rFonts w:ascii="Times New Roman" w:hAnsi="Times New Roman" w:cs="Times New Roman"/>
        </w:rPr>
        <w:t xml:space="preserve"> This rejection of a centraliz</w:t>
      </w:r>
      <w:r w:rsidRPr="00C91EA2">
        <w:rPr>
          <w:rFonts w:ascii="Times New Roman" w:hAnsi="Times New Roman" w:cs="Times New Roman"/>
        </w:rPr>
        <w:t>ed approach has not softened since. In fact, the Competition Commission put forward a strategic plan for the period of 2014-201</w:t>
      </w:r>
      <w:r>
        <w:rPr>
          <w:rFonts w:ascii="Times New Roman" w:hAnsi="Times New Roman" w:cs="Times New Roman"/>
        </w:rPr>
        <w:t>7 seeking to revamp and moderniz</w:t>
      </w:r>
      <w:r w:rsidRPr="00C91EA2">
        <w:rPr>
          <w:rFonts w:ascii="Times New Roman" w:hAnsi="Times New Roman" w:cs="Times New Roman"/>
        </w:rPr>
        <w:t>e its competition law and competition authority, to disseminate a competition culture in Senegal and to effectively enforce the competition rules for the benefit of consumers, businesses and the economy.</w:t>
      </w:r>
      <w:r w:rsidRPr="00C91EA2">
        <w:rPr>
          <w:rStyle w:val="FootnoteReference"/>
          <w:rFonts w:ascii="Times New Roman" w:hAnsi="Times New Roman" w:cs="Times New Roman"/>
        </w:rPr>
        <w:footnoteReference w:id="283"/>
      </w:r>
      <w:r w:rsidRPr="00C91EA2">
        <w:rPr>
          <w:rFonts w:ascii="Times New Roman" w:hAnsi="Times New Roman" w:cs="Times New Roman"/>
        </w:rPr>
        <w:t xml:space="preserve"> In this context, a draft law was prepared, which </w:t>
      </w:r>
      <w:r w:rsidRPr="00C91EA2">
        <w:rPr>
          <w:rFonts w:ascii="Times New Roman" w:hAnsi="Times New Roman" w:cs="Times New Roman"/>
          <w:i/>
        </w:rPr>
        <w:t>“aims to incorporate merger provisions and includes, inter alia, deterrent sanctions, more investigative powers, fair trials and better protection of undertakings’ rights during investigations and dawn raids. The bill also provides for a transformation of the Competition Commission to a Competition Authority, which would have more resources and the possibility to cooperate and exchange information with national, regional and international competition agencies.”</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284"/>
      </w:r>
      <w:r w:rsidRPr="00C91EA2">
        <w:rPr>
          <w:rFonts w:ascii="Times New Roman" w:hAnsi="Times New Roman" w:cs="Times New Roman"/>
        </w:rPr>
        <w:t xml:space="preserve"> However, and despite its ambitious goals, the bill was never adopted.</w:t>
      </w:r>
      <w:r>
        <w:rPr>
          <w:rFonts w:ascii="Times New Roman" w:hAnsi="Times New Roman" w:cs="Times New Roman"/>
        </w:rPr>
        <w:t xml:space="preserve"> </w:t>
      </w:r>
    </w:p>
    <w:p w14:paraId="6655289F" w14:textId="77777777" w:rsidR="006018AA" w:rsidRDefault="006018AA" w:rsidP="006018AA">
      <w:pPr>
        <w:jc w:val="both"/>
        <w:rPr>
          <w:rFonts w:ascii="Times New Roman" w:hAnsi="Times New Roman" w:cs="Times New Roman"/>
        </w:rPr>
      </w:pPr>
    </w:p>
    <w:p w14:paraId="6C044E2D" w14:textId="3BE51DA0" w:rsidR="006018AA" w:rsidRPr="00C91EA2" w:rsidRDefault="006018AA" w:rsidP="006018AA">
      <w:pPr>
        <w:pStyle w:val="Caption"/>
        <w:keepNext/>
        <w:rPr>
          <w:rFonts w:ascii="Times New Roman" w:hAnsi="Times New Roman"/>
        </w:rPr>
      </w:pPr>
      <w:bookmarkStart w:id="331" w:name="_Toc520725813"/>
      <w:r w:rsidRPr="00B16B8C">
        <w:rPr>
          <w:rFonts w:ascii="Times New Roman" w:hAnsi="Times New Roman"/>
        </w:rPr>
        <w:t xml:space="preserve">Box </w:t>
      </w:r>
      <w:r w:rsidR="009547FF">
        <w:rPr>
          <w:rFonts w:ascii="Times New Roman" w:hAnsi="Times New Roman"/>
        </w:rPr>
        <w:fldChar w:fldCharType="begin"/>
      </w:r>
      <w:r w:rsidR="009547FF">
        <w:rPr>
          <w:rFonts w:ascii="Times New Roman" w:hAnsi="Times New Roman"/>
        </w:rPr>
        <w:instrText xml:space="preserve"> SEQ Box \* ARABIC </w:instrText>
      </w:r>
      <w:r w:rsidR="009547FF">
        <w:rPr>
          <w:rFonts w:ascii="Times New Roman" w:hAnsi="Times New Roman"/>
        </w:rPr>
        <w:fldChar w:fldCharType="separate"/>
      </w:r>
      <w:r w:rsidR="008261B2">
        <w:rPr>
          <w:rFonts w:ascii="Times New Roman" w:hAnsi="Times New Roman"/>
          <w:noProof/>
        </w:rPr>
        <w:t>25</w:t>
      </w:r>
      <w:r w:rsidR="009547FF">
        <w:rPr>
          <w:rFonts w:ascii="Times New Roman" w:hAnsi="Times New Roman"/>
        </w:rPr>
        <w:fldChar w:fldCharType="end"/>
      </w:r>
      <w:r w:rsidRPr="00B16B8C">
        <w:rPr>
          <w:rFonts w:ascii="Times New Roman" w:hAnsi="Times New Roman"/>
        </w:rPr>
        <w:t xml:space="preserve">: </w:t>
      </w:r>
      <w:r w:rsidR="008F602F">
        <w:rPr>
          <w:rFonts w:ascii="Times New Roman" w:hAnsi="Times New Roman"/>
        </w:rPr>
        <w:t>State Aid R</w:t>
      </w:r>
      <w:r>
        <w:rPr>
          <w:rFonts w:ascii="Times New Roman" w:hAnsi="Times New Roman"/>
        </w:rPr>
        <w:t>ules in WAEMU</w:t>
      </w:r>
      <w:bookmarkEnd w:id="331"/>
    </w:p>
    <w:tbl>
      <w:tblPr>
        <w:tblStyle w:val="TableGrid"/>
        <w:tblW w:w="0" w:type="auto"/>
        <w:tblLook w:val="04A0" w:firstRow="1" w:lastRow="0" w:firstColumn="1" w:lastColumn="0" w:noHBand="0" w:noVBand="1"/>
      </w:tblPr>
      <w:tblGrid>
        <w:gridCol w:w="8630"/>
      </w:tblGrid>
      <w:tr w:rsidR="006018AA" w:rsidRPr="00C91EA2" w14:paraId="4C38AC1B" w14:textId="77777777" w:rsidTr="00FA09FE">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37FC32" w14:textId="0A00EDEA" w:rsidR="00403012" w:rsidRPr="00F66F82" w:rsidRDefault="006018AA" w:rsidP="00FA09FE">
            <w:pPr>
              <w:jc w:val="both"/>
              <w:rPr>
                <w:rFonts w:ascii="Times New Roman" w:hAnsi="Times New Roman" w:cs="Times New Roman"/>
                <w:sz w:val="20"/>
                <w:szCs w:val="20"/>
              </w:rPr>
            </w:pPr>
            <w:r w:rsidRPr="00F66F82">
              <w:rPr>
                <w:rFonts w:ascii="Times New Roman" w:hAnsi="Times New Roman" w:cs="Times New Roman"/>
                <w:sz w:val="20"/>
                <w:szCs w:val="20"/>
              </w:rPr>
              <w:t xml:space="preserve">The WAEMU Treaty has specific rules on State aid with Article 88(c) determining the incompatibility with the internal market of any aid granted by a Member State or through State resources in any form whatsoever which distorts or threatens to distort competition by favoring certain undertakings or the production of certain goods shall, in so far as it affects trade between Member States. The conditions specifying </w:t>
            </w:r>
            <w:r w:rsidR="003B7C04">
              <w:rPr>
                <w:rFonts w:ascii="Times New Roman" w:hAnsi="Times New Roman" w:cs="Times New Roman"/>
                <w:sz w:val="20"/>
                <w:szCs w:val="20"/>
              </w:rPr>
              <w:t xml:space="preserve">the </w:t>
            </w:r>
            <w:r w:rsidRPr="00F66F82">
              <w:rPr>
                <w:rFonts w:ascii="Times New Roman" w:hAnsi="Times New Roman" w:cs="Times New Roman"/>
                <w:sz w:val="20"/>
                <w:szCs w:val="20"/>
              </w:rPr>
              <w:t xml:space="preserve">circumstances </w:t>
            </w:r>
            <w:r w:rsidR="003B7C04">
              <w:rPr>
                <w:rFonts w:ascii="Times New Roman" w:hAnsi="Times New Roman" w:cs="Times New Roman"/>
                <w:sz w:val="20"/>
                <w:szCs w:val="20"/>
              </w:rPr>
              <w:t xml:space="preserve">in which </w:t>
            </w:r>
            <w:r w:rsidRPr="00F66F82">
              <w:rPr>
                <w:rFonts w:ascii="Times New Roman" w:hAnsi="Times New Roman" w:cs="Times New Roman"/>
                <w:sz w:val="20"/>
                <w:szCs w:val="20"/>
              </w:rPr>
              <w:t>State aid is illegal are specified in Regulation N° 04/2002</w:t>
            </w:r>
            <w:r w:rsidR="00402578">
              <w:rPr>
                <w:rFonts w:ascii="Times New Roman" w:hAnsi="Times New Roman" w:cs="Times New Roman"/>
                <w:sz w:val="20"/>
                <w:szCs w:val="20"/>
              </w:rPr>
              <w:t xml:space="preserve">/CM/UEMOA </w:t>
            </w:r>
            <w:r w:rsidRPr="00F66F82">
              <w:rPr>
                <w:rFonts w:ascii="Times New Roman" w:hAnsi="Times New Roman" w:cs="Times New Roman"/>
                <w:sz w:val="20"/>
                <w:szCs w:val="20"/>
              </w:rPr>
              <w:t xml:space="preserve">pursuant to which new state aid must be notified to the </w:t>
            </w:r>
            <w:proofErr w:type="gramStart"/>
            <w:r w:rsidRPr="00F66F82">
              <w:rPr>
                <w:rFonts w:ascii="Times New Roman" w:hAnsi="Times New Roman" w:cs="Times New Roman"/>
                <w:sz w:val="20"/>
                <w:szCs w:val="20"/>
              </w:rPr>
              <w:t>Commission  and</w:t>
            </w:r>
            <w:proofErr w:type="gramEnd"/>
            <w:r w:rsidRPr="00F66F82">
              <w:rPr>
                <w:rFonts w:ascii="Times New Roman" w:hAnsi="Times New Roman" w:cs="Times New Roman"/>
                <w:sz w:val="20"/>
                <w:szCs w:val="20"/>
              </w:rPr>
              <w:t xml:space="preserve"> is subject to a standstill effect, i.e., it cannot be adopted before the Commission’s approval.  In assessing the compatibility of State aid, the Commission </w:t>
            </w:r>
            <w:proofErr w:type="gramStart"/>
            <w:r w:rsidRPr="00F66F82">
              <w:rPr>
                <w:rFonts w:ascii="Times New Roman" w:hAnsi="Times New Roman" w:cs="Times New Roman"/>
                <w:sz w:val="20"/>
                <w:szCs w:val="20"/>
              </w:rPr>
              <w:t>takes into account</w:t>
            </w:r>
            <w:proofErr w:type="gramEnd"/>
            <w:r w:rsidRPr="00F66F82">
              <w:rPr>
                <w:rFonts w:ascii="Times New Roman" w:hAnsi="Times New Roman" w:cs="Times New Roman"/>
                <w:sz w:val="20"/>
                <w:szCs w:val="20"/>
              </w:rPr>
              <w:t xml:space="preserve"> the needs of Member States </w:t>
            </w:r>
            <w:r w:rsidR="003B7C04">
              <w:rPr>
                <w:rFonts w:ascii="Times New Roman" w:hAnsi="Times New Roman" w:cs="Times New Roman"/>
                <w:sz w:val="20"/>
                <w:szCs w:val="20"/>
              </w:rPr>
              <w:t>concerning</w:t>
            </w:r>
            <w:r w:rsidRPr="00F66F82">
              <w:rPr>
                <w:rFonts w:ascii="Times New Roman" w:hAnsi="Times New Roman" w:cs="Times New Roman"/>
                <w:sz w:val="20"/>
                <w:szCs w:val="20"/>
              </w:rPr>
              <w:t xml:space="preserve"> their economic and social development.  When aid is declared illegal, the WAEMU Commission may order its recovery by the Member State concerned.  In case of failure to comply, the Commission can issue a press release and proceed with the suspension of financial assistance by the WAEMU to the Member State and the submission of a recommendation to the recommendation to the West African Development Bank to review its operational policy regarding the Member State. </w:t>
            </w:r>
          </w:p>
          <w:p w14:paraId="0AD30114" w14:textId="77777777" w:rsidR="00F66F82" w:rsidRPr="00F66F82" w:rsidRDefault="00F66F82" w:rsidP="00FA09FE">
            <w:pPr>
              <w:jc w:val="both"/>
              <w:rPr>
                <w:rFonts w:ascii="Times New Roman" w:hAnsi="Times New Roman" w:cs="Times New Roman"/>
                <w:sz w:val="20"/>
                <w:szCs w:val="20"/>
              </w:rPr>
            </w:pPr>
          </w:p>
          <w:p w14:paraId="5BDD19EE" w14:textId="77777777" w:rsidR="006018AA" w:rsidRPr="00403012" w:rsidRDefault="006018AA" w:rsidP="00FA09FE">
            <w:pPr>
              <w:jc w:val="both"/>
              <w:rPr>
                <w:rFonts w:ascii="Times New Roman" w:hAnsi="Times New Roman" w:cs="Times New Roman"/>
                <w:sz w:val="20"/>
                <w:szCs w:val="20"/>
              </w:rPr>
            </w:pPr>
            <w:r w:rsidRPr="00F66F82">
              <w:rPr>
                <w:rFonts w:ascii="Times New Roman" w:hAnsi="Times New Roman" w:cs="Times New Roman"/>
                <w:i/>
                <w:sz w:val="20"/>
                <w:szCs w:val="20"/>
              </w:rPr>
              <w:t>Source:</w:t>
            </w:r>
            <w:r w:rsidRPr="00F66F82">
              <w:rPr>
                <w:rFonts w:ascii="Times New Roman" w:hAnsi="Times New Roman" w:cs="Times New Roman"/>
                <w:sz w:val="20"/>
                <w:szCs w:val="20"/>
              </w:rPr>
              <w:t xml:space="preserve"> </w:t>
            </w:r>
            <w:r w:rsidR="00B2502A" w:rsidRPr="00F66F82">
              <w:rPr>
                <w:rFonts w:ascii="Times New Roman" w:hAnsi="Times New Roman" w:cs="Times New Roman"/>
                <w:i/>
                <w:sz w:val="20"/>
                <w:szCs w:val="20"/>
              </w:rPr>
              <w:t>Markets and Competition Team</w:t>
            </w:r>
            <w:r w:rsidR="00F66F82" w:rsidRPr="00F66F82">
              <w:rPr>
                <w:rFonts w:ascii="Times New Roman" w:hAnsi="Times New Roman" w:cs="Times New Roman"/>
                <w:i/>
                <w:sz w:val="20"/>
                <w:szCs w:val="20"/>
              </w:rPr>
              <w:t xml:space="preserve"> </w:t>
            </w:r>
            <w:r w:rsidRPr="00F66F82">
              <w:rPr>
                <w:rFonts w:ascii="Times New Roman" w:hAnsi="Times New Roman" w:cs="Times New Roman"/>
                <w:i/>
                <w:sz w:val="20"/>
                <w:szCs w:val="20"/>
              </w:rPr>
              <w:t>elaboration</w:t>
            </w:r>
            <w:r w:rsidRPr="00F66F82">
              <w:rPr>
                <w:rFonts w:ascii="Times New Roman" w:hAnsi="Times New Roman" w:cs="Times New Roman"/>
                <w:sz w:val="20"/>
                <w:szCs w:val="20"/>
              </w:rPr>
              <w:t>.</w:t>
            </w:r>
          </w:p>
        </w:tc>
      </w:tr>
    </w:tbl>
    <w:p w14:paraId="352F702F" w14:textId="77777777" w:rsidR="006018AA" w:rsidRPr="00C91EA2" w:rsidRDefault="006018AA" w:rsidP="006018AA">
      <w:pPr>
        <w:jc w:val="both"/>
        <w:rPr>
          <w:rFonts w:ascii="Times New Roman" w:hAnsi="Times New Roman" w:cs="Times New Roman"/>
          <w:bCs/>
        </w:rPr>
      </w:pPr>
    </w:p>
    <w:p w14:paraId="77EF95E2" w14:textId="46C49C69"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The jurisdictional model adopted by WAEMU has been pointed</w:t>
      </w:r>
      <w:r w:rsidR="003B7C04">
        <w:rPr>
          <w:rFonts w:ascii="Times New Roman" w:hAnsi="Times New Roman" w:cs="Times New Roman"/>
          <w:b/>
        </w:rPr>
        <w:t xml:space="preserve"> </w:t>
      </w:r>
      <w:r w:rsidRPr="00C91EA2">
        <w:rPr>
          <w:rFonts w:ascii="Times New Roman" w:hAnsi="Times New Roman" w:cs="Times New Roman"/>
          <w:b/>
        </w:rPr>
        <w:t>out as one of the main factors behind the lack of competition enforcement in Senegal</w:t>
      </w:r>
      <w:r w:rsidRPr="00C91EA2">
        <w:rPr>
          <w:rFonts w:ascii="Times New Roman" w:hAnsi="Times New Roman" w:cs="Times New Roman"/>
        </w:rPr>
        <w:t>.</w:t>
      </w:r>
      <w:r w:rsidRPr="00C91EA2">
        <w:rPr>
          <w:rStyle w:val="FootnoteReference"/>
          <w:rFonts w:ascii="Times New Roman" w:hAnsi="Times New Roman" w:cs="Times New Roman"/>
        </w:rPr>
        <w:footnoteReference w:id="285"/>
      </w:r>
      <w:r>
        <w:rPr>
          <w:rFonts w:ascii="Times New Roman" w:hAnsi="Times New Roman" w:cs="Times New Roman"/>
        </w:rPr>
        <w:t xml:space="preserve"> For the centraliz</w:t>
      </w:r>
      <w:r w:rsidRPr="00C91EA2">
        <w:rPr>
          <w:rFonts w:ascii="Times New Roman" w:hAnsi="Times New Roman" w:cs="Times New Roman"/>
        </w:rPr>
        <w:t xml:space="preserve">ed approach advocated by the Court of Justice to be successful, it is necessary that NCAs are adequately resourced and that cooperation with the WAEMU Commission is smooth and effective. However, not only </w:t>
      </w:r>
      <w:r w:rsidR="003B7C04">
        <w:rPr>
          <w:rFonts w:ascii="Times New Roman" w:hAnsi="Times New Roman" w:cs="Times New Roman"/>
        </w:rPr>
        <w:t xml:space="preserve">does </w:t>
      </w:r>
      <w:r w:rsidRPr="00C91EA2">
        <w:rPr>
          <w:rFonts w:ascii="Times New Roman" w:hAnsi="Times New Roman" w:cs="Times New Roman"/>
        </w:rPr>
        <w:t xml:space="preserve">the WAEMU Commission face strong limitations in terms of resources but NCAs </w:t>
      </w:r>
      <w:r w:rsidR="003B7C04">
        <w:rPr>
          <w:rFonts w:ascii="Times New Roman" w:hAnsi="Times New Roman" w:cs="Times New Roman"/>
        </w:rPr>
        <w:t xml:space="preserve">also </w:t>
      </w:r>
      <w:r w:rsidRPr="00C91EA2">
        <w:rPr>
          <w:rFonts w:ascii="Times New Roman" w:hAnsi="Times New Roman" w:cs="Times New Roman"/>
        </w:rPr>
        <w:t>faced downsizing and a resource drain followi</w:t>
      </w:r>
      <w:r>
        <w:rPr>
          <w:rFonts w:ascii="Times New Roman" w:hAnsi="Times New Roman" w:cs="Times New Roman"/>
        </w:rPr>
        <w:t>ng the adoption of the centraliz</w:t>
      </w:r>
      <w:r w:rsidRPr="00C91EA2">
        <w:rPr>
          <w:rFonts w:ascii="Times New Roman" w:hAnsi="Times New Roman" w:cs="Times New Roman"/>
        </w:rPr>
        <w:t xml:space="preserve">ed approach. As a result, there is limited capacity to support the WAEMU Commission with staff and other means during the investigation. </w:t>
      </w:r>
      <w:proofErr w:type="gramStart"/>
      <w:r w:rsidRPr="00C91EA2">
        <w:rPr>
          <w:rFonts w:ascii="Times New Roman" w:hAnsi="Times New Roman" w:cs="Times New Roman"/>
        </w:rPr>
        <w:t>With the exception of</w:t>
      </w:r>
      <w:proofErr w:type="gramEnd"/>
      <w:r w:rsidRPr="00C91EA2">
        <w:rPr>
          <w:rFonts w:ascii="Times New Roman" w:hAnsi="Times New Roman" w:cs="Times New Roman"/>
        </w:rPr>
        <w:t xml:space="preserve"> the competition authority of Burkina Faso, national competition authorities have been reluctant to cooperate with the WAEMU Commission. In the case of Senegal, there has been a near absence of collaboration with the Competition Commission, which led the WAEMU Commission to work primarily with the Direction du Commerce </w:t>
      </w:r>
      <w:proofErr w:type="spellStart"/>
      <w:r w:rsidRPr="00C91EA2">
        <w:rPr>
          <w:rFonts w:ascii="Times New Roman" w:hAnsi="Times New Roman" w:cs="Times New Roman"/>
        </w:rPr>
        <w:t>Intérieur</w:t>
      </w:r>
      <w:proofErr w:type="spellEnd"/>
      <w:r w:rsidRPr="00C91EA2">
        <w:rPr>
          <w:rFonts w:ascii="Times New Roman" w:hAnsi="Times New Roman" w:cs="Times New Roman"/>
        </w:rPr>
        <w:t xml:space="preserve"> (DCI), a branch of the Ministry of </w:t>
      </w:r>
      <w:r>
        <w:rPr>
          <w:rFonts w:ascii="Times New Roman" w:hAnsi="Times New Roman" w:cs="Times New Roman"/>
        </w:rPr>
        <w:t>Commerce</w:t>
      </w:r>
      <w:r w:rsidRPr="00C91EA2">
        <w:rPr>
          <w:rFonts w:ascii="Times New Roman" w:hAnsi="Times New Roman" w:cs="Times New Roman"/>
        </w:rPr>
        <w:t xml:space="preserve"> entrusted with economic investigations nationally.</w:t>
      </w:r>
      <w:r w:rsidRPr="00C91EA2">
        <w:rPr>
          <w:rStyle w:val="FootnoteReference"/>
          <w:rFonts w:ascii="Times New Roman" w:hAnsi="Times New Roman" w:cs="Times New Roman"/>
        </w:rPr>
        <w:footnoteReference w:id="286"/>
      </w:r>
      <w:r w:rsidRPr="00C91EA2">
        <w:rPr>
          <w:rStyle w:val="FootnoteReference"/>
          <w:rFonts w:ascii="Times New Roman" w:hAnsi="Times New Roman" w:cs="Times New Roman"/>
        </w:rPr>
        <w:t xml:space="preserve"> </w:t>
      </w:r>
    </w:p>
    <w:p w14:paraId="3D560500" w14:textId="77777777" w:rsidR="006018AA" w:rsidRDefault="006018AA" w:rsidP="006018AA">
      <w:pPr>
        <w:jc w:val="both"/>
        <w:rPr>
          <w:rFonts w:ascii="Times New Roman" w:hAnsi="Times New Roman" w:cs="Times New Roman"/>
        </w:rPr>
      </w:pPr>
    </w:p>
    <w:p w14:paraId="280A9B41" w14:textId="77777777" w:rsidR="006018AA" w:rsidRPr="00A33EF8" w:rsidRDefault="006018AA" w:rsidP="006018AA">
      <w:pPr>
        <w:jc w:val="both"/>
        <w:rPr>
          <w:rFonts w:ascii="Times New Roman" w:hAnsi="Times New Roman" w:cs="Times New Roman"/>
          <w:b/>
          <w:i/>
        </w:rPr>
      </w:pPr>
      <w:r w:rsidRPr="00A33EF8">
        <w:rPr>
          <w:rFonts w:ascii="Times New Roman" w:hAnsi="Times New Roman" w:cs="Times New Roman"/>
          <w:b/>
          <w:i/>
        </w:rPr>
        <w:t>In a scenario where the</w:t>
      </w:r>
      <w:r>
        <w:rPr>
          <w:rFonts w:ascii="Times New Roman" w:hAnsi="Times New Roman" w:cs="Times New Roman"/>
          <w:b/>
          <w:i/>
        </w:rPr>
        <w:t xml:space="preserve"> Competition A</w:t>
      </w:r>
      <w:r w:rsidRPr="00A33EF8">
        <w:rPr>
          <w:rFonts w:ascii="Times New Roman" w:hAnsi="Times New Roman" w:cs="Times New Roman"/>
          <w:b/>
          <w:i/>
        </w:rPr>
        <w:t xml:space="preserve">ct would be </w:t>
      </w:r>
      <w:r>
        <w:rPr>
          <w:rFonts w:ascii="Times New Roman" w:hAnsi="Times New Roman" w:cs="Times New Roman"/>
          <w:b/>
          <w:i/>
        </w:rPr>
        <w:t>enforceable</w:t>
      </w:r>
      <w:r w:rsidRPr="00A33EF8">
        <w:rPr>
          <w:rFonts w:ascii="Times New Roman" w:hAnsi="Times New Roman" w:cs="Times New Roman"/>
          <w:b/>
          <w:i/>
        </w:rPr>
        <w:t xml:space="preserve">, there </w:t>
      </w:r>
      <w:r>
        <w:rPr>
          <w:rFonts w:ascii="Times New Roman" w:hAnsi="Times New Roman" w:cs="Times New Roman"/>
          <w:b/>
          <w:i/>
        </w:rPr>
        <w:t xml:space="preserve">would be </w:t>
      </w:r>
      <w:r w:rsidRPr="00A33EF8">
        <w:rPr>
          <w:rFonts w:ascii="Times New Roman" w:hAnsi="Times New Roman" w:cs="Times New Roman"/>
          <w:b/>
          <w:i/>
        </w:rPr>
        <w:t xml:space="preserve">several </w:t>
      </w:r>
      <w:r>
        <w:rPr>
          <w:rFonts w:ascii="Times New Roman" w:hAnsi="Times New Roman" w:cs="Times New Roman"/>
          <w:b/>
          <w:i/>
        </w:rPr>
        <w:t xml:space="preserve">legal </w:t>
      </w:r>
      <w:r w:rsidRPr="00A33EF8">
        <w:rPr>
          <w:rFonts w:ascii="Times New Roman" w:hAnsi="Times New Roman" w:cs="Times New Roman"/>
          <w:b/>
          <w:i/>
        </w:rPr>
        <w:t xml:space="preserve">amendments worth considering </w:t>
      </w:r>
    </w:p>
    <w:p w14:paraId="39F2E6AE" w14:textId="77777777" w:rsidR="006018AA" w:rsidRDefault="006018AA" w:rsidP="006018AA">
      <w:pPr>
        <w:jc w:val="both"/>
        <w:rPr>
          <w:rFonts w:ascii="Times New Roman" w:hAnsi="Times New Roman" w:cs="Times New Roman"/>
          <w:b/>
        </w:rPr>
      </w:pPr>
    </w:p>
    <w:p w14:paraId="3688616D" w14:textId="7FB13FE2" w:rsidR="006018AA" w:rsidRDefault="006018AA" w:rsidP="006018AA">
      <w:pPr>
        <w:pStyle w:val="ListParagraph"/>
        <w:numPr>
          <w:ilvl w:val="0"/>
          <w:numId w:val="71"/>
        </w:numPr>
        <w:ind w:left="0" w:firstLine="0"/>
        <w:jc w:val="both"/>
        <w:rPr>
          <w:rFonts w:ascii="Times New Roman" w:hAnsi="Times New Roman" w:cs="Times New Roman"/>
        </w:rPr>
      </w:pPr>
      <w:r>
        <w:rPr>
          <w:rFonts w:ascii="Times New Roman" w:hAnsi="Times New Roman" w:cs="Times New Roman"/>
          <w:b/>
        </w:rPr>
        <w:t xml:space="preserve">In the event the Competition Act should be revised, Senegal would need to align the legislative amendments with international good practice. </w:t>
      </w:r>
      <w:r w:rsidRPr="009416A9">
        <w:rPr>
          <w:rFonts w:ascii="Times New Roman" w:hAnsi="Times New Roman" w:cs="Times New Roman"/>
          <w:bCs/>
        </w:rPr>
        <w:t xml:space="preserve">An effective competition law applies across all sectors of the economy and to all economic agents, be they public or private. </w:t>
      </w:r>
      <w:r>
        <w:rPr>
          <w:rFonts w:ascii="Times New Roman" w:hAnsi="Times New Roman" w:cs="Times New Roman"/>
          <w:bCs/>
        </w:rPr>
        <w:t xml:space="preserve">In line with international best practice, Senegal’s Competition Act </w:t>
      </w:r>
      <w:r w:rsidRPr="00C34BC9">
        <w:rPr>
          <w:rFonts w:ascii="Times New Roman" w:hAnsi="Times New Roman" w:cs="Times New Roman"/>
        </w:rPr>
        <w:t>applies across all sectors of the economy and to all economic agents, be they public or private</w:t>
      </w:r>
      <w:r>
        <w:rPr>
          <w:rFonts w:ascii="Times New Roman" w:hAnsi="Times New Roman" w:cs="Times New Roman"/>
        </w:rPr>
        <w:t xml:space="preserve"> (i.e., it also covers SOEs). However, </w:t>
      </w:r>
      <w:r w:rsidRPr="009416A9">
        <w:rPr>
          <w:rFonts w:ascii="Times New Roman" w:hAnsi="Times New Roman" w:cs="Times New Roman"/>
        </w:rPr>
        <w:t>the</w:t>
      </w:r>
      <w:r w:rsidRPr="00793573">
        <w:rPr>
          <w:rFonts w:ascii="Times New Roman" w:hAnsi="Times New Roman" w:cs="Times New Roman"/>
        </w:rPr>
        <w:t xml:space="preserve"> Competition Act </w:t>
      </w:r>
      <w:r>
        <w:rPr>
          <w:rFonts w:ascii="Times New Roman" w:hAnsi="Times New Roman" w:cs="Times New Roman"/>
        </w:rPr>
        <w:t xml:space="preserve">does not cover all potential anticompetitive practices that may have an effect in Senegal. </w:t>
      </w:r>
      <w:r w:rsidRPr="00C91EA2">
        <w:rPr>
          <w:rFonts w:ascii="Times New Roman" w:hAnsi="Times New Roman" w:cs="Times New Roman"/>
        </w:rPr>
        <w:t>The Competition Act includes provisions on anticompetitive agreements and abuse of dominance</w:t>
      </w:r>
      <w:r>
        <w:rPr>
          <w:rFonts w:ascii="Times New Roman" w:hAnsi="Times New Roman" w:cs="Times New Roman"/>
        </w:rPr>
        <w:t>,</w:t>
      </w:r>
      <w:r w:rsidRPr="00C91EA2">
        <w:rPr>
          <w:rFonts w:ascii="Times New Roman" w:hAnsi="Times New Roman" w:cs="Times New Roman"/>
        </w:rPr>
        <w:t xml:space="preserve"> but not on merger control, which was regarded as a potential obstacle to the creation of national champions in Senegal.</w:t>
      </w:r>
      <w:r w:rsidRPr="00C91EA2">
        <w:rPr>
          <w:rStyle w:val="FootnoteReference"/>
          <w:rFonts w:ascii="Times New Roman" w:hAnsi="Times New Roman" w:cs="Times New Roman"/>
        </w:rPr>
        <w:footnoteReference w:id="287"/>
      </w:r>
      <w:r w:rsidRPr="00C91EA2">
        <w:rPr>
          <w:rFonts w:ascii="Times New Roman" w:hAnsi="Times New Roman" w:cs="Times New Roman"/>
        </w:rPr>
        <w:t xml:space="preserve"> </w:t>
      </w:r>
      <w:r>
        <w:rPr>
          <w:rFonts w:ascii="Times New Roman" w:hAnsi="Times New Roman" w:cs="Times New Roman"/>
        </w:rPr>
        <w:t xml:space="preserve"> </w:t>
      </w:r>
    </w:p>
    <w:p w14:paraId="290E5FA0" w14:textId="77777777" w:rsidR="006018AA" w:rsidRDefault="006018AA" w:rsidP="006018AA">
      <w:pPr>
        <w:jc w:val="both"/>
        <w:rPr>
          <w:rFonts w:ascii="Times New Roman" w:hAnsi="Times New Roman" w:cs="Times New Roman"/>
        </w:rPr>
      </w:pPr>
    </w:p>
    <w:p w14:paraId="27774C7A" w14:textId="320CD6E2" w:rsidR="006018AA" w:rsidRDefault="006018AA" w:rsidP="006018AA">
      <w:pPr>
        <w:pStyle w:val="ListParagraph"/>
        <w:numPr>
          <w:ilvl w:val="0"/>
          <w:numId w:val="71"/>
        </w:numPr>
        <w:ind w:left="0" w:firstLine="0"/>
        <w:jc w:val="both"/>
        <w:rPr>
          <w:rFonts w:ascii="Times New Roman" w:hAnsi="Times New Roman" w:cs="Times New Roman"/>
          <w:bCs/>
        </w:rPr>
      </w:pPr>
      <w:r w:rsidRPr="00C91EA2">
        <w:rPr>
          <w:rFonts w:ascii="Times New Roman" w:hAnsi="Times New Roman" w:cs="Times New Roman"/>
          <w:b/>
        </w:rPr>
        <w:t>The Competition Act prohibits collective anticompetitive business practices that have as their object or effect a restriction of competition.</w:t>
      </w:r>
      <w:r w:rsidRPr="00C91EA2">
        <w:rPr>
          <w:rStyle w:val="FootnoteReference"/>
          <w:rFonts w:ascii="Times New Roman" w:hAnsi="Times New Roman" w:cs="Times New Roman"/>
          <w:b/>
        </w:rPr>
        <w:footnoteReference w:id="288"/>
      </w:r>
      <w:r w:rsidRPr="00C91EA2">
        <w:rPr>
          <w:rFonts w:ascii="Times New Roman" w:hAnsi="Times New Roman" w:cs="Times New Roman"/>
          <w:b/>
        </w:rPr>
        <w:t xml:space="preserve"> </w:t>
      </w:r>
      <w:r w:rsidRPr="00C91EA2">
        <w:rPr>
          <w:rFonts w:ascii="Times New Roman" w:hAnsi="Times New Roman" w:cs="Times New Roman"/>
        </w:rPr>
        <w:t>Agreements that are restrict competition are null and void.</w:t>
      </w:r>
      <w:r w:rsidRPr="00C91EA2">
        <w:rPr>
          <w:rStyle w:val="FootnoteReference"/>
          <w:rFonts w:ascii="Times New Roman" w:hAnsi="Times New Roman" w:cs="Times New Roman"/>
        </w:rPr>
        <w:footnoteReference w:id="289"/>
      </w:r>
      <w:r w:rsidRPr="00C91EA2">
        <w:rPr>
          <w:rFonts w:ascii="Times New Roman" w:hAnsi="Times New Roman" w:cs="Times New Roman"/>
        </w:rPr>
        <w:t xml:space="preserve"> Although the Competition Act states that the </w:t>
      </w:r>
      <w:r>
        <w:rPr>
          <w:rFonts w:ascii="Times New Roman" w:hAnsi="Times New Roman" w:cs="Times New Roman"/>
        </w:rPr>
        <w:t>NCC</w:t>
      </w:r>
      <w:r w:rsidRPr="00C91EA2">
        <w:rPr>
          <w:rFonts w:ascii="Times New Roman" w:hAnsi="Times New Roman" w:cs="Times New Roman"/>
        </w:rPr>
        <w:t xml:space="preserve"> analyses whether the anticompetitive practices are prohibited or may be exempted under the law, it does not provide any substantive test or framework for the assessment of competition law exemptions. </w:t>
      </w:r>
      <w:r w:rsidRPr="00C91EA2">
        <w:rPr>
          <w:rFonts w:ascii="Times New Roman" w:hAnsi="Times New Roman" w:cs="Times New Roman"/>
          <w:bCs/>
        </w:rPr>
        <w:t>Business practices should only be prohibited when they have a net anticompetitive effect, and therefore substantially lessen competition in the market. As a result, restrictive business practices should only be exempted whenever their pro-competitive gains outweigh the anticompetitive effects (e.g. US, EU, Botswana, Burundi and Tunisia).</w:t>
      </w:r>
      <w:r w:rsidRPr="00C91EA2">
        <w:rPr>
          <w:rStyle w:val="FootnoteReference"/>
          <w:rFonts w:ascii="Times New Roman" w:hAnsi="Times New Roman" w:cs="Times New Roman"/>
          <w:bCs/>
        </w:rPr>
        <w:footnoteReference w:id="290"/>
      </w:r>
      <w:r w:rsidRPr="00C91EA2">
        <w:rPr>
          <w:rFonts w:ascii="Times New Roman" w:hAnsi="Times New Roman" w:cs="Times New Roman"/>
          <w:bCs/>
        </w:rPr>
        <w:t xml:space="preserve"> The only exception to this general rule of reason in the analysis of competition restrictions concerns the so-called hardcore horizontal cartels (price fixing, market division and bid rigging), which are strictly prohibited without the need to show actual harmful effect </w:t>
      </w:r>
      <w:r w:rsidR="00EC34DB">
        <w:rPr>
          <w:rFonts w:ascii="Times New Roman" w:hAnsi="Times New Roman" w:cs="Times New Roman"/>
          <w:bCs/>
        </w:rPr>
        <w:t>and without</w:t>
      </w:r>
      <w:r w:rsidR="00EC34DB" w:rsidRPr="00C91EA2">
        <w:rPr>
          <w:rFonts w:ascii="Times New Roman" w:hAnsi="Times New Roman" w:cs="Times New Roman"/>
          <w:bCs/>
        </w:rPr>
        <w:t xml:space="preserve"> </w:t>
      </w:r>
      <w:r w:rsidRPr="00C91EA2">
        <w:rPr>
          <w:rFonts w:ascii="Times New Roman" w:hAnsi="Times New Roman" w:cs="Times New Roman"/>
          <w:bCs/>
        </w:rPr>
        <w:t xml:space="preserve">permitting an analysis of net efficiency. By not providing a clear test and an analytical framework for granting exemptions on grounds of economic efficiency, the Competition </w:t>
      </w:r>
      <w:r w:rsidR="00EC34DB">
        <w:rPr>
          <w:rFonts w:ascii="Times New Roman" w:hAnsi="Times New Roman" w:cs="Times New Roman"/>
          <w:bCs/>
        </w:rPr>
        <w:t>Act</w:t>
      </w:r>
      <w:r w:rsidR="00EC34DB" w:rsidRPr="00C91EA2">
        <w:rPr>
          <w:rFonts w:ascii="Times New Roman" w:hAnsi="Times New Roman" w:cs="Times New Roman"/>
          <w:bCs/>
        </w:rPr>
        <w:t xml:space="preserve"> </w:t>
      </w:r>
      <w:r w:rsidRPr="00C91EA2">
        <w:rPr>
          <w:rFonts w:ascii="Times New Roman" w:hAnsi="Times New Roman" w:cs="Times New Roman"/>
          <w:bCs/>
        </w:rPr>
        <w:t xml:space="preserve">may open the door to discretionary decisions </w:t>
      </w:r>
      <w:r>
        <w:rPr>
          <w:rFonts w:ascii="Times New Roman" w:hAnsi="Times New Roman" w:cs="Times New Roman"/>
          <w:bCs/>
        </w:rPr>
        <w:t>and thus</w:t>
      </w:r>
      <w:r w:rsidRPr="00C91EA2">
        <w:rPr>
          <w:rFonts w:ascii="Times New Roman" w:hAnsi="Times New Roman" w:cs="Times New Roman"/>
          <w:bCs/>
        </w:rPr>
        <w:t xml:space="preserve"> undermine legal certainty for the parties of almost any agreement susceptible of being prohibited by the Competition </w:t>
      </w:r>
      <w:r w:rsidR="00EC34DB">
        <w:rPr>
          <w:rFonts w:ascii="Times New Roman" w:hAnsi="Times New Roman" w:cs="Times New Roman"/>
          <w:bCs/>
        </w:rPr>
        <w:t>Act</w:t>
      </w:r>
      <w:r w:rsidRPr="00C91EA2">
        <w:rPr>
          <w:rFonts w:ascii="Times New Roman" w:hAnsi="Times New Roman" w:cs="Times New Roman"/>
          <w:bCs/>
        </w:rPr>
        <w:t>.</w:t>
      </w:r>
    </w:p>
    <w:p w14:paraId="26BDA583" w14:textId="77777777" w:rsidR="006018AA" w:rsidRDefault="006018AA" w:rsidP="006018AA">
      <w:pPr>
        <w:jc w:val="both"/>
        <w:rPr>
          <w:rFonts w:ascii="Times New Roman" w:hAnsi="Times New Roman" w:cs="Times New Roman"/>
          <w:bCs/>
        </w:rPr>
      </w:pPr>
    </w:p>
    <w:p w14:paraId="5483471D" w14:textId="3BECF70B" w:rsidR="006018AA" w:rsidRDefault="006018AA" w:rsidP="006018AA">
      <w:pPr>
        <w:pStyle w:val="ListParagraph"/>
        <w:numPr>
          <w:ilvl w:val="0"/>
          <w:numId w:val="71"/>
        </w:numPr>
        <w:ind w:left="0" w:firstLine="0"/>
        <w:jc w:val="both"/>
        <w:rPr>
          <w:rFonts w:ascii="Times New Roman" w:hAnsi="Times New Roman" w:cs="Times New Roman"/>
          <w:i/>
        </w:rPr>
      </w:pPr>
      <w:r w:rsidRPr="00C91EA2">
        <w:rPr>
          <w:rFonts w:ascii="Times New Roman" w:hAnsi="Times New Roman" w:cs="Times New Roman"/>
          <w:b/>
          <w:bCs/>
        </w:rPr>
        <w:t xml:space="preserve">Contrary to standard antitrust analysis, </w:t>
      </w:r>
      <w:r w:rsidRPr="00C91EA2">
        <w:rPr>
          <w:rFonts w:ascii="Times New Roman" w:hAnsi="Times New Roman" w:cs="Times New Roman"/>
          <w:b/>
        </w:rPr>
        <w:t>Senegal’s Competition Act establishes certain prohibitions of unilateral practices independently from their effect on the market</w:t>
      </w:r>
      <w:r w:rsidRPr="00C91EA2">
        <w:rPr>
          <w:rFonts w:ascii="Times New Roman" w:hAnsi="Times New Roman" w:cs="Times New Roman"/>
        </w:rPr>
        <w:t>: refusal to sell following a normal request;</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291"/>
      </w:r>
      <w:r w:rsidRPr="00C91EA2">
        <w:rPr>
          <w:rFonts w:ascii="Times New Roman" w:hAnsi="Times New Roman" w:cs="Times New Roman"/>
        </w:rPr>
        <w:t xml:space="preserve"> abuse of economic dependency;</w:t>
      </w:r>
      <w:r w:rsidRPr="00C91EA2">
        <w:rPr>
          <w:rStyle w:val="FootnoteReference"/>
          <w:rFonts w:ascii="Times New Roman" w:hAnsi="Times New Roman" w:cs="Times New Roman"/>
        </w:rPr>
        <w:footnoteReference w:id="292"/>
      </w:r>
      <w:r w:rsidRPr="00C91EA2">
        <w:rPr>
          <w:rFonts w:ascii="Times New Roman" w:hAnsi="Times New Roman" w:cs="Times New Roman"/>
        </w:rPr>
        <w:t xml:space="preserve"> unjustified price discrimination;</w:t>
      </w:r>
      <w:r w:rsidRPr="00C91EA2">
        <w:rPr>
          <w:rStyle w:val="FootnoteReference"/>
          <w:rFonts w:ascii="Times New Roman" w:hAnsi="Times New Roman" w:cs="Times New Roman"/>
        </w:rPr>
        <w:footnoteReference w:id="293"/>
      </w:r>
      <w:r w:rsidRPr="00C91EA2">
        <w:rPr>
          <w:rFonts w:ascii="Times New Roman" w:hAnsi="Times New Roman" w:cs="Times New Roman"/>
        </w:rPr>
        <w:t xml:space="preserve"> </w:t>
      </w:r>
      <w:r w:rsidR="00EC34DB">
        <w:rPr>
          <w:rFonts w:ascii="Times New Roman" w:hAnsi="Times New Roman" w:cs="Times New Roman"/>
        </w:rPr>
        <w:t>lack of</w:t>
      </w:r>
      <w:r w:rsidRPr="00C91EA2">
        <w:rPr>
          <w:rFonts w:ascii="Times New Roman" w:hAnsi="Times New Roman" w:cs="Times New Roman"/>
        </w:rPr>
        <w:t xml:space="preserve"> price transparency;</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294"/>
      </w:r>
      <w:r w:rsidRPr="00C91EA2">
        <w:rPr>
          <w:rFonts w:ascii="Times New Roman" w:hAnsi="Times New Roman" w:cs="Times New Roman"/>
        </w:rPr>
        <w:t xml:space="preserve"> resale price maintenance;</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295"/>
      </w:r>
      <w:r w:rsidRPr="00C91EA2">
        <w:rPr>
          <w:rFonts w:ascii="Times New Roman" w:hAnsi="Times New Roman" w:cs="Times New Roman"/>
        </w:rPr>
        <w:t xml:space="preserve"> and resale at loss.</w:t>
      </w:r>
      <w:r w:rsidRPr="00C91EA2">
        <w:rPr>
          <w:rStyle w:val="FootnoteReference"/>
          <w:rFonts w:ascii="Times New Roman" w:hAnsi="Times New Roman" w:cs="Times New Roman"/>
        </w:rPr>
        <w:footnoteReference w:id="296"/>
      </w:r>
      <w:r w:rsidRPr="00C91EA2">
        <w:rPr>
          <w:rFonts w:ascii="Times New Roman" w:hAnsi="Times New Roman" w:cs="Times New Roman"/>
        </w:rPr>
        <w:t xml:space="preserve"> Standard abuse of dominance analysis tends to focus on pricing and non-pricing exploitative and exclusionary conduct by firms with market power: exploitative abuses refer to practices whereby the dominant firm takes advantage of its market power to extract rents from </w:t>
      </w:r>
      <w:r w:rsidR="00EC34DB">
        <w:rPr>
          <w:rFonts w:ascii="Times New Roman" w:hAnsi="Times New Roman" w:cs="Times New Roman"/>
        </w:rPr>
        <w:t>consumers</w:t>
      </w:r>
      <w:r w:rsidR="00EC34DB" w:rsidRPr="00C91EA2">
        <w:rPr>
          <w:rFonts w:ascii="Times New Roman" w:hAnsi="Times New Roman" w:cs="Times New Roman"/>
        </w:rPr>
        <w:t xml:space="preserve"> </w:t>
      </w:r>
      <w:r w:rsidRPr="00C91EA2">
        <w:rPr>
          <w:rFonts w:ascii="Times New Roman" w:hAnsi="Times New Roman" w:cs="Times New Roman"/>
        </w:rPr>
        <w:t>in a way that could not have been obtained by a non-dominant firm (e.g. excessive prices or imposition of unfair terms and conditions); exclusionary abuses concerns practices directed against rivals that indirectly cause a loss to consumer welfare by limiting the rivals’ ability to compete (e.g. predatory pricing). Senegal’s Competition Act</w:t>
      </w:r>
      <w:r w:rsidR="00BC01E9">
        <w:rPr>
          <w:rFonts w:ascii="Times New Roman" w:hAnsi="Times New Roman" w:cs="Times New Roman"/>
        </w:rPr>
        <w:t>’s</w:t>
      </w:r>
      <w:r w:rsidRPr="00C91EA2">
        <w:rPr>
          <w:rFonts w:ascii="Times New Roman" w:hAnsi="Times New Roman" w:cs="Times New Roman"/>
        </w:rPr>
        <w:t xml:space="preserve"> regulation of what may constitute perfectly standard rational business behavior can act as a barrier to competition by unduly prohibiting companies from bringing down prices or innovating</w:t>
      </w:r>
      <w:r w:rsidRPr="00C91EA2">
        <w:rPr>
          <w:rFonts w:ascii="Times New Roman" w:hAnsi="Times New Roman" w:cs="Times New Roman"/>
          <w:bCs/>
        </w:rPr>
        <w:t xml:space="preserve">. In this regard, the Competition Act should </w:t>
      </w:r>
      <w:r>
        <w:rPr>
          <w:rFonts w:ascii="Times New Roman" w:hAnsi="Times New Roman" w:cs="Times New Roman"/>
          <w:bCs/>
        </w:rPr>
        <w:t xml:space="preserve">require that market dominance is </w:t>
      </w:r>
      <w:r w:rsidR="00D64077">
        <w:rPr>
          <w:rFonts w:ascii="Times New Roman" w:hAnsi="Times New Roman" w:cs="Times New Roman"/>
          <w:bCs/>
        </w:rPr>
        <w:t xml:space="preserve">established </w:t>
      </w:r>
      <w:proofErr w:type="gramStart"/>
      <w:r w:rsidR="00D64077">
        <w:rPr>
          <w:rFonts w:ascii="Times New Roman" w:hAnsi="Times New Roman" w:cs="Times New Roman"/>
          <w:bCs/>
        </w:rPr>
        <w:t>in order for</w:t>
      </w:r>
      <w:proofErr w:type="gramEnd"/>
      <w:r w:rsidR="00D64077">
        <w:rPr>
          <w:rFonts w:ascii="Times New Roman" w:hAnsi="Times New Roman" w:cs="Times New Roman"/>
          <w:bCs/>
        </w:rPr>
        <w:t xml:space="preserve"> the provisions of the Competition Act on abuse of dominance to be applicable</w:t>
      </w:r>
      <w:r>
        <w:rPr>
          <w:rFonts w:ascii="Times New Roman" w:hAnsi="Times New Roman" w:cs="Times New Roman"/>
          <w:bCs/>
        </w:rPr>
        <w:t>.</w:t>
      </w:r>
      <w:r w:rsidRPr="00C91EA2">
        <w:rPr>
          <w:rStyle w:val="FootnoteReference"/>
          <w:rFonts w:ascii="Times New Roman" w:hAnsi="Times New Roman" w:cs="Times New Roman"/>
        </w:rPr>
        <w:footnoteReference w:id="297"/>
      </w:r>
    </w:p>
    <w:p w14:paraId="4B4C0A09" w14:textId="77777777" w:rsidR="006018AA" w:rsidRDefault="006018AA" w:rsidP="006018AA">
      <w:pPr>
        <w:jc w:val="both"/>
        <w:rPr>
          <w:rFonts w:ascii="Times New Roman" w:hAnsi="Times New Roman" w:cs="Times New Roman"/>
          <w:i/>
        </w:rPr>
      </w:pPr>
    </w:p>
    <w:p w14:paraId="3F29E7B1" w14:textId="532D8618" w:rsidR="006018AA" w:rsidRDefault="006018AA" w:rsidP="006018AA">
      <w:pPr>
        <w:pStyle w:val="ListParagraph"/>
        <w:numPr>
          <w:ilvl w:val="0"/>
          <w:numId w:val="71"/>
        </w:numPr>
        <w:ind w:left="0" w:firstLine="0"/>
        <w:jc w:val="both"/>
        <w:rPr>
          <w:rFonts w:ascii="Times New Roman" w:hAnsi="Times New Roman" w:cs="Times New Roman"/>
          <w:bCs/>
        </w:rPr>
      </w:pPr>
      <w:r w:rsidRPr="000502A4">
        <w:rPr>
          <w:rFonts w:ascii="Times New Roman" w:hAnsi="Times New Roman" w:cs="Times New Roman"/>
          <w:b/>
        </w:rPr>
        <w:t>Due to the absence of effective merger control enforcement at the WAEMU level,</w:t>
      </w:r>
      <w:r w:rsidRPr="000502A4">
        <w:rPr>
          <w:rStyle w:val="FootnoteReference"/>
          <w:rFonts w:ascii="Times New Roman" w:hAnsi="Times New Roman" w:cs="Times New Roman"/>
          <w:b/>
        </w:rPr>
        <w:footnoteReference w:id="298"/>
      </w:r>
      <w:r w:rsidRPr="000502A4">
        <w:rPr>
          <w:rFonts w:ascii="Times New Roman" w:hAnsi="Times New Roman" w:cs="Times New Roman"/>
          <w:b/>
        </w:rPr>
        <w:t xml:space="preserve"> </w:t>
      </w:r>
      <w:r w:rsidRPr="000502A4">
        <w:rPr>
          <w:rStyle w:val="Hyperlink"/>
          <w:rFonts w:ascii="Times New Roman" w:hAnsi="Times New Roman" w:cs="Times New Roman"/>
          <w:b/>
          <w:color w:val="000000" w:themeColor="text1"/>
          <w:u w:val="none"/>
        </w:rPr>
        <w:t>Senegal would need a framework for analysis that permits the authority to identify the likely anticompetitive effects of a merger, but also to retain sufficient flexibility to adapt to developments in the field of economics</w:t>
      </w:r>
      <w:r w:rsidRPr="000502A4">
        <w:rPr>
          <w:rStyle w:val="Hyperlink"/>
          <w:rFonts w:ascii="Times New Roman" w:hAnsi="Times New Roman" w:cs="Times New Roman"/>
          <w:color w:val="000000" w:themeColor="text1"/>
          <w:u w:val="none"/>
        </w:rPr>
        <w:t xml:space="preserve">. Internationally, </w:t>
      </w:r>
      <w:r w:rsidR="00F57F6B">
        <w:rPr>
          <w:rStyle w:val="Hyperlink"/>
          <w:rFonts w:ascii="Times New Roman" w:hAnsi="Times New Roman" w:cs="Times New Roman"/>
          <w:color w:val="000000" w:themeColor="text1"/>
          <w:u w:val="none"/>
        </w:rPr>
        <w:t xml:space="preserve">merger review has shifted from a </w:t>
      </w:r>
      <w:r w:rsidRPr="000502A4">
        <w:rPr>
          <w:rStyle w:val="Hyperlink"/>
          <w:rFonts w:ascii="Times New Roman" w:hAnsi="Times New Roman" w:cs="Times New Roman"/>
          <w:color w:val="000000" w:themeColor="text1"/>
          <w:u w:val="none"/>
        </w:rPr>
        <w:t>focus on market structure and</w:t>
      </w:r>
      <w:r w:rsidR="00F57F6B">
        <w:rPr>
          <w:rStyle w:val="Hyperlink"/>
          <w:rFonts w:ascii="Times New Roman" w:hAnsi="Times New Roman" w:cs="Times New Roman"/>
          <w:color w:val="000000" w:themeColor="text1"/>
          <w:u w:val="none"/>
        </w:rPr>
        <w:t xml:space="preserve"> the</w:t>
      </w:r>
      <w:r w:rsidRPr="000502A4">
        <w:rPr>
          <w:rStyle w:val="Hyperlink"/>
          <w:rFonts w:ascii="Times New Roman" w:hAnsi="Times New Roman" w:cs="Times New Roman"/>
          <w:color w:val="000000" w:themeColor="text1"/>
          <w:u w:val="none"/>
        </w:rPr>
        <w:t xml:space="preserve"> strengthening of a dominant position towards </w:t>
      </w:r>
      <w:r w:rsidR="00F57F6B">
        <w:rPr>
          <w:rStyle w:val="Hyperlink"/>
          <w:rFonts w:ascii="Times New Roman" w:hAnsi="Times New Roman" w:cs="Times New Roman"/>
          <w:color w:val="000000" w:themeColor="text1"/>
          <w:u w:val="none"/>
        </w:rPr>
        <w:t>a focus on the</w:t>
      </w:r>
      <w:r w:rsidR="00F57F6B" w:rsidRPr="000502A4">
        <w:rPr>
          <w:rStyle w:val="Hyperlink"/>
          <w:rFonts w:ascii="Times New Roman" w:hAnsi="Times New Roman" w:cs="Times New Roman"/>
          <w:color w:val="000000" w:themeColor="text1"/>
          <w:u w:val="none"/>
        </w:rPr>
        <w:t xml:space="preserve"> </w:t>
      </w:r>
      <w:r w:rsidRPr="000502A4">
        <w:rPr>
          <w:rStyle w:val="Hyperlink"/>
          <w:rFonts w:ascii="Times New Roman" w:hAnsi="Times New Roman" w:cs="Times New Roman"/>
          <w:color w:val="000000" w:themeColor="text1"/>
          <w:u w:val="none"/>
        </w:rPr>
        <w:t>likely effects on market outcomes. For instance, the EU has introduced in 2004 the concept of substantial impediment to effective competition and explicitly allows the incorporation of efficiencies in the analysis.</w:t>
      </w:r>
      <w:r w:rsidRPr="000502A4">
        <w:rPr>
          <w:rStyle w:val="FootnoteReference"/>
          <w:rFonts w:ascii="Times New Roman" w:hAnsi="Times New Roman" w:cs="Times New Roman"/>
        </w:rPr>
        <w:footnoteReference w:id="299"/>
      </w:r>
      <w:r w:rsidRPr="000502A4">
        <w:rPr>
          <w:rStyle w:val="Hyperlink"/>
          <w:rFonts w:ascii="Times New Roman" w:hAnsi="Times New Roman" w:cs="Times New Roman"/>
          <w:color w:val="000000" w:themeColor="text1"/>
          <w:u w:val="none"/>
        </w:rPr>
        <w:t xml:space="preserve"> Other jurisdictions</w:t>
      </w:r>
      <w:r w:rsidR="00F57F6B">
        <w:rPr>
          <w:rStyle w:val="Hyperlink"/>
          <w:rFonts w:ascii="Times New Roman" w:hAnsi="Times New Roman" w:cs="Times New Roman"/>
          <w:color w:val="000000" w:themeColor="text1"/>
          <w:u w:val="none"/>
        </w:rPr>
        <w:t>,</w:t>
      </w:r>
      <w:r w:rsidRPr="000502A4">
        <w:rPr>
          <w:rStyle w:val="Hyperlink"/>
          <w:rFonts w:ascii="Times New Roman" w:hAnsi="Times New Roman" w:cs="Times New Roman"/>
          <w:color w:val="000000" w:themeColor="text1"/>
          <w:u w:val="none"/>
        </w:rPr>
        <w:t xml:space="preserve"> </w:t>
      </w:r>
      <w:r w:rsidR="00F57F6B" w:rsidRPr="000502A4">
        <w:rPr>
          <w:rStyle w:val="Hyperlink"/>
          <w:rFonts w:ascii="Times New Roman" w:hAnsi="Times New Roman" w:cs="Times New Roman"/>
          <w:color w:val="000000" w:themeColor="text1"/>
          <w:u w:val="none"/>
        </w:rPr>
        <w:t>in the African region</w:t>
      </w:r>
      <w:r w:rsidR="00F57F6B">
        <w:rPr>
          <w:rStyle w:val="Hyperlink"/>
          <w:rFonts w:ascii="Times New Roman" w:hAnsi="Times New Roman" w:cs="Times New Roman"/>
          <w:color w:val="000000" w:themeColor="text1"/>
          <w:u w:val="none"/>
        </w:rPr>
        <w:t>,</w:t>
      </w:r>
      <w:r w:rsidR="00F57F6B" w:rsidRPr="000502A4">
        <w:rPr>
          <w:rStyle w:val="Hyperlink"/>
          <w:rFonts w:ascii="Times New Roman" w:hAnsi="Times New Roman" w:cs="Times New Roman"/>
          <w:color w:val="000000" w:themeColor="text1"/>
          <w:u w:val="none"/>
        </w:rPr>
        <w:t xml:space="preserve"> </w:t>
      </w:r>
      <w:r w:rsidRPr="000502A4">
        <w:rPr>
          <w:rStyle w:val="Hyperlink"/>
          <w:rFonts w:ascii="Times New Roman" w:hAnsi="Times New Roman" w:cs="Times New Roman"/>
          <w:color w:val="000000" w:themeColor="text1"/>
          <w:u w:val="none"/>
        </w:rPr>
        <w:t xml:space="preserve">that have adopted the concept of substantial lessening or lowering of competition for merger review include COMESA, Kenya, Zambia, Botswana and South Africa. Accordingly, the Competition agency should have the burden to prove if any competitive harm arises due to the transaction while merging parties need to demonstrate the existence and breadth of efficiencies. A transaction should be prohibited only if it is shown that it lessens </w:t>
      </w:r>
      <w:r w:rsidR="00F57F6B">
        <w:rPr>
          <w:rStyle w:val="Hyperlink"/>
          <w:rFonts w:ascii="Times New Roman" w:hAnsi="Times New Roman" w:cs="Times New Roman"/>
          <w:color w:val="000000" w:themeColor="text1"/>
          <w:u w:val="none"/>
        </w:rPr>
        <w:t xml:space="preserve">(or is likely to lessen) </w:t>
      </w:r>
      <w:r w:rsidRPr="000502A4">
        <w:rPr>
          <w:rStyle w:val="Hyperlink"/>
          <w:rFonts w:ascii="Times New Roman" w:hAnsi="Times New Roman" w:cs="Times New Roman"/>
          <w:color w:val="000000" w:themeColor="text1"/>
          <w:u w:val="none"/>
        </w:rPr>
        <w:t>competition. F</w:t>
      </w:r>
      <w:r w:rsidRPr="00C91EA2">
        <w:rPr>
          <w:rFonts w:ascii="Times New Roman" w:eastAsia="Calibri" w:hAnsi="Times New Roman" w:cs="Times New Roman"/>
        </w:rPr>
        <w:t>or this purpose, au</w:t>
      </w:r>
      <w:r w:rsidRPr="00C91EA2">
        <w:rPr>
          <w:rFonts w:ascii="Times New Roman" w:hAnsi="Times New Roman" w:cs="Times New Roman"/>
        </w:rPr>
        <w:t xml:space="preserve">thorities consider how competition might be affected; i.e., what dimensions over which firms compete could worsen due to the merger (e.g., prices, quality, product variety, innovation). Assessments </w:t>
      </w:r>
      <w:proofErr w:type="gramStart"/>
      <w:r w:rsidRPr="00C91EA2">
        <w:rPr>
          <w:rFonts w:ascii="Times New Roman" w:hAnsi="Times New Roman" w:cs="Times New Roman"/>
        </w:rPr>
        <w:t>take into account</w:t>
      </w:r>
      <w:proofErr w:type="gramEnd"/>
      <w:r w:rsidRPr="00C91EA2">
        <w:rPr>
          <w:rFonts w:ascii="Times New Roman" w:hAnsi="Times New Roman" w:cs="Times New Roman"/>
        </w:rPr>
        <w:t xml:space="preserve"> </w:t>
      </w:r>
      <w:r w:rsidRPr="00C91EA2">
        <w:rPr>
          <w:rFonts w:ascii="Times New Roman" w:hAnsi="Times New Roman" w:cs="Times New Roman"/>
          <w:i/>
        </w:rPr>
        <w:t>unilateral effects</w:t>
      </w:r>
      <w:r w:rsidRPr="00C91EA2">
        <w:rPr>
          <w:rFonts w:ascii="Times New Roman" w:hAnsi="Times New Roman" w:cs="Times New Roman"/>
        </w:rPr>
        <w:t xml:space="preserve"> of the entity that will be created after the transaction and </w:t>
      </w:r>
      <w:r w:rsidRPr="00C91EA2">
        <w:rPr>
          <w:rFonts w:ascii="Times New Roman" w:hAnsi="Times New Roman" w:cs="Times New Roman"/>
          <w:i/>
        </w:rPr>
        <w:t>coordinated effects</w:t>
      </w:r>
      <w:r w:rsidRPr="00C91EA2">
        <w:rPr>
          <w:rFonts w:ascii="Times New Roman" w:hAnsi="Times New Roman" w:cs="Times New Roman"/>
        </w:rPr>
        <w:t xml:space="preserve"> that will be facilitated by the transaction. </w:t>
      </w:r>
      <w:r w:rsidRPr="00C91EA2">
        <w:rPr>
          <w:rFonts w:ascii="Times New Roman" w:hAnsi="Times New Roman" w:cs="Times New Roman"/>
          <w:i/>
        </w:rPr>
        <w:t>Unilateral effects</w:t>
      </w:r>
      <w:r w:rsidRPr="00C91EA2">
        <w:rPr>
          <w:rFonts w:ascii="Times New Roman" w:hAnsi="Times New Roman" w:cs="Times New Roman"/>
        </w:rPr>
        <w:t xml:space="preserve"> are generated by the ability of profitably exercising market power to a materially greater degree than would have been possible for either of the merged parties prior to the merger. Ease of entry, </w:t>
      </w:r>
      <w:r w:rsidRPr="00C91EA2">
        <w:rPr>
          <w:rFonts w:ascii="Times New Roman" w:hAnsi="Times New Roman" w:cs="Times New Roman"/>
          <w:iCs/>
        </w:rPr>
        <w:t>capacity constraints, availability and responsiveness of alternative suppliers, buyer power, and efficiencies are key elements to identify the extent of unilateral effects.</w:t>
      </w:r>
      <w:r w:rsidRPr="00C91EA2">
        <w:rPr>
          <w:rFonts w:ascii="Times New Roman" w:hAnsi="Times New Roman" w:cs="Times New Roman"/>
        </w:rPr>
        <w:t xml:space="preserve"> </w:t>
      </w:r>
      <w:r w:rsidRPr="00C91EA2">
        <w:rPr>
          <w:rFonts w:ascii="Times New Roman" w:hAnsi="Times New Roman" w:cs="Times New Roman"/>
          <w:i/>
        </w:rPr>
        <w:t>Coordinated effects</w:t>
      </w:r>
      <w:r w:rsidRPr="00C91EA2">
        <w:rPr>
          <w:rFonts w:ascii="Times New Roman" w:hAnsi="Times New Roman" w:cs="Times New Roman"/>
        </w:rPr>
        <w:t xml:space="preserve"> refer to the likelihood that firms remaining in the market after the merger will be able to coordinate or strengthen existing coordination to exercise market power. </w:t>
      </w:r>
      <w:r w:rsidRPr="00C91EA2">
        <w:rPr>
          <w:rFonts w:ascii="Times New Roman" w:hAnsi="Times New Roman" w:cs="Times New Roman"/>
          <w:bCs/>
        </w:rPr>
        <w:t>For this purpose, competition agencies should assess (a) the ability to identify terms of coordination, (b) the ability to detect deviations from the terms of coordination, (c) the ability to punish deviations that would undermine the coordinated interaction, and (d) the extent to which existing competitive constraints and other factors would likely deter or disrupt effective coordination.</w:t>
      </w:r>
    </w:p>
    <w:p w14:paraId="45AA44C5" w14:textId="77777777" w:rsidR="006018AA" w:rsidRDefault="006018AA" w:rsidP="006018AA">
      <w:pPr>
        <w:jc w:val="both"/>
        <w:rPr>
          <w:rFonts w:ascii="Times New Roman" w:hAnsi="Times New Roman" w:cs="Times New Roman"/>
          <w:bCs/>
        </w:rPr>
      </w:pPr>
    </w:p>
    <w:p w14:paraId="301D20BE" w14:textId="46941589"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Most competition authorities in Africa have a general mandate to carry out advocacy activities, with some being particularly effective in their efforts to open markets to competition</w:t>
      </w:r>
      <w:r w:rsidRPr="00C91EA2">
        <w:rPr>
          <w:rFonts w:ascii="Times New Roman" w:hAnsi="Times New Roman" w:cs="Times New Roman"/>
        </w:rPr>
        <w:t xml:space="preserve"> (e.g. efforts in the areas of banking and public procurement in South Africa, mobile financial services in Zimbabwe, saw milling in Zambia, health care and tea processing in Kenya, cement in Tanzania, sugar in Malawi, and steel in Egypt).</w:t>
      </w:r>
      <w:r w:rsidRPr="00C91EA2">
        <w:rPr>
          <w:rStyle w:val="FootnoteReference"/>
          <w:rFonts w:ascii="Times New Roman" w:hAnsi="Times New Roman" w:cs="Times New Roman"/>
        </w:rPr>
        <w:footnoteReference w:id="300"/>
      </w:r>
      <w:r w:rsidRPr="00C91EA2">
        <w:rPr>
          <w:rFonts w:ascii="Times New Roman" w:hAnsi="Times New Roman" w:cs="Times New Roman"/>
        </w:rPr>
        <w:t xml:space="preserve"> Senegal’s Competition Act also foresees an advocacy role for the </w:t>
      </w:r>
      <w:r>
        <w:rPr>
          <w:rFonts w:ascii="Times New Roman" w:hAnsi="Times New Roman" w:cs="Times New Roman"/>
        </w:rPr>
        <w:t>NCC</w:t>
      </w:r>
      <w:r w:rsidRPr="00C91EA2">
        <w:rPr>
          <w:rFonts w:ascii="Times New Roman" w:hAnsi="Times New Roman" w:cs="Times New Roman"/>
        </w:rPr>
        <w:t xml:space="preserve">, establishing that the latter is mandatorily consulted by the </w:t>
      </w:r>
      <w:r w:rsidR="003B24ED">
        <w:rPr>
          <w:rFonts w:ascii="Times New Roman" w:hAnsi="Times New Roman" w:cs="Times New Roman"/>
        </w:rPr>
        <w:t>Government</w:t>
      </w:r>
      <w:r w:rsidRPr="00C91EA2">
        <w:rPr>
          <w:rFonts w:ascii="Times New Roman" w:hAnsi="Times New Roman" w:cs="Times New Roman"/>
        </w:rPr>
        <w:t xml:space="preserve"> on all draft regulations with a direct effect on: (i) imposing restrictions on market or professional access and (ii) imposing standard price or sales conditions.</w:t>
      </w:r>
      <w:r w:rsidRPr="00C91EA2">
        <w:rPr>
          <w:rStyle w:val="FootnoteReference"/>
          <w:rFonts w:ascii="Times New Roman" w:hAnsi="Times New Roman" w:cs="Times New Roman"/>
        </w:rPr>
        <w:footnoteReference w:id="301"/>
      </w:r>
      <w:r w:rsidRPr="00C91EA2">
        <w:rPr>
          <w:rFonts w:ascii="Times New Roman" w:hAnsi="Times New Roman" w:cs="Times New Roman"/>
        </w:rPr>
        <w:t xml:space="preserve"> However, the law does not provide further details regarding the intervention of the Commission or the consequences stemming from its opinion (e.g., is the opinion binding? If not, must the </w:t>
      </w:r>
      <w:r w:rsidR="003B24ED">
        <w:rPr>
          <w:rFonts w:ascii="Times New Roman" w:hAnsi="Times New Roman" w:cs="Times New Roman"/>
        </w:rPr>
        <w:t>Government</w:t>
      </w:r>
      <w:r w:rsidRPr="00C91EA2">
        <w:rPr>
          <w:rFonts w:ascii="Times New Roman" w:hAnsi="Times New Roman" w:cs="Times New Roman"/>
        </w:rPr>
        <w:t xml:space="preserve"> justify its departure from the Committee’s opinion? Is there a mechanism to follow-up the implementation of its opinions?).</w:t>
      </w:r>
    </w:p>
    <w:p w14:paraId="687DF76E" w14:textId="77777777" w:rsidR="006018AA" w:rsidRDefault="006018AA" w:rsidP="006018AA">
      <w:pPr>
        <w:jc w:val="both"/>
        <w:rPr>
          <w:rFonts w:ascii="Times New Roman" w:hAnsi="Times New Roman" w:cs="Times New Roman"/>
        </w:rPr>
      </w:pPr>
    </w:p>
    <w:p w14:paraId="438A3211" w14:textId="60C80B39" w:rsidR="006018AA"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Although no fines have been imposed by the </w:t>
      </w:r>
      <w:r>
        <w:rPr>
          <w:rFonts w:ascii="Times New Roman" w:hAnsi="Times New Roman" w:cs="Times New Roman"/>
          <w:b/>
        </w:rPr>
        <w:t>NCC</w:t>
      </w:r>
      <w:r w:rsidRPr="00C91EA2">
        <w:rPr>
          <w:rFonts w:ascii="Times New Roman" w:hAnsi="Times New Roman" w:cs="Times New Roman"/>
          <w:b/>
        </w:rPr>
        <w:t xml:space="preserve"> </w:t>
      </w:r>
      <w:r w:rsidRPr="00C91EA2">
        <w:rPr>
          <w:rFonts w:ascii="Times New Roman" w:hAnsi="Times New Roman" w:cs="Times New Roman"/>
          <w:b/>
          <w:bCs/>
        </w:rPr>
        <w:t xml:space="preserve">under Senegal’s Competition Act, the level of pecuniary sanctions seems largely inadequate to produce sufficient deterrent effects. </w:t>
      </w:r>
      <w:r>
        <w:rPr>
          <w:rFonts w:ascii="Times New Roman" w:hAnsi="Times New Roman" w:cs="Times New Roman"/>
        </w:rPr>
        <w:t>The NCC can impose</w:t>
      </w:r>
      <w:r w:rsidRPr="00C91EA2">
        <w:rPr>
          <w:rFonts w:ascii="Times New Roman" w:hAnsi="Times New Roman" w:cs="Times New Roman"/>
        </w:rPr>
        <w:t xml:space="preserve"> sanctions or injunctions.</w:t>
      </w:r>
      <w:r w:rsidRPr="00C91EA2">
        <w:rPr>
          <w:rStyle w:val="FootnoteReference"/>
          <w:rFonts w:ascii="Times New Roman" w:hAnsi="Times New Roman" w:cs="Times New Roman"/>
        </w:rPr>
        <w:footnoteReference w:id="302"/>
      </w:r>
      <w:r w:rsidRPr="00C91EA2">
        <w:rPr>
          <w:rFonts w:ascii="Times New Roman" w:hAnsi="Times New Roman" w:cs="Times New Roman"/>
        </w:rPr>
        <w:t xml:space="preserve"> It can impose sanctions in case the company fails to comply with the injunctions; fines m</w:t>
      </w:r>
      <w:r>
        <w:rPr>
          <w:rFonts w:ascii="Times New Roman" w:hAnsi="Times New Roman" w:cs="Times New Roman"/>
        </w:rPr>
        <w:t>ay range between 100</w:t>
      </w:r>
      <w:r w:rsidR="00B939F0">
        <w:rPr>
          <w:rFonts w:ascii="Times New Roman" w:hAnsi="Times New Roman" w:cs="Times New Roman"/>
        </w:rPr>
        <w:t>,</w:t>
      </w:r>
      <w:r>
        <w:rPr>
          <w:rFonts w:ascii="Times New Roman" w:hAnsi="Times New Roman" w:cs="Times New Roman"/>
        </w:rPr>
        <w:t>000 and 20,000,</w:t>
      </w:r>
      <w:r w:rsidRPr="00C91EA2">
        <w:rPr>
          <w:rFonts w:ascii="Times New Roman" w:hAnsi="Times New Roman" w:cs="Times New Roman"/>
        </w:rPr>
        <w:t>000 CFA francs (around 34,000</w:t>
      </w:r>
      <w:r>
        <w:rPr>
          <w:rFonts w:ascii="Times New Roman" w:hAnsi="Times New Roman" w:cs="Times New Roman"/>
        </w:rPr>
        <w:t xml:space="preserve"> </w:t>
      </w:r>
      <w:r w:rsidRPr="00C91EA2">
        <w:rPr>
          <w:rFonts w:ascii="Times New Roman" w:hAnsi="Times New Roman" w:cs="Times New Roman"/>
        </w:rPr>
        <w:t>USD).</w:t>
      </w:r>
      <w:r w:rsidRPr="00C91EA2">
        <w:rPr>
          <w:rStyle w:val="FootnoteReference"/>
          <w:rFonts w:ascii="Times New Roman" w:hAnsi="Times New Roman" w:cs="Times New Roman"/>
        </w:rPr>
        <w:footnoteReference w:id="303"/>
      </w:r>
      <w:r w:rsidRPr="00C91EA2">
        <w:rPr>
          <w:rFonts w:ascii="Times New Roman" w:hAnsi="Times New Roman" w:cs="Times New Roman"/>
        </w:rPr>
        <w:t xml:space="preserve"> Fine </w:t>
      </w:r>
      <w:r w:rsidR="00D51749">
        <w:rPr>
          <w:rFonts w:ascii="Times New Roman" w:hAnsi="Times New Roman" w:cs="Times New Roman"/>
        </w:rPr>
        <w:t xml:space="preserve">setting procedures </w:t>
      </w:r>
      <w:r w:rsidRPr="00C91EA2">
        <w:rPr>
          <w:rFonts w:ascii="Times New Roman" w:hAnsi="Times New Roman" w:cs="Times New Roman"/>
        </w:rPr>
        <w:t xml:space="preserve">s </w:t>
      </w:r>
      <w:r>
        <w:rPr>
          <w:rFonts w:ascii="Times New Roman" w:hAnsi="Times New Roman" w:cs="Times New Roman"/>
        </w:rPr>
        <w:t>were</w:t>
      </w:r>
      <w:r w:rsidRPr="00C91EA2">
        <w:rPr>
          <w:rFonts w:ascii="Times New Roman" w:hAnsi="Times New Roman" w:cs="Times New Roman"/>
        </w:rPr>
        <w:t xml:space="preserve"> to be established by</w:t>
      </w:r>
      <w:r>
        <w:rPr>
          <w:rFonts w:ascii="Times New Roman" w:hAnsi="Times New Roman" w:cs="Times New Roman"/>
        </w:rPr>
        <w:t xml:space="preserve"> a Decree, which was never enacted</w:t>
      </w:r>
      <w:r w:rsidRPr="00C91EA2">
        <w:rPr>
          <w:rFonts w:ascii="Times New Roman" w:hAnsi="Times New Roman" w:cs="Times New Roman"/>
        </w:rPr>
        <w:t>.</w:t>
      </w:r>
      <w:r w:rsidRPr="00C91EA2">
        <w:rPr>
          <w:rStyle w:val="FootnoteReference"/>
          <w:rFonts w:ascii="Times New Roman" w:hAnsi="Times New Roman" w:cs="Times New Roman"/>
        </w:rPr>
        <w:footnoteReference w:id="304"/>
      </w:r>
    </w:p>
    <w:p w14:paraId="27AFA0BA" w14:textId="77777777" w:rsidR="006018AA" w:rsidRDefault="006018AA" w:rsidP="006018AA">
      <w:pPr>
        <w:jc w:val="both"/>
        <w:rPr>
          <w:rFonts w:ascii="Times New Roman" w:hAnsi="Times New Roman" w:cs="Times New Roman"/>
        </w:rPr>
      </w:pPr>
    </w:p>
    <w:p w14:paraId="17B5BE4A" w14:textId="77777777" w:rsidR="006018AA" w:rsidRPr="00C91EA2" w:rsidRDefault="006018AA" w:rsidP="006018AA">
      <w:pPr>
        <w:pStyle w:val="ListParagraph"/>
        <w:numPr>
          <w:ilvl w:val="0"/>
          <w:numId w:val="71"/>
        </w:numPr>
        <w:ind w:left="0" w:firstLine="0"/>
        <w:jc w:val="both"/>
        <w:rPr>
          <w:rFonts w:ascii="Times New Roman" w:hAnsi="Times New Roman" w:cs="Times New Roman"/>
        </w:rPr>
      </w:pPr>
      <w:r w:rsidRPr="00C91EA2">
        <w:rPr>
          <w:rFonts w:ascii="Times New Roman" w:hAnsi="Times New Roman" w:cs="Times New Roman"/>
          <w:b/>
        </w:rPr>
        <w:t xml:space="preserve">The maximum amount of the fine </w:t>
      </w:r>
      <w:r>
        <w:rPr>
          <w:rFonts w:ascii="Times New Roman" w:hAnsi="Times New Roman" w:cs="Times New Roman"/>
          <w:b/>
        </w:rPr>
        <w:t>would need to</w:t>
      </w:r>
      <w:r w:rsidRPr="00C91EA2">
        <w:rPr>
          <w:rFonts w:ascii="Times New Roman" w:hAnsi="Times New Roman" w:cs="Times New Roman"/>
          <w:b/>
        </w:rPr>
        <w:t xml:space="preserve"> be set </w:t>
      </w:r>
      <w:r>
        <w:rPr>
          <w:rFonts w:ascii="Times New Roman" w:hAnsi="Times New Roman" w:cs="Times New Roman"/>
          <w:b/>
        </w:rPr>
        <w:t>in such a way</w:t>
      </w:r>
      <w:r w:rsidRPr="00C91EA2">
        <w:rPr>
          <w:rFonts w:ascii="Times New Roman" w:hAnsi="Times New Roman" w:cs="Times New Roman"/>
          <w:b/>
        </w:rPr>
        <w:t xml:space="preserve"> to have a deterrent effect and </w:t>
      </w:r>
      <w:r>
        <w:rPr>
          <w:rFonts w:ascii="Times New Roman" w:hAnsi="Times New Roman" w:cs="Times New Roman"/>
          <w:b/>
        </w:rPr>
        <w:t>would</w:t>
      </w:r>
      <w:r w:rsidRPr="00C91EA2">
        <w:rPr>
          <w:rFonts w:ascii="Times New Roman" w:hAnsi="Times New Roman" w:cs="Times New Roman"/>
          <w:b/>
        </w:rPr>
        <w:t xml:space="preserve"> preferably be expressed as a percentage of the turnover of the infringer</w:t>
      </w:r>
      <w:r w:rsidRPr="00C91EA2">
        <w:rPr>
          <w:rFonts w:ascii="Times New Roman" w:hAnsi="Times New Roman" w:cs="Times New Roman"/>
        </w:rPr>
        <w:t>. Fines should be indexed to inflation and their method of calculation should factor the gravity of the infraction and the firm</w:t>
      </w:r>
      <w:r>
        <w:rPr>
          <w:rFonts w:ascii="Times New Roman" w:hAnsi="Times New Roman" w:cs="Times New Roman"/>
        </w:rPr>
        <w:t>’</w:t>
      </w:r>
      <w:r w:rsidRPr="00C91EA2">
        <w:rPr>
          <w:rFonts w:ascii="Times New Roman" w:hAnsi="Times New Roman" w:cs="Times New Roman"/>
        </w:rPr>
        <w:t>s capacity to pay (e.g. in the EU, fines may reach up to 10% of the annual turnover). Relatively low fines are, however, usual in African countries: even in the case of a country with an established enforcement record, such as South Africa, fines are only 9 percent of the excess profits, on average considering 4 cases, compared to 26 percent in the European Union.</w:t>
      </w:r>
      <w:r w:rsidRPr="00C91EA2">
        <w:rPr>
          <w:rStyle w:val="FootnoteReference"/>
          <w:rFonts w:ascii="Times New Roman" w:hAnsi="Times New Roman" w:cs="Times New Roman"/>
        </w:rPr>
        <w:footnoteReference w:id="305"/>
      </w:r>
      <w:r w:rsidRPr="00C91EA2">
        <w:rPr>
          <w:rFonts w:ascii="Times New Roman" w:hAnsi="Times New Roman" w:cs="Times New Roman"/>
        </w:rPr>
        <w:t xml:space="preserve"> In addition, the </w:t>
      </w:r>
      <w:r>
        <w:rPr>
          <w:rFonts w:ascii="Times New Roman" w:hAnsi="Times New Roman" w:cs="Times New Roman"/>
        </w:rPr>
        <w:t>NCC</w:t>
      </w:r>
      <w:r w:rsidRPr="00C91EA2">
        <w:rPr>
          <w:rFonts w:ascii="Times New Roman" w:hAnsi="Times New Roman" w:cs="Times New Roman"/>
        </w:rPr>
        <w:t xml:space="preserve"> </w:t>
      </w:r>
      <w:r>
        <w:rPr>
          <w:rFonts w:ascii="Times New Roman" w:hAnsi="Times New Roman" w:cs="Times New Roman"/>
        </w:rPr>
        <w:t>would need to consider</w:t>
      </w:r>
      <w:r w:rsidRPr="00C91EA2">
        <w:rPr>
          <w:rFonts w:ascii="Times New Roman" w:hAnsi="Times New Roman" w:cs="Times New Roman"/>
        </w:rPr>
        <w:t xml:space="preserve"> </w:t>
      </w:r>
      <w:r>
        <w:rPr>
          <w:rFonts w:ascii="Times New Roman" w:hAnsi="Times New Roman" w:cs="Times New Roman"/>
        </w:rPr>
        <w:t xml:space="preserve">publishing </w:t>
      </w:r>
      <w:r w:rsidRPr="00C91EA2">
        <w:rPr>
          <w:rFonts w:ascii="Times New Roman" w:hAnsi="Times New Roman" w:cs="Times New Roman"/>
        </w:rPr>
        <w:t>guidelines explaining the methodology for calculating the applicable fine and describing the aggravating and mitigating circumstances.</w:t>
      </w:r>
      <w:r w:rsidRPr="00C91EA2">
        <w:rPr>
          <w:rStyle w:val="FootnoteReference"/>
          <w:rFonts w:ascii="Times New Roman" w:hAnsi="Times New Roman" w:cs="Times New Roman"/>
        </w:rPr>
        <w:footnoteReference w:id="306"/>
      </w:r>
      <w:r w:rsidRPr="00C91EA2">
        <w:rPr>
          <w:rFonts w:ascii="Times New Roman" w:hAnsi="Times New Roman" w:cs="Times New Roman"/>
        </w:rPr>
        <w:t xml:space="preserve"> The law </w:t>
      </w:r>
      <w:r>
        <w:rPr>
          <w:rFonts w:ascii="Times New Roman" w:hAnsi="Times New Roman" w:cs="Times New Roman"/>
        </w:rPr>
        <w:t>would also need to</w:t>
      </w:r>
      <w:r w:rsidRPr="00C91EA2">
        <w:rPr>
          <w:rFonts w:ascii="Times New Roman" w:hAnsi="Times New Roman" w:cs="Times New Roman"/>
        </w:rPr>
        <w:t xml:space="preserve"> establish sanctions for failure to cooperate with the </w:t>
      </w:r>
      <w:r>
        <w:rPr>
          <w:rFonts w:ascii="Times New Roman" w:hAnsi="Times New Roman" w:cs="Times New Roman"/>
        </w:rPr>
        <w:t>NCC</w:t>
      </w:r>
      <w:r w:rsidRPr="00C91EA2">
        <w:rPr>
          <w:rFonts w:ascii="Times New Roman" w:hAnsi="Times New Roman" w:cs="Times New Roman"/>
        </w:rPr>
        <w:t>, including: failure to comply with orders issued; failure to supply information or documents required within the time limits specified; and making false or misleading statements.</w:t>
      </w:r>
      <w:r w:rsidRPr="00C91EA2">
        <w:rPr>
          <w:rStyle w:val="FootnoteReference"/>
          <w:rFonts w:ascii="Times New Roman" w:hAnsi="Times New Roman" w:cs="Times New Roman"/>
        </w:rPr>
        <w:footnoteReference w:id="307"/>
      </w:r>
    </w:p>
    <w:p w14:paraId="3251D1A2" w14:textId="77777777" w:rsidR="006018AA" w:rsidRDefault="006018AA" w:rsidP="006018AA">
      <w:pPr>
        <w:jc w:val="both"/>
        <w:rPr>
          <w:rFonts w:ascii="Times New Roman" w:hAnsi="Times New Roman" w:cs="Times New Roman"/>
        </w:rPr>
      </w:pPr>
    </w:p>
    <w:p w14:paraId="07E408E6" w14:textId="77777777" w:rsidR="006018AA" w:rsidRPr="00403012" w:rsidRDefault="006018AA" w:rsidP="00086112">
      <w:pPr>
        <w:pStyle w:val="Heading2"/>
        <w:rPr>
          <w:rFonts w:ascii="Times New Roman" w:hAnsi="Times New Roman" w:cs="Times New Roman"/>
        </w:rPr>
      </w:pPr>
      <w:bookmarkStart w:id="332" w:name="_Toc520724123"/>
      <w:r w:rsidRPr="00403012">
        <w:rPr>
          <w:rFonts w:ascii="Times New Roman" w:hAnsi="Times New Roman" w:cs="Times New Roman"/>
        </w:rPr>
        <w:t>6.3 Recommendations</w:t>
      </w:r>
      <w:bookmarkEnd w:id="332"/>
    </w:p>
    <w:p w14:paraId="52361940" w14:textId="77777777" w:rsidR="006018AA" w:rsidRPr="004C3155" w:rsidRDefault="006018AA" w:rsidP="006018AA"/>
    <w:p w14:paraId="007380D9" w14:textId="77777777" w:rsidR="006018AA" w:rsidRPr="009C502D" w:rsidRDefault="006018AA" w:rsidP="006018AA">
      <w:pPr>
        <w:pStyle w:val="ListParagraph"/>
        <w:numPr>
          <w:ilvl w:val="0"/>
          <w:numId w:val="71"/>
        </w:numPr>
        <w:ind w:left="0" w:firstLine="0"/>
        <w:jc w:val="both"/>
        <w:rPr>
          <w:rFonts w:ascii="Times New Roman" w:hAnsi="Times New Roman" w:cs="Times New Roman"/>
        </w:rPr>
      </w:pPr>
      <w:r w:rsidRPr="00542FC8">
        <w:rPr>
          <w:rFonts w:ascii="Times New Roman" w:hAnsi="Times New Roman" w:cs="Times New Roman"/>
        </w:rPr>
        <w:t xml:space="preserve">The </w:t>
      </w:r>
      <w:r w:rsidRPr="004C3155">
        <w:rPr>
          <w:rFonts w:ascii="Times New Roman" w:hAnsi="Times New Roman" w:cs="Times New Roman"/>
        </w:rPr>
        <w:t xml:space="preserve">table below proposes several actionable and prioritized solutions to strengthen </w:t>
      </w:r>
      <w:r w:rsidRPr="009C502D">
        <w:rPr>
          <w:rFonts w:ascii="Times New Roman" w:hAnsi="Times New Roman" w:cs="Times New Roman"/>
        </w:rPr>
        <w:t>effectiveness of the competition policy and law in Senegal.</w:t>
      </w:r>
    </w:p>
    <w:p w14:paraId="6A22BB14" w14:textId="77777777" w:rsidR="006018AA" w:rsidRPr="009C502D" w:rsidRDefault="006018AA" w:rsidP="006018AA">
      <w:pPr>
        <w:rPr>
          <w:rFonts w:ascii="Times New Roman" w:hAnsi="Times New Roman" w:cs="Times New Roman"/>
        </w:rPr>
      </w:pPr>
    </w:p>
    <w:p w14:paraId="516FDB96" w14:textId="6AF0CA06" w:rsidR="006018AA" w:rsidRPr="009C502D" w:rsidRDefault="006018AA" w:rsidP="006018AA">
      <w:pPr>
        <w:pStyle w:val="Caption"/>
        <w:keepNext/>
        <w:rPr>
          <w:rFonts w:ascii="Times New Roman" w:hAnsi="Times New Roman"/>
        </w:rPr>
      </w:pPr>
      <w:bookmarkStart w:id="333" w:name="_Toc520725703"/>
      <w:r w:rsidRPr="009C502D">
        <w:rPr>
          <w:rFonts w:ascii="Times New Roman" w:hAnsi="Times New Roman"/>
        </w:rPr>
        <w:t xml:space="preserve">Table </w:t>
      </w:r>
      <w:r w:rsidR="00275BC9" w:rsidRPr="009C502D">
        <w:rPr>
          <w:rFonts w:ascii="Times New Roman" w:hAnsi="Times New Roman"/>
        </w:rPr>
        <w:fldChar w:fldCharType="begin"/>
      </w:r>
      <w:r w:rsidR="00275BC9" w:rsidRPr="009C502D">
        <w:rPr>
          <w:rFonts w:ascii="Times New Roman" w:hAnsi="Times New Roman"/>
        </w:rPr>
        <w:instrText xml:space="preserve"> SEQ Table \* ARABIC </w:instrText>
      </w:r>
      <w:r w:rsidR="00275BC9" w:rsidRPr="009C502D">
        <w:rPr>
          <w:rFonts w:ascii="Times New Roman" w:hAnsi="Times New Roman"/>
        </w:rPr>
        <w:fldChar w:fldCharType="separate"/>
      </w:r>
      <w:r w:rsidR="008261B2">
        <w:rPr>
          <w:rFonts w:ascii="Times New Roman" w:hAnsi="Times New Roman"/>
          <w:noProof/>
        </w:rPr>
        <w:t>16</w:t>
      </w:r>
      <w:r w:rsidR="00275BC9" w:rsidRPr="009C502D">
        <w:rPr>
          <w:rFonts w:ascii="Times New Roman" w:hAnsi="Times New Roman"/>
          <w:noProof/>
        </w:rPr>
        <w:fldChar w:fldCharType="end"/>
      </w:r>
      <w:r w:rsidRPr="009C502D">
        <w:rPr>
          <w:rFonts w:ascii="Times New Roman" w:hAnsi="Times New Roman"/>
        </w:rPr>
        <w:t>: Recommendations to improve the competition legal framework</w:t>
      </w:r>
      <w:bookmarkEnd w:id="333"/>
    </w:p>
    <w:tbl>
      <w:tblPr>
        <w:tblW w:w="0" w:type="auto"/>
        <w:tblInd w:w="-113" w:type="dxa"/>
        <w:tblCellMar>
          <w:left w:w="0" w:type="dxa"/>
          <w:right w:w="0" w:type="dxa"/>
        </w:tblCellMar>
        <w:tblLook w:val="04A0" w:firstRow="1" w:lastRow="0" w:firstColumn="1" w:lastColumn="0" w:noHBand="0" w:noVBand="1"/>
      </w:tblPr>
      <w:tblGrid>
        <w:gridCol w:w="6411"/>
        <w:gridCol w:w="1428"/>
        <w:gridCol w:w="894"/>
      </w:tblGrid>
      <w:tr w:rsidR="00BB17ED" w14:paraId="62F034B3" w14:textId="77777777" w:rsidTr="00C538DB">
        <w:tc>
          <w:tcPr>
            <w:tcW w:w="6411" w:type="dxa"/>
            <w:tcBorders>
              <w:top w:val="single" w:sz="8" w:space="0" w:color="4472C4"/>
              <w:left w:val="single" w:sz="8" w:space="0" w:color="4472C4"/>
              <w:bottom w:val="nil"/>
              <w:right w:val="nil"/>
            </w:tcBorders>
            <w:shd w:val="clear" w:color="auto" w:fill="4472C4"/>
            <w:tcMar>
              <w:top w:w="0" w:type="dxa"/>
              <w:left w:w="108" w:type="dxa"/>
              <w:bottom w:w="0" w:type="dxa"/>
              <w:right w:w="108" w:type="dxa"/>
            </w:tcMar>
            <w:hideMark/>
          </w:tcPr>
          <w:p w14:paraId="4B47EF52" w14:textId="77777777" w:rsidR="00BB17ED" w:rsidRDefault="00BB17ED" w:rsidP="00D749D3">
            <w:pPr>
              <w:rPr>
                <w:rFonts w:ascii="Times New Roman" w:eastAsiaTheme="minorHAnsi" w:hAnsi="Times New Roman"/>
                <w:b/>
                <w:bCs/>
                <w:color w:val="FFFFFF"/>
                <w:sz w:val="20"/>
                <w:szCs w:val="20"/>
                <w:lang w:val="en-GB"/>
              </w:rPr>
            </w:pPr>
            <w:r>
              <w:rPr>
                <w:rFonts w:ascii="Times New Roman" w:hAnsi="Times New Roman"/>
                <w:b/>
                <w:bCs/>
                <w:color w:val="FFFFFF"/>
                <w:sz w:val="20"/>
                <w:szCs w:val="20"/>
                <w:lang w:val="en-GB"/>
              </w:rPr>
              <w:t>Recommendation</w:t>
            </w:r>
          </w:p>
        </w:tc>
        <w:tc>
          <w:tcPr>
            <w:tcW w:w="1428" w:type="dxa"/>
            <w:tcBorders>
              <w:top w:val="single" w:sz="8" w:space="0" w:color="4472C4"/>
              <w:left w:val="nil"/>
              <w:bottom w:val="nil"/>
              <w:right w:val="nil"/>
            </w:tcBorders>
            <w:shd w:val="clear" w:color="auto" w:fill="4472C4"/>
            <w:tcMar>
              <w:top w:w="0" w:type="dxa"/>
              <w:left w:w="108" w:type="dxa"/>
              <w:bottom w:w="0" w:type="dxa"/>
              <w:right w:w="108" w:type="dxa"/>
            </w:tcMar>
            <w:hideMark/>
          </w:tcPr>
          <w:p w14:paraId="21B4F0DC" w14:textId="77777777" w:rsidR="00BB17ED" w:rsidRDefault="00BB17ED" w:rsidP="00D749D3">
            <w:pPr>
              <w:rPr>
                <w:rFonts w:ascii="Times New Roman" w:hAnsi="Times New Roman"/>
                <w:b/>
                <w:bCs/>
                <w:color w:val="FFFFFF"/>
                <w:sz w:val="20"/>
                <w:szCs w:val="20"/>
                <w:lang w:val="en-GB"/>
              </w:rPr>
            </w:pPr>
            <w:r>
              <w:rPr>
                <w:rFonts w:ascii="Times New Roman" w:hAnsi="Times New Roman"/>
                <w:b/>
                <w:bCs/>
                <w:color w:val="FFFFFF"/>
                <w:sz w:val="20"/>
                <w:szCs w:val="20"/>
                <w:lang w:val="en-GB"/>
              </w:rPr>
              <w:t>Responsibility</w:t>
            </w:r>
          </w:p>
        </w:tc>
        <w:tc>
          <w:tcPr>
            <w:tcW w:w="0" w:type="auto"/>
            <w:tcBorders>
              <w:top w:val="single" w:sz="8" w:space="0" w:color="4472C4"/>
              <w:left w:val="nil"/>
              <w:bottom w:val="nil"/>
              <w:right w:val="single" w:sz="8" w:space="0" w:color="4472C4"/>
            </w:tcBorders>
            <w:shd w:val="clear" w:color="auto" w:fill="4472C4"/>
            <w:tcMar>
              <w:top w:w="0" w:type="dxa"/>
              <w:left w:w="108" w:type="dxa"/>
              <w:bottom w:w="0" w:type="dxa"/>
              <w:right w:w="108" w:type="dxa"/>
            </w:tcMar>
            <w:hideMark/>
          </w:tcPr>
          <w:p w14:paraId="3588FA1F" w14:textId="77777777" w:rsidR="00BB17ED" w:rsidRDefault="00BB17ED" w:rsidP="00D749D3">
            <w:pPr>
              <w:rPr>
                <w:rFonts w:ascii="Times New Roman" w:hAnsi="Times New Roman"/>
                <w:b/>
                <w:bCs/>
                <w:color w:val="FFFFFF"/>
                <w:sz w:val="20"/>
                <w:szCs w:val="20"/>
                <w:lang w:val="en-GB"/>
              </w:rPr>
            </w:pPr>
            <w:r>
              <w:rPr>
                <w:rFonts w:ascii="Times New Roman" w:hAnsi="Times New Roman"/>
                <w:b/>
                <w:bCs/>
                <w:color w:val="FFFFFF"/>
                <w:sz w:val="20"/>
                <w:szCs w:val="20"/>
                <w:lang w:val="en-GB"/>
              </w:rPr>
              <w:t>Priority</w:t>
            </w:r>
          </w:p>
        </w:tc>
      </w:tr>
      <w:tr w:rsidR="00BB17ED" w14:paraId="328BA7BA" w14:textId="77777777" w:rsidTr="00D749D3">
        <w:tc>
          <w:tcPr>
            <w:tcW w:w="0" w:type="auto"/>
            <w:gridSpan w:val="3"/>
            <w:tcBorders>
              <w:top w:val="single" w:sz="8" w:space="0" w:color="4472C4"/>
              <w:left w:val="single" w:sz="8" w:space="0" w:color="4472C4"/>
              <w:bottom w:val="single" w:sz="8" w:space="0" w:color="4472C4"/>
              <w:right w:val="nil"/>
            </w:tcBorders>
            <w:shd w:val="clear" w:color="auto" w:fill="D5DCE4"/>
            <w:tcMar>
              <w:top w:w="0" w:type="dxa"/>
              <w:left w:w="108" w:type="dxa"/>
              <w:bottom w:w="0" w:type="dxa"/>
              <w:right w:w="108" w:type="dxa"/>
            </w:tcMar>
            <w:hideMark/>
          </w:tcPr>
          <w:p w14:paraId="3422B522" w14:textId="77777777" w:rsidR="00BB17ED" w:rsidRDefault="00BB17ED" w:rsidP="00D749D3">
            <w:pPr>
              <w:jc w:val="center"/>
              <w:rPr>
                <w:rFonts w:ascii="Times New Roman" w:hAnsi="Times New Roman"/>
                <w:b/>
                <w:bCs/>
                <w:sz w:val="20"/>
                <w:szCs w:val="20"/>
                <w:lang w:val="en-GB"/>
              </w:rPr>
            </w:pPr>
            <w:r>
              <w:rPr>
                <w:rFonts w:ascii="Times New Roman" w:hAnsi="Times New Roman"/>
                <w:b/>
                <w:bCs/>
                <w:sz w:val="20"/>
                <w:szCs w:val="20"/>
                <w:lang w:val="en-GB"/>
              </w:rPr>
              <w:t>WAEMU level</w:t>
            </w:r>
          </w:p>
        </w:tc>
      </w:tr>
      <w:tr w:rsidR="00BB17ED" w14:paraId="39F9993F" w14:textId="77777777" w:rsidTr="00C538DB">
        <w:tc>
          <w:tcPr>
            <w:tcW w:w="6411" w:type="dxa"/>
            <w:tcBorders>
              <w:top w:val="nil"/>
              <w:left w:val="single" w:sz="8" w:space="0" w:color="4472C4"/>
              <w:bottom w:val="nil"/>
              <w:right w:val="nil"/>
            </w:tcBorders>
            <w:shd w:val="clear" w:color="auto" w:fill="FFFFFF"/>
            <w:tcMar>
              <w:top w:w="0" w:type="dxa"/>
              <w:left w:w="108" w:type="dxa"/>
              <w:bottom w:w="0" w:type="dxa"/>
              <w:right w:w="108" w:type="dxa"/>
            </w:tcMar>
            <w:hideMark/>
          </w:tcPr>
          <w:p w14:paraId="32AE6443" w14:textId="77777777" w:rsidR="00BB17ED" w:rsidRPr="00BB17ED" w:rsidRDefault="007763FE" w:rsidP="007575D7">
            <w:pPr>
              <w:jc w:val="both"/>
              <w:rPr>
                <w:rFonts w:ascii="Times New Roman" w:hAnsi="Times New Roman"/>
                <w:sz w:val="20"/>
                <w:szCs w:val="20"/>
                <w:lang w:val="en-GB"/>
              </w:rPr>
            </w:pPr>
            <w:r>
              <w:rPr>
                <w:rFonts w:ascii="Times New Roman" w:eastAsia="Times New Roman" w:hAnsi="Times New Roman"/>
                <w:sz w:val="20"/>
                <w:szCs w:val="20"/>
                <w:lang w:val="en-GB"/>
              </w:rPr>
              <w:t>1</w:t>
            </w:r>
            <w:r w:rsidR="0095220A">
              <w:rPr>
                <w:rFonts w:ascii="Times New Roman" w:eastAsia="Times New Roman" w:hAnsi="Times New Roman"/>
                <w:sz w:val="20"/>
                <w:szCs w:val="20"/>
                <w:lang w:val="en-GB"/>
              </w:rPr>
              <w:t>.</w:t>
            </w:r>
            <w:r w:rsidR="00BB17ED">
              <w:rPr>
                <w:rFonts w:ascii="Times New Roman" w:eastAsia="Times New Roman" w:hAnsi="Times New Roman"/>
                <w:sz w:val="20"/>
                <w:szCs w:val="20"/>
                <w:lang w:val="en-GB"/>
              </w:rPr>
              <w:t xml:space="preserve"> </w:t>
            </w:r>
            <w:r w:rsidR="00BB17ED" w:rsidRPr="00BB17ED">
              <w:rPr>
                <w:rFonts w:ascii="Times New Roman" w:eastAsia="Times New Roman" w:hAnsi="Times New Roman"/>
                <w:sz w:val="20"/>
                <w:szCs w:val="20"/>
                <w:lang w:val="en-GB"/>
              </w:rPr>
              <w:t>Develop efforts within WAEMU to approve legislation delegating powers to national competition authorities to investigate and decide on anticompetitive practices that occur on the national territory and do not have cross-border effects.</w:t>
            </w:r>
          </w:p>
        </w:tc>
        <w:tc>
          <w:tcPr>
            <w:tcW w:w="1428" w:type="dxa"/>
            <w:tcMar>
              <w:top w:w="0" w:type="dxa"/>
              <w:left w:w="108" w:type="dxa"/>
              <w:bottom w:w="0" w:type="dxa"/>
              <w:right w:w="108" w:type="dxa"/>
            </w:tcMar>
            <w:hideMark/>
          </w:tcPr>
          <w:p w14:paraId="67492213" w14:textId="75638017" w:rsidR="00BB17ED" w:rsidRDefault="003B24ED" w:rsidP="00D749D3">
            <w:pPr>
              <w:rPr>
                <w:rFonts w:ascii="Times New Roman" w:hAnsi="Times New Roman"/>
                <w:sz w:val="20"/>
                <w:szCs w:val="20"/>
                <w:lang w:val="en-GB"/>
              </w:rPr>
            </w:pPr>
            <w:r>
              <w:rPr>
                <w:rFonts w:ascii="Times New Roman" w:hAnsi="Times New Roman"/>
                <w:sz w:val="20"/>
                <w:szCs w:val="20"/>
                <w:lang w:val="en-GB"/>
              </w:rPr>
              <w:t>Government</w:t>
            </w:r>
          </w:p>
        </w:tc>
        <w:tc>
          <w:tcPr>
            <w:tcW w:w="0" w:type="auto"/>
            <w:tcBorders>
              <w:top w:val="nil"/>
              <w:left w:val="nil"/>
              <w:bottom w:val="nil"/>
              <w:right w:val="single" w:sz="8" w:space="0" w:color="4472C4"/>
            </w:tcBorders>
            <w:tcMar>
              <w:top w:w="0" w:type="dxa"/>
              <w:left w:w="108" w:type="dxa"/>
              <w:bottom w:w="0" w:type="dxa"/>
              <w:right w:w="108" w:type="dxa"/>
            </w:tcMar>
            <w:hideMark/>
          </w:tcPr>
          <w:p w14:paraId="7BAD1488" w14:textId="77777777" w:rsidR="00BB17ED" w:rsidRDefault="00BB17ED" w:rsidP="00D749D3">
            <w:pPr>
              <w:rPr>
                <w:rFonts w:ascii="Times New Roman" w:hAnsi="Times New Roman"/>
                <w:sz w:val="20"/>
                <w:szCs w:val="20"/>
                <w:lang w:val="en-GB"/>
              </w:rPr>
            </w:pPr>
            <w:r>
              <w:rPr>
                <w:rFonts w:ascii="Times New Roman" w:hAnsi="Times New Roman"/>
                <w:sz w:val="20"/>
                <w:szCs w:val="20"/>
                <w:lang w:val="en-GB"/>
              </w:rPr>
              <w:t>High</w:t>
            </w:r>
          </w:p>
        </w:tc>
      </w:tr>
      <w:tr w:rsidR="00BB17ED" w14:paraId="49341794" w14:textId="77777777" w:rsidTr="00C538DB">
        <w:tc>
          <w:tcPr>
            <w:tcW w:w="6411" w:type="dxa"/>
            <w:tcBorders>
              <w:top w:val="single" w:sz="8" w:space="0" w:color="4472C4"/>
              <w:left w:val="single" w:sz="8" w:space="0" w:color="4472C4"/>
              <w:bottom w:val="single" w:sz="8" w:space="0" w:color="4472C4"/>
              <w:right w:val="nil"/>
            </w:tcBorders>
            <w:shd w:val="clear" w:color="auto" w:fill="FFFFFF"/>
            <w:tcMar>
              <w:top w:w="0" w:type="dxa"/>
              <w:left w:w="108" w:type="dxa"/>
              <w:bottom w:w="0" w:type="dxa"/>
              <w:right w:w="108" w:type="dxa"/>
            </w:tcMar>
            <w:hideMark/>
          </w:tcPr>
          <w:p w14:paraId="3778D8D5" w14:textId="77777777" w:rsidR="00BB17ED" w:rsidRPr="00BB17ED" w:rsidRDefault="007763FE" w:rsidP="007575D7">
            <w:pPr>
              <w:jc w:val="both"/>
              <w:rPr>
                <w:rFonts w:ascii="Times New Roman" w:hAnsi="Times New Roman"/>
                <w:sz w:val="20"/>
                <w:szCs w:val="20"/>
                <w:lang w:val="en-GB"/>
              </w:rPr>
            </w:pPr>
            <w:r>
              <w:rPr>
                <w:rFonts w:ascii="Times New Roman" w:eastAsia="Times New Roman" w:hAnsi="Times New Roman"/>
                <w:sz w:val="20"/>
                <w:szCs w:val="20"/>
              </w:rPr>
              <w:t>2</w:t>
            </w:r>
            <w:r w:rsidR="0095220A">
              <w:rPr>
                <w:rFonts w:ascii="Times New Roman" w:eastAsia="Times New Roman" w:hAnsi="Times New Roman"/>
                <w:sz w:val="20"/>
                <w:szCs w:val="20"/>
              </w:rPr>
              <w:t>.</w:t>
            </w:r>
            <w:r w:rsidR="00BB17ED">
              <w:rPr>
                <w:rFonts w:ascii="Times New Roman" w:eastAsia="Times New Roman" w:hAnsi="Times New Roman"/>
                <w:sz w:val="20"/>
                <w:szCs w:val="20"/>
              </w:rPr>
              <w:t xml:space="preserve"> </w:t>
            </w:r>
            <w:r w:rsidR="00BB17ED" w:rsidRPr="00BB17ED">
              <w:rPr>
                <w:rFonts w:ascii="Times New Roman" w:eastAsia="Times New Roman" w:hAnsi="Times New Roman"/>
                <w:sz w:val="20"/>
                <w:szCs w:val="20"/>
                <w:lang w:val="en-GB"/>
              </w:rPr>
              <w:t>Press for the issuing of rules at the WAEMU level regulating cooperation between the WAEMU Commission and national competition authorities.</w:t>
            </w:r>
          </w:p>
        </w:tc>
        <w:tc>
          <w:tcPr>
            <w:tcW w:w="1428" w:type="dxa"/>
            <w:tcBorders>
              <w:top w:val="single" w:sz="8" w:space="0" w:color="4472C4"/>
              <w:left w:val="nil"/>
              <w:bottom w:val="single" w:sz="8" w:space="0" w:color="4472C4"/>
              <w:right w:val="nil"/>
            </w:tcBorders>
            <w:tcMar>
              <w:top w:w="0" w:type="dxa"/>
              <w:left w:w="108" w:type="dxa"/>
              <w:bottom w:w="0" w:type="dxa"/>
              <w:right w:w="108" w:type="dxa"/>
            </w:tcMar>
            <w:hideMark/>
          </w:tcPr>
          <w:p w14:paraId="32234024" w14:textId="0535F243" w:rsidR="00BB17ED" w:rsidRDefault="003B24ED" w:rsidP="00D749D3">
            <w:pPr>
              <w:rPr>
                <w:rFonts w:ascii="Times New Roman" w:hAnsi="Times New Roman"/>
                <w:sz w:val="20"/>
                <w:szCs w:val="20"/>
                <w:lang w:val="en-GB"/>
              </w:rPr>
            </w:pPr>
            <w:r>
              <w:rPr>
                <w:rFonts w:ascii="Times New Roman" w:hAnsi="Times New Roman"/>
                <w:sz w:val="20"/>
                <w:szCs w:val="20"/>
                <w:lang w:val="en-GB"/>
              </w:rPr>
              <w:t>Government</w:t>
            </w:r>
          </w:p>
        </w:tc>
        <w:tc>
          <w:tcPr>
            <w:tcW w:w="0" w:type="auto"/>
            <w:tcBorders>
              <w:top w:val="single" w:sz="8" w:space="0" w:color="4472C4"/>
              <w:left w:val="nil"/>
              <w:bottom w:val="single" w:sz="8" w:space="0" w:color="4472C4"/>
              <w:right w:val="single" w:sz="8" w:space="0" w:color="4472C4"/>
            </w:tcBorders>
            <w:tcMar>
              <w:top w:w="0" w:type="dxa"/>
              <w:left w:w="108" w:type="dxa"/>
              <w:bottom w:w="0" w:type="dxa"/>
              <w:right w:w="108" w:type="dxa"/>
            </w:tcMar>
            <w:hideMark/>
          </w:tcPr>
          <w:p w14:paraId="0D6079FA" w14:textId="77777777" w:rsidR="00BB17ED" w:rsidRDefault="00BB17ED" w:rsidP="00D749D3">
            <w:pPr>
              <w:rPr>
                <w:rFonts w:ascii="Times New Roman" w:hAnsi="Times New Roman"/>
                <w:sz w:val="20"/>
                <w:szCs w:val="20"/>
                <w:lang w:val="en-GB"/>
              </w:rPr>
            </w:pPr>
            <w:r>
              <w:rPr>
                <w:rFonts w:ascii="Times New Roman" w:hAnsi="Times New Roman"/>
                <w:sz w:val="20"/>
                <w:szCs w:val="20"/>
                <w:lang w:val="en-GB"/>
              </w:rPr>
              <w:t>High</w:t>
            </w:r>
          </w:p>
        </w:tc>
      </w:tr>
      <w:tr w:rsidR="00BB17ED" w14:paraId="6148887A" w14:textId="77777777" w:rsidTr="00C538DB">
        <w:tc>
          <w:tcPr>
            <w:tcW w:w="6411" w:type="dxa"/>
            <w:tcBorders>
              <w:top w:val="nil"/>
              <w:left w:val="single" w:sz="8" w:space="0" w:color="4472C4"/>
              <w:bottom w:val="nil"/>
              <w:right w:val="nil"/>
            </w:tcBorders>
            <w:shd w:val="clear" w:color="auto" w:fill="FFFFFF"/>
            <w:tcMar>
              <w:top w:w="0" w:type="dxa"/>
              <w:left w:w="108" w:type="dxa"/>
              <w:bottom w:w="0" w:type="dxa"/>
              <w:right w:w="108" w:type="dxa"/>
            </w:tcMar>
            <w:hideMark/>
          </w:tcPr>
          <w:p w14:paraId="6E796599" w14:textId="77777777" w:rsidR="00BB17ED" w:rsidRPr="00BB17ED" w:rsidRDefault="007763FE" w:rsidP="007575D7">
            <w:pPr>
              <w:jc w:val="both"/>
              <w:rPr>
                <w:rFonts w:ascii="Times New Roman" w:hAnsi="Times New Roman"/>
                <w:sz w:val="20"/>
                <w:szCs w:val="20"/>
                <w:lang w:val="en-GB"/>
              </w:rPr>
            </w:pPr>
            <w:r>
              <w:rPr>
                <w:rFonts w:ascii="Times New Roman" w:eastAsia="Times New Roman" w:hAnsi="Times New Roman"/>
                <w:sz w:val="20"/>
                <w:szCs w:val="20"/>
                <w:lang w:val="en-GB"/>
              </w:rPr>
              <w:t>3</w:t>
            </w:r>
            <w:r w:rsidR="0095220A">
              <w:rPr>
                <w:rFonts w:ascii="Times New Roman" w:eastAsia="Times New Roman" w:hAnsi="Times New Roman"/>
                <w:sz w:val="20"/>
                <w:szCs w:val="20"/>
                <w:lang w:val="en-GB"/>
              </w:rPr>
              <w:t>.</w:t>
            </w:r>
            <w:r w:rsidR="00BB17ED">
              <w:rPr>
                <w:rFonts w:ascii="Times New Roman" w:eastAsia="Times New Roman" w:hAnsi="Times New Roman"/>
                <w:sz w:val="20"/>
                <w:szCs w:val="20"/>
                <w:lang w:val="en-GB"/>
              </w:rPr>
              <w:t xml:space="preserve"> </w:t>
            </w:r>
            <w:r w:rsidR="00BB17ED" w:rsidRPr="00BB17ED">
              <w:rPr>
                <w:rFonts w:ascii="Times New Roman" w:eastAsia="Times New Roman" w:hAnsi="Times New Roman"/>
                <w:sz w:val="20"/>
                <w:szCs w:val="20"/>
                <w:lang w:val="en-GB"/>
              </w:rPr>
              <w:t>Press for the strengthening and adequate resourcing of the WAEMU Commission to enhance competition enforcement.</w:t>
            </w:r>
          </w:p>
        </w:tc>
        <w:tc>
          <w:tcPr>
            <w:tcW w:w="1428" w:type="dxa"/>
            <w:tcMar>
              <w:top w:w="0" w:type="dxa"/>
              <w:left w:w="108" w:type="dxa"/>
              <w:bottom w:w="0" w:type="dxa"/>
              <w:right w:w="108" w:type="dxa"/>
            </w:tcMar>
            <w:hideMark/>
          </w:tcPr>
          <w:p w14:paraId="423BA0CF" w14:textId="019BAA38" w:rsidR="00BB17ED" w:rsidRDefault="003B24ED" w:rsidP="00D749D3">
            <w:pPr>
              <w:rPr>
                <w:rFonts w:ascii="Times New Roman" w:hAnsi="Times New Roman"/>
                <w:sz w:val="20"/>
                <w:szCs w:val="20"/>
                <w:lang w:val="en-GB"/>
              </w:rPr>
            </w:pPr>
            <w:r>
              <w:rPr>
                <w:rFonts w:ascii="Times New Roman" w:hAnsi="Times New Roman"/>
                <w:sz w:val="20"/>
                <w:szCs w:val="20"/>
                <w:lang w:val="en-GB"/>
              </w:rPr>
              <w:t>Government</w:t>
            </w:r>
          </w:p>
        </w:tc>
        <w:tc>
          <w:tcPr>
            <w:tcW w:w="0" w:type="auto"/>
            <w:tcBorders>
              <w:top w:val="nil"/>
              <w:left w:val="nil"/>
              <w:bottom w:val="nil"/>
              <w:right w:val="single" w:sz="8" w:space="0" w:color="4472C4"/>
            </w:tcBorders>
            <w:tcMar>
              <w:top w:w="0" w:type="dxa"/>
              <w:left w:w="108" w:type="dxa"/>
              <w:bottom w:w="0" w:type="dxa"/>
              <w:right w:w="108" w:type="dxa"/>
            </w:tcMar>
            <w:hideMark/>
          </w:tcPr>
          <w:p w14:paraId="0494F35A" w14:textId="77777777" w:rsidR="00BB17ED" w:rsidRDefault="00BB17ED" w:rsidP="00D749D3">
            <w:pPr>
              <w:rPr>
                <w:rFonts w:ascii="Times New Roman" w:hAnsi="Times New Roman"/>
                <w:sz w:val="20"/>
                <w:szCs w:val="20"/>
                <w:lang w:val="en-GB"/>
              </w:rPr>
            </w:pPr>
            <w:r>
              <w:rPr>
                <w:rFonts w:ascii="Times New Roman" w:hAnsi="Times New Roman"/>
                <w:sz w:val="20"/>
                <w:szCs w:val="20"/>
                <w:lang w:val="en-GB"/>
              </w:rPr>
              <w:t>Medium</w:t>
            </w:r>
          </w:p>
        </w:tc>
      </w:tr>
      <w:tr w:rsidR="00BB17ED" w14:paraId="7F132729" w14:textId="77777777" w:rsidTr="00D749D3">
        <w:tc>
          <w:tcPr>
            <w:tcW w:w="0" w:type="auto"/>
            <w:gridSpan w:val="3"/>
            <w:tcBorders>
              <w:top w:val="single" w:sz="8" w:space="0" w:color="4472C4"/>
              <w:left w:val="single" w:sz="8" w:space="0" w:color="4472C4"/>
              <w:bottom w:val="single" w:sz="8" w:space="0" w:color="4472C4"/>
              <w:right w:val="nil"/>
            </w:tcBorders>
            <w:shd w:val="clear" w:color="auto" w:fill="D5DCE4"/>
            <w:tcMar>
              <w:top w:w="0" w:type="dxa"/>
              <w:left w:w="108" w:type="dxa"/>
              <w:bottom w:w="0" w:type="dxa"/>
              <w:right w:w="108" w:type="dxa"/>
            </w:tcMar>
            <w:hideMark/>
          </w:tcPr>
          <w:p w14:paraId="36A8A6C8" w14:textId="77777777" w:rsidR="00BB17ED" w:rsidRDefault="00BB17ED" w:rsidP="00D749D3">
            <w:pPr>
              <w:ind w:left="360"/>
              <w:jc w:val="center"/>
              <w:rPr>
                <w:rFonts w:ascii="Times New Roman" w:hAnsi="Times New Roman"/>
                <w:b/>
                <w:bCs/>
                <w:sz w:val="20"/>
                <w:szCs w:val="20"/>
                <w:lang w:val="en-GB"/>
              </w:rPr>
            </w:pPr>
            <w:r>
              <w:rPr>
                <w:rFonts w:ascii="Times New Roman" w:hAnsi="Times New Roman"/>
                <w:b/>
                <w:bCs/>
                <w:sz w:val="20"/>
                <w:szCs w:val="20"/>
                <w:lang w:val="en-GB"/>
              </w:rPr>
              <w:t>National level</w:t>
            </w:r>
          </w:p>
        </w:tc>
      </w:tr>
      <w:tr w:rsidR="00BB17ED" w14:paraId="0496391E" w14:textId="77777777" w:rsidTr="00C538DB">
        <w:tc>
          <w:tcPr>
            <w:tcW w:w="6411" w:type="dxa"/>
            <w:tcBorders>
              <w:top w:val="nil"/>
              <w:left w:val="single" w:sz="8" w:space="0" w:color="4472C4"/>
              <w:bottom w:val="nil"/>
              <w:right w:val="nil"/>
            </w:tcBorders>
            <w:shd w:val="clear" w:color="auto" w:fill="FFFFFF"/>
            <w:tcMar>
              <w:top w:w="0" w:type="dxa"/>
              <w:left w:w="108" w:type="dxa"/>
              <w:bottom w:w="0" w:type="dxa"/>
              <w:right w:w="108" w:type="dxa"/>
            </w:tcMar>
            <w:hideMark/>
          </w:tcPr>
          <w:p w14:paraId="1CD24E4D" w14:textId="16ACD97A" w:rsidR="00BB17ED" w:rsidRPr="00BB17ED" w:rsidRDefault="007763FE" w:rsidP="007575D7">
            <w:pPr>
              <w:jc w:val="both"/>
              <w:rPr>
                <w:rFonts w:ascii="Times New Roman" w:hAnsi="Times New Roman"/>
                <w:sz w:val="20"/>
                <w:szCs w:val="20"/>
                <w:lang w:val="en-GB"/>
              </w:rPr>
            </w:pPr>
            <w:r>
              <w:rPr>
                <w:rFonts w:ascii="Times New Roman" w:eastAsia="Times New Roman" w:hAnsi="Times New Roman"/>
                <w:sz w:val="20"/>
                <w:szCs w:val="20"/>
                <w:lang w:val="en-GB"/>
              </w:rPr>
              <w:t>4</w:t>
            </w:r>
            <w:r w:rsidR="0095220A">
              <w:rPr>
                <w:rFonts w:ascii="Times New Roman" w:eastAsia="Times New Roman" w:hAnsi="Times New Roman"/>
                <w:sz w:val="20"/>
                <w:szCs w:val="20"/>
                <w:lang w:val="en-GB"/>
              </w:rPr>
              <w:t>.</w:t>
            </w:r>
            <w:r w:rsidR="00BB17ED">
              <w:rPr>
                <w:rFonts w:ascii="Times New Roman" w:eastAsia="Times New Roman" w:hAnsi="Times New Roman"/>
                <w:sz w:val="20"/>
                <w:szCs w:val="20"/>
                <w:lang w:val="en-GB"/>
              </w:rPr>
              <w:t xml:space="preserve"> </w:t>
            </w:r>
            <w:r w:rsidR="00BB17ED" w:rsidRPr="00BB17ED">
              <w:rPr>
                <w:rFonts w:ascii="Times New Roman" w:eastAsia="Times New Roman" w:hAnsi="Times New Roman"/>
                <w:sz w:val="20"/>
                <w:szCs w:val="20"/>
                <w:lang w:val="en-GB"/>
              </w:rPr>
              <w:t xml:space="preserve">Encourage NCC to carry out market studies and improve </w:t>
            </w:r>
            <w:r w:rsidR="001F39DC">
              <w:rPr>
                <w:rFonts w:ascii="Times New Roman" w:eastAsia="Times New Roman" w:hAnsi="Times New Roman"/>
                <w:sz w:val="20"/>
                <w:szCs w:val="20"/>
                <w:lang w:val="en-GB"/>
              </w:rPr>
              <w:t>communication</w:t>
            </w:r>
            <w:r w:rsidR="001F39DC" w:rsidRPr="00BB17ED">
              <w:rPr>
                <w:rFonts w:ascii="Times New Roman" w:eastAsia="Times New Roman" w:hAnsi="Times New Roman"/>
                <w:sz w:val="20"/>
                <w:szCs w:val="20"/>
                <w:lang w:val="en-GB"/>
              </w:rPr>
              <w:t xml:space="preserve"> </w:t>
            </w:r>
            <w:r w:rsidR="00BB17ED" w:rsidRPr="00BB17ED">
              <w:rPr>
                <w:rFonts w:ascii="Times New Roman" w:eastAsia="Times New Roman" w:hAnsi="Times New Roman"/>
                <w:sz w:val="20"/>
                <w:szCs w:val="20"/>
                <w:lang w:val="en-GB"/>
              </w:rPr>
              <w:t xml:space="preserve">and collaboration with sector-specific regulators and other </w:t>
            </w:r>
            <w:r w:rsidR="003B24ED">
              <w:rPr>
                <w:rFonts w:ascii="Times New Roman" w:eastAsia="Times New Roman" w:hAnsi="Times New Roman"/>
                <w:sz w:val="20"/>
                <w:szCs w:val="20"/>
                <w:lang w:val="en-GB"/>
              </w:rPr>
              <w:t>Government</w:t>
            </w:r>
            <w:r w:rsidR="00BB17ED" w:rsidRPr="00BB17ED">
              <w:rPr>
                <w:rFonts w:ascii="Times New Roman" w:eastAsia="Times New Roman" w:hAnsi="Times New Roman"/>
                <w:sz w:val="20"/>
                <w:szCs w:val="20"/>
                <w:lang w:val="en-GB"/>
              </w:rPr>
              <w:t xml:space="preserve"> institutions to address competition issues.</w:t>
            </w:r>
          </w:p>
        </w:tc>
        <w:tc>
          <w:tcPr>
            <w:tcW w:w="1428" w:type="dxa"/>
            <w:tcMar>
              <w:top w:w="0" w:type="dxa"/>
              <w:left w:w="108" w:type="dxa"/>
              <w:bottom w:w="0" w:type="dxa"/>
              <w:right w:w="108" w:type="dxa"/>
            </w:tcMar>
            <w:hideMark/>
          </w:tcPr>
          <w:p w14:paraId="4B12A3EF" w14:textId="77777777" w:rsidR="00BB17ED" w:rsidRDefault="00BB17ED" w:rsidP="00D749D3">
            <w:pPr>
              <w:rPr>
                <w:rFonts w:ascii="Times New Roman" w:hAnsi="Times New Roman"/>
                <w:sz w:val="20"/>
                <w:szCs w:val="20"/>
                <w:lang w:val="en-GB"/>
              </w:rPr>
            </w:pPr>
            <w:r>
              <w:rPr>
                <w:rFonts w:ascii="Times New Roman" w:hAnsi="Times New Roman"/>
                <w:sz w:val="20"/>
                <w:szCs w:val="20"/>
                <w:lang w:val="en-GB"/>
              </w:rPr>
              <w:t>NCC</w:t>
            </w:r>
          </w:p>
        </w:tc>
        <w:tc>
          <w:tcPr>
            <w:tcW w:w="0" w:type="auto"/>
            <w:tcBorders>
              <w:top w:val="nil"/>
              <w:left w:val="nil"/>
              <w:bottom w:val="nil"/>
              <w:right w:val="single" w:sz="8" w:space="0" w:color="4472C4"/>
            </w:tcBorders>
            <w:tcMar>
              <w:top w:w="0" w:type="dxa"/>
              <w:left w:w="108" w:type="dxa"/>
              <w:bottom w:w="0" w:type="dxa"/>
              <w:right w:w="108" w:type="dxa"/>
            </w:tcMar>
            <w:hideMark/>
          </w:tcPr>
          <w:p w14:paraId="2527D800" w14:textId="77777777" w:rsidR="00BB17ED" w:rsidRDefault="00BB17ED" w:rsidP="00D749D3">
            <w:pPr>
              <w:rPr>
                <w:rFonts w:ascii="Times New Roman" w:hAnsi="Times New Roman"/>
                <w:sz w:val="20"/>
                <w:szCs w:val="20"/>
                <w:lang w:val="en-GB"/>
              </w:rPr>
            </w:pPr>
            <w:r>
              <w:rPr>
                <w:rFonts w:ascii="Times New Roman" w:hAnsi="Times New Roman"/>
                <w:sz w:val="20"/>
                <w:szCs w:val="20"/>
                <w:lang w:val="en-GB"/>
              </w:rPr>
              <w:t>High</w:t>
            </w:r>
          </w:p>
        </w:tc>
      </w:tr>
      <w:tr w:rsidR="00BB17ED" w14:paraId="1D050076" w14:textId="77777777" w:rsidTr="00C538DB">
        <w:tc>
          <w:tcPr>
            <w:tcW w:w="6411" w:type="dxa"/>
            <w:tcBorders>
              <w:top w:val="single" w:sz="8" w:space="0" w:color="4472C4"/>
              <w:left w:val="single" w:sz="8" w:space="0" w:color="4472C4"/>
              <w:bottom w:val="single" w:sz="8" w:space="0" w:color="4472C4"/>
              <w:right w:val="nil"/>
            </w:tcBorders>
            <w:shd w:val="clear" w:color="auto" w:fill="FFFFFF"/>
            <w:tcMar>
              <w:top w:w="0" w:type="dxa"/>
              <w:left w:w="108" w:type="dxa"/>
              <w:bottom w:w="0" w:type="dxa"/>
              <w:right w:w="108" w:type="dxa"/>
            </w:tcMar>
            <w:hideMark/>
          </w:tcPr>
          <w:p w14:paraId="1219E175" w14:textId="77777777" w:rsidR="00BB17ED" w:rsidRPr="00BB17ED" w:rsidRDefault="007763FE" w:rsidP="007575D7">
            <w:pPr>
              <w:jc w:val="both"/>
              <w:rPr>
                <w:rFonts w:ascii="Times New Roman" w:hAnsi="Times New Roman"/>
                <w:sz w:val="20"/>
                <w:szCs w:val="20"/>
                <w:lang w:val="en-GB"/>
              </w:rPr>
            </w:pPr>
            <w:r>
              <w:rPr>
                <w:rFonts w:ascii="Times New Roman" w:eastAsia="Times New Roman" w:hAnsi="Times New Roman"/>
                <w:sz w:val="20"/>
                <w:szCs w:val="20"/>
                <w:lang w:val="en-GB"/>
              </w:rPr>
              <w:t>5</w:t>
            </w:r>
            <w:r w:rsidR="0095220A">
              <w:rPr>
                <w:rFonts w:ascii="Times New Roman" w:eastAsia="Times New Roman" w:hAnsi="Times New Roman"/>
                <w:sz w:val="20"/>
                <w:szCs w:val="20"/>
                <w:lang w:val="en-GB"/>
              </w:rPr>
              <w:t>.</w:t>
            </w:r>
            <w:r w:rsidR="00BB17ED">
              <w:rPr>
                <w:rFonts w:ascii="Times New Roman" w:eastAsia="Times New Roman" w:hAnsi="Times New Roman"/>
                <w:sz w:val="20"/>
                <w:szCs w:val="20"/>
                <w:lang w:val="en-GB"/>
              </w:rPr>
              <w:t xml:space="preserve"> </w:t>
            </w:r>
            <w:r w:rsidR="00BB17ED" w:rsidRPr="00BB17ED">
              <w:rPr>
                <w:rFonts w:ascii="Times New Roman" w:eastAsia="Times New Roman" w:hAnsi="Times New Roman"/>
                <w:sz w:val="20"/>
                <w:szCs w:val="20"/>
                <w:lang w:val="en-GB"/>
              </w:rPr>
              <w:t>Depending on the clarification of regional vs national powers, consider setting up an independent NCC with the adequate financial, human and technical resources to make it fully operational in terms of competition law enforcement.</w:t>
            </w:r>
          </w:p>
        </w:tc>
        <w:tc>
          <w:tcPr>
            <w:tcW w:w="1428" w:type="dxa"/>
            <w:tcBorders>
              <w:top w:val="single" w:sz="8" w:space="0" w:color="4472C4"/>
              <w:left w:val="nil"/>
              <w:bottom w:val="single" w:sz="8" w:space="0" w:color="4472C4"/>
              <w:right w:val="nil"/>
            </w:tcBorders>
            <w:tcMar>
              <w:top w:w="0" w:type="dxa"/>
              <w:left w:w="108" w:type="dxa"/>
              <w:bottom w:w="0" w:type="dxa"/>
              <w:right w:w="108" w:type="dxa"/>
            </w:tcMar>
            <w:hideMark/>
          </w:tcPr>
          <w:p w14:paraId="05EB09C4" w14:textId="001FDCA4" w:rsidR="00BB17ED" w:rsidRDefault="003B24ED" w:rsidP="00D749D3">
            <w:pPr>
              <w:rPr>
                <w:rFonts w:ascii="Times New Roman" w:hAnsi="Times New Roman"/>
                <w:sz w:val="20"/>
                <w:szCs w:val="20"/>
                <w:lang w:val="en-GB"/>
              </w:rPr>
            </w:pPr>
            <w:r>
              <w:rPr>
                <w:rFonts w:ascii="Times New Roman" w:hAnsi="Times New Roman"/>
                <w:sz w:val="20"/>
                <w:szCs w:val="20"/>
                <w:lang w:val="en-GB"/>
              </w:rPr>
              <w:t>Government</w:t>
            </w:r>
          </w:p>
        </w:tc>
        <w:tc>
          <w:tcPr>
            <w:tcW w:w="0" w:type="auto"/>
            <w:tcBorders>
              <w:top w:val="single" w:sz="8" w:space="0" w:color="4472C4"/>
              <w:left w:val="nil"/>
              <w:bottom w:val="single" w:sz="8" w:space="0" w:color="4472C4"/>
              <w:right w:val="single" w:sz="8" w:space="0" w:color="4472C4"/>
            </w:tcBorders>
            <w:tcMar>
              <w:top w:w="0" w:type="dxa"/>
              <w:left w:w="108" w:type="dxa"/>
              <w:bottom w:w="0" w:type="dxa"/>
              <w:right w:w="108" w:type="dxa"/>
            </w:tcMar>
            <w:hideMark/>
          </w:tcPr>
          <w:p w14:paraId="24E269E3" w14:textId="77777777" w:rsidR="00BB17ED" w:rsidRDefault="00BB17ED" w:rsidP="00D749D3">
            <w:pPr>
              <w:rPr>
                <w:rFonts w:ascii="Times New Roman" w:hAnsi="Times New Roman"/>
                <w:sz w:val="20"/>
                <w:szCs w:val="20"/>
                <w:lang w:val="en-GB"/>
              </w:rPr>
            </w:pPr>
            <w:r>
              <w:rPr>
                <w:rFonts w:ascii="Times New Roman" w:hAnsi="Times New Roman"/>
                <w:sz w:val="20"/>
                <w:szCs w:val="20"/>
                <w:lang w:val="en-GB"/>
              </w:rPr>
              <w:t>High</w:t>
            </w:r>
          </w:p>
        </w:tc>
      </w:tr>
      <w:tr w:rsidR="00BB17ED" w14:paraId="3AA06B82" w14:textId="77777777" w:rsidTr="00C538DB">
        <w:tc>
          <w:tcPr>
            <w:tcW w:w="6411" w:type="dxa"/>
            <w:tcBorders>
              <w:top w:val="nil"/>
              <w:left w:val="single" w:sz="8" w:space="0" w:color="4472C4"/>
              <w:bottom w:val="single" w:sz="8" w:space="0" w:color="4472C4"/>
              <w:right w:val="nil"/>
            </w:tcBorders>
            <w:shd w:val="clear" w:color="auto" w:fill="FFFFFF"/>
            <w:tcMar>
              <w:top w:w="0" w:type="dxa"/>
              <w:left w:w="108" w:type="dxa"/>
              <w:bottom w:w="0" w:type="dxa"/>
              <w:right w:w="108" w:type="dxa"/>
            </w:tcMar>
            <w:hideMark/>
          </w:tcPr>
          <w:p w14:paraId="63EF5DEC" w14:textId="77777777" w:rsidR="00BB17ED" w:rsidRPr="00BB17ED" w:rsidRDefault="007763FE" w:rsidP="007575D7">
            <w:pPr>
              <w:jc w:val="both"/>
              <w:rPr>
                <w:rFonts w:ascii="Times New Roman" w:hAnsi="Times New Roman"/>
                <w:sz w:val="20"/>
                <w:szCs w:val="20"/>
                <w:lang w:val="en-GB"/>
              </w:rPr>
            </w:pPr>
            <w:r>
              <w:rPr>
                <w:rFonts w:ascii="Times New Roman" w:eastAsia="Times New Roman" w:hAnsi="Times New Roman"/>
                <w:sz w:val="20"/>
                <w:szCs w:val="20"/>
              </w:rPr>
              <w:t>6</w:t>
            </w:r>
            <w:r w:rsidR="0095220A">
              <w:rPr>
                <w:rFonts w:ascii="Times New Roman" w:eastAsia="Times New Roman" w:hAnsi="Times New Roman"/>
                <w:sz w:val="20"/>
                <w:szCs w:val="20"/>
              </w:rPr>
              <w:t>.</w:t>
            </w:r>
            <w:r w:rsidR="00BB17ED">
              <w:rPr>
                <w:rFonts w:ascii="Times New Roman" w:eastAsia="Times New Roman" w:hAnsi="Times New Roman"/>
                <w:sz w:val="20"/>
                <w:szCs w:val="20"/>
              </w:rPr>
              <w:t xml:space="preserve"> </w:t>
            </w:r>
            <w:r w:rsidR="00BB17ED" w:rsidRPr="00BB17ED">
              <w:rPr>
                <w:rFonts w:ascii="Times New Roman" w:eastAsia="Times New Roman" w:hAnsi="Times New Roman"/>
                <w:sz w:val="20"/>
                <w:szCs w:val="20"/>
                <w:lang w:val="en-GB"/>
              </w:rPr>
              <w:t xml:space="preserve">In a scenario where the Competition Act would become enforceable, review the competition law </w:t>
            </w:r>
            <w:proofErr w:type="gramStart"/>
            <w:r w:rsidR="00BB17ED" w:rsidRPr="00BB17ED">
              <w:rPr>
                <w:rFonts w:ascii="Times New Roman" w:eastAsia="Times New Roman" w:hAnsi="Times New Roman"/>
                <w:sz w:val="20"/>
                <w:szCs w:val="20"/>
                <w:lang w:val="en-GB"/>
              </w:rPr>
              <w:t>in order to</w:t>
            </w:r>
            <w:proofErr w:type="gramEnd"/>
            <w:r w:rsidR="00BB17ED" w:rsidRPr="00BB17ED">
              <w:rPr>
                <w:rFonts w:ascii="Times New Roman" w:eastAsia="Times New Roman" w:hAnsi="Times New Roman"/>
                <w:sz w:val="20"/>
                <w:szCs w:val="20"/>
                <w:lang w:val="en-GB"/>
              </w:rPr>
              <w:t xml:space="preserve"> align with international best practice (e.g. provisions on abuse of dominance, prohibition of cartels, adequate sanctions).</w:t>
            </w:r>
          </w:p>
        </w:tc>
        <w:tc>
          <w:tcPr>
            <w:tcW w:w="1428" w:type="dxa"/>
            <w:tcBorders>
              <w:top w:val="nil"/>
              <w:left w:val="nil"/>
              <w:bottom w:val="single" w:sz="8" w:space="0" w:color="4472C4"/>
              <w:right w:val="nil"/>
            </w:tcBorders>
            <w:tcMar>
              <w:top w:w="0" w:type="dxa"/>
              <w:left w:w="108" w:type="dxa"/>
              <w:bottom w:w="0" w:type="dxa"/>
              <w:right w:w="108" w:type="dxa"/>
            </w:tcMar>
            <w:hideMark/>
          </w:tcPr>
          <w:p w14:paraId="70F30345" w14:textId="61601F59" w:rsidR="00BB17ED" w:rsidRDefault="003B24ED" w:rsidP="00D749D3">
            <w:pPr>
              <w:rPr>
                <w:rFonts w:ascii="Times New Roman" w:hAnsi="Times New Roman"/>
                <w:sz w:val="20"/>
                <w:szCs w:val="20"/>
                <w:lang w:val="en-GB"/>
              </w:rPr>
            </w:pPr>
            <w:r>
              <w:rPr>
                <w:rFonts w:ascii="Times New Roman" w:hAnsi="Times New Roman"/>
                <w:sz w:val="20"/>
                <w:szCs w:val="20"/>
                <w:lang w:val="en-GB"/>
              </w:rPr>
              <w:t>Government</w:t>
            </w:r>
            <w:r w:rsidR="00BB17ED">
              <w:rPr>
                <w:rFonts w:ascii="Times New Roman" w:hAnsi="Times New Roman"/>
                <w:sz w:val="20"/>
                <w:szCs w:val="20"/>
                <w:lang w:val="en-GB"/>
              </w:rPr>
              <w:t xml:space="preserve"> and Parliament</w:t>
            </w:r>
          </w:p>
        </w:tc>
        <w:tc>
          <w:tcPr>
            <w:tcW w:w="0" w:type="auto"/>
            <w:tcBorders>
              <w:top w:val="nil"/>
              <w:left w:val="nil"/>
              <w:bottom w:val="single" w:sz="8" w:space="0" w:color="4472C4"/>
              <w:right w:val="single" w:sz="8" w:space="0" w:color="4472C4"/>
            </w:tcBorders>
            <w:tcMar>
              <w:top w:w="0" w:type="dxa"/>
              <w:left w:w="108" w:type="dxa"/>
              <w:bottom w:w="0" w:type="dxa"/>
              <w:right w:w="108" w:type="dxa"/>
            </w:tcMar>
            <w:hideMark/>
          </w:tcPr>
          <w:p w14:paraId="35D1546B" w14:textId="77777777" w:rsidR="00BB17ED" w:rsidRDefault="00BB17ED" w:rsidP="00D749D3">
            <w:pPr>
              <w:rPr>
                <w:rFonts w:ascii="Times New Roman" w:hAnsi="Times New Roman"/>
                <w:sz w:val="20"/>
                <w:szCs w:val="20"/>
                <w:lang w:val="en-GB"/>
              </w:rPr>
            </w:pPr>
            <w:r>
              <w:rPr>
                <w:rFonts w:ascii="Times New Roman" w:hAnsi="Times New Roman"/>
                <w:sz w:val="20"/>
                <w:szCs w:val="20"/>
                <w:lang w:val="en-GB"/>
              </w:rPr>
              <w:t>High</w:t>
            </w:r>
          </w:p>
        </w:tc>
      </w:tr>
    </w:tbl>
    <w:p w14:paraId="37491D83" w14:textId="77777777" w:rsidR="004C3155" w:rsidRDefault="004C3155">
      <w:pPr>
        <w:rPr>
          <w:rFonts w:ascii="Times New Roman" w:eastAsiaTheme="minorHAnsi" w:hAnsi="Times New Roman" w:cs="Times New Roman"/>
        </w:rPr>
      </w:pPr>
      <w:r>
        <w:rPr>
          <w:rFonts w:ascii="Times New Roman" w:eastAsiaTheme="minorHAnsi" w:hAnsi="Times New Roman" w:cs="Times New Roman"/>
        </w:rPr>
        <w:br w:type="page"/>
      </w:r>
    </w:p>
    <w:p w14:paraId="0AFE08C7" w14:textId="77777777" w:rsidR="00545490" w:rsidRPr="00C91EA2" w:rsidRDefault="00576A60" w:rsidP="00BB4E4F">
      <w:pPr>
        <w:pStyle w:val="Heading1"/>
        <w:rPr>
          <w:rFonts w:ascii="Times New Roman" w:hAnsi="Times New Roman" w:cs="Times New Roman"/>
        </w:rPr>
      </w:pPr>
      <w:bookmarkStart w:id="334" w:name="_Toc520724124"/>
      <w:r w:rsidRPr="00C91EA2">
        <w:rPr>
          <w:rFonts w:ascii="Times New Roman" w:hAnsi="Times New Roman" w:cs="Times New Roman"/>
        </w:rPr>
        <w:t>7</w:t>
      </w:r>
      <w:r w:rsidR="00867E4F" w:rsidRPr="00C91EA2">
        <w:rPr>
          <w:rFonts w:ascii="Times New Roman" w:hAnsi="Times New Roman" w:cs="Times New Roman"/>
        </w:rPr>
        <w:t xml:space="preserve">. </w:t>
      </w:r>
      <w:r w:rsidR="00234554" w:rsidRPr="00C91EA2">
        <w:rPr>
          <w:rFonts w:ascii="Times New Roman" w:hAnsi="Times New Roman" w:cs="Times New Roman"/>
        </w:rPr>
        <w:t>Sources</w:t>
      </w:r>
      <w:bookmarkEnd w:id="334"/>
    </w:p>
    <w:p w14:paraId="4EA37A22" w14:textId="77777777" w:rsidR="000D0199" w:rsidRPr="00C91EA2" w:rsidRDefault="000D0199" w:rsidP="000D0199">
      <w:pPr>
        <w:rPr>
          <w:rFonts w:ascii="Times New Roman" w:hAnsi="Times New Roman" w:cs="Times New Roman"/>
        </w:rPr>
      </w:pPr>
    </w:p>
    <w:tbl>
      <w:tblPr>
        <w:tblW w:w="0" w:type="auto"/>
        <w:tblLook w:val="04A0" w:firstRow="1" w:lastRow="0" w:firstColumn="1" w:lastColumn="0" w:noHBand="0" w:noVBand="1"/>
      </w:tblPr>
      <w:tblGrid>
        <w:gridCol w:w="8640"/>
      </w:tblGrid>
      <w:tr w:rsidR="00763E5D" w:rsidRPr="00763E5D" w14:paraId="0E8D6D83" w14:textId="77777777" w:rsidTr="00A91B9E">
        <w:trPr>
          <w:trHeight w:val="315"/>
        </w:trPr>
        <w:tc>
          <w:tcPr>
            <w:tcW w:w="0" w:type="auto"/>
            <w:tcBorders>
              <w:top w:val="nil"/>
              <w:left w:val="nil"/>
              <w:bottom w:val="nil"/>
              <w:right w:val="nil"/>
            </w:tcBorders>
            <w:shd w:val="clear" w:color="auto" w:fill="auto"/>
            <w:noWrap/>
            <w:vAlign w:val="center"/>
          </w:tcPr>
          <w:p w14:paraId="70913AE6" w14:textId="77777777" w:rsidR="00763E5D" w:rsidRPr="00763E5D" w:rsidRDefault="00763E5D" w:rsidP="00837781">
            <w:pPr>
              <w:spacing w:after="240"/>
              <w:ind w:left="525" w:hanging="525"/>
              <w:rPr>
                <w:rFonts w:ascii="Times New Roman" w:eastAsia="Times New Roman" w:hAnsi="Times New Roman" w:cs="Times New Roman"/>
              </w:rPr>
            </w:pPr>
          </w:p>
        </w:tc>
      </w:tr>
      <w:tr w:rsidR="00763E5D" w:rsidRPr="00763E5D" w14:paraId="6DBBBF27" w14:textId="77777777" w:rsidTr="00A91B9E">
        <w:trPr>
          <w:trHeight w:val="315"/>
        </w:trPr>
        <w:tc>
          <w:tcPr>
            <w:tcW w:w="0" w:type="auto"/>
            <w:tcBorders>
              <w:top w:val="nil"/>
              <w:left w:val="nil"/>
              <w:bottom w:val="nil"/>
              <w:right w:val="nil"/>
            </w:tcBorders>
            <w:shd w:val="clear" w:color="auto" w:fill="auto"/>
            <w:noWrap/>
            <w:vAlign w:val="center"/>
            <w:hideMark/>
          </w:tcPr>
          <w:p w14:paraId="62AEFA0D" w14:textId="77777777" w:rsidR="00763E5D" w:rsidRPr="00763E5D" w:rsidRDefault="00763E5D" w:rsidP="00837781">
            <w:pPr>
              <w:spacing w:after="240"/>
              <w:ind w:left="525" w:hanging="525"/>
              <w:rPr>
                <w:rFonts w:ascii="Times New Roman" w:eastAsia="Times New Roman" w:hAnsi="Times New Roman" w:cs="Times New Roman"/>
              </w:rPr>
            </w:pPr>
            <w:proofErr w:type="spellStart"/>
            <w:r w:rsidRPr="00763E5D">
              <w:rPr>
                <w:rFonts w:ascii="Times New Roman" w:eastAsia="Times New Roman" w:hAnsi="Times New Roman" w:cs="Times New Roman"/>
              </w:rPr>
              <w:t>Abdelkrim</w:t>
            </w:r>
            <w:proofErr w:type="spellEnd"/>
            <w:r w:rsidRPr="00763E5D">
              <w:rPr>
                <w:rFonts w:ascii="Times New Roman" w:eastAsia="Times New Roman" w:hAnsi="Times New Roman" w:cs="Times New Roman"/>
              </w:rPr>
              <w:t xml:space="preserve">, A. and Duclos, J-Y. 2007. </w:t>
            </w:r>
            <w:r w:rsidRPr="00763E5D">
              <w:rPr>
                <w:rFonts w:ascii="Times New Roman" w:eastAsia="Times New Roman" w:hAnsi="Times New Roman" w:cs="Times New Roman"/>
                <w:i/>
                <w:iCs/>
              </w:rPr>
              <w:t>DASP: Distributive Analysis Stata Package</w:t>
            </w:r>
            <w:r w:rsidRPr="00763E5D">
              <w:rPr>
                <w:rFonts w:ascii="Times New Roman" w:eastAsia="Times New Roman" w:hAnsi="Times New Roman" w:cs="Times New Roman"/>
              </w:rPr>
              <w:t xml:space="preserve">. PEP. World Bank, UNDP and </w:t>
            </w:r>
            <w:proofErr w:type="spellStart"/>
            <w:r w:rsidRPr="00763E5D">
              <w:rPr>
                <w:rFonts w:ascii="Times New Roman" w:eastAsia="Times New Roman" w:hAnsi="Times New Roman" w:cs="Times New Roman"/>
              </w:rPr>
              <w:t>Université</w:t>
            </w:r>
            <w:proofErr w:type="spellEnd"/>
            <w:r w:rsidRPr="00763E5D">
              <w:rPr>
                <w:rFonts w:ascii="Times New Roman" w:eastAsia="Times New Roman" w:hAnsi="Times New Roman" w:cs="Times New Roman"/>
              </w:rPr>
              <w:t xml:space="preserve"> Laval.</w:t>
            </w:r>
          </w:p>
        </w:tc>
      </w:tr>
      <w:tr w:rsidR="00763E5D" w:rsidRPr="001164DA" w14:paraId="014A4A74" w14:textId="77777777" w:rsidTr="00A91B9E">
        <w:trPr>
          <w:trHeight w:val="315"/>
        </w:trPr>
        <w:tc>
          <w:tcPr>
            <w:tcW w:w="0" w:type="auto"/>
            <w:tcBorders>
              <w:top w:val="nil"/>
              <w:left w:val="nil"/>
              <w:bottom w:val="nil"/>
              <w:right w:val="nil"/>
            </w:tcBorders>
            <w:shd w:val="clear" w:color="auto" w:fill="auto"/>
            <w:noWrap/>
            <w:vAlign w:val="center"/>
            <w:hideMark/>
          </w:tcPr>
          <w:p w14:paraId="56A133BA"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Acte Additionnel A/SA.1/06/08 Portant Adoption des </w:t>
            </w:r>
            <w:proofErr w:type="spellStart"/>
            <w:r w:rsidRPr="007575D7">
              <w:rPr>
                <w:rFonts w:ascii="Times New Roman" w:eastAsia="Times New Roman" w:hAnsi="Times New Roman" w:cs="Times New Roman"/>
                <w:lang w:val="fr-FR"/>
              </w:rPr>
              <w:t>Regles</w:t>
            </w:r>
            <w:proofErr w:type="spellEnd"/>
            <w:r w:rsidRPr="007575D7">
              <w:rPr>
                <w:rFonts w:ascii="Times New Roman" w:eastAsia="Times New Roman" w:hAnsi="Times New Roman" w:cs="Times New Roman"/>
                <w:lang w:val="fr-FR"/>
              </w:rPr>
              <w:t xml:space="preserve"> Communautaires de la Concurrence et de Leurs Modalités D’Application au Sein de la CEDEAO, Article 4(1)</w:t>
            </w:r>
          </w:p>
        </w:tc>
      </w:tr>
      <w:tr w:rsidR="00763E5D" w:rsidRPr="00EE65D3" w14:paraId="7EE111A9" w14:textId="77777777" w:rsidTr="00A91B9E">
        <w:trPr>
          <w:trHeight w:val="315"/>
        </w:trPr>
        <w:tc>
          <w:tcPr>
            <w:tcW w:w="0" w:type="auto"/>
            <w:tcBorders>
              <w:top w:val="nil"/>
              <w:left w:val="nil"/>
              <w:bottom w:val="nil"/>
              <w:right w:val="nil"/>
            </w:tcBorders>
            <w:shd w:val="clear" w:color="auto" w:fill="auto"/>
            <w:noWrap/>
            <w:vAlign w:val="center"/>
            <w:hideMark/>
          </w:tcPr>
          <w:p w14:paraId="4A8ADDE0" w14:textId="77777777" w:rsidR="00763E5D"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Acte Additionnel A/SA.2/06/08 Portant Création, Attributions et Fonctionnement de L’Autorité Régionale de la Concurrence de la CEDEAO.</w:t>
            </w:r>
          </w:p>
          <w:p w14:paraId="1A16FC7D" w14:textId="2CAE4009" w:rsidR="00EE65D3" w:rsidRPr="00EE65D3" w:rsidRDefault="00EE65D3" w:rsidP="00EE65D3">
            <w:pPr>
              <w:spacing w:after="240"/>
              <w:ind w:left="525" w:hanging="525"/>
              <w:rPr>
                <w:rFonts w:ascii="Times New Roman" w:eastAsia="Times New Roman" w:hAnsi="Times New Roman" w:cs="Times New Roman"/>
              </w:rPr>
            </w:pPr>
            <w:proofErr w:type="spellStart"/>
            <w:r w:rsidRPr="00B57E98">
              <w:rPr>
                <w:rFonts w:ascii="Times New Roman" w:eastAsia="Times New Roman" w:hAnsi="Times New Roman" w:cs="Times New Roman"/>
              </w:rPr>
              <w:t>Aflasafe</w:t>
            </w:r>
            <w:proofErr w:type="spellEnd"/>
            <w:r w:rsidRPr="00B57E98">
              <w:rPr>
                <w:rFonts w:ascii="Times New Roman" w:eastAsia="Times New Roman" w:hAnsi="Times New Roman" w:cs="Times New Roman"/>
              </w:rPr>
              <w:t xml:space="preserve">. 2018. Press Release. Available at </w:t>
            </w:r>
            <w:hyperlink r:id="rId93" w:history="1">
              <w:r w:rsidRPr="00B57E98">
                <w:rPr>
                  <w:rFonts w:ascii="Times New Roman" w:eastAsia="Times New Roman" w:hAnsi="Times New Roman" w:cs="Times New Roman"/>
                </w:rPr>
                <w:t>https://aflasafe.com/2018/03/12/harvest-time-nigeria-aflasafe-moves-from-research-to-nationwide-commercialisation-to-protect-food-from-deadly-aflatoxin/</w:t>
              </w:r>
            </w:hyperlink>
            <w:r w:rsidRPr="00B57E98">
              <w:rPr>
                <w:rFonts w:ascii="Times New Roman" w:eastAsia="Times New Roman" w:hAnsi="Times New Roman" w:cs="Times New Roman"/>
              </w:rPr>
              <w:t xml:space="preserve"> </w:t>
            </w:r>
          </w:p>
        </w:tc>
      </w:tr>
      <w:tr w:rsidR="00763E5D" w:rsidRPr="00763E5D" w14:paraId="21671B0E" w14:textId="77777777" w:rsidTr="00A91B9E">
        <w:trPr>
          <w:trHeight w:val="300"/>
        </w:trPr>
        <w:tc>
          <w:tcPr>
            <w:tcW w:w="0" w:type="auto"/>
            <w:tcBorders>
              <w:top w:val="nil"/>
              <w:left w:val="nil"/>
              <w:bottom w:val="nil"/>
              <w:right w:val="nil"/>
            </w:tcBorders>
            <w:shd w:val="clear" w:color="auto" w:fill="auto"/>
            <w:noWrap/>
            <w:vAlign w:val="center"/>
            <w:hideMark/>
          </w:tcPr>
          <w:p w14:paraId="1B6F8C53" w14:textId="77777777" w:rsidR="00763E5D" w:rsidRPr="00763E5D" w:rsidRDefault="00B42297" w:rsidP="00837781">
            <w:pPr>
              <w:spacing w:after="240"/>
              <w:ind w:left="525" w:hanging="525"/>
              <w:rPr>
                <w:rFonts w:ascii="Times New Roman" w:eastAsia="Times New Roman" w:hAnsi="Times New Roman" w:cs="Times New Roman"/>
              </w:rPr>
            </w:pPr>
            <w:hyperlink r:id="rId94" w:history="1">
              <w:r w:rsidR="00763E5D" w:rsidRPr="007575D7">
                <w:rPr>
                  <w:rFonts w:ascii="Times New Roman" w:eastAsia="Times New Roman" w:hAnsi="Times New Roman" w:cs="Times New Roman"/>
                  <w:lang w:val="fr-FR"/>
                </w:rPr>
                <w:t xml:space="preserve">Agence Ecofin. 2016. Selon Sonatel, la licence 4G au Sénégal vaut 14,5 milliards Fcfa et non 30 milliards Fcfa. </w:t>
              </w:r>
              <w:r w:rsidR="00763E5D" w:rsidRPr="00763E5D">
                <w:rPr>
                  <w:rFonts w:ascii="Times New Roman" w:eastAsia="Times New Roman" w:hAnsi="Times New Roman" w:cs="Times New Roman"/>
                </w:rPr>
                <w:t xml:space="preserve">Available at http://www.agenceecofin.com/operateur/2001-35241-selon-sonatel-la-licence-4g-au-senegal-vaut-14-5-milliards-fcfa-et-non-30-milliards-fcfa. </w:t>
              </w:r>
            </w:hyperlink>
          </w:p>
        </w:tc>
      </w:tr>
      <w:tr w:rsidR="00763E5D" w:rsidRPr="001164DA" w14:paraId="21378345" w14:textId="77777777" w:rsidTr="00A91B9E">
        <w:trPr>
          <w:trHeight w:val="315"/>
        </w:trPr>
        <w:tc>
          <w:tcPr>
            <w:tcW w:w="0" w:type="auto"/>
            <w:tcBorders>
              <w:top w:val="nil"/>
              <w:left w:val="nil"/>
              <w:bottom w:val="nil"/>
              <w:right w:val="nil"/>
            </w:tcBorders>
            <w:shd w:val="clear" w:color="auto" w:fill="auto"/>
            <w:noWrap/>
            <w:vAlign w:val="center"/>
            <w:hideMark/>
          </w:tcPr>
          <w:p w14:paraId="0B85A5D5"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Agence Nationale de la Statistique et de la Démographie - Ministère de l’Economie et des Finances, </w:t>
            </w:r>
            <w:r w:rsidRPr="007575D7">
              <w:rPr>
                <w:rFonts w:ascii="Times New Roman" w:eastAsia="Times New Roman" w:hAnsi="Times New Roman" w:cs="Times New Roman"/>
                <w:i/>
                <w:iCs/>
                <w:lang w:val="fr-FR"/>
              </w:rPr>
              <w:t>Enquête de Suivi de la Pauvreté au Sénégal 2011,</w:t>
            </w:r>
            <w:r w:rsidRPr="007575D7">
              <w:rPr>
                <w:rFonts w:ascii="Times New Roman" w:eastAsia="Times New Roman" w:hAnsi="Times New Roman" w:cs="Times New Roman"/>
                <w:lang w:val="fr-FR"/>
              </w:rPr>
              <w:t xml:space="preserve"> SEN_2011_ESPS-II_v01_M </w:t>
            </w:r>
          </w:p>
        </w:tc>
      </w:tr>
      <w:tr w:rsidR="00763E5D" w:rsidRPr="00763E5D" w14:paraId="2CD8B131" w14:textId="77777777" w:rsidTr="00A91B9E">
        <w:trPr>
          <w:trHeight w:val="315"/>
        </w:trPr>
        <w:tc>
          <w:tcPr>
            <w:tcW w:w="0" w:type="auto"/>
            <w:tcBorders>
              <w:top w:val="nil"/>
              <w:left w:val="nil"/>
              <w:bottom w:val="nil"/>
              <w:right w:val="nil"/>
            </w:tcBorders>
            <w:shd w:val="clear" w:color="auto" w:fill="auto"/>
            <w:noWrap/>
            <w:vAlign w:val="center"/>
            <w:hideMark/>
          </w:tcPr>
          <w:p w14:paraId="0268BF31" w14:textId="167EE561" w:rsidR="00763E5D" w:rsidRDefault="00763E5D" w:rsidP="00837781">
            <w:pPr>
              <w:spacing w:after="240"/>
              <w:ind w:left="525" w:hanging="525"/>
              <w:rPr>
                <w:rFonts w:ascii="Times New Roman" w:eastAsia="Times New Roman" w:hAnsi="Times New Roman" w:cs="Times New Roman"/>
              </w:rPr>
            </w:pPr>
            <w:proofErr w:type="spellStart"/>
            <w:r w:rsidRPr="00763E5D">
              <w:rPr>
                <w:rFonts w:ascii="Times New Roman" w:eastAsia="Times New Roman" w:hAnsi="Times New Roman" w:cs="Times New Roman"/>
              </w:rPr>
              <w:t>Agincentives</w:t>
            </w:r>
            <w:proofErr w:type="spellEnd"/>
            <w:r w:rsidRPr="00763E5D">
              <w:rPr>
                <w:rFonts w:ascii="Times New Roman" w:eastAsia="Times New Roman" w:hAnsi="Times New Roman" w:cs="Times New Roman"/>
              </w:rPr>
              <w:t xml:space="preserve">. 2017. </w:t>
            </w:r>
            <w:r w:rsidRPr="00763E5D">
              <w:rPr>
                <w:rFonts w:ascii="Times New Roman" w:eastAsia="Times New Roman" w:hAnsi="Times New Roman" w:cs="Times New Roman"/>
                <w:i/>
                <w:iCs/>
              </w:rPr>
              <w:t xml:space="preserve">Nominal Rate of Protection. </w:t>
            </w:r>
            <w:r w:rsidRPr="00763E5D">
              <w:rPr>
                <w:rFonts w:ascii="Times New Roman" w:eastAsia="Times New Roman" w:hAnsi="Times New Roman" w:cs="Times New Roman"/>
              </w:rPr>
              <w:t xml:space="preserve">Available at </w:t>
            </w:r>
            <w:hyperlink r:id="rId95" w:history="1">
              <w:r w:rsidR="00F3238F" w:rsidRPr="00AE5888">
                <w:rPr>
                  <w:rStyle w:val="Hyperlink"/>
                  <w:rFonts w:ascii="Times New Roman" w:eastAsia="Times New Roman" w:hAnsi="Times New Roman" w:cs="Times New Roman"/>
                </w:rPr>
                <w:t>http://www.ag-incentives.org/indicator/nominal-rate-protection</w:t>
              </w:r>
            </w:hyperlink>
          </w:p>
          <w:p w14:paraId="18BCAC52" w14:textId="77777777" w:rsidR="00F3238F" w:rsidRPr="007575D7" w:rsidRDefault="00F3238F" w:rsidP="00F3238F">
            <w:pPr>
              <w:spacing w:after="240"/>
              <w:ind w:left="525" w:hanging="525"/>
              <w:rPr>
                <w:rFonts w:ascii="Times New Roman" w:eastAsia="Times New Roman" w:hAnsi="Times New Roman" w:cs="Times New Roman"/>
              </w:rPr>
            </w:pPr>
            <w:proofErr w:type="spellStart"/>
            <w:r w:rsidRPr="007575D7">
              <w:rPr>
                <w:rFonts w:ascii="Times New Roman" w:eastAsia="Times New Roman" w:hAnsi="Times New Roman" w:cs="Times New Roman"/>
              </w:rPr>
              <w:t>Agrilinks</w:t>
            </w:r>
            <w:proofErr w:type="spellEnd"/>
            <w:r w:rsidRPr="007575D7">
              <w:rPr>
                <w:rFonts w:ascii="Times New Roman" w:eastAsia="Times New Roman" w:hAnsi="Times New Roman" w:cs="Times New Roman"/>
              </w:rPr>
              <w:t xml:space="preserve">. 2017. </w:t>
            </w:r>
            <w:r w:rsidRPr="007575D7">
              <w:rPr>
                <w:rFonts w:ascii="Times New Roman" w:eastAsia="Times New Roman" w:hAnsi="Times New Roman" w:cs="Times New Roman"/>
                <w:i/>
              </w:rPr>
              <w:t>Increasing Groundnut Safety and Value Through Better Harvest and Postharvest Practices in Ghana</w:t>
            </w:r>
            <w:r w:rsidRPr="007575D7">
              <w:rPr>
                <w:rFonts w:ascii="Times New Roman" w:eastAsia="Times New Roman" w:hAnsi="Times New Roman" w:cs="Times New Roman"/>
              </w:rPr>
              <w:t>.  Available at https://www.agrilinks.org/post/increasing-groundnut-safety-and-value-through-better-harvest-and-post-harvest-practices-ghana</w:t>
            </w:r>
          </w:p>
          <w:p w14:paraId="69B3ABF4" w14:textId="73AA80B1" w:rsidR="00F3238F" w:rsidRPr="00763E5D" w:rsidRDefault="00EE65D3" w:rsidP="00EE65D3">
            <w:pPr>
              <w:spacing w:after="240"/>
              <w:ind w:left="525" w:hanging="525"/>
              <w:rPr>
                <w:rFonts w:ascii="Times New Roman" w:eastAsia="Times New Roman" w:hAnsi="Times New Roman" w:cs="Times New Roman"/>
              </w:rPr>
            </w:pPr>
            <w:proofErr w:type="spellStart"/>
            <w:r w:rsidRPr="00B57E98">
              <w:rPr>
                <w:rFonts w:ascii="Times New Roman" w:eastAsia="Times New Roman" w:hAnsi="Times New Roman" w:cs="Times New Roman"/>
              </w:rPr>
              <w:t>Agronigeria</w:t>
            </w:r>
            <w:proofErr w:type="spellEnd"/>
            <w:r w:rsidRPr="00B57E98">
              <w:rPr>
                <w:rFonts w:ascii="Times New Roman" w:eastAsia="Times New Roman" w:hAnsi="Times New Roman" w:cs="Times New Roman"/>
              </w:rPr>
              <w:t xml:space="preserve">. 2014. </w:t>
            </w:r>
            <w:r w:rsidRPr="00B57E98">
              <w:rPr>
                <w:rFonts w:ascii="Times New Roman" w:eastAsia="Times New Roman" w:hAnsi="Times New Roman" w:cs="Times New Roman"/>
                <w:i/>
              </w:rPr>
              <w:t>Groundnut production: Nigeria set to return to dominance</w:t>
            </w:r>
            <w:r w:rsidRPr="00B57E98">
              <w:rPr>
                <w:rFonts w:ascii="Times New Roman" w:eastAsia="Times New Roman" w:hAnsi="Times New Roman" w:cs="Times New Roman"/>
              </w:rPr>
              <w:t xml:space="preserve">. Available at </w:t>
            </w:r>
            <w:hyperlink r:id="rId96" w:history="1">
              <w:r w:rsidRPr="00B57E98">
                <w:rPr>
                  <w:rFonts w:ascii="Times New Roman" w:eastAsia="Times New Roman" w:hAnsi="Times New Roman" w:cs="Times New Roman"/>
                </w:rPr>
                <w:t>https://agronigeria.com.ng/groundnut-production-nigeria-set-to-return-to-dominance/</w:t>
              </w:r>
            </w:hyperlink>
            <w:r w:rsidRPr="00B57E98">
              <w:rPr>
                <w:rFonts w:ascii="Times New Roman" w:eastAsia="Times New Roman" w:hAnsi="Times New Roman" w:cs="Times New Roman"/>
              </w:rPr>
              <w:t xml:space="preserve"> </w:t>
            </w:r>
          </w:p>
        </w:tc>
      </w:tr>
      <w:tr w:rsidR="00763E5D" w:rsidRPr="00763E5D" w14:paraId="30E48780" w14:textId="77777777" w:rsidTr="00A91B9E">
        <w:trPr>
          <w:trHeight w:val="315"/>
        </w:trPr>
        <w:tc>
          <w:tcPr>
            <w:tcW w:w="0" w:type="auto"/>
            <w:tcBorders>
              <w:top w:val="nil"/>
              <w:left w:val="nil"/>
              <w:bottom w:val="nil"/>
              <w:right w:val="nil"/>
            </w:tcBorders>
            <w:shd w:val="clear" w:color="auto" w:fill="auto"/>
            <w:noWrap/>
            <w:vAlign w:val="center"/>
            <w:hideMark/>
          </w:tcPr>
          <w:p w14:paraId="101280D1" w14:textId="77777777" w:rsidR="00763E5D" w:rsidRPr="00763E5D" w:rsidRDefault="00763E5D" w:rsidP="00837781">
            <w:pPr>
              <w:spacing w:after="240"/>
              <w:ind w:left="525" w:hanging="525"/>
              <w:rPr>
                <w:rFonts w:ascii="Times New Roman" w:eastAsia="Times New Roman" w:hAnsi="Times New Roman" w:cs="Times New Roman"/>
              </w:rPr>
            </w:pPr>
            <w:proofErr w:type="spellStart"/>
            <w:r w:rsidRPr="00763E5D">
              <w:rPr>
                <w:rFonts w:ascii="Times New Roman" w:eastAsia="Times New Roman" w:hAnsi="Times New Roman" w:cs="Times New Roman"/>
              </w:rPr>
              <w:t>Annetje</w:t>
            </w:r>
            <w:proofErr w:type="spellEnd"/>
            <w:r w:rsidRPr="00763E5D">
              <w:rPr>
                <w:rFonts w:ascii="Times New Roman" w:eastAsia="Times New Roman" w:hAnsi="Times New Roman" w:cs="Times New Roman"/>
              </w:rPr>
              <w:t xml:space="preserve"> </w:t>
            </w:r>
            <w:proofErr w:type="spellStart"/>
            <w:r w:rsidRPr="00763E5D">
              <w:rPr>
                <w:rFonts w:ascii="Times New Roman" w:eastAsia="Times New Roman" w:hAnsi="Times New Roman" w:cs="Times New Roman"/>
              </w:rPr>
              <w:t>Ottow</w:t>
            </w:r>
            <w:proofErr w:type="spellEnd"/>
            <w:r w:rsidRPr="00763E5D">
              <w:rPr>
                <w:rFonts w:ascii="Times New Roman" w:eastAsia="Times New Roman" w:hAnsi="Times New Roman" w:cs="Times New Roman"/>
              </w:rPr>
              <w:t xml:space="preserve">. 2015. </w:t>
            </w:r>
            <w:r w:rsidRPr="00763E5D">
              <w:rPr>
                <w:rFonts w:ascii="Times New Roman" w:eastAsia="Times New Roman" w:hAnsi="Times New Roman" w:cs="Times New Roman"/>
                <w:i/>
                <w:iCs/>
              </w:rPr>
              <w:t>Market and Competition Authorities: Good Agency Principles</w:t>
            </w:r>
            <w:r w:rsidRPr="00763E5D">
              <w:rPr>
                <w:rFonts w:ascii="Times New Roman" w:eastAsia="Times New Roman" w:hAnsi="Times New Roman" w:cs="Times New Roman"/>
              </w:rPr>
              <w:t>, Oxford. The Author refers to the LITER principles of independence: Legality, Independence, Transparency, Effectiveness and Responsibility.</w:t>
            </w:r>
          </w:p>
        </w:tc>
      </w:tr>
      <w:tr w:rsidR="00763E5D" w:rsidRPr="001164DA" w14:paraId="0A4AEAB0" w14:textId="77777777" w:rsidTr="00C271A3">
        <w:trPr>
          <w:trHeight w:val="300"/>
        </w:trPr>
        <w:tc>
          <w:tcPr>
            <w:tcW w:w="0" w:type="auto"/>
            <w:tcBorders>
              <w:top w:val="nil"/>
              <w:left w:val="nil"/>
              <w:bottom w:val="nil"/>
              <w:right w:val="nil"/>
            </w:tcBorders>
            <w:shd w:val="clear" w:color="auto" w:fill="auto"/>
            <w:noWrap/>
          </w:tcPr>
          <w:p w14:paraId="4A2F0E78" w14:textId="77777777" w:rsidR="00763E5D" w:rsidRPr="00763E5D" w:rsidRDefault="00763E5D" w:rsidP="00837781">
            <w:pPr>
              <w:spacing w:after="240"/>
              <w:ind w:left="525" w:hanging="525"/>
              <w:rPr>
                <w:rFonts w:ascii="Times New Roman" w:hAnsi="Times New Roman" w:cs="Times New Roman"/>
                <w:lang w:val="de-DE"/>
              </w:rPr>
            </w:pPr>
            <w:r w:rsidRPr="00763E5D">
              <w:rPr>
                <w:rFonts w:ascii="Times New Roman" w:hAnsi="Times New Roman" w:cs="Times New Roman"/>
                <w:lang w:val="de-DE"/>
              </w:rPr>
              <w:t>ARTP, Consultation publique ouverte du 01 au 15 mars 2016, Projet de Mise en Oeuvre du Dégroupage Total au Sénégal: https://www.artpsenegal.net/sites/default/files/docs_consultations/document_de_consultation_publique_degroupage_03022016.pdf</w:t>
            </w:r>
          </w:p>
        </w:tc>
      </w:tr>
      <w:tr w:rsidR="00763E5D" w:rsidRPr="00763E5D" w14:paraId="3E89371F" w14:textId="77777777" w:rsidTr="00A91B9E">
        <w:trPr>
          <w:trHeight w:val="300"/>
        </w:trPr>
        <w:tc>
          <w:tcPr>
            <w:tcW w:w="0" w:type="auto"/>
            <w:tcBorders>
              <w:top w:val="nil"/>
              <w:left w:val="nil"/>
              <w:bottom w:val="nil"/>
              <w:right w:val="nil"/>
            </w:tcBorders>
            <w:shd w:val="clear" w:color="auto" w:fill="auto"/>
            <w:noWrap/>
            <w:vAlign w:val="center"/>
            <w:hideMark/>
          </w:tcPr>
          <w:p w14:paraId="771A1449" w14:textId="77777777" w:rsidR="00763E5D" w:rsidRPr="00763E5D" w:rsidRDefault="00B42297" w:rsidP="00837781">
            <w:pPr>
              <w:spacing w:after="240"/>
              <w:ind w:left="525" w:hanging="525"/>
              <w:rPr>
                <w:rFonts w:ascii="Times New Roman" w:eastAsia="Times New Roman" w:hAnsi="Times New Roman" w:cs="Times New Roman"/>
                <w:lang w:val="de-DE"/>
              </w:rPr>
            </w:pPr>
            <w:hyperlink r:id="rId97" w:history="1">
              <w:r w:rsidR="00763E5D" w:rsidRPr="00763E5D">
                <w:rPr>
                  <w:rFonts w:ascii="Times New Roman" w:eastAsia="Times New Roman" w:hAnsi="Times New Roman" w:cs="Times New Roman"/>
                  <w:lang w:val="de-DE"/>
                </w:rPr>
                <w:t xml:space="preserve">ARTP. 2016. http://www.artpsenegal.net/index.php?option=com_content&amp;view=article&amp;id=267:communique-de-presse-du-18-janvier-2016-processus-d-attribution-de-3-licences-et-des-frequences-autorisant-l-utilisation-des-technologies-mobiles-4-g-au-senegal&amp;catid=9:infos-flash&amp;Itemid=162 </w:t>
              </w:r>
            </w:hyperlink>
          </w:p>
        </w:tc>
      </w:tr>
      <w:tr w:rsidR="00763E5D" w:rsidRPr="00763E5D" w14:paraId="7752A37F" w14:textId="77777777" w:rsidTr="00A91B9E">
        <w:trPr>
          <w:trHeight w:val="300"/>
        </w:trPr>
        <w:tc>
          <w:tcPr>
            <w:tcW w:w="0" w:type="auto"/>
            <w:tcBorders>
              <w:top w:val="nil"/>
              <w:left w:val="nil"/>
              <w:bottom w:val="nil"/>
              <w:right w:val="nil"/>
            </w:tcBorders>
            <w:shd w:val="clear" w:color="auto" w:fill="auto"/>
            <w:noWrap/>
            <w:vAlign w:val="center"/>
            <w:hideMark/>
          </w:tcPr>
          <w:p w14:paraId="31146AD1" w14:textId="77777777" w:rsidR="00763E5D" w:rsidRPr="00763E5D" w:rsidRDefault="00B42297" w:rsidP="00837781">
            <w:pPr>
              <w:spacing w:after="240"/>
              <w:ind w:left="525" w:hanging="525"/>
              <w:rPr>
                <w:rFonts w:ascii="Times New Roman" w:eastAsia="Times New Roman" w:hAnsi="Times New Roman" w:cs="Times New Roman"/>
                <w:lang w:val="de-DE"/>
              </w:rPr>
            </w:pPr>
            <w:hyperlink r:id="rId98" w:history="1">
              <w:r w:rsidR="00763E5D" w:rsidRPr="00763E5D">
                <w:rPr>
                  <w:rFonts w:ascii="Times New Roman" w:eastAsia="Times New Roman" w:hAnsi="Times New Roman" w:cs="Times New Roman"/>
                  <w:lang w:val="de-DE"/>
                </w:rPr>
                <w:t>ARTP. 2017. http://www.artpsenegal.net/index.php?option=com_content&amp;view=article&amp;id=304:communique-de-presse-la-portabilite-un-an-apres&amp;catid=9:infos-flash&amp;Itemid=162</w:t>
              </w:r>
            </w:hyperlink>
          </w:p>
        </w:tc>
      </w:tr>
      <w:tr w:rsidR="00763E5D" w:rsidRPr="00763E5D" w14:paraId="059604D3" w14:textId="77777777" w:rsidTr="00A91B9E">
        <w:trPr>
          <w:trHeight w:val="315"/>
        </w:trPr>
        <w:tc>
          <w:tcPr>
            <w:tcW w:w="0" w:type="auto"/>
            <w:tcBorders>
              <w:top w:val="nil"/>
              <w:left w:val="nil"/>
              <w:bottom w:val="nil"/>
              <w:right w:val="nil"/>
            </w:tcBorders>
            <w:shd w:val="clear" w:color="auto" w:fill="auto"/>
            <w:noWrap/>
            <w:vAlign w:val="center"/>
            <w:hideMark/>
          </w:tcPr>
          <w:p w14:paraId="38573B98"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Bertelsmann Transformation Index. 2016.</w:t>
            </w:r>
          </w:p>
        </w:tc>
      </w:tr>
      <w:tr w:rsidR="00763E5D" w:rsidRPr="00763E5D" w14:paraId="2B71300E" w14:textId="77777777" w:rsidTr="00A91B9E">
        <w:trPr>
          <w:trHeight w:val="315"/>
        </w:trPr>
        <w:tc>
          <w:tcPr>
            <w:tcW w:w="0" w:type="auto"/>
            <w:tcBorders>
              <w:top w:val="nil"/>
              <w:left w:val="nil"/>
              <w:bottom w:val="nil"/>
              <w:right w:val="nil"/>
            </w:tcBorders>
            <w:shd w:val="clear" w:color="auto" w:fill="auto"/>
            <w:noWrap/>
            <w:vAlign w:val="center"/>
            <w:hideMark/>
          </w:tcPr>
          <w:p w14:paraId="6743B485"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Bill No. 2011–01 of 24 February 2011 concerning the Telecommunications Code.</w:t>
            </w:r>
          </w:p>
        </w:tc>
      </w:tr>
      <w:tr w:rsidR="00763E5D" w:rsidRPr="00EE65D3" w14:paraId="1F6F4299" w14:textId="77777777" w:rsidTr="00A91B9E">
        <w:trPr>
          <w:trHeight w:val="315"/>
        </w:trPr>
        <w:tc>
          <w:tcPr>
            <w:tcW w:w="0" w:type="auto"/>
            <w:tcBorders>
              <w:top w:val="nil"/>
              <w:left w:val="nil"/>
              <w:bottom w:val="nil"/>
              <w:right w:val="nil"/>
            </w:tcBorders>
            <w:shd w:val="clear" w:color="auto" w:fill="auto"/>
            <w:noWrap/>
            <w:vAlign w:val="center"/>
            <w:hideMark/>
          </w:tcPr>
          <w:p w14:paraId="360BE994" w14:textId="76B4DF4F" w:rsidR="00763E5D" w:rsidRDefault="00763E5D" w:rsidP="00837781">
            <w:pPr>
              <w:spacing w:after="240"/>
              <w:ind w:left="525" w:hanging="525"/>
              <w:rPr>
                <w:rFonts w:ascii="Times New Roman" w:eastAsia="Times New Roman" w:hAnsi="Times New Roman" w:cs="Times New Roman"/>
              </w:rPr>
            </w:pPr>
            <w:r w:rsidRPr="00EE65D3">
              <w:rPr>
                <w:rFonts w:ascii="Times New Roman" w:eastAsia="Times New Roman" w:hAnsi="Times New Roman" w:cs="Times New Roman"/>
              </w:rPr>
              <w:t>Bill No. 94–63 of 22 August 1994 on prices, competition and economic disputes</w:t>
            </w:r>
          </w:p>
          <w:p w14:paraId="13E7D1AA" w14:textId="0F407305" w:rsidR="00EF741B" w:rsidRPr="007575D7" w:rsidRDefault="00EF741B" w:rsidP="00EF741B">
            <w:pPr>
              <w:spacing w:after="240"/>
              <w:ind w:left="525" w:hanging="525"/>
              <w:rPr>
                <w:rFonts w:eastAsia="Times New Roman"/>
              </w:rPr>
            </w:pPr>
            <w:proofErr w:type="spellStart"/>
            <w:r w:rsidRPr="00B57E98">
              <w:rPr>
                <w:rFonts w:ascii="Times New Roman" w:hAnsi="Times New Roman" w:cs="Times New Roman"/>
              </w:rPr>
              <w:t>Bonabana-Wabbi</w:t>
            </w:r>
            <w:proofErr w:type="spellEnd"/>
            <w:r w:rsidRPr="00B57E98">
              <w:rPr>
                <w:rFonts w:ascii="Times New Roman" w:hAnsi="Times New Roman" w:cs="Times New Roman"/>
              </w:rPr>
              <w:t>, J et al.</w:t>
            </w:r>
            <w:r w:rsidRPr="00B57E98">
              <w:rPr>
                <w:rFonts w:ascii="Times New Roman" w:hAnsi="Times New Roman" w:cs="Times New Roman"/>
                <w:b/>
                <w:bCs/>
              </w:rPr>
              <w:t xml:space="preserve"> </w:t>
            </w:r>
            <w:r w:rsidRPr="00B57E98">
              <w:rPr>
                <w:rFonts w:ascii="Times New Roman" w:hAnsi="Times New Roman" w:cs="Times New Roman"/>
                <w:i/>
              </w:rPr>
              <w:t xml:space="preserve">Smallholder farmers’ access to improved groundnut production and value addition technologies </w:t>
            </w:r>
            <w:proofErr w:type="gramStart"/>
            <w:r w:rsidRPr="00B57E98">
              <w:rPr>
                <w:rFonts w:ascii="Times New Roman" w:hAnsi="Times New Roman" w:cs="Times New Roman"/>
                <w:i/>
              </w:rPr>
              <w:t>in  Eastern</w:t>
            </w:r>
            <w:proofErr w:type="gramEnd"/>
            <w:r w:rsidRPr="00B57E98">
              <w:rPr>
                <w:rFonts w:ascii="Times New Roman" w:hAnsi="Times New Roman" w:cs="Times New Roman"/>
                <w:i/>
              </w:rPr>
              <w:t xml:space="preserve"> Uganda. </w:t>
            </w:r>
            <w:r w:rsidRPr="00B57E98">
              <w:rPr>
                <w:rFonts w:ascii="Times New Roman" w:hAnsi="Times New Roman" w:cs="Times New Roman"/>
              </w:rPr>
              <w:t xml:space="preserve">Journal of Agricultural Extension and Rural Development, 2015. </w:t>
            </w:r>
            <w:r w:rsidRPr="00B57E98">
              <w:rPr>
                <w:rStyle w:val="Hyperlink"/>
                <w:rFonts w:ascii="Times New Roman" w:hAnsi="Times New Roman" w:cs="Times New Roman"/>
              </w:rPr>
              <w:t>A</w:t>
            </w:r>
            <w:r w:rsidRPr="00B57E98">
              <w:rPr>
                <w:rStyle w:val="Hyperlink"/>
                <w:rFonts w:ascii="Times New Roman" w:hAnsi="Times New Roman" w:cs="Times New Roman"/>
                <w:color w:val="auto"/>
              </w:rPr>
              <w:t xml:space="preserve">vailable at </w:t>
            </w:r>
            <w:hyperlink r:id="rId99" w:history="1">
              <w:r w:rsidRPr="00B57E98">
                <w:rPr>
                  <w:rStyle w:val="Hyperlink"/>
                  <w:rFonts w:ascii="Times New Roman" w:hAnsi="Times New Roman" w:cs="Times New Roman"/>
                </w:rPr>
                <w:t>http://citeseerx.ist.psu.edu/viewdoc/download?doi=10.1.1.913.4000&amp;rep=rep1&amp;type=pdf</w:t>
              </w:r>
            </w:hyperlink>
          </w:p>
          <w:p w14:paraId="304D457B" w14:textId="7FFBD8EF" w:rsidR="00DD70D7" w:rsidRPr="00EE65D3" w:rsidRDefault="00DD70D7" w:rsidP="00EE65D3">
            <w:pPr>
              <w:spacing w:after="240"/>
              <w:ind w:left="525" w:hanging="525"/>
              <w:rPr>
                <w:rFonts w:ascii="Times New Roman" w:eastAsia="Times New Roman" w:hAnsi="Times New Roman" w:cs="Times New Roman"/>
              </w:rPr>
            </w:pPr>
            <w:proofErr w:type="spellStart"/>
            <w:r w:rsidRPr="007575D7">
              <w:rPr>
                <w:rFonts w:ascii="Times New Roman" w:eastAsia="Times New Roman" w:hAnsi="Times New Roman" w:cs="Times New Roman"/>
              </w:rPr>
              <w:t>Camara</w:t>
            </w:r>
            <w:proofErr w:type="spellEnd"/>
            <w:r w:rsidRPr="007575D7">
              <w:rPr>
                <w:rFonts w:ascii="Times New Roman" w:eastAsia="Times New Roman" w:hAnsi="Times New Roman" w:cs="Times New Roman"/>
              </w:rPr>
              <w:t xml:space="preserve"> Argentina del Mani. Available at </w:t>
            </w:r>
            <w:hyperlink r:id="rId100" w:history="1">
              <w:r w:rsidRPr="007575D7">
                <w:rPr>
                  <w:rFonts w:eastAsia="Times New Roman"/>
                </w:rPr>
                <w:t>http://www.camaradelmani.org.ar/english/productos/</w:t>
              </w:r>
            </w:hyperlink>
          </w:p>
        </w:tc>
      </w:tr>
      <w:tr w:rsidR="00763E5D" w:rsidRPr="00763E5D" w14:paraId="5229328B" w14:textId="77777777" w:rsidTr="00A91B9E">
        <w:trPr>
          <w:trHeight w:val="315"/>
        </w:trPr>
        <w:tc>
          <w:tcPr>
            <w:tcW w:w="0" w:type="auto"/>
            <w:tcBorders>
              <w:top w:val="nil"/>
              <w:left w:val="nil"/>
              <w:bottom w:val="nil"/>
              <w:right w:val="nil"/>
            </w:tcBorders>
            <w:shd w:val="clear" w:color="auto" w:fill="auto"/>
            <w:noWrap/>
            <w:vAlign w:val="center"/>
            <w:hideMark/>
          </w:tcPr>
          <w:p w14:paraId="52DE402F" w14:textId="24CDE92C" w:rsidR="00763E5D" w:rsidRPr="00EE65D3" w:rsidRDefault="00763E5D" w:rsidP="00837781">
            <w:pPr>
              <w:spacing w:after="240"/>
              <w:ind w:left="525" w:hanging="525"/>
              <w:rPr>
                <w:rFonts w:ascii="Times New Roman" w:eastAsia="Times New Roman" w:hAnsi="Times New Roman" w:cs="Times New Roman"/>
              </w:rPr>
            </w:pPr>
            <w:r w:rsidRPr="00EE65D3">
              <w:rPr>
                <w:rFonts w:ascii="Times New Roman" w:eastAsia="Times New Roman" w:hAnsi="Times New Roman" w:cs="Times New Roman"/>
              </w:rPr>
              <w:t xml:space="preserve">Center for International Development. 2017. </w:t>
            </w:r>
            <w:r w:rsidRPr="00EE65D3">
              <w:rPr>
                <w:rFonts w:ascii="Times New Roman" w:eastAsia="Times New Roman" w:hAnsi="Times New Roman" w:cs="Times New Roman"/>
                <w:i/>
                <w:iCs/>
              </w:rPr>
              <w:t xml:space="preserve">Atlas of Economic Complexity – Senegal. </w:t>
            </w:r>
            <w:r w:rsidRPr="00EE65D3">
              <w:rPr>
                <w:rFonts w:ascii="Times New Roman" w:eastAsia="Times New Roman" w:hAnsi="Times New Roman" w:cs="Times New Roman"/>
              </w:rPr>
              <w:t xml:space="preserve">Available at </w:t>
            </w:r>
            <w:hyperlink r:id="rId101" w:history="1">
              <w:r w:rsidR="00DD70D7" w:rsidRPr="00EE65D3">
                <w:rPr>
                  <w:rStyle w:val="Hyperlink"/>
                  <w:rFonts w:ascii="Times New Roman" w:eastAsia="Times New Roman" w:hAnsi="Times New Roman" w:cs="Times New Roman"/>
                </w:rPr>
                <w:t>http://atlas.media.mit.edu/en/visualize/network/hs92/export/sen/all/show/2013/</w:t>
              </w:r>
            </w:hyperlink>
          </w:p>
          <w:p w14:paraId="0A5AA2EE" w14:textId="3A3B4441" w:rsidR="00DD70D7" w:rsidRPr="00EE65D3" w:rsidRDefault="00DD70D7" w:rsidP="00EE65D3">
            <w:pPr>
              <w:spacing w:after="240"/>
              <w:ind w:left="525" w:hanging="525"/>
              <w:rPr>
                <w:rFonts w:ascii="Times New Roman" w:eastAsia="Times New Roman" w:hAnsi="Times New Roman" w:cs="Times New Roman"/>
              </w:rPr>
            </w:pPr>
            <w:r w:rsidRPr="007575D7">
              <w:rPr>
                <w:rFonts w:ascii="Times New Roman" w:eastAsia="Times New Roman" w:hAnsi="Times New Roman" w:cs="Times New Roman"/>
              </w:rPr>
              <w:t xml:space="preserve">Chatham House. 2010. </w:t>
            </w:r>
            <w:r w:rsidRPr="007575D7">
              <w:rPr>
                <w:rFonts w:ascii="Times New Roman" w:eastAsia="Times New Roman" w:hAnsi="Times New Roman" w:cs="Times New Roman"/>
                <w:i/>
              </w:rPr>
              <w:t>Chatham House Procurement for Development Forum: Groundnuts Case Study</w:t>
            </w:r>
            <w:r w:rsidRPr="007575D7">
              <w:rPr>
                <w:rFonts w:ascii="Times New Roman" w:eastAsia="Times New Roman" w:hAnsi="Times New Roman" w:cs="Times New Roman"/>
              </w:rPr>
              <w:t xml:space="preserve">. Available at </w:t>
            </w:r>
            <w:hyperlink r:id="rId102" w:history="1">
              <w:r w:rsidRPr="007575D7">
                <w:rPr>
                  <w:rFonts w:eastAsia="Times New Roman"/>
                </w:rPr>
                <w:t>http://www.chathamhouse.org/sites/default/files/public/Research/Energy,%20Environment%20and%20Development/0610casestudy_groundnuts.pdf</w:t>
              </w:r>
            </w:hyperlink>
          </w:p>
        </w:tc>
      </w:tr>
      <w:tr w:rsidR="00763E5D" w:rsidRPr="00763E5D" w14:paraId="2EBFE02F" w14:textId="77777777" w:rsidTr="00A91B9E">
        <w:trPr>
          <w:trHeight w:val="315"/>
        </w:trPr>
        <w:tc>
          <w:tcPr>
            <w:tcW w:w="0" w:type="auto"/>
            <w:tcBorders>
              <w:top w:val="nil"/>
              <w:left w:val="nil"/>
              <w:bottom w:val="nil"/>
              <w:right w:val="nil"/>
            </w:tcBorders>
            <w:shd w:val="clear" w:color="auto" w:fill="auto"/>
            <w:noWrap/>
            <w:vAlign w:val="center"/>
            <w:hideMark/>
          </w:tcPr>
          <w:p w14:paraId="3E89E133" w14:textId="0F042F80" w:rsid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CIA. 2017. </w:t>
            </w:r>
            <w:r w:rsidRPr="00763E5D">
              <w:rPr>
                <w:rFonts w:ascii="Times New Roman" w:eastAsia="Times New Roman" w:hAnsi="Times New Roman" w:cs="Times New Roman"/>
                <w:i/>
                <w:iCs/>
              </w:rPr>
              <w:t>The World Factbook: Senegal</w:t>
            </w:r>
            <w:r w:rsidRPr="00763E5D">
              <w:rPr>
                <w:rFonts w:ascii="Times New Roman" w:eastAsia="Times New Roman" w:hAnsi="Times New Roman" w:cs="Times New Roman"/>
              </w:rPr>
              <w:t xml:space="preserve">. Available at: </w:t>
            </w:r>
            <w:hyperlink r:id="rId103" w:history="1">
              <w:r w:rsidR="00EF741B" w:rsidRPr="00AE5888">
                <w:rPr>
                  <w:rStyle w:val="Hyperlink"/>
                  <w:rFonts w:ascii="Times New Roman" w:eastAsia="Times New Roman" w:hAnsi="Times New Roman" w:cs="Times New Roman"/>
                </w:rPr>
                <w:t>https://www.cia.gov/library/publications/the-world-factbook/geos/sg.html</w:t>
              </w:r>
            </w:hyperlink>
          </w:p>
          <w:p w14:paraId="1184CD2D" w14:textId="6122D052" w:rsidR="00EF741B" w:rsidRPr="00763E5D" w:rsidRDefault="00EF741B" w:rsidP="00837781">
            <w:pPr>
              <w:spacing w:after="240"/>
              <w:ind w:left="525" w:hanging="525"/>
              <w:rPr>
                <w:rFonts w:ascii="Times New Roman" w:eastAsia="Times New Roman" w:hAnsi="Times New Roman" w:cs="Times New Roman"/>
              </w:rPr>
            </w:pPr>
            <w:r w:rsidRPr="00B57E98">
              <w:rPr>
                <w:rFonts w:ascii="Times New Roman" w:hAnsi="Times New Roman" w:cs="Times New Roman"/>
              </w:rPr>
              <w:t xml:space="preserve">City press. 2017. </w:t>
            </w:r>
            <w:r w:rsidRPr="00B57E98">
              <w:rPr>
                <w:rFonts w:ascii="Times New Roman" w:hAnsi="Times New Roman" w:cs="Times New Roman"/>
                <w:i/>
              </w:rPr>
              <w:t xml:space="preserve">Hello tractor, an </w:t>
            </w:r>
            <w:proofErr w:type="spellStart"/>
            <w:r w:rsidRPr="00B57E98">
              <w:rPr>
                <w:rFonts w:ascii="Times New Roman" w:hAnsi="Times New Roman" w:cs="Times New Roman"/>
                <w:i/>
              </w:rPr>
              <w:t>uber</w:t>
            </w:r>
            <w:proofErr w:type="spellEnd"/>
            <w:r w:rsidRPr="00B57E98">
              <w:rPr>
                <w:rFonts w:ascii="Times New Roman" w:hAnsi="Times New Roman" w:cs="Times New Roman"/>
                <w:i/>
              </w:rPr>
              <w:t xml:space="preserve"> for tractors.</w:t>
            </w:r>
            <w:r w:rsidRPr="00B57E98">
              <w:rPr>
                <w:rFonts w:ascii="Times New Roman" w:hAnsi="Times New Roman" w:cs="Times New Roman"/>
              </w:rPr>
              <w:t xml:space="preserve"> Available at </w:t>
            </w:r>
            <w:hyperlink r:id="rId104" w:history="1">
              <w:r w:rsidRPr="00B57E98">
                <w:rPr>
                  <w:rStyle w:val="Hyperlink"/>
                  <w:rFonts w:ascii="Times New Roman" w:hAnsi="Times New Roman" w:cs="Times New Roman"/>
                </w:rPr>
                <w:t>https://city-press.news24.com/Impact-Journalism/hello-tractor-an-uber-for-tractors-20170625</w:t>
              </w:r>
            </w:hyperlink>
          </w:p>
        </w:tc>
      </w:tr>
      <w:tr w:rsidR="00763E5D" w:rsidRPr="001164DA" w14:paraId="623FF711" w14:textId="77777777" w:rsidTr="00A91B9E">
        <w:trPr>
          <w:trHeight w:val="315"/>
        </w:trPr>
        <w:tc>
          <w:tcPr>
            <w:tcW w:w="0" w:type="auto"/>
            <w:tcBorders>
              <w:top w:val="nil"/>
              <w:left w:val="nil"/>
              <w:bottom w:val="nil"/>
              <w:right w:val="nil"/>
            </w:tcBorders>
            <w:shd w:val="clear" w:color="auto" w:fill="auto"/>
            <w:noWrap/>
            <w:vAlign w:val="center"/>
            <w:hideMark/>
          </w:tcPr>
          <w:p w14:paraId="120844B1"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CNIA. 2017. </w:t>
            </w:r>
            <w:r w:rsidRPr="007575D7">
              <w:rPr>
                <w:rFonts w:ascii="Times New Roman" w:eastAsia="Times New Roman" w:hAnsi="Times New Roman" w:cs="Times New Roman"/>
                <w:i/>
                <w:iCs/>
                <w:lang w:val="fr-FR"/>
              </w:rPr>
              <w:t xml:space="preserve">Situation collecte </w:t>
            </w:r>
            <w:proofErr w:type="spellStart"/>
            <w:r w:rsidRPr="007575D7">
              <w:rPr>
                <w:rFonts w:ascii="Times New Roman" w:eastAsia="Times New Roman" w:hAnsi="Times New Roman" w:cs="Times New Roman"/>
                <w:i/>
                <w:iCs/>
                <w:lang w:val="fr-FR"/>
              </w:rPr>
              <w:t>commercialization</w:t>
            </w:r>
            <w:proofErr w:type="spellEnd"/>
            <w:r w:rsidRPr="007575D7">
              <w:rPr>
                <w:rFonts w:ascii="Times New Roman" w:eastAsia="Times New Roman" w:hAnsi="Times New Roman" w:cs="Times New Roman"/>
                <w:i/>
                <w:iCs/>
                <w:lang w:val="fr-FR"/>
              </w:rPr>
              <w:t xml:space="preserve"> des arachides 28eme semaine, du 05 juin 2017 au 10 juin 2017</w:t>
            </w:r>
            <w:r w:rsidRPr="007575D7">
              <w:rPr>
                <w:rFonts w:ascii="Times New Roman" w:eastAsia="Times New Roman" w:hAnsi="Times New Roman" w:cs="Times New Roman"/>
                <w:lang w:val="fr-FR"/>
              </w:rPr>
              <w:t>, p. 5</w:t>
            </w:r>
          </w:p>
        </w:tc>
      </w:tr>
      <w:tr w:rsidR="00763E5D" w:rsidRPr="001164DA" w14:paraId="6126738F" w14:textId="77777777" w:rsidTr="00A91B9E">
        <w:trPr>
          <w:trHeight w:val="315"/>
        </w:trPr>
        <w:tc>
          <w:tcPr>
            <w:tcW w:w="0" w:type="auto"/>
            <w:tcBorders>
              <w:top w:val="nil"/>
              <w:left w:val="nil"/>
              <w:bottom w:val="nil"/>
              <w:right w:val="nil"/>
            </w:tcBorders>
            <w:shd w:val="clear" w:color="auto" w:fill="auto"/>
            <w:noWrap/>
            <w:vAlign w:val="center"/>
            <w:hideMark/>
          </w:tcPr>
          <w:p w14:paraId="4AF62CEE"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CNIA. </w:t>
            </w:r>
            <w:r w:rsidRPr="007575D7">
              <w:rPr>
                <w:rFonts w:ascii="Times New Roman" w:eastAsia="Times New Roman" w:hAnsi="Times New Roman" w:cs="Times New Roman"/>
                <w:i/>
                <w:iCs/>
                <w:lang w:val="fr-FR"/>
              </w:rPr>
              <w:t>Statistiques sur les productions d’arachide et les subventions.</w:t>
            </w:r>
          </w:p>
        </w:tc>
      </w:tr>
      <w:tr w:rsidR="00763E5D" w:rsidRPr="001164DA" w14:paraId="0978D0EC" w14:textId="77777777" w:rsidTr="00A91B9E">
        <w:trPr>
          <w:trHeight w:val="315"/>
        </w:trPr>
        <w:tc>
          <w:tcPr>
            <w:tcW w:w="0" w:type="auto"/>
            <w:tcBorders>
              <w:top w:val="nil"/>
              <w:left w:val="nil"/>
              <w:bottom w:val="nil"/>
              <w:right w:val="nil"/>
            </w:tcBorders>
            <w:shd w:val="clear" w:color="auto" w:fill="auto"/>
            <w:noWrap/>
            <w:vAlign w:val="center"/>
            <w:hideMark/>
          </w:tcPr>
          <w:p w14:paraId="1B2C31A2"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Communauté économique des </w:t>
            </w:r>
            <w:proofErr w:type="spellStart"/>
            <w:r w:rsidRPr="007575D7">
              <w:rPr>
                <w:rFonts w:ascii="Times New Roman" w:eastAsia="Times New Roman" w:hAnsi="Times New Roman" w:cs="Times New Roman"/>
                <w:lang w:val="fr-FR"/>
              </w:rPr>
              <w:t>etats</w:t>
            </w:r>
            <w:proofErr w:type="spellEnd"/>
            <w:r w:rsidRPr="007575D7">
              <w:rPr>
                <w:rFonts w:ascii="Times New Roman" w:eastAsia="Times New Roman" w:hAnsi="Times New Roman" w:cs="Times New Roman"/>
                <w:lang w:val="fr-FR"/>
              </w:rPr>
              <w:t xml:space="preserve"> de </w:t>
            </w:r>
            <w:proofErr w:type="spellStart"/>
            <w:r w:rsidRPr="007575D7">
              <w:rPr>
                <w:rFonts w:ascii="Times New Roman" w:eastAsia="Times New Roman" w:hAnsi="Times New Roman" w:cs="Times New Roman"/>
                <w:lang w:val="fr-FR"/>
              </w:rPr>
              <w:t>l'afrique</w:t>
            </w:r>
            <w:proofErr w:type="spellEnd"/>
            <w:r w:rsidRPr="007575D7">
              <w:rPr>
                <w:rFonts w:ascii="Times New Roman" w:eastAsia="Times New Roman" w:hAnsi="Times New Roman" w:cs="Times New Roman"/>
                <w:lang w:val="fr-FR"/>
              </w:rPr>
              <w:t xml:space="preserve"> de l'ouest, Cour de justice, 27 juin 2000, décision n°003/2000, </w:t>
            </w:r>
            <w:proofErr w:type="spellStart"/>
            <w:r w:rsidRPr="007575D7">
              <w:rPr>
                <w:rFonts w:ascii="Times New Roman" w:eastAsia="Times New Roman" w:hAnsi="Times New Roman" w:cs="Times New Roman"/>
                <w:lang w:val="fr-FR"/>
              </w:rPr>
              <w:t>available</w:t>
            </w:r>
            <w:proofErr w:type="spellEnd"/>
            <w:r w:rsidRPr="007575D7">
              <w:rPr>
                <w:rFonts w:ascii="Times New Roman" w:eastAsia="Times New Roman" w:hAnsi="Times New Roman" w:cs="Times New Roman"/>
                <w:lang w:val="fr-FR"/>
              </w:rPr>
              <w:t xml:space="preserve"> </w:t>
            </w:r>
            <w:proofErr w:type="gramStart"/>
            <w:r w:rsidRPr="007575D7">
              <w:rPr>
                <w:rFonts w:ascii="Times New Roman" w:eastAsia="Times New Roman" w:hAnsi="Times New Roman" w:cs="Times New Roman"/>
                <w:lang w:val="fr-FR"/>
              </w:rPr>
              <w:t>at:</w:t>
            </w:r>
            <w:proofErr w:type="gramEnd"/>
            <w:r w:rsidRPr="007575D7">
              <w:rPr>
                <w:rFonts w:ascii="Times New Roman" w:eastAsia="Times New Roman" w:hAnsi="Times New Roman" w:cs="Times New Roman"/>
                <w:lang w:val="fr-FR"/>
              </w:rPr>
              <w:t xml:space="preserve"> http://www.juricaf.org/arret/UEMOA-COURDEJUSTICE-20000627-0032000</w:t>
            </w:r>
          </w:p>
        </w:tc>
      </w:tr>
      <w:tr w:rsidR="00763E5D" w:rsidRPr="00763E5D" w14:paraId="6FB303D4" w14:textId="77777777" w:rsidTr="00A91B9E">
        <w:trPr>
          <w:trHeight w:val="315"/>
        </w:trPr>
        <w:tc>
          <w:tcPr>
            <w:tcW w:w="0" w:type="auto"/>
            <w:tcBorders>
              <w:top w:val="nil"/>
              <w:left w:val="nil"/>
              <w:bottom w:val="nil"/>
              <w:right w:val="nil"/>
            </w:tcBorders>
            <w:shd w:val="clear" w:color="auto" w:fill="auto"/>
            <w:noWrap/>
            <w:vAlign w:val="center"/>
            <w:hideMark/>
          </w:tcPr>
          <w:p w14:paraId="7AF3A2A1"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Competition Act</w:t>
            </w:r>
          </w:p>
        </w:tc>
      </w:tr>
      <w:tr w:rsidR="00763E5D" w:rsidRPr="00763E5D" w14:paraId="39106574" w14:textId="77777777" w:rsidTr="00A91B9E">
        <w:trPr>
          <w:trHeight w:val="315"/>
        </w:trPr>
        <w:tc>
          <w:tcPr>
            <w:tcW w:w="0" w:type="auto"/>
            <w:tcBorders>
              <w:top w:val="nil"/>
              <w:left w:val="nil"/>
              <w:bottom w:val="nil"/>
              <w:right w:val="nil"/>
            </w:tcBorders>
            <w:shd w:val="clear" w:color="auto" w:fill="auto"/>
            <w:noWrap/>
            <w:vAlign w:val="center"/>
            <w:hideMark/>
          </w:tcPr>
          <w:p w14:paraId="41A6DA45"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Council Regulation (EC) No 139/2004 of 20 January 2004 on the control of concentrations between undertakings (the EC Merger Regulation), Official Journal L 24, 29.01.2004, p. 1-22.</w:t>
            </w:r>
          </w:p>
        </w:tc>
      </w:tr>
      <w:tr w:rsidR="00763E5D" w:rsidRPr="00763E5D" w14:paraId="35298D50" w14:textId="77777777" w:rsidTr="00A91B9E">
        <w:trPr>
          <w:trHeight w:val="315"/>
        </w:trPr>
        <w:tc>
          <w:tcPr>
            <w:tcW w:w="0" w:type="auto"/>
            <w:tcBorders>
              <w:top w:val="nil"/>
              <w:left w:val="nil"/>
              <w:bottom w:val="nil"/>
              <w:right w:val="nil"/>
            </w:tcBorders>
            <w:shd w:val="clear" w:color="auto" w:fill="auto"/>
            <w:noWrap/>
            <w:vAlign w:val="center"/>
            <w:hideMark/>
          </w:tcPr>
          <w:p w14:paraId="4510EB8E" w14:textId="77777777" w:rsidR="00763E5D" w:rsidRPr="00763E5D" w:rsidRDefault="00763E5D" w:rsidP="00837781">
            <w:pPr>
              <w:spacing w:after="240"/>
              <w:ind w:left="525" w:hanging="525"/>
              <w:rPr>
                <w:rFonts w:ascii="Times New Roman" w:eastAsia="Times New Roman" w:hAnsi="Times New Roman" w:cs="Times New Roman"/>
              </w:rPr>
            </w:pPr>
            <w:proofErr w:type="spellStart"/>
            <w:r w:rsidRPr="007575D7">
              <w:rPr>
                <w:rFonts w:ascii="Times New Roman" w:eastAsia="Times New Roman" w:hAnsi="Times New Roman" w:cs="Times New Roman"/>
                <w:lang w:val="fr-FR"/>
              </w:rPr>
              <w:t>Dakaractu</w:t>
            </w:r>
            <w:proofErr w:type="spellEnd"/>
            <w:r w:rsidRPr="007575D7">
              <w:rPr>
                <w:rFonts w:ascii="Times New Roman" w:eastAsia="Times New Roman" w:hAnsi="Times New Roman" w:cs="Times New Roman"/>
                <w:lang w:val="fr-FR"/>
              </w:rPr>
              <w:t xml:space="preserve">. 2014. </w:t>
            </w:r>
            <w:r w:rsidRPr="007575D7">
              <w:rPr>
                <w:rFonts w:ascii="Times New Roman" w:eastAsia="Times New Roman" w:hAnsi="Times New Roman" w:cs="Times New Roman"/>
                <w:i/>
                <w:iCs/>
                <w:lang w:val="fr-FR"/>
              </w:rPr>
              <w:t>Le gouvernement veut éliminer graduellement les semences écrémées (ministre)</w:t>
            </w:r>
            <w:r w:rsidRPr="007575D7">
              <w:rPr>
                <w:rFonts w:ascii="Times New Roman" w:eastAsia="Times New Roman" w:hAnsi="Times New Roman" w:cs="Times New Roman"/>
                <w:lang w:val="fr-FR"/>
              </w:rPr>
              <w:t xml:space="preserve">. </w:t>
            </w:r>
            <w:r w:rsidRPr="00763E5D">
              <w:rPr>
                <w:rFonts w:ascii="Times New Roman" w:eastAsia="Times New Roman" w:hAnsi="Times New Roman" w:cs="Times New Roman"/>
              </w:rPr>
              <w:t>Available at: http://www.dakaractu.com/Le-gouvernement-veut-eliminer-graduellement-les-semences-ecremees-ministre_a71043.html</w:t>
            </w:r>
          </w:p>
        </w:tc>
      </w:tr>
      <w:tr w:rsidR="00763E5D" w:rsidRPr="00763E5D" w14:paraId="40DD00A6" w14:textId="77777777" w:rsidTr="00C271A3">
        <w:trPr>
          <w:trHeight w:val="315"/>
        </w:trPr>
        <w:tc>
          <w:tcPr>
            <w:tcW w:w="0" w:type="auto"/>
            <w:tcBorders>
              <w:top w:val="nil"/>
              <w:left w:val="nil"/>
              <w:bottom w:val="nil"/>
              <w:right w:val="nil"/>
            </w:tcBorders>
            <w:shd w:val="clear" w:color="auto" w:fill="auto"/>
            <w:noWrap/>
          </w:tcPr>
          <w:p w14:paraId="161F1107" w14:textId="77777777" w:rsidR="00763E5D" w:rsidRPr="00763E5D" w:rsidRDefault="00763E5D" w:rsidP="00837781">
            <w:pPr>
              <w:spacing w:after="240"/>
              <w:ind w:left="525" w:hanging="525"/>
              <w:rPr>
                <w:rFonts w:ascii="Times New Roman" w:eastAsia="Times New Roman" w:hAnsi="Times New Roman" w:cs="Times New Roman"/>
              </w:rPr>
            </w:pPr>
            <w:proofErr w:type="spellStart"/>
            <w:r w:rsidRPr="007575D7">
              <w:rPr>
                <w:rFonts w:ascii="Times New Roman" w:hAnsi="Times New Roman" w:cs="Times New Roman"/>
                <w:lang w:val="fr-FR"/>
              </w:rPr>
              <w:t>DakarActu</w:t>
            </w:r>
            <w:proofErr w:type="spellEnd"/>
            <w:r w:rsidRPr="007575D7">
              <w:rPr>
                <w:rFonts w:ascii="Times New Roman" w:hAnsi="Times New Roman" w:cs="Times New Roman"/>
                <w:lang w:val="fr-FR"/>
              </w:rPr>
              <w:t xml:space="preserve">. 2016. </w:t>
            </w:r>
            <w:r w:rsidRPr="007575D7">
              <w:rPr>
                <w:rFonts w:ascii="Times New Roman" w:hAnsi="Times New Roman" w:cs="Times New Roman"/>
                <w:i/>
                <w:lang w:val="fr-FR"/>
              </w:rPr>
              <w:t xml:space="preserve">Industries Chimiques du Sénégal : le problème majeur c’est leur acquisition nébuleuse par </w:t>
            </w:r>
            <w:proofErr w:type="spellStart"/>
            <w:r w:rsidRPr="007575D7">
              <w:rPr>
                <w:rFonts w:ascii="Times New Roman" w:hAnsi="Times New Roman" w:cs="Times New Roman"/>
                <w:i/>
                <w:lang w:val="fr-FR"/>
              </w:rPr>
              <w:t>Indorama</w:t>
            </w:r>
            <w:proofErr w:type="spellEnd"/>
            <w:r w:rsidRPr="007575D7">
              <w:rPr>
                <w:rFonts w:ascii="Times New Roman" w:hAnsi="Times New Roman" w:cs="Times New Roman"/>
                <w:lang w:val="fr-FR"/>
              </w:rPr>
              <w:t xml:space="preserve">. </w:t>
            </w:r>
            <w:r w:rsidRPr="00763E5D">
              <w:rPr>
                <w:rFonts w:ascii="Times New Roman" w:hAnsi="Times New Roman" w:cs="Times New Roman"/>
              </w:rPr>
              <w:t>Available at http://www.dakaractu.com/Industries-Chimiques-du-Senegal%C2%A0-le-probleme-majeur-c-est-leur-acquisition-nebuleuse-par-Indorama_a121215.html</w:t>
            </w:r>
          </w:p>
        </w:tc>
      </w:tr>
      <w:tr w:rsidR="00763E5D" w:rsidRPr="001164DA" w14:paraId="2A12B628" w14:textId="77777777" w:rsidTr="00A91B9E">
        <w:trPr>
          <w:trHeight w:val="315"/>
        </w:trPr>
        <w:tc>
          <w:tcPr>
            <w:tcW w:w="0" w:type="auto"/>
            <w:tcBorders>
              <w:top w:val="nil"/>
              <w:left w:val="nil"/>
              <w:bottom w:val="nil"/>
              <w:right w:val="nil"/>
            </w:tcBorders>
            <w:shd w:val="clear" w:color="auto" w:fill="auto"/>
            <w:noWrap/>
            <w:vAlign w:val="center"/>
            <w:hideMark/>
          </w:tcPr>
          <w:p w14:paraId="796EC89A"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Décision du 13 décembre 2012 relative à des pratiques mises en œuvre dans le secteur de la téléphonie mobile à destination de la clientèle résidentielle en France métropolitaine ; http://www.autoritedelaconcurrence.fr/user/avisdec.php?numero=12D24 ; Décision du 9 décembre 2009 relative à des pratiques mises en œuvre par Orange Caraïbe et France Télécom sur différents marchés de services de communications électroniques dans les départements de la Martinique, de la Guadeloupe et de la Guyane ; http://www.autoritedelaconcurrence.fr/user/avisdec.php?numero=09-D-36</w:t>
            </w:r>
          </w:p>
        </w:tc>
      </w:tr>
      <w:tr w:rsidR="00763E5D" w:rsidRPr="001164DA" w14:paraId="5BCE1D53" w14:textId="77777777" w:rsidTr="00A91B9E">
        <w:trPr>
          <w:trHeight w:val="315"/>
        </w:trPr>
        <w:tc>
          <w:tcPr>
            <w:tcW w:w="0" w:type="auto"/>
            <w:tcBorders>
              <w:top w:val="nil"/>
              <w:left w:val="nil"/>
              <w:bottom w:val="nil"/>
              <w:right w:val="nil"/>
            </w:tcBorders>
            <w:shd w:val="clear" w:color="auto" w:fill="auto"/>
            <w:noWrap/>
            <w:vAlign w:val="center"/>
            <w:hideMark/>
          </w:tcPr>
          <w:p w14:paraId="2AE2D9E6"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Décision du 25 septembre 2014 relative à des pratiques mises en œuvre dans le secteur des réseaux et des services de communications mobiles ; http://www.autoritedelaconcurrence.fr/user/avisdec.php?numero=14-D-10 ; Conseil de la concurrence. - Décision n° 2009-P/K-10 du 26 mai 2009. - Affaire CONC-P/K-05/0065 ; http://www.etaamb.be/fr/rapport_n2009011265.html </w:t>
            </w:r>
          </w:p>
        </w:tc>
      </w:tr>
      <w:tr w:rsidR="00763E5D" w:rsidRPr="00763E5D" w14:paraId="1C1C3668" w14:textId="77777777" w:rsidTr="00A91B9E">
        <w:trPr>
          <w:trHeight w:val="315"/>
        </w:trPr>
        <w:tc>
          <w:tcPr>
            <w:tcW w:w="0" w:type="auto"/>
            <w:tcBorders>
              <w:top w:val="nil"/>
              <w:left w:val="nil"/>
              <w:bottom w:val="nil"/>
              <w:right w:val="nil"/>
            </w:tcBorders>
            <w:shd w:val="clear" w:color="auto" w:fill="auto"/>
            <w:noWrap/>
            <w:vAlign w:val="center"/>
            <w:hideMark/>
          </w:tcPr>
          <w:p w14:paraId="0D47F204"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Decree 96-334 of 6 May 1996.</w:t>
            </w:r>
          </w:p>
        </w:tc>
      </w:tr>
      <w:tr w:rsidR="00763E5D" w:rsidRPr="001164DA" w14:paraId="5A2E7E81" w14:textId="77777777" w:rsidTr="00A91B9E">
        <w:trPr>
          <w:trHeight w:val="300"/>
        </w:trPr>
        <w:tc>
          <w:tcPr>
            <w:tcW w:w="0" w:type="auto"/>
            <w:tcBorders>
              <w:top w:val="nil"/>
              <w:left w:val="nil"/>
              <w:bottom w:val="nil"/>
              <w:right w:val="nil"/>
            </w:tcBorders>
            <w:shd w:val="clear" w:color="auto" w:fill="auto"/>
            <w:noWrap/>
            <w:vAlign w:val="center"/>
            <w:hideMark/>
          </w:tcPr>
          <w:p w14:paraId="015FFB0B" w14:textId="77777777" w:rsidR="00763E5D" w:rsidRPr="007575D7" w:rsidRDefault="00B42297" w:rsidP="00837781">
            <w:pPr>
              <w:spacing w:after="240"/>
              <w:ind w:left="525" w:hanging="525"/>
              <w:rPr>
                <w:rFonts w:ascii="Times New Roman" w:eastAsia="Times New Roman" w:hAnsi="Times New Roman" w:cs="Times New Roman"/>
                <w:lang w:val="fr-FR"/>
              </w:rPr>
            </w:pPr>
            <w:hyperlink r:id="rId105" w:history="1">
              <w:r w:rsidR="00763E5D" w:rsidRPr="007575D7">
                <w:rPr>
                  <w:rFonts w:ascii="Times New Roman" w:eastAsia="Times New Roman" w:hAnsi="Times New Roman" w:cs="Times New Roman"/>
                  <w:lang w:val="fr-FR"/>
                </w:rPr>
                <w:t>Décret n° 2016-1081 du 03 août 2016. Available at http://www.jo.gouv.sn/spip.php?article10896</w:t>
              </w:r>
            </w:hyperlink>
          </w:p>
        </w:tc>
      </w:tr>
      <w:tr w:rsidR="00763E5D" w:rsidRPr="001164DA" w14:paraId="63D110E2" w14:textId="77777777" w:rsidTr="00C271A3">
        <w:trPr>
          <w:trHeight w:val="315"/>
        </w:trPr>
        <w:tc>
          <w:tcPr>
            <w:tcW w:w="0" w:type="auto"/>
            <w:tcBorders>
              <w:top w:val="nil"/>
              <w:left w:val="nil"/>
              <w:bottom w:val="nil"/>
              <w:right w:val="nil"/>
            </w:tcBorders>
            <w:shd w:val="clear" w:color="auto" w:fill="auto"/>
            <w:noWrap/>
          </w:tcPr>
          <w:p w14:paraId="44B80CD5"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hAnsi="Times New Roman" w:cs="Times New Roman"/>
                <w:lang w:val="fr-FR"/>
              </w:rPr>
              <w:t>Décret n° 2017-1546 du 08 septembre 2017 portant répartition des services de l’Etat et du contrôle des établissements publics, des sociétés nationales et des sociétés à participation publique entre la Présidence de la République, la Primature et les Ministères</w:t>
            </w:r>
          </w:p>
        </w:tc>
      </w:tr>
      <w:tr w:rsidR="00763E5D" w:rsidRPr="00763E5D" w14:paraId="135FCDAE" w14:textId="77777777" w:rsidTr="00A91B9E">
        <w:trPr>
          <w:trHeight w:val="315"/>
        </w:trPr>
        <w:tc>
          <w:tcPr>
            <w:tcW w:w="0" w:type="auto"/>
            <w:tcBorders>
              <w:top w:val="nil"/>
              <w:left w:val="nil"/>
              <w:bottom w:val="nil"/>
              <w:right w:val="nil"/>
            </w:tcBorders>
            <w:shd w:val="clear" w:color="auto" w:fill="auto"/>
            <w:noWrap/>
            <w:vAlign w:val="center"/>
            <w:hideMark/>
          </w:tcPr>
          <w:p w14:paraId="66818F35" w14:textId="77777777" w:rsidR="00763E5D" w:rsidRPr="00763E5D" w:rsidRDefault="00763E5D" w:rsidP="00837781">
            <w:pPr>
              <w:spacing w:after="240"/>
              <w:ind w:left="525" w:hanging="525"/>
              <w:rPr>
                <w:rFonts w:ascii="Times New Roman" w:eastAsia="Times New Roman" w:hAnsi="Times New Roman" w:cs="Times New Roman"/>
              </w:rPr>
            </w:pPr>
            <w:proofErr w:type="spellStart"/>
            <w:r w:rsidRPr="00763E5D">
              <w:rPr>
                <w:rFonts w:ascii="Times New Roman" w:eastAsia="Times New Roman" w:hAnsi="Times New Roman" w:cs="Times New Roman"/>
              </w:rPr>
              <w:t>Décret</w:t>
            </w:r>
            <w:proofErr w:type="spellEnd"/>
            <w:r w:rsidRPr="00763E5D">
              <w:rPr>
                <w:rFonts w:ascii="Times New Roman" w:eastAsia="Times New Roman" w:hAnsi="Times New Roman" w:cs="Times New Roman"/>
              </w:rPr>
              <w:t xml:space="preserve"> n°60-121 SG</w:t>
            </w:r>
          </w:p>
        </w:tc>
      </w:tr>
      <w:tr w:rsidR="00763E5D" w:rsidRPr="001164DA" w14:paraId="20768EFA" w14:textId="77777777" w:rsidTr="00A91B9E">
        <w:trPr>
          <w:trHeight w:val="315"/>
        </w:trPr>
        <w:tc>
          <w:tcPr>
            <w:tcW w:w="0" w:type="auto"/>
            <w:tcBorders>
              <w:top w:val="nil"/>
              <w:left w:val="nil"/>
              <w:bottom w:val="nil"/>
              <w:right w:val="nil"/>
            </w:tcBorders>
            <w:shd w:val="clear" w:color="auto" w:fill="auto"/>
            <w:noWrap/>
            <w:vAlign w:val="center"/>
            <w:hideMark/>
          </w:tcPr>
          <w:p w14:paraId="5D62557D"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Directive N° 02/2002/CM/UEMOA Relative à la Coopération entre la Commission et les Structures Nationales de Concurrence des États Membres pour l’Application des Articles </w:t>
            </w:r>
          </w:p>
        </w:tc>
      </w:tr>
      <w:tr w:rsidR="00763E5D" w:rsidRPr="00763E5D" w14:paraId="68A9250A" w14:textId="77777777" w:rsidTr="00A91B9E">
        <w:trPr>
          <w:trHeight w:val="315"/>
        </w:trPr>
        <w:tc>
          <w:tcPr>
            <w:tcW w:w="0" w:type="auto"/>
            <w:tcBorders>
              <w:top w:val="nil"/>
              <w:left w:val="nil"/>
              <w:bottom w:val="nil"/>
              <w:right w:val="nil"/>
            </w:tcBorders>
            <w:shd w:val="clear" w:color="auto" w:fill="auto"/>
            <w:noWrap/>
            <w:vAlign w:val="center"/>
            <w:hideMark/>
          </w:tcPr>
          <w:p w14:paraId="7F57DC3E" w14:textId="77777777" w:rsidR="00763E5D" w:rsidRPr="00763E5D" w:rsidRDefault="00763E5D" w:rsidP="00837781">
            <w:pPr>
              <w:spacing w:after="240"/>
              <w:ind w:left="525" w:hanging="525"/>
              <w:rPr>
                <w:rFonts w:ascii="Times New Roman" w:eastAsia="Times New Roman" w:hAnsi="Times New Roman" w:cs="Times New Roman"/>
              </w:rPr>
            </w:pPr>
            <w:r w:rsidRPr="007575D7">
              <w:rPr>
                <w:rFonts w:ascii="Times New Roman" w:eastAsia="Times New Roman" w:hAnsi="Times New Roman" w:cs="Times New Roman"/>
                <w:lang w:val="fr-FR"/>
              </w:rPr>
              <w:t xml:space="preserve">DISEM. </w:t>
            </w:r>
            <w:r w:rsidRPr="007575D7">
              <w:rPr>
                <w:rFonts w:ascii="Times New Roman" w:eastAsia="Times New Roman" w:hAnsi="Times New Roman" w:cs="Times New Roman"/>
                <w:i/>
                <w:iCs/>
                <w:lang w:val="fr-FR"/>
              </w:rPr>
              <w:t>Procédure d'agrément et d'admission au contrôle d'un OPS</w:t>
            </w:r>
            <w:r w:rsidRPr="007575D7">
              <w:rPr>
                <w:rFonts w:ascii="Times New Roman" w:eastAsia="Times New Roman" w:hAnsi="Times New Roman" w:cs="Times New Roman"/>
                <w:lang w:val="fr-FR"/>
              </w:rPr>
              <w:t xml:space="preserve">. </w:t>
            </w:r>
            <w:r w:rsidRPr="00763E5D">
              <w:rPr>
                <w:rFonts w:ascii="Times New Roman" w:eastAsia="Times New Roman" w:hAnsi="Times New Roman" w:cs="Times New Roman"/>
              </w:rPr>
              <w:t>Available at: http://www.seysoo.com/GECSEM/controlecertification/processuscertification</w:t>
            </w:r>
          </w:p>
        </w:tc>
      </w:tr>
      <w:tr w:rsidR="00763E5D" w:rsidRPr="00763E5D" w14:paraId="3DF71896" w14:textId="77777777" w:rsidTr="00A91B9E">
        <w:trPr>
          <w:trHeight w:val="315"/>
        </w:trPr>
        <w:tc>
          <w:tcPr>
            <w:tcW w:w="0" w:type="auto"/>
            <w:tcBorders>
              <w:top w:val="nil"/>
              <w:left w:val="nil"/>
              <w:bottom w:val="nil"/>
              <w:right w:val="nil"/>
            </w:tcBorders>
            <w:shd w:val="clear" w:color="auto" w:fill="auto"/>
            <w:noWrap/>
            <w:vAlign w:val="center"/>
            <w:hideMark/>
          </w:tcPr>
          <w:p w14:paraId="3BFEEDD7"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Draft Commission Notice on the notion of State aid pursuant to Article 107(1) TFEU, EU Commission, p. 26 available at http://europa.eu/youreurope/business/public-tenders/rules-procedures/index_en.htm</w:t>
            </w:r>
          </w:p>
        </w:tc>
      </w:tr>
      <w:tr w:rsidR="00763E5D" w:rsidRPr="00763E5D" w14:paraId="32C497AC" w14:textId="77777777" w:rsidTr="00A91B9E">
        <w:trPr>
          <w:trHeight w:val="300"/>
        </w:trPr>
        <w:tc>
          <w:tcPr>
            <w:tcW w:w="0" w:type="auto"/>
            <w:tcBorders>
              <w:top w:val="nil"/>
              <w:left w:val="nil"/>
              <w:bottom w:val="nil"/>
              <w:right w:val="nil"/>
            </w:tcBorders>
            <w:shd w:val="clear" w:color="auto" w:fill="auto"/>
            <w:noWrap/>
            <w:vAlign w:val="center"/>
            <w:hideMark/>
          </w:tcPr>
          <w:p w14:paraId="76BE071F" w14:textId="77777777" w:rsidR="00763E5D" w:rsidRDefault="00B42297" w:rsidP="00837781">
            <w:pPr>
              <w:spacing w:after="240"/>
              <w:ind w:left="525" w:hanging="525"/>
              <w:rPr>
                <w:rFonts w:ascii="Times New Roman" w:eastAsia="Times New Roman" w:hAnsi="Times New Roman" w:cs="Times New Roman"/>
              </w:rPr>
            </w:pPr>
            <w:hyperlink r:id="rId106" w:history="1">
              <w:r w:rsidR="00763E5D" w:rsidRPr="007575D7">
                <w:rPr>
                  <w:rFonts w:ascii="Times New Roman" w:eastAsia="Times New Roman" w:hAnsi="Times New Roman" w:cs="Times New Roman"/>
                  <w:lang w:val="fr-FR"/>
                </w:rPr>
                <w:t xml:space="preserve">Enquete Plus. 2016. Orange, Tigo et Expresso exclus du processus. </w:t>
              </w:r>
              <w:r w:rsidR="00763E5D" w:rsidRPr="00763E5D">
                <w:rPr>
                  <w:rFonts w:ascii="Times New Roman" w:eastAsia="Times New Roman" w:hAnsi="Times New Roman" w:cs="Times New Roman"/>
                </w:rPr>
                <w:t xml:space="preserve">Available at http://www.enqueteplus.com/content/attribution-de-la-licence-4g-au-s%C3%A9n%C3%A9gal-orange-tigo-et-expresso-exclus-du-processus </w:t>
              </w:r>
            </w:hyperlink>
          </w:p>
          <w:p w14:paraId="4B771745" w14:textId="77901F9B" w:rsidR="00EF741B" w:rsidRPr="007575D7" w:rsidRDefault="00EF741B" w:rsidP="00EF741B">
            <w:pPr>
              <w:spacing w:after="240"/>
              <w:ind w:left="525" w:hanging="525"/>
              <w:rPr>
                <w:rFonts w:eastAsia="Times New Roman"/>
                <w:i/>
                <w:iCs/>
              </w:rPr>
            </w:pPr>
            <w:r w:rsidRPr="00B57E98">
              <w:rPr>
                <w:rFonts w:ascii="Times New Roman" w:hAnsi="Times New Roman" w:cs="Times New Roman"/>
              </w:rPr>
              <w:t>EuropeAid, 2012.</w:t>
            </w:r>
            <w:r w:rsidRPr="00B57E98">
              <w:rPr>
                <w:rFonts w:ascii="Times New Roman" w:hAnsi="Times New Roman" w:cs="Times New Roman"/>
                <w:i/>
              </w:rPr>
              <w:t xml:space="preserve"> Agricultural markets and small-scale producers: Access and risk management tools. </w:t>
            </w:r>
            <w:r w:rsidRPr="00B57E98">
              <w:rPr>
                <w:rFonts w:ascii="Times New Roman" w:hAnsi="Times New Roman" w:cs="Times New Roman"/>
              </w:rPr>
              <w:t xml:space="preserve">Information Note; FAO Country Fact Sheets on Food and Agriculture Policy Trends available at </w:t>
            </w:r>
            <w:hyperlink r:id="rId107" w:history="1">
              <w:r w:rsidRPr="00B57E98">
                <w:rPr>
                  <w:rStyle w:val="Hyperlink"/>
                  <w:rFonts w:ascii="Times New Roman" w:hAnsi="Times New Roman" w:cs="Times New Roman"/>
                </w:rPr>
                <w:t>http://www.fao.org/in-action/fapda/publications/country-fact-sheets/en/</w:t>
              </w:r>
            </w:hyperlink>
          </w:p>
        </w:tc>
      </w:tr>
      <w:tr w:rsidR="00763E5D" w:rsidRPr="001164DA" w14:paraId="58B79EDD" w14:textId="77777777" w:rsidTr="00A91B9E">
        <w:trPr>
          <w:trHeight w:val="315"/>
        </w:trPr>
        <w:tc>
          <w:tcPr>
            <w:tcW w:w="0" w:type="auto"/>
            <w:tcBorders>
              <w:top w:val="nil"/>
              <w:left w:val="nil"/>
              <w:bottom w:val="nil"/>
              <w:right w:val="nil"/>
            </w:tcBorders>
            <w:shd w:val="clear" w:color="auto" w:fill="auto"/>
            <w:noWrap/>
            <w:vAlign w:val="center"/>
            <w:hideMark/>
          </w:tcPr>
          <w:p w14:paraId="3AFB60A6" w14:textId="77777777" w:rsidR="00763E5D" w:rsidRPr="007575D7" w:rsidRDefault="00763E5D" w:rsidP="00837781">
            <w:pPr>
              <w:spacing w:after="240"/>
              <w:ind w:left="525" w:hanging="525"/>
              <w:rPr>
                <w:rFonts w:ascii="Times New Roman" w:eastAsia="Times New Roman" w:hAnsi="Times New Roman" w:cs="Times New Roman"/>
                <w:lang w:val="fr-FR"/>
              </w:rPr>
            </w:pPr>
            <w:proofErr w:type="spellStart"/>
            <w:r w:rsidRPr="007575D7">
              <w:rPr>
                <w:rFonts w:ascii="Times New Roman" w:eastAsia="Times New Roman" w:hAnsi="Times New Roman" w:cs="Times New Roman"/>
                <w:lang w:val="fr-FR"/>
              </w:rPr>
              <w:t>European</w:t>
            </w:r>
            <w:proofErr w:type="spellEnd"/>
            <w:r w:rsidRPr="007575D7">
              <w:rPr>
                <w:rFonts w:ascii="Times New Roman" w:eastAsia="Times New Roman" w:hAnsi="Times New Roman" w:cs="Times New Roman"/>
                <w:lang w:val="fr-FR"/>
              </w:rPr>
              <w:t xml:space="preserve"> Commission. 2016. </w:t>
            </w:r>
            <w:r w:rsidRPr="007575D7">
              <w:rPr>
                <w:rFonts w:ascii="Times New Roman" w:eastAsia="Times New Roman" w:hAnsi="Times New Roman" w:cs="Times New Roman"/>
                <w:i/>
                <w:iCs/>
                <w:lang w:val="fr-FR"/>
              </w:rPr>
              <w:t>Analyse d'économie politique (PEA) des filières de l'arachide et du riz</w:t>
            </w:r>
            <w:r w:rsidRPr="007575D7">
              <w:rPr>
                <w:rFonts w:ascii="Times New Roman" w:eastAsia="Times New Roman" w:hAnsi="Times New Roman" w:cs="Times New Roman"/>
                <w:lang w:val="fr-FR"/>
              </w:rPr>
              <w:t>, p. 25</w:t>
            </w:r>
          </w:p>
        </w:tc>
      </w:tr>
      <w:tr w:rsidR="00763E5D" w:rsidRPr="00763E5D" w14:paraId="68B8F409" w14:textId="77777777" w:rsidTr="00A91B9E">
        <w:trPr>
          <w:trHeight w:val="300"/>
        </w:trPr>
        <w:tc>
          <w:tcPr>
            <w:tcW w:w="0" w:type="auto"/>
            <w:tcBorders>
              <w:top w:val="nil"/>
              <w:left w:val="nil"/>
              <w:bottom w:val="nil"/>
              <w:right w:val="nil"/>
            </w:tcBorders>
            <w:shd w:val="clear" w:color="auto" w:fill="auto"/>
            <w:noWrap/>
            <w:vAlign w:val="center"/>
            <w:hideMark/>
          </w:tcPr>
          <w:p w14:paraId="175666F8" w14:textId="77777777" w:rsidR="00763E5D" w:rsidRPr="00763E5D" w:rsidRDefault="00B42297" w:rsidP="00837781">
            <w:pPr>
              <w:spacing w:after="240"/>
              <w:ind w:left="525" w:hanging="525"/>
              <w:rPr>
                <w:rFonts w:ascii="Times New Roman" w:eastAsia="Times New Roman" w:hAnsi="Times New Roman" w:cs="Times New Roman"/>
              </w:rPr>
            </w:pPr>
            <w:hyperlink r:id="rId108" w:anchor="country/195" w:history="1">
              <w:r w:rsidR="00763E5D" w:rsidRPr="00763E5D">
                <w:rPr>
                  <w:rFonts w:ascii="Times New Roman" w:eastAsia="Times New Roman" w:hAnsi="Times New Roman" w:cs="Times New Roman"/>
                </w:rPr>
                <w:t>FAO. 2017. County Indicators – Senegal. Available at: http://www.fao.org/faostat/en/#country/195)</w:t>
              </w:r>
            </w:hyperlink>
          </w:p>
        </w:tc>
      </w:tr>
      <w:tr w:rsidR="00763E5D" w:rsidRPr="00763E5D" w14:paraId="5DF30A26" w14:textId="77777777" w:rsidTr="00A91B9E">
        <w:trPr>
          <w:trHeight w:val="315"/>
        </w:trPr>
        <w:tc>
          <w:tcPr>
            <w:tcW w:w="0" w:type="auto"/>
            <w:tcBorders>
              <w:top w:val="nil"/>
              <w:left w:val="nil"/>
              <w:bottom w:val="nil"/>
              <w:right w:val="nil"/>
            </w:tcBorders>
            <w:shd w:val="clear" w:color="auto" w:fill="auto"/>
            <w:noWrap/>
            <w:vAlign w:val="center"/>
            <w:hideMark/>
          </w:tcPr>
          <w:p w14:paraId="059A401E" w14:textId="0A2CEFC5" w:rsidR="00763E5D" w:rsidRDefault="00763E5D" w:rsidP="00837781">
            <w:pPr>
              <w:spacing w:after="240"/>
              <w:ind w:left="525" w:hanging="525"/>
              <w:rPr>
                <w:rFonts w:ascii="Times New Roman" w:eastAsia="Times New Roman" w:hAnsi="Times New Roman" w:cs="Times New Roman"/>
              </w:rPr>
            </w:pPr>
            <w:r w:rsidRPr="007575D7">
              <w:rPr>
                <w:rFonts w:ascii="Times New Roman" w:eastAsia="Times New Roman" w:hAnsi="Times New Roman" w:cs="Times New Roman"/>
              </w:rPr>
              <w:t xml:space="preserve">Financial </w:t>
            </w:r>
            <w:proofErr w:type="spellStart"/>
            <w:r w:rsidRPr="007575D7">
              <w:rPr>
                <w:rFonts w:ascii="Times New Roman" w:eastAsia="Times New Roman" w:hAnsi="Times New Roman" w:cs="Times New Roman"/>
              </w:rPr>
              <w:t>Afrik</w:t>
            </w:r>
            <w:proofErr w:type="spellEnd"/>
            <w:r w:rsidRPr="007575D7">
              <w:rPr>
                <w:rFonts w:ascii="Times New Roman" w:eastAsia="Times New Roman" w:hAnsi="Times New Roman" w:cs="Times New Roman"/>
              </w:rPr>
              <w:t xml:space="preserve">. 2016. </w:t>
            </w:r>
            <w:proofErr w:type="spellStart"/>
            <w:r w:rsidRPr="007575D7">
              <w:rPr>
                <w:rFonts w:ascii="Times New Roman" w:eastAsia="Times New Roman" w:hAnsi="Times New Roman" w:cs="Times New Roman"/>
                <w:i/>
                <w:iCs/>
              </w:rPr>
              <w:t>Sénégal</w:t>
            </w:r>
            <w:proofErr w:type="spellEnd"/>
            <w:r w:rsidRPr="007575D7">
              <w:rPr>
                <w:rFonts w:ascii="Times New Roman" w:eastAsia="Times New Roman" w:hAnsi="Times New Roman" w:cs="Times New Roman"/>
                <w:i/>
                <w:iCs/>
              </w:rPr>
              <w:t xml:space="preserve">: </w:t>
            </w:r>
            <w:proofErr w:type="spellStart"/>
            <w:r w:rsidRPr="007575D7">
              <w:rPr>
                <w:rFonts w:ascii="Times New Roman" w:eastAsia="Times New Roman" w:hAnsi="Times New Roman" w:cs="Times New Roman"/>
                <w:i/>
                <w:iCs/>
              </w:rPr>
              <w:t>Suneor</w:t>
            </w:r>
            <w:proofErr w:type="spellEnd"/>
            <w:r w:rsidRPr="007575D7">
              <w:rPr>
                <w:rFonts w:ascii="Times New Roman" w:eastAsia="Times New Roman" w:hAnsi="Times New Roman" w:cs="Times New Roman"/>
                <w:i/>
                <w:iCs/>
              </w:rPr>
              <w:t xml:space="preserve"> </w:t>
            </w:r>
            <w:proofErr w:type="spellStart"/>
            <w:r w:rsidRPr="007575D7">
              <w:rPr>
                <w:rFonts w:ascii="Times New Roman" w:eastAsia="Times New Roman" w:hAnsi="Times New Roman" w:cs="Times New Roman"/>
                <w:i/>
                <w:iCs/>
              </w:rPr>
              <w:t>redevient</w:t>
            </w:r>
            <w:proofErr w:type="spellEnd"/>
            <w:r w:rsidRPr="007575D7">
              <w:rPr>
                <w:rFonts w:ascii="Times New Roman" w:eastAsia="Times New Roman" w:hAnsi="Times New Roman" w:cs="Times New Roman"/>
                <w:i/>
                <w:iCs/>
              </w:rPr>
              <w:t xml:space="preserve"> </w:t>
            </w:r>
            <w:proofErr w:type="spellStart"/>
            <w:r w:rsidRPr="007575D7">
              <w:rPr>
                <w:rFonts w:ascii="Times New Roman" w:eastAsia="Times New Roman" w:hAnsi="Times New Roman" w:cs="Times New Roman"/>
                <w:i/>
                <w:iCs/>
              </w:rPr>
              <w:t>Sonacos</w:t>
            </w:r>
            <w:proofErr w:type="spellEnd"/>
            <w:r w:rsidRPr="007575D7">
              <w:rPr>
                <w:rFonts w:ascii="Times New Roman" w:eastAsia="Times New Roman" w:hAnsi="Times New Roman" w:cs="Times New Roman"/>
                <w:i/>
                <w:iCs/>
              </w:rPr>
              <w:t xml:space="preserve"> SA</w:t>
            </w:r>
            <w:r w:rsidRPr="007575D7">
              <w:rPr>
                <w:rFonts w:ascii="Times New Roman" w:eastAsia="Times New Roman" w:hAnsi="Times New Roman" w:cs="Times New Roman"/>
              </w:rPr>
              <w:t xml:space="preserve">. </w:t>
            </w:r>
            <w:r w:rsidRPr="00763E5D">
              <w:rPr>
                <w:rFonts w:ascii="Times New Roman" w:eastAsia="Times New Roman" w:hAnsi="Times New Roman" w:cs="Times New Roman"/>
              </w:rPr>
              <w:t xml:space="preserve">Available at </w:t>
            </w:r>
            <w:hyperlink r:id="rId109" w:anchor=".WWQJUujyuUl" w:history="1">
              <w:r w:rsidR="00ED313F" w:rsidRPr="00AE5888">
                <w:rPr>
                  <w:rStyle w:val="Hyperlink"/>
                  <w:rFonts w:ascii="Times New Roman" w:eastAsia="Times New Roman" w:hAnsi="Times New Roman" w:cs="Times New Roman"/>
                </w:rPr>
                <w:t>http://www.financialafrik.com/2016/07/27/senegal-suneor-redevient-sonacos-sa/#.WWQJUujyuUl</w:t>
              </w:r>
            </w:hyperlink>
          </w:p>
          <w:p w14:paraId="1A76E31A" w14:textId="70BBB37E" w:rsidR="00ED313F" w:rsidRPr="007575D7" w:rsidRDefault="00ED313F" w:rsidP="00EE65D3">
            <w:pPr>
              <w:spacing w:after="240"/>
              <w:ind w:left="525" w:hanging="525"/>
              <w:rPr>
                <w:rFonts w:eastAsia="Times New Roman"/>
              </w:rPr>
            </w:pPr>
            <w:r w:rsidRPr="007575D7">
              <w:rPr>
                <w:rFonts w:ascii="Times New Roman" w:eastAsia="Times New Roman" w:hAnsi="Times New Roman" w:cs="Times New Roman"/>
              </w:rPr>
              <w:t xml:space="preserve">Food Navigator. 2017. </w:t>
            </w:r>
            <w:r w:rsidRPr="007575D7">
              <w:rPr>
                <w:rFonts w:ascii="Times New Roman" w:eastAsia="Times New Roman" w:hAnsi="Times New Roman" w:cs="Times New Roman"/>
                <w:i/>
              </w:rPr>
              <w:t>Mars pledges to use 100% high-oleic peanuts in M&amp;Ms, Munch Bar, by end of 2017.</w:t>
            </w:r>
            <w:r w:rsidRPr="007575D7">
              <w:rPr>
                <w:rFonts w:ascii="Times New Roman" w:eastAsia="Times New Roman" w:hAnsi="Times New Roman" w:cs="Times New Roman"/>
              </w:rPr>
              <w:t xml:space="preserve"> Available at </w:t>
            </w:r>
            <w:hyperlink r:id="rId110" w:history="1">
              <w:r w:rsidRPr="007575D7">
                <w:rPr>
                  <w:rFonts w:eastAsia="Times New Roman"/>
                </w:rPr>
                <w:t>https://www.foodnavigator-usa.com/Article/2017/05/01/Mars-and-peanut-industry-to-use-only-high-oleic-peanuts-in-products</w:t>
              </w:r>
            </w:hyperlink>
            <w:r w:rsidRPr="007575D7">
              <w:rPr>
                <w:rFonts w:eastAsia="Times New Roman"/>
              </w:rPr>
              <w:t xml:space="preserve"> </w:t>
            </w:r>
          </w:p>
        </w:tc>
      </w:tr>
      <w:tr w:rsidR="00763E5D" w:rsidRPr="00763E5D" w14:paraId="5E536F97" w14:textId="77777777" w:rsidTr="00A91B9E">
        <w:trPr>
          <w:trHeight w:val="315"/>
        </w:trPr>
        <w:tc>
          <w:tcPr>
            <w:tcW w:w="0" w:type="auto"/>
            <w:tcBorders>
              <w:top w:val="nil"/>
              <w:left w:val="nil"/>
              <w:bottom w:val="nil"/>
              <w:right w:val="nil"/>
            </w:tcBorders>
            <w:shd w:val="clear" w:color="auto" w:fill="auto"/>
            <w:noWrap/>
            <w:vAlign w:val="center"/>
            <w:hideMark/>
          </w:tcPr>
          <w:p w14:paraId="4FD94C5D"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Frederic Jenny. 2016. </w:t>
            </w:r>
            <w:r w:rsidRPr="00763E5D">
              <w:rPr>
                <w:rFonts w:ascii="Times New Roman" w:eastAsia="Times New Roman" w:hAnsi="Times New Roman" w:cs="Times New Roman"/>
                <w:i/>
                <w:iCs/>
              </w:rPr>
              <w:t>The Institutional Design of Competition Authorities: Debates and Trends</w:t>
            </w:r>
            <w:r w:rsidRPr="00763E5D">
              <w:rPr>
                <w:rFonts w:ascii="Times New Roman" w:eastAsia="Times New Roman" w:hAnsi="Times New Roman" w:cs="Times New Roman"/>
              </w:rPr>
              <w:t>, pp. 30-31.</w:t>
            </w:r>
          </w:p>
        </w:tc>
      </w:tr>
      <w:tr w:rsidR="00763E5D" w:rsidRPr="00763E5D" w14:paraId="344B7AF5" w14:textId="77777777" w:rsidTr="00C271A3">
        <w:trPr>
          <w:trHeight w:val="315"/>
        </w:trPr>
        <w:tc>
          <w:tcPr>
            <w:tcW w:w="0" w:type="auto"/>
            <w:tcBorders>
              <w:top w:val="nil"/>
              <w:left w:val="nil"/>
              <w:bottom w:val="nil"/>
              <w:right w:val="nil"/>
            </w:tcBorders>
            <w:shd w:val="clear" w:color="auto" w:fill="auto"/>
            <w:noWrap/>
          </w:tcPr>
          <w:p w14:paraId="41ECCB99" w14:textId="3F9F73C6" w:rsidR="00763E5D" w:rsidRPr="00763E5D" w:rsidRDefault="003B24ED" w:rsidP="00837781">
            <w:pPr>
              <w:spacing w:after="240"/>
              <w:ind w:left="525" w:hanging="525"/>
              <w:rPr>
                <w:rFonts w:ascii="Times New Roman" w:eastAsia="Times New Roman" w:hAnsi="Times New Roman" w:cs="Times New Roman"/>
              </w:rPr>
            </w:pPr>
            <w:r>
              <w:rPr>
                <w:rFonts w:ascii="Times New Roman" w:hAnsi="Times New Roman" w:cs="Times New Roman"/>
              </w:rPr>
              <w:t>Government</w:t>
            </w:r>
            <w:r w:rsidR="00763E5D" w:rsidRPr="00763E5D">
              <w:rPr>
                <w:rFonts w:ascii="Times New Roman" w:hAnsi="Times New Roman" w:cs="Times New Roman"/>
              </w:rPr>
              <w:t xml:space="preserve"> of Senegal. 2015. </w:t>
            </w:r>
            <w:r w:rsidR="00763E5D" w:rsidRPr="00763E5D">
              <w:rPr>
                <w:rFonts w:ascii="Times New Roman" w:hAnsi="Times New Roman" w:cs="Times New Roman"/>
                <w:i/>
              </w:rPr>
              <w:t xml:space="preserve">2013 Census Data. </w:t>
            </w:r>
            <w:r w:rsidR="00763E5D" w:rsidRPr="00763E5D">
              <w:rPr>
                <w:rFonts w:ascii="Times New Roman" w:hAnsi="Times New Roman" w:cs="Times New Roman"/>
              </w:rPr>
              <w:t>Available at: http://senegal.opendataforafrica.org/dvltxuc/ordinary-and-collective-households</w:t>
            </w:r>
          </w:p>
        </w:tc>
      </w:tr>
      <w:tr w:rsidR="00763E5D" w:rsidRPr="00763E5D" w14:paraId="25DD8A67" w14:textId="77777777" w:rsidTr="00A91B9E">
        <w:trPr>
          <w:trHeight w:val="315"/>
        </w:trPr>
        <w:tc>
          <w:tcPr>
            <w:tcW w:w="0" w:type="auto"/>
            <w:tcBorders>
              <w:top w:val="nil"/>
              <w:left w:val="nil"/>
              <w:bottom w:val="nil"/>
              <w:right w:val="nil"/>
            </w:tcBorders>
            <w:shd w:val="clear" w:color="auto" w:fill="auto"/>
            <w:noWrap/>
            <w:vAlign w:val="center"/>
            <w:hideMark/>
          </w:tcPr>
          <w:p w14:paraId="5D630291" w14:textId="7F6BC43D" w:rsidR="00F3238F"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Guidance on the Commission's enforcement priorities in applying Article 82 of the EC Treaty to abusive exclusionary conduct by dominant undertakings, OJ C 45, 24.2.2009, p. 7–20, paras. 13 and 14</w:t>
            </w:r>
          </w:p>
          <w:p w14:paraId="64544A46" w14:textId="63A2DB76" w:rsidR="00EF741B" w:rsidRPr="007575D7" w:rsidRDefault="00EF741B" w:rsidP="00EF741B">
            <w:pPr>
              <w:spacing w:after="240"/>
              <w:ind w:left="525" w:hanging="525"/>
              <w:rPr>
                <w:rFonts w:ascii="Times New Roman" w:hAnsi="Times New Roman" w:cs="Times New Roman"/>
              </w:rPr>
            </w:pPr>
            <w:r w:rsidRPr="00B57E98">
              <w:rPr>
                <w:rFonts w:ascii="Times New Roman" w:hAnsi="Times New Roman" w:cs="Times New Roman"/>
              </w:rPr>
              <w:t xml:space="preserve">ICABR Conference on Disruptive Innovations, Value Chains, and Rural Development: </w:t>
            </w:r>
            <w:r w:rsidRPr="00B57E98">
              <w:rPr>
                <w:rFonts w:ascii="Times New Roman" w:hAnsi="Times New Roman" w:cs="Times New Roman"/>
                <w:i/>
              </w:rPr>
              <w:t>Disruptive Innovations in the Agriculture Value</w:t>
            </w:r>
            <w:r w:rsidRPr="00B57E98">
              <w:rPr>
                <w:rFonts w:ascii="Times New Roman" w:hAnsi="Times New Roman" w:cs="Times New Roman"/>
              </w:rPr>
              <w:t xml:space="preserve"> </w:t>
            </w:r>
            <w:r w:rsidRPr="00B57E98">
              <w:rPr>
                <w:rFonts w:ascii="Times New Roman" w:hAnsi="Times New Roman" w:cs="Times New Roman"/>
                <w:i/>
              </w:rPr>
              <w:t xml:space="preserve">Chain. </w:t>
            </w:r>
            <w:r w:rsidRPr="00B57E98">
              <w:rPr>
                <w:rFonts w:ascii="Times New Roman" w:hAnsi="Times New Roman" w:cs="Times New Roman"/>
              </w:rPr>
              <w:t xml:space="preserve">Presentation by Maximo Torero, Executive Director, World Bank Group, June </w:t>
            </w:r>
            <w:r>
              <w:rPr>
                <w:rFonts w:ascii="Times New Roman" w:hAnsi="Times New Roman" w:cs="Times New Roman"/>
              </w:rPr>
              <w:t>2018.</w:t>
            </w:r>
          </w:p>
          <w:p w14:paraId="19A3CE50" w14:textId="63293E02" w:rsidR="00F3238F" w:rsidRDefault="00F3238F" w:rsidP="00EE65D3">
            <w:pPr>
              <w:spacing w:after="240"/>
              <w:ind w:left="525" w:hanging="525"/>
              <w:rPr>
                <w:rFonts w:ascii="Times New Roman" w:eastAsia="Times New Roman" w:hAnsi="Times New Roman" w:cs="Times New Roman"/>
              </w:rPr>
            </w:pPr>
            <w:r w:rsidRPr="00B57E98">
              <w:rPr>
                <w:rFonts w:ascii="Times New Roman" w:eastAsia="Times New Roman" w:hAnsi="Times New Roman" w:cs="Times New Roman"/>
              </w:rPr>
              <w:t xml:space="preserve">ICAR Research Complex for </w:t>
            </w:r>
            <w:proofErr w:type="spellStart"/>
            <w:r w:rsidRPr="00B57E98">
              <w:rPr>
                <w:rFonts w:ascii="Times New Roman" w:eastAsia="Times New Roman" w:hAnsi="Times New Roman" w:cs="Times New Roman"/>
              </w:rPr>
              <w:t>Neh</w:t>
            </w:r>
            <w:proofErr w:type="spellEnd"/>
            <w:r w:rsidRPr="00B57E98">
              <w:rPr>
                <w:rFonts w:ascii="Times New Roman" w:eastAsia="Times New Roman" w:hAnsi="Times New Roman" w:cs="Times New Roman"/>
              </w:rPr>
              <w:t xml:space="preserve"> Region. 2017. </w:t>
            </w:r>
            <w:r w:rsidRPr="00B57E98">
              <w:rPr>
                <w:rFonts w:ascii="Times New Roman" w:eastAsia="Times New Roman" w:hAnsi="Times New Roman" w:cs="Times New Roman"/>
                <w:i/>
              </w:rPr>
              <w:t>Port Harvest Management and value Addition of Groundnut</w:t>
            </w:r>
            <w:r w:rsidRPr="00B57E98">
              <w:rPr>
                <w:rFonts w:ascii="Times New Roman" w:eastAsia="Times New Roman" w:hAnsi="Times New Roman" w:cs="Times New Roman"/>
              </w:rPr>
              <w:t xml:space="preserve">. </w:t>
            </w:r>
            <w:proofErr w:type="spellStart"/>
            <w:proofErr w:type="gramStart"/>
            <w:r w:rsidRPr="00B57E98">
              <w:rPr>
                <w:rFonts w:ascii="Times New Roman" w:eastAsia="Times New Roman" w:hAnsi="Times New Roman" w:cs="Times New Roman"/>
              </w:rPr>
              <w:t>Lamphelpal</w:t>
            </w:r>
            <w:proofErr w:type="spellEnd"/>
            <w:r w:rsidRPr="00B57E98">
              <w:rPr>
                <w:rFonts w:ascii="Times New Roman" w:eastAsia="Times New Roman" w:hAnsi="Times New Roman" w:cs="Times New Roman"/>
              </w:rPr>
              <w:t xml:space="preserve">,  </w:t>
            </w:r>
            <w:proofErr w:type="spellStart"/>
            <w:r w:rsidRPr="00B57E98">
              <w:rPr>
                <w:rFonts w:ascii="Times New Roman" w:eastAsia="Times New Roman" w:hAnsi="Times New Roman" w:cs="Times New Roman"/>
              </w:rPr>
              <w:t>Imphal</w:t>
            </w:r>
            <w:proofErr w:type="spellEnd"/>
            <w:proofErr w:type="gramEnd"/>
            <w:r w:rsidRPr="00B57E98">
              <w:rPr>
                <w:rFonts w:ascii="Times New Roman" w:eastAsia="Times New Roman" w:hAnsi="Times New Roman" w:cs="Times New Roman"/>
              </w:rPr>
              <w:t xml:space="preserve">- 795004. Available at </w:t>
            </w:r>
            <w:hyperlink r:id="rId111" w:history="1">
              <w:r w:rsidRPr="00B57E98">
                <w:rPr>
                  <w:rFonts w:ascii="Times New Roman" w:eastAsia="Times New Roman" w:hAnsi="Times New Roman" w:cs="Times New Roman"/>
                </w:rPr>
                <w:t>https://www.researchgate.net/profile/Meraj_Ansari/publication/313823494_Post_harvest_management_and_value_addition_of_groundnut/links/58a7fc4b4585150402f2adcf/Post-harvest-management-and-value-addition-of-groundnut.pdf?origin=publication_detail</w:t>
              </w:r>
            </w:hyperlink>
            <w:r w:rsidR="00EE65D3">
              <w:rPr>
                <w:rFonts w:ascii="Times New Roman" w:eastAsia="Times New Roman" w:hAnsi="Times New Roman" w:cs="Times New Roman"/>
              </w:rPr>
              <w:t>.</w:t>
            </w:r>
          </w:p>
          <w:p w14:paraId="4EB8E2B1" w14:textId="70CCA862" w:rsidR="00F3238F" w:rsidRPr="00763E5D" w:rsidRDefault="00F3238F" w:rsidP="00EE65D3">
            <w:pPr>
              <w:spacing w:after="240"/>
              <w:ind w:left="525" w:hanging="525"/>
              <w:rPr>
                <w:rFonts w:ascii="Times New Roman" w:eastAsia="Times New Roman" w:hAnsi="Times New Roman" w:cs="Times New Roman"/>
              </w:rPr>
            </w:pPr>
            <w:r w:rsidRPr="00B57E98">
              <w:rPr>
                <w:rFonts w:ascii="Times New Roman" w:eastAsia="Times New Roman" w:hAnsi="Times New Roman" w:cs="Times New Roman"/>
              </w:rPr>
              <w:t xml:space="preserve">ICRISAT Partnering </w:t>
            </w:r>
            <w:proofErr w:type="gramStart"/>
            <w:r w:rsidRPr="00B57E98">
              <w:rPr>
                <w:rFonts w:ascii="Times New Roman" w:eastAsia="Times New Roman" w:hAnsi="Times New Roman" w:cs="Times New Roman"/>
              </w:rPr>
              <w:t>With</w:t>
            </w:r>
            <w:proofErr w:type="gramEnd"/>
            <w:r w:rsidRPr="00B57E98">
              <w:rPr>
                <w:rFonts w:ascii="Times New Roman" w:eastAsia="Times New Roman" w:hAnsi="Times New Roman" w:cs="Times New Roman"/>
              </w:rPr>
              <w:t xml:space="preserve"> Local Government For Fast-Tracking Adoption Of Improved Groundnut Varieties In Nigeria. Available at </w:t>
            </w:r>
            <w:hyperlink r:id="rId112" w:history="1">
              <w:r w:rsidRPr="00B57E98">
                <w:rPr>
                  <w:rFonts w:ascii="Times New Roman" w:eastAsia="Times New Roman" w:hAnsi="Times New Roman" w:cs="Times New Roman"/>
                </w:rPr>
                <w:t>http://www.icrisat.org/partnering-with-local-government-for-fast-tracking-adoption-of-improved-groundnut-varieties-in-nigeria/</w:t>
              </w:r>
            </w:hyperlink>
            <w:r w:rsidRPr="00B57E98">
              <w:rPr>
                <w:rFonts w:ascii="Times New Roman" w:eastAsia="Times New Roman" w:hAnsi="Times New Roman" w:cs="Times New Roman"/>
              </w:rPr>
              <w:t xml:space="preserve"> </w:t>
            </w:r>
          </w:p>
        </w:tc>
      </w:tr>
      <w:tr w:rsidR="00763E5D" w:rsidRPr="00763E5D" w14:paraId="6271C969" w14:textId="77777777" w:rsidTr="00A91B9E">
        <w:trPr>
          <w:trHeight w:val="315"/>
        </w:trPr>
        <w:tc>
          <w:tcPr>
            <w:tcW w:w="0" w:type="auto"/>
            <w:tcBorders>
              <w:top w:val="nil"/>
              <w:left w:val="nil"/>
              <w:bottom w:val="nil"/>
              <w:right w:val="nil"/>
            </w:tcBorders>
            <w:shd w:val="clear" w:color="auto" w:fill="auto"/>
            <w:noWrap/>
            <w:vAlign w:val="center"/>
            <w:hideMark/>
          </w:tcPr>
          <w:p w14:paraId="3F134CB0"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IMF. 2017. </w:t>
            </w:r>
            <w:r w:rsidRPr="00763E5D">
              <w:rPr>
                <w:rFonts w:ascii="Times New Roman" w:eastAsia="Times New Roman" w:hAnsi="Times New Roman" w:cs="Times New Roman"/>
                <w:i/>
                <w:iCs/>
              </w:rPr>
              <w:t>Article IV Review</w:t>
            </w:r>
            <w:r w:rsidRPr="00763E5D">
              <w:rPr>
                <w:rFonts w:ascii="Times New Roman" w:eastAsia="Times New Roman" w:hAnsi="Times New Roman" w:cs="Times New Roman"/>
              </w:rPr>
              <w:t>.</w:t>
            </w:r>
          </w:p>
        </w:tc>
      </w:tr>
      <w:tr w:rsidR="00763E5D" w:rsidRPr="001164DA" w14:paraId="7B201128" w14:textId="77777777" w:rsidTr="00A91B9E">
        <w:trPr>
          <w:trHeight w:val="315"/>
        </w:trPr>
        <w:tc>
          <w:tcPr>
            <w:tcW w:w="0" w:type="auto"/>
            <w:tcBorders>
              <w:top w:val="nil"/>
              <w:left w:val="nil"/>
              <w:bottom w:val="nil"/>
              <w:right w:val="nil"/>
            </w:tcBorders>
            <w:shd w:val="clear" w:color="auto" w:fill="auto"/>
            <w:noWrap/>
            <w:vAlign w:val="center"/>
            <w:hideMark/>
          </w:tcPr>
          <w:p w14:paraId="4248BA4E"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Initiative Prospective Agricole et Rurale (IPAR). 2015. </w:t>
            </w:r>
            <w:r w:rsidRPr="007575D7">
              <w:rPr>
                <w:rFonts w:ascii="Times New Roman" w:eastAsia="Times New Roman" w:hAnsi="Times New Roman" w:cs="Times New Roman"/>
                <w:i/>
                <w:iCs/>
                <w:lang w:val="fr-FR"/>
              </w:rPr>
              <w:t xml:space="preserve">Subventions des intrants agricoles au </w:t>
            </w:r>
            <w:proofErr w:type="gramStart"/>
            <w:r w:rsidRPr="007575D7">
              <w:rPr>
                <w:rFonts w:ascii="Times New Roman" w:eastAsia="Times New Roman" w:hAnsi="Times New Roman" w:cs="Times New Roman"/>
                <w:i/>
                <w:iCs/>
                <w:lang w:val="fr-FR"/>
              </w:rPr>
              <w:t>Sénégal:</w:t>
            </w:r>
            <w:proofErr w:type="gramEnd"/>
            <w:r w:rsidRPr="007575D7">
              <w:rPr>
                <w:rFonts w:ascii="Times New Roman" w:eastAsia="Times New Roman" w:hAnsi="Times New Roman" w:cs="Times New Roman"/>
                <w:i/>
                <w:iCs/>
                <w:lang w:val="fr-FR"/>
              </w:rPr>
              <w:t xml:space="preserve"> controverses et réalités</w:t>
            </w:r>
            <w:r w:rsidRPr="007575D7">
              <w:rPr>
                <w:rFonts w:ascii="Times New Roman" w:eastAsia="Times New Roman" w:hAnsi="Times New Roman" w:cs="Times New Roman"/>
                <w:lang w:val="fr-FR"/>
              </w:rPr>
              <w:t>. Rapport annuel sur l’état de l’agriculture et du monde rural au Sénégal, p. 9</w:t>
            </w:r>
          </w:p>
        </w:tc>
      </w:tr>
      <w:tr w:rsidR="00763E5D" w:rsidRPr="00763E5D" w14:paraId="4AFC175A" w14:textId="77777777" w:rsidTr="00A91B9E">
        <w:trPr>
          <w:trHeight w:val="315"/>
        </w:trPr>
        <w:tc>
          <w:tcPr>
            <w:tcW w:w="0" w:type="auto"/>
            <w:tcBorders>
              <w:top w:val="nil"/>
              <w:left w:val="nil"/>
              <w:bottom w:val="nil"/>
              <w:right w:val="nil"/>
            </w:tcBorders>
            <w:shd w:val="clear" w:color="auto" w:fill="auto"/>
            <w:noWrap/>
            <w:vAlign w:val="center"/>
            <w:hideMark/>
          </w:tcPr>
          <w:p w14:paraId="24B4E5AC" w14:textId="77777777" w:rsidR="00ED313F" w:rsidRPr="00EE65D3" w:rsidRDefault="00763E5D" w:rsidP="00837781">
            <w:pPr>
              <w:spacing w:after="240"/>
              <w:ind w:left="525" w:hanging="525"/>
              <w:jc w:val="both"/>
              <w:rPr>
                <w:rFonts w:ascii="Times New Roman" w:eastAsia="Times New Roman" w:hAnsi="Times New Roman" w:cs="Times New Roman"/>
                <w:lang w:val="en"/>
              </w:rPr>
            </w:pPr>
            <w:r w:rsidRPr="00EE65D3">
              <w:rPr>
                <w:rFonts w:ascii="Times New Roman" w:eastAsia="Times New Roman" w:hAnsi="Times New Roman" w:cs="Times New Roman"/>
                <w:lang w:val="en"/>
              </w:rPr>
              <w:t xml:space="preserve">International Competition Network. 2009. </w:t>
            </w:r>
            <w:r w:rsidRPr="00EE65D3">
              <w:rPr>
                <w:rFonts w:ascii="Times New Roman" w:eastAsia="Times New Roman" w:hAnsi="Times New Roman" w:cs="Times New Roman"/>
                <w:i/>
                <w:iCs/>
                <w:lang w:val="en"/>
              </w:rPr>
              <w:t>Report on Assessment of ICN Members’ Requirements and Recommendations on Further ICN Work on Competition Advocacy</w:t>
            </w:r>
            <w:r w:rsidRPr="00EE65D3">
              <w:rPr>
                <w:rFonts w:ascii="Times New Roman" w:eastAsia="Times New Roman" w:hAnsi="Times New Roman" w:cs="Times New Roman"/>
                <w:lang w:val="en"/>
              </w:rPr>
              <w:t>. Presented at the 8th Annual Conference of the ICN, Zurich (June)</w:t>
            </w:r>
          </w:p>
          <w:p w14:paraId="183F2F08" w14:textId="72BAC816" w:rsidR="00763E5D" w:rsidRPr="007575D7" w:rsidRDefault="00ED313F" w:rsidP="007575D7">
            <w:pPr>
              <w:spacing w:after="240"/>
              <w:ind w:left="525" w:hanging="525"/>
              <w:rPr>
                <w:rFonts w:ascii="Times New Roman" w:hAnsi="Times New Roman" w:cs="Times New Roman"/>
              </w:rPr>
            </w:pPr>
            <w:r w:rsidRPr="007575D7">
              <w:rPr>
                <w:rFonts w:ascii="Times New Roman" w:eastAsia="Times New Roman" w:hAnsi="Times New Roman" w:cs="Times New Roman"/>
                <w:lang w:val="fr-FR"/>
              </w:rPr>
              <w:t xml:space="preserve">International </w:t>
            </w:r>
            <w:proofErr w:type="spellStart"/>
            <w:r w:rsidRPr="007575D7">
              <w:rPr>
                <w:rFonts w:ascii="Times New Roman" w:eastAsia="Times New Roman" w:hAnsi="Times New Roman" w:cs="Times New Roman"/>
                <w:lang w:val="fr-FR"/>
              </w:rPr>
              <w:t>Crops</w:t>
            </w:r>
            <w:proofErr w:type="spellEnd"/>
            <w:r w:rsidRPr="007575D7">
              <w:rPr>
                <w:rFonts w:ascii="Times New Roman" w:eastAsia="Times New Roman" w:hAnsi="Times New Roman" w:cs="Times New Roman"/>
                <w:lang w:val="fr-FR"/>
              </w:rPr>
              <w:t xml:space="preserve"> </w:t>
            </w:r>
            <w:proofErr w:type="spellStart"/>
            <w:r w:rsidRPr="007575D7">
              <w:rPr>
                <w:rFonts w:ascii="Times New Roman" w:eastAsia="Times New Roman" w:hAnsi="Times New Roman" w:cs="Times New Roman"/>
                <w:lang w:val="fr-FR"/>
              </w:rPr>
              <w:t>Research</w:t>
            </w:r>
            <w:proofErr w:type="spellEnd"/>
            <w:r w:rsidRPr="007575D7">
              <w:rPr>
                <w:rFonts w:ascii="Times New Roman" w:eastAsia="Times New Roman" w:hAnsi="Times New Roman" w:cs="Times New Roman"/>
                <w:lang w:val="fr-FR"/>
              </w:rPr>
              <w:t xml:space="preserve"> Institute for the </w:t>
            </w:r>
            <w:proofErr w:type="spellStart"/>
            <w:r w:rsidRPr="007575D7">
              <w:rPr>
                <w:rFonts w:ascii="Times New Roman" w:eastAsia="Times New Roman" w:hAnsi="Times New Roman" w:cs="Times New Roman"/>
                <w:lang w:val="fr-FR"/>
              </w:rPr>
              <w:t>Semi-Arid</w:t>
            </w:r>
            <w:proofErr w:type="spellEnd"/>
            <w:r w:rsidRPr="007575D7">
              <w:rPr>
                <w:rFonts w:ascii="Times New Roman" w:eastAsia="Times New Roman" w:hAnsi="Times New Roman" w:cs="Times New Roman"/>
                <w:lang w:val="fr-FR"/>
              </w:rPr>
              <w:t xml:space="preserve"> </w:t>
            </w:r>
            <w:proofErr w:type="spellStart"/>
            <w:r w:rsidRPr="007575D7">
              <w:rPr>
                <w:rFonts w:ascii="Times New Roman" w:eastAsia="Times New Roman" w:hAnsi="Times New Roman" w:cs="Times New Roman"/>
                <w:lang w:val="fr-FR"/>
              </w:rPr>
              <w:t>Tropics</w:t>
            </w:r>
            <w:proofErr w:type="spellEnd"/>
            <w:r w:rsidRPr="007575D7">
              <w:rPr>
                <w:rFonts w:ascii="Times New Roman" w:eastAsia="Times New Roman" w:hAnsi="Times New Roman" w:cs="Times New Roman"/>
                <w:lang w:val="fr-FR"/>
              </w:rPr>
              <w:t xml:space="preserve"> (ICRISAT). 2018. </w:t>
            </w:r>
            <w:proofErr w:type="spellStart"/>
            <w:r w:rsidRPr="007575D7">
              <w:rPr>
                <w:rFonts w:ascii="Times New Roman" w:eastAsia="Times New Roman" w:hAnsi="Times New Roman" w:cs="Times New Roman"/>
                <w:i/>
                <w:lang w:val="fr-FR"/>
              </w:rPr>
              <w:t>Indian</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smallholder</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farmers</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could</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soon</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benefit</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from</w:t>
            </w:r>
            <w:proofErr w:type="spellEnd"/>
            <w:r w:rsidRPr="007575D7">
              <w:rPr>
                <w:rFonts w:ascii="Times New Roman" w:eastAsia="Times New Roman" w:hAnsi="Times New Roman" w:cs="Times New Roman"/>
                <w:i/>
                <w:lang w:val="fr-FR"/>
              </w:rPr>
              <w:t xml:space="preserve"> the </w:t>
            </w:r>
            <w:proofErr w:type="spellStart"/>
            <w:r w:rsidRPr="007575D7">
              <w:rPr>
                <w:rFonts w:ascii="Times New Roman" w:eastAsia="Times New Roman" w:hAnsi="Times New Roman" w:cs="Times New Roman"/>
                <w:i/>
                <w:lang w:val="fr-FR"/>
              </w:rPr>
              <w:t>growing</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confectionary</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peanut</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market</w:t>
            </w:r>
            <w:proofErr w:type="spellEnd"/>
            <w:r w:rsidRPr="007575D7">
              <w:rPr>
                <w:rFonts w:ascii="Times New Roman" w:eastAsia="Times New Roman" w:hAnsi="Times New Roman" w:cs="Times New Roman"/>
                <w:i/>
                <w:lang w:val="fr-FR"/>
              </w:rPr>
              <w:t>, as the first-</w:t>
            </w:r>
            <w:proofErr w:type="spellStart"/>
            <w:r w:rsidRPr="007575D7">
              <w:rPr>
                <w:rFonts w:ascii="Times New Roman" w:eastAsia="Times New Roman" w:hAnsi="Times New Roman" w:cs="Times New Roman"/>
                <w:i/>
                <w:lang w:val="fr-FR"/>
              </w:rPr>
              <w:t>ever</w:t>
            </w:r>
            <w:proofErr w:type="spellEnd"/>
            <w:r w:rsidRPr="007575D7">
              <w:rPr>
                <w:rFonts w:ascii="Times New Roman" w:eastAsia="Times New Roman" w:hAnsi="Times New Roman" w:cs="Times New Roman"/>
                <w:i/>
                <w:lang w:val="fr-FR"/>
              </w:rPr>
              <w:t xml:space="preserve"> high </w:t>
            </w:r>
            <w:proofErr w:type="spellStart"/>
            <w:r w:rsidRPr="007575D7">
              <w:rPr>
                <w:rFonts w:ascii="Times New Roman" w:eastAsia="Times New Roman" w:hAnsi="Times New Roman" w:cs="Times New Roman"/>
                <w:i/>
                <w:lang w:val="fr-FR"/>
              </w:rPr>
              <w:t>oleic</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groundnut</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varieties</w:t>
            </w:r>
            <w:proofErr w:type="spellEnd"/>
            <w:r w:rsidRPr="007575D7">
              <w:rPr>
                <w:rFonts w:ascii="Times New Roman" w:eastAsia="Times New Roman" w:hAnsi="Times New Roman" w:cs="Times New Roman"/>
                <w:i/>
                <w:lang w:val="fr-FR"/>
              </w:rPr>
              <w:t xml:space="preserve"> </w:t>
            </w:r>
            <w:proofErr w:type="spellStart"/>
            <w:r w:rsidRPr="007575D7">
              <w:rPr>
                <w:rFonts w:ascii="Times New Roman" w:eastAsia="Times New Roman" w:hAnsi="Times New Roman" w:cs="Times New Roman"/>
                <w:i/>
                <w:lang w:val="fr-FR"/>
              </w:rPr>
              <w:t>adapted</w:t>
            </w:r>
            <w:proofErr w:type="spellEnd"/>
            <w:r w:rsidRPr="007575D7">
              <w:rPr>
                <w:rFonts w:ascii="Times New Roman" w:eastAsia="Times New Roman" w:hAnsi="Times New Roman" w:cs="Times New Roman"/>
                <w:i/>
                <w:lang w:val="fr-FR"/>
              </w:rPr>
              <w:t xml:space="preserve"> to </w:t>
            </w:r>
            <w:proofErr w:type="spellStart"/>
            <w:r w:rsidRPr="007575D7">
              <w:rPr>
                <w:rFonts w:ascii="Times New Roman" w:eastAsia="Times New Roman" w:hAnsi="Times New Roman" w:cs="Times New Roman"/>
                <w:i/>
                <w:lang w:val="fr-FR"/>
              </w:rPr>
              <w:t>India</w:t>
            </w:r>
            <w:proofErr w:type="spellEnd"/>
            <w:r w:rsidRPr="007575D7">
              <w:rPr>
                <w:rFonts w:ascii="Times New Roman" w:eastAsia="Times New Roman" w:hAnsi="Times New Roman" w:cs="Times New Roman"/>
                <w:i/>
                <w:lang w:val="fr-FR"/>
              </w:rPr>
              <w:t xml:space="preserve"> are </w:t>
            </w:r>
            <w:proofErr w:type="spellStart"/>
            <w:r w:rsidRPr="007575D7">
              <w:rPr>
                <w:rFonts w:ascii="Times New Roman" w:eastAsia="Times New Roman" w:hAnsi="Times New Roman" w:cs="Times New Roman"/>
                <w:i/>
                <w:lang w:val="fr-FR"/>
              </w:rPr>
              <w:t>ready</w:t>
            </w:r>
            <w:proofErr w:type="spellEnd"/>
            <w:r w:rsidRPr="007575D7">
              <w:rPr>
                <w:rFonts w:ascii="Times New Roman" w:eastAsia="Times New Roman" w:hAnsi="Times New Roman" w:cs="Times New Roman"/>
                <w:i/>
                <w:lang w:val="fr-FR"/>
              </w:rPr>
              <w:t xml:space="preserve"> for release</w:t>
            </w:r>
            <w:r w:rsidRPr="007575D7">
              <w:rPr>
                <w:rFonts w:ascii="Times New Roman" w:eastAsia="Times New Roman" w:hAnsi="Times New Roman" w:cs="Times New Roman"/>
                <w:lang w:val="fr-FR"/>
              </w:rPr>
              <w:t xml:space="preserve">.  </w:t>
            </w:r>
            <w:r w:rsidRPr="007575D7">
              <w:rPr>
                <w:rFonts w:ascii="Times New Roman" w:eastAsia="Times New Roman" w:hAnsi="Times New Roman" w:cs="Times New Roman"/>
              </w:rPr>
              <w:t xml:space="preserve">Available at </w:t>
            </w:r>
            <w:hyperlink r:id="rId113" w:history="1">
              <w:r w:rsidRPr="007575D7">
                <w:rPr>
                  <w:rFonts w:eastAsia="Times New Roman"/>
                </w:rPr>
                <w:t>http://www.icrisat.org/indian-smallholder-farmers-could-soon-benefit-from-the-growing-confectionary-peanut-market/</w:t>
              </w:r>
            </w:hyperlink>
            <w:r w:rsidRPr="00EE65D3">
              <w:rPr>
                <w:rFonts w:ascii="Times New Roman" w:hAnsi="Times New Roman" w:cs="Times New Roman"/>
              </w:rPr>
              <w:t xml:space="preserve"> </w:t>
            </w:r>
          </w:p>
        </w:tc>
      </w:tr>
      <w:tr w:rsidR="00763E5D" w:rsidRPr="00763E5D" w14:paraId="04EC2917" w14:textId="77777777" w:rsidTr="00A91B9E">
        <w:trPr>
          <w:trHeight w:val="315"/>
        </w:trPr>
        <w:tc>
          <w:tcPr>
            <w:tcW w:w="0" w:type="auto"/>
            <w:tcBorders>
              <w:top w:val="nil"/>
              <w:left w:val="nil"/>
              <w:bottom w:val="nil"/>
              <w:right w:val="nil"/>
            </w:tcBorders>
            <w:shd w:val="clear" w:color="auto" w:fill="auto"/>
            <w:noWrap/>
            <w:vAlign w:val="center"/>
            <w:hideMark/>
          </w:tcPr>
          <w:p w14:paraId="2E0720B8" w14:textId="77777777" w:rsidR="00763E5D" w:rsidRPr="00EE65D3" w:rsidRDefault="00763E5D" w:rsidP="00837781">
            <w:pPr>
              <w:spacing w:after="240"/>
              <w:ind w:left="525" w:hanging="525"/>
              <w:rPr>
                <w:rFonts w:ascii="Times New Roman" w:eastAsia="Times New Roman" w:hAnsi="Times New Roman" w:cs="Times New Roman"/>
              </w:rPr>
            </w:pPr>
            <w:r w:rsidRPr="00EE65D3">
              <w:rPr>
                <w:rFonts w:ascii="Times New Roman" w:eastAsia="Times New Roman" w:hAnsi="Times New Roman" w:cs="Times New Roman"/>
              </w:rPr>
              <w:t xml:space="preserve">International Fertilizer Development Center (IFDC). 2014. </w:t>
            </w:r>
            <w:r w:rsidRPr="00EE65D3">
              <w:rPr>
                <w:rFonts w:ascii="Times New Roman" w:eastAsia="Times New Roman" w:hAnsi="Times New Roman" w:cs="Times New Roman"/>
                <w:i/>
                <w:iCs/>
              </w:rPr>
              <w:t>Senegal Fertilizer Assessment</w:t>
            </w:r>
            <w:r w:rsidRPr="00EE65D3">
              <w:rPr>
                <w:rFonts w:ascii="Times New Roman" w:eastAsia="Times New Roman" w:hAnsi="Times New Roman" w:cs="Times New Roman"/>
              </w:rPr>
              <w:t>, p. 24</w:t>
            </w:r>
          </w:p>
          <w:p w14:paraId="4418C28B" w14:textId="7F434A55" w:rsidR="00F3238F" w:rsidRPr="00EE65D3" w:rsidRDefault="00F3238F" w:rsidP="00F3238F">
            <w:pPr>
              <w:spacing w:after="240"/>
              <w:ind w:left="525" w:hanging="525"/>
              <w:rPr>
                <w:rFonts w:ascii="Times New Roman" w:eastAsia="Times New Roman" w:hAnsi="Times New Roman" w:cs="Times New Roman"/>
              </w:rPr>
            </w:pPr>
            <w:r w:rsidRPr="00EE65D3">
              <w:rPr>
                <w:rFonts w:ascii="Times New Roman" w:eastAsia="Times New Roman" w:hAnsi="Times New Roman" w:cs="Times New Roman"/>
              </w:rPr>
              <w:t xml:space="preserve">International Trade Centre. 2015. </w:t>
            </w:r>
            <w:r w:rsidRPr="00EE65D3">
              <w:rPr>
                <w:rFonts w:ascii="Times New Roman" w:eastAsia="Times New Roman" w:hAnsi="Times New Roman" w:cs="Times New Roman"/>
                <w:i/>
              </w:rPr>
              <w:t>Edible Nuts- Groundnuts</w:t>
            </w:r>
            <w:r w:rsidRPr="00EE65D3">
              <w:rPr>
                <w:rFonts w:ascii="Times New Roman" w:eastAsia="Times New Roman" w:hAnsi="Times New Roman" w:cs="Times New Roman"/>
              </w:rPr>
              <w:t xml:space="preserve">. Available at </w:t>
            </w:r>
            <w:hyperlink r:id="rId114" w:history="1">
              <w:r w:rsidRPr="00EE65D3">
                <w:rPr>
                  <w:rFonts w:ascii="Times New Roman" w:eastAsia="Times New Roman" w:hAnsi="Times New Roman" w:cs="Times New Roman"/>
                </w:rPr>
                <w:t>http://www.intracen.org/uploadedFiles/intracen.org/Content/Exporters/Market_Data_and_Information/Market_information/Market_Insider/Edible_Nuts/Groundnut%20Quarterly%20Bulletin%20June%202015.pdf</w:t>
              </w:r>
            </w:hyperlink>
            <w:r w:rsidRPr="00EE65D3">
              <w:rPr>
                <w:rFonts w:ascii="Times New Roman" w:eastAsia="Times New Roman" w:hAnsi="Times New Roman" w:cs="Times New Roman"/>
              </w:rPr>
              <w:t xml:space="preserve"> </w:t>
            </w:r>
          </w:p>
        </w:tc>
      </w:tr>
      <w:tr w:rsidR="00763E5D" w:rsidRPr="00763E5D" w14:paraId="21F1D94E" w14:textId="77777777" w:rsidTr="00A91B9E">
        <w:trPr>
          <w:trHeight w:val="315"/>
        </w:trPr>
        <w:tc>
          <w:tcPr>
            <w:tcW w:w="0" w:type="auto"/>
            <w:tcBorders>
              <w:top w:val="nil"/>
              <w:left w:val="nil"/>
              <w:bottom w:val="nil"/>
              <w:right w:val="nil"/>
            </w:tcBorders>
            <w:shd w:val="clear" w:color="auto" w:fill="auto"/>
            <w:noWrap/>
            <w:vAlign w:val="center"/>
            <w:hideMark/>
          </w:tcPr>
          <w:p w14:paraId="72F0FB9E" w14:textId="029AEB82" w:rsidR="00F3238F" w:rsidRPr="00763E5D" w:rsidRDefault="00763E5D" w:rsidP="00F3238F">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ITFC. 2016. </w:t>
            </w:r>
            <w:r w:rsidRPr="00763E5D">
              <w:rPr>
                <w:rFonts w:ascii="Times New Roman" w:eastAsia="Times New Roman" w:hAnsi="Times New Roman" w:cs="Times New Roman"/>
                <w:i/>
                <w:iCs/>
              </w:rPr>
              <w:t xml:space="preserve">USD 75 million </w:t>
            </w:r>
            <w:proofErr w:type="spellStart"/>
            <w:r w:rsidRPr="00763E5D">
              <w:rPr>
                <w:rFonts w:ascii="Times New Roman" w:eastAsia="Times New Roman" w:hAnsi="Times New Roman" w:cs="Times New Roman"/>
                <w:i/>
                <w:iCs/>
              </w:rPr>
              <w:t>Murabaha</w:t>
            </w:r>
            <w:proofErr w:type="spellEnd"/>
            <w:r w:rsidRPr="00763E5D">
              <w:rPr>
                <w:rFonts w:ascii="Times New Roman" w:eastAsia="Times New Roman" w:hAnsi="Times New Roman" w:cs="Times New Roman"/>
                <w:i/>
                <w:iCs/>
              </w:rPr>
              <w:t xml:space="preserve"> financing agreement between ITFC and the </w:t>
            </w:r>
            <w:r w:rsidR="003B24ED">
              <w:rPr>
                <w:rFonts w:ascii="Times New Roman" w:eastAsia="Times New Roman" w:hAnsi="Times New Roman" w:cs="Times New Roman"/>
                <w:i/>
                <w:iCs/>
              </w:rPr>
              <w:t>Government</w:t>
            </w:r>
            <w:r w:rsidRPr="00763E5D">
              <w:rPr>
                <w:rFonts w:ascii="Times New Roman" w:eastAsia="Times New Roman" w:hAnsi="Times New Roman" w:cs="Times New Roman"/>
                <w:i/>
                <w:iCs/>
              </w:rPr>
              <w:t xml:space="preserve"> of Senegal for 2016-2017 groundnut campaign</w:t>
            </w:r>
            <w:r w:rsidRPr="00763E5D">
              <w:rPr>
                <w:rFonts w:ascii="Times New Roman" w:eastAsia="Times New Roman" w:hAnsi="Times New Roman" w:cs="Times New Roman"/>
              </w:rPr>
              <w:t xml:space="preserve">. Available at </w:t>
            </w:r>
            <w:hyperlink r:id="rId115" w:history="1">
              <w:r w:rsidR="00F3238F" w:rsidRPr="00AE5888">
                <w:rPr>
                  <w:rStyle w:val="Hyperlink"/>
                  <w:rFonts w:ascii="Times New Roman" w:eastAsia="Times New Roman" w:hAnsi="Times New Roman" w:cs="Times New Roman"/>
                </w:rPr>
                <w:t>http://www.itfc-idb.org/en/content/usd-75-million-murabaha-financing-agreement-between-itfc-and-</w:t>
              </w:r>
              <w:r w:rsidR="00F3238F" w:rsidRPr="00AE5888" w:rsidDel="0045583C">
                <w:rPr>
                  <w:rStyle w:val="Hyperlink"/>
                  <w:rFonts w:ascii="Times New Roman" w:eastAsia="Times New Roman" w:hAnsi="Times New Roman" w:cs="Times New Roman"/>
                </w:rPr>
                <w:t>government</w:t>
              </w:r>
              <w:r w:rsidR="00F3238F" w:rsidRPr="00AE5888">
                <w:rPr>
                  <w:rStyle w:val="Hyperlink"/>
                  <w:rFonts w:ascii="Times New Roman" w:eastAsia="Times New Roman" w:hAnsi="Times New Roman" w:cs="Times New Roman"/>
                </w:rPr>
                <w:t>Government-senegal-2016-2017</w:t>
              </w:r>
            </w:hyperlink>
          </w:p>
        </w:tc>
      </w:tr>
      <w:tr w:rsidR="00763E5D" w:rsidRPr="00763E5D" w14:paraId="31672078" w14:textId="77777777" w:rsidTr="00A91B9E">
        <w:trPr>
          <w:trHeight w:val="315"/>
        </w:trPr>
        <w:tc>
          <w:tcPr>
            <w:tcW w:w="0" w:type="auto"/>
            <w:tcBorders>
              <w:top w:val="nil"/>
              <w:left w:val="nil"/>
              <w:bottom w:val="nil"/>
              <w:right w:val="nil"/>
            </w:tcBorders>
            <w:shd w:val="clear" w:color="auto" w:fill="auto"/>
            <w:noWrap/>
            <w:vAlign w:val="center"/>
            <w:hideMark/>
          </w:tcPr>
          <w:p w14:paraId="562A5762" w14:textId="77777777" w:rsidR="00763E5D" w:rsidRPr="00763E5D" w:rsidRDefault="00763E5D" w:rsidP="00CF648B">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ITU. 2015. </w:t>
            </w:r>
            <w:r w:rsidRPr="00763E5D">
              <w:rPr>
                <w:rFonts w:ascii="Times New Roman" w:eastAsia="Times New Roman" w:hAnsi="Times New Roman" w:cs="Times New Roman"/>
                <w:i/>
                <w:iCs/>
              </w:rPr>
              <w:t>Measuring the Information Society</w:t>
            </w:r>
            <w:r w:rsidRPr="00763E5D">
              <w:rPr>
                <w:rFonts w:ascii="Times New Roman" w:eastAsia="Times New Roman" w:hAnsi="Times New Roman" w:cs="Times New Roman"/>
              </w:rPr>
              <w:t>.</w:t>
            </w:r>
          </w:p>
        </w:tc>
      </w:tr>
      <w:tr w:rsidR="00763E5D" w:rsidRPr="00763E5D" w14:paraId="5672AA64" w14:textId="77777777" w:rsidTr="00A91B9E">
        <w:trPr>
          <w:trHeight w:val="315"/>
        </w:trPr>
        <w:tc>
          <w:tcPr>
            <w:tcW w:w="0" w:type="auto"/>
            <w:tcBorders>
              <w:top w:val="nil"/>
              <w:left w:val="nil"/>
              <w:bottom w:val="nil"/>
              <w:right w:val="nil"/>
            </w:tcBorders>
            <w:shd w:val="clear" w:color="auto" w:fill="auto"/>
            <w:noWrap/>
            <w:vAlign w:val="center"/>
          </w:tcPr>
          <w:p w14:paraId="5C557B93" w14:textId="77777777" w:rsidR="00763E5D" w:rsidRPr="00763E5D" w:rsidRDefault="00763E5D" w:rsidP="00CF648B">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ITU. 2017. </w:t>
            </w:r>
            <w:r w:rsidRPr="00763E5D">
              <w:rPr>
                <w:rFonts w:ascii="Times New Roman" w:eastAsia="Times New Roman" w:hAnsi="Times New Roman" w:cs="Times New Roman"/>
                <w:i/>
                <w:iCs/>
              </w:rPr>
              <w:t>Measuring the Information Society</w:t>
            </w:r>
            <w:r w:rsidRPr="00763E5D">
              <w:rPr>
                <w:rFonts w:ascii="Times New Roman" w:eastAsia="Times New Roman" w:hAnsi="Times New Roman" w:cs="Times New Roman"/>
              </w:rPr>
              <w:t>.</w:t>
            </w:r>
          </w:p>
        </w:tc>
      </w:tr>
      <w:tr w:rsidR="00763E5D" w:rsidRPr="00763E5D" w14:paraId="7485EF64" w14:textId="77777777" w:rsidTr="00A91B9E">
        <w:trPr>
          <w:trHeight w:val="315"/>
        </w:trPr>
        <w:tc>
          <w:tcPr>
            <w:tcW w:w="0" w:type="auto"/>
            <w:tcBorders>
              <w:top w:val="nil"/>
              <w:left w:val="nil"/>
              <w:bottom w:val="nil"/>
              <w:right w:val="nil"/>
            </w:tcBorders>
            <w:shd w:val="clear" w:color="auto" w:fill="auto"/>
            <w:noWrap/>
            <w:vAlign w:val="center"/>
            <w:hideMark/>
          </w:tcPr>
          <w:p w14:paraId="07FF9F10" w14:textId="77777777" w:rsidR="00763E5D" w:rsidRPr="00763E5D" w:rsidRDefault="00763E5D" w:rsidP="00837781">
            <w:pPr>
              <w:spacing w:after="240"/>
              <w:ind w:left="525" w:hanging="525"/>
              <w:rPr>
                <w:rFonts w:ascii="Times New Roman" w:eastAsia="Times New Roman" w:hAnsi="Times New Roman" w:cs="Times New Roman"/>
              </w:rPr>
            </w:pPr>
            <w:r w:rsidRPr="007575D7">
              <w:rPr>
                <w:rFonts w:ascii="Times New Roman" w:eastAsia="Times New Roman" w:hAnsi="Times New Roman" w:cs="Times New Roman"/>
                <w:lang w:val="fr-FR"/>
              </w:rPr>
              <w:t xml:space="preserve">Jeune Afrique. 2003. </w:t>
            </w:r>
            <w:r w:rsidRPr="007575D7">
              <w:rPr>
                <w:rFonts w:ascii="Times New Roman" w:eastAsia="Times New Roman" w:hAnsi="Times New Roman" w:cs="Times New Roman"/>
                <w:i/>
                <w:iCs/>
                <w:lang w:val="fr-FR"/>
              </w:rPr>
              <w:t>Air France condamnée au Sénégal</w:t>
            </w:r>
            <w:r w:rsidRPr="007575D7">
              <w:rPr>
                <w:rFonts w:ascii="Times New Roman" w:eastAsia="Times New Roman" w:hAnsi="Times New Roman" w:cs="Times New Roman"/>
                <w:lang w:val="fr-FR"/>
              </w:rPr>
              <w:t xml:space="preserve">. </w:t>
            </w:r>
            <w:r w:rsidRPr="00763E5D">
              <w:rPr>
                <w:rFonts w:ascii="Times New Roman" w:eastAsia="Times New Roman" w:hAnsi="Times New Roman" w:cs="Times New Roman"/>
              </w:rPr>
              <w:t>Available at http://www.jeuneafrique.com/68410/archives-thematique/air-france-condamn-e-au-s-n-gal/</w:t>
            </w:r>
          </w:p>
        </w:tc>
      </w:tr>
      <w:tr w:rsidR="00763E5D" w:rsidRPr="00763E5D" w14:paraId="4BEA9F2B" w14:textId="77777777" w:rsidTr="00A91B9E">
        <w:trPr>
          <w:trHeight w:val="315"/>
        </w:trPr>
        <w:tc>
          <w:tcPr>
            <w:tcW w:w="0" w:type="auto"/>
            <w:tcBorders>
              <w:top w:val="nil"/>
              <w:left w:val="nil"/>
              <w:bottom w:val="nil"/>
              <w:right w:val="nil"/>
            </w:tcBorders>
            <w:shd w:val="clear" w:color="auto" w:fill="auto"/>
            <w:noWrap/>
            <w:vAlign w:val="center"/>
            <w:hideMark/>
          </w:tcPr>
          <w:p w14:paraId="513DD393" w14:textId="77777777" w:rsidR="00763E5D" w:rsidRPr="00763E5D" w:rsidRDefault="00763E5D" w:rsidP="00837781">
            <w:pPr>
              <w:spacing w:after="240"/>
              <w:ind w:left="525" w:hanging="525"/>
              <w:rPr>
                <w:rFonts w:ascii="Times New Roman" w:eastAsia="Times New Roman" w:hAnsi="Times New Roman" w:cs="Times New Roman"/>
              </w:rPr>
            </w:pPr>
            <w:r w:rsidRPr="007575D7">
              <w:rPr>
                <w:rFonts w:ascii="Times New Roman" w:eastAsia="Times New Roman" w:hAnsi="Times New Roman" w:cs="Times New Roman"/>
                <w:lang w:val="fr-FR"/>
              </w:rPr>
              <w:t xml:space="preserve">Jeune Afrique. 2016. Sénégal : </w:t>
            </w:r>
            <w:r w:rsidRPr="007575D7">
              <w:rPr>
                <w:rFonts w:ascii="Times New Roman" w:eastAsia="Times New Roman" w:hAnsi="Times New Roman" w:cs="Times New Roman"/>
                <w:i/>
                <w:iCs/>
                <w:lang w:val="fr-FR"/>
              </w:rPr>
              <w:t>Arachide, l’état d’urgence</w:t>
            </w:r>
            <w:r w:rsidRPr="007575D7">
              <w:rPr>
                <w:rFonts w:ascii="Times New Roman" w:eastAsia="Times New Roman" w:hAnsi="Times New Roman" w:cs="Times New Roman"/>
                <w:lang w:val="fr-FR"/>
              </w:rPr>
              <w:t xml:space="preserve">. </w:t>
            </w:r>
            <w:r w:rsidRPr="00763E5D">
              <w:rPr>
                <w:rFonts w:ascii="Times New Roman" w:eastAsia="Times New Roman" w:hAnsi="Times New Roman" w:cs="Times New Roman"/>
              </w:rPr>
              <w:t>Available at: http://www.jeuneafrique.com/mag/340235/economie/senegal-arachide-letat-d-urgence/</w:t>
            </w:r>
          </w:p>
        </w:tc>
      </w:tr>
      <w:tr w:rsidR="00763E5D" w:rsidRPr="00763E5D" w14:paraId="43FBDE19" w14:textId="77777777" w:rsidTr="00A91B9E">
        <w:trPr>
          <w:trHeight w:val="315"/>
        </w:trPr>
        <w:tc>
          <w:tcPr>
            <w:tcW w:w="0" w:type="auto"/>
            <w:tcBorders>
              <w:top w:val="nil"/>
              <w:left w:val="nil"/>
              <w:bottom w:val="nil"/>
              <w:right w:val="nil"/>
            </w:tcBorders>
            <w:shd w:val="clear" w:color="auto" w:fill="auto"/>
            <w:noWrap/>
            <w:vAlign w:val="center"/>
          </w:tcPr>
          <w:p w14:paraId="02E91CA0" w14:textId="77777777" w:rsidR="00763E5D" w:rsidRPr="007575D7" w:rsidRDefault="00763E5D" w:rsidP="008C518E">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lang w:val="en-GB"/>
              </w:rPr>
              <w:t>Kitzmuller M. and M. Licetti. 2012.</w:t>
            </w:r>
            <w:r w:rsidRPr="00763E5D">
              <w:rPr>
                <w:rFonts w:ascii="Times New Roman" w:eastAsia="Times New Roman" w:hAnsi="Times New Roman" w:cs="Times New Roman"/>
                <w:i/>
                <w:lang w:val="en-GB"/>
              </w:rPr>
              <w:t xml:space="preserve"> Competition Policy: Encouraging Thriving Markets for Development</w:t>
            </w:r>
            <w:r w:rsidRPr="00763E5D">
              <w:rPr>
                <w:rFonts w:ascii="Times New Roman" w:eastAsia="Times New Roman" w:hAnsi="Times New Roman" w:cs="Times New Roman"/>
                <w:lang w:val="en-GB"/>
              </w:rPr>
              <w:t>. Viewpoint Note Number 331, World Bank Group, August 2012.</w:t>
            </w:r>
          </w:p>
        </w:tc>
      </w:tr>
      <w:tr w:rsidR="00763E5D" w:rsidRPr="00763E5D" w14:paraId="475C1012" w14:textId="77777777" w:rsidTr="00A91B9E">
        <w:trPr>
          <w:trHeight w:val="315"/>
        </w:trPr>
        <w:tc>
          <w:tcPr>
            <w:tcW w:w="0" w:type="auto"/>
            <w:tcBorders>
              <w:top w:val="nil"/>
              <w:left w:val="nil"/>
              <w:bottom w:val="nil"/>
              <w:right w:val="nil"/>
            </w:tcBorders>
            <w:shd w:val="clear" w:color="auto" w:fill="auto"/>
            <w:noWrap/>
            <w:vAlign w:val="center"/>
          </w:tcPr>
          <w:p w14:paraId="308432DC" w14:textId="77777777" w:rsidR="00763E5D" w:rsidRPr="00763E5D" w:rsidRDefault="00763E5D" w:rsidP="00946A08">
            <w:pPr>
              <w:pStyle w:val="FootnoteText"/>
              <w:rPr>
                <w:rFonts w:ascii="Times New Roman" w:hAnsi="Times New Roman" w:cs="Times New Roman"/>
              </w:rPr>
            </w:pPr>
            <w:r w:rsidRPr="00763E5D">
              <w:rPr>
                <w:rFonts w:ascii="Times New Roman" w:hAnsi="Times New Roman" w:cs="Times New Roman"/>
              </w:rPr>
              <w:t xml:space="preserve">Laurent Benzoni and Pascal </w:t>
            </w:r>
            <w:proofErr w:type="spellStart"/>
            <w:r w:rsidRPr="00763E5D">
              <w:rPr>
                <w:rFonts w:ascii="Times New Roman" w:hAnsi="Times New Roman" w:cs="Times New Roman"/>
              </w:rPr>
              <w:t>Dutru</w:t>
            </w:r>
            <w:proofErr w:type="spellEnd"/>
            <w:r w:rsidRPr="00763E5D">
              <w:rPr>
                <w:rFonts w:ascii="Times New Roman" w:hAnsi="Times New Roman" w:cs="Times New Roman"/>
              </w:rPr>
              <w:t xml:space="preserve">. 2016. </w:t>
            </w:r>
            <w:r w:rsidRPr="00763E5D">
              <w:rPr>
                <w:rFonts w:ascii="Times New Roman" w:hAnsi="Times New Roman" w:cs="Times New Roman"/>
                <w:i/>
              </w:rPr>
              <w:t>The Radio Spectrum Ladder of Investment to promote Innovation and Competition in Mobile Markets</w:t>
            </w:r>
            <w:r w:rsidRPr="00763E5D">
              <w:rPr>
                <w:rFonts w:ascii="Times New Roman" w:hAnsi="Times New Roman" w:cs="Times New Roman"/>
              </w:rPr>
              <w:t xml:space="preserve">. </w:t>
            </w:r>
            <w:proofErr w:type="spellStart"/>
            <w:r w:rsidRPr="00763E5D">
              <w:rPr>
                <w:rFonts w:ascii="Times New Roman" w:hAnsi="Times New Roman" w:cs="Times New Roman"/>
                <w:i/>
              </w:rPr>
              <w:t>Digiworld</w:t>
            </w:r>
            <w:proofErr w:type="spellEnd"/>
            <w:r w:rsidRPr="00763E5D">
              <w:rPr>
                <w:rFonts w:ascii="Times New Roman" w:hAnsi="Times New Roman" w:cs="Times New Roman"/>
                <w:i/>
              </w:rPr>
              <w:t xml:space="preserve"> Economic Journal</w:t>
            </w:r>
            <w:r w:rsidRPr="00763E5D">
              <w:rPr>
                <w:rFonts w:ascii="Times New Roman" w:hAnsi="Times New Roman" w:cs="Times New Roman"/>
              </w:rPr>
              <w:t>, No. 102, 2nd Q. 2016.</w:t>
            </w:r>
          </w:p>
          <w:p w14:paraId="5AA0013B" w14:textId="77777777" w:rsidR="00763E5D" w:rsidRPr="00763E5D" w:rsidRDefault="00763E5D" w:rsidP="00946A08">
            <w:pPr>
              <w:pStyle w:val="FootnoteText"/>
              <w:rPr>
                <w:rFonts w:ascii="Times New Roman" w:eastAsia="Times New Roman" w:hAnsi="Times New Roman" w:cs="Times New Roman"/>
                <w:lang w:val="en-GB"/>
              </w:rPr>
            </w:pPr>
          </w:p>
        </w:tc>
      </w:tr>
      <w:tr w:rsidR="00763E5D" w:rsidRPr="001164DA" w14:paraId="2E795D36" w14:textId="77777777" w:rsidTr="00A91B9E">
        <w:trPr>
          <w:trHeight w:val="315"/>
        </w:trPr>
        <w:tc>
          <w:tcPr>
            <w:tcW w:w="0" w:type="auto"/>
            <w:tcBorders>
              <w:top w:val="nil"/>
              <w:left w:val="nil"/>
              <w:bottom w:val="nil"/>
              <w:right w:val="nil"/>
            </w:tcBorders>
            <w:shd w:val="clear" w:color="auto" w:fill="auto"/>
            <w:noWrap/>
            <w:vAlign w:val="center"/>
            <w:hideMark/>
          </w:tcPr>
          <w:p w14:paraId="31E16200"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Law n° 2016-35 “portant loi de finances pour l’année 2017”</w:t>
            </w:r>
            <w:r w:rsidRPr="007575D7">
              <w:rPr>
                <w:rFonts w:ascii="Times New Roman" w:eastAsia="Times New Roman" w:hAnsi="Times New Roman" w:cs="Times New Roman"/>
                <w:i/>
                <w:iCs/>
                <w:lang w:val="fr-FR"/>
              </w:rPr>
              <w:t>.</w:t>
            </w:r>
          </w:p>
        </w:tc>
      </w:tr>
      <w:tr w:rsidR="00763E5D" w:rsidRPr="00763E5D" w14:paraId="070E50B5" w14:textId="77777777" w:rsidTr="00A91B9E">
        <w:trPr>
          <w:trHeight w:val="315"/>
        </w:trPr>
        <w:tc>
          <w:tcPr>
            <w:tcW w:w="0" w:type="auto"/>
            <w:tcBorders>
              <w:top w:val="nil"/>
              <w:left w:val="nil"/>
              <w:bottom w:val="nil"/>
              <w:right w:val="nil"/>
            </w:tcBorders>
            <w:shd w:val="clear" w:color="auto" w:fill="auto"/>
            <w:noWrap/>
            <w:vAlign w:val="center"/>
            <w:hideMark/>
          </w:tcPr>
          <w:p w14:paraId="00F9B7D7"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Law No. 2002-23</w:t>
            </w:r>
          </w:p>
        </w:tc>
      </w:tr>
      <w:tr w:rsidR="00763E5D" w:rsidRPr="00763E5D" w14:paraId="2BB95C4B" w14:textId="77777777" w:rsidTr="00A91B9E">
        <w:trPr>
          <w:trHeight w:val="315"/>
        </w:trPr>
        <w:tc>
          <w:tcPr>
            <w:tcW w:w="0" w:type="auto"/>
            <w:tcBorders>
              <w:top w:val="nil"/>
              <w:left w:val="nil"/>
              <w:bottom w:val="nil"/>
              <w:right w:val="nil"/>
            </w:tcBorders>
            <w:shd w:val="clear" w:color="auto" w:fill="auto"/>
            <w:noWrap/>
            <w:vAlign w:val="center"/>
            <w:hideMark/>
          </w:tcPr>
          <w:p w14:paraId="4B3AD991"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Law No. 98–29 of 14 April 1998 on electricity in Senegal</w:t>
            </w:r>
          </w:p>
        </w:tc>
      </w:tr>
      <w:tr w:rsidR="00763E5D" w:rsidRPr="00763E5D" w14:paraId="534047BF" w14:textId="77777777" w:rsidTr="00C271A3">
        <w:trPr>
          <w:trHeight w:val="315"/>
        </w:trPr>
        <w:tc>
          <w:tcPr>
            <w:tcW w:w="0" w:type="auto"/>
            <w:tcBorders>
              <w:top w:val="nil"/>
              <w:left w:val="nil"/>
              <w:bottom w:val="nil"/>
              <w:right w:val="nil"/>
            </w:tcBorders>
            <w:shd w:val="clear" w:color="auto" w:fill="auto"/>
            <w:noWrap/>
          </w:tcPr>
          <w:p w14:paraId="0116657E" w14:textId="77777777" w:rsidR="00763E5D" w:rsidRPr="00763E5D" w:rsidRDefault="00763E5D" w:rsidP="00837781">
            <w:pPr>
              <w:spacing w:after="240"/>
              <w:ind w:left="525" w:hanging="525"/>
              <w:rPr>
                <w:rFonts w:ascii="Times New Roman" w:eastAsia="Times New Roman" w:hAnsi="Times New Roman" w:cs="Times New Roman"/>
              </w:rPr>
            </w:pPr>
            <w:proofErr w:type="spellStart"/>
            <w:r w:rsidRPr="00763E5D">
              <w:rPr>
                <w:rFonts w:ascii="Times New Roman" w:hAnsi="Times New Roman" w:cs="Times New Roman"/>
                <w:lang w:val="es-419"/>
              </w:rPr>
              <w:t>Lettre</w:t>
            </w:r>
            <w:proofErr w:type="spellEnd"/>
            <w:r w:rsidRPr="00763E5D">
              <w:rPr>
                <w:rFonts w:ascii="Times New Roman" w:hAnsi="Times New Roman" w:cs="Times New Roman"/>
                <w:lang w:val="es-419"/>
              </w:rPr>
              <w:t xml:space="preserve"> </w:t>
            </w:r>
            <w:proofErr w:type="spellStart"/>
            <w:r w:rsidRPr="00763E5D">
              <w:rPr>
                <w:rFonts w:ascii="Times New Roman" w:hAnsi="Times New Roman" w:cs="Times New Roman"/>
                <w:lang w:val="es-419"/>
              </w:rPr>
              <w:t>circulaier</w:t>
            </w:r>
            <w:proofErr w:type="spellEnd"/>
            <w:r w:rsidRPr="00763E5D">
              <w:rPr>
                <w:rFonts w:ascii="Times New Roman" w:hAnsi="Times New Roman" w:cs="Times New Roman"/>
                <w:lang w:val="es-419"/>
              </w:rPr>
              <w:t xml:space="preserve"> no. 22.60 MAER/DA du 26 </w:t>
            </w:r>
            <w:proofErr w:type="spellStart"/>
            <w:r w:rsidRPr="00763E5D">
              <w:rPr>
                <w:rFonts w:ascii="Times New Roman" w:hAnsi="Times New Roman" w:cs="Times New Roman"/>
                <w:lang w:val="es-419"/>
              </w:rPr>
              <w:t>decembre</w:t>
            </w:r>
            <w:proofErr w:type="spellEnd"/>
            <w:r w:rsidRPr="00763E5D">
              <w:rPr>
                <w:rFonts w:ascii="Times New Roman" w:hAnsi="Times New Roman" w:cs="Times New Roman"/>
                <w:lang w:val="es-419"/>
              </w:rPr>
              <w:t xml:space="preserve"> 2016</w:t>
            </w:r>
          </w:p>
        </w:tc>
      </w:tr>
      <w:tr w:rsidR="00763E5D" w:rsidRPr="001164DA" w14:paraId="6E694666" w14:textId="77777777" w:rsidTr="00A91B9E">
        <w:trPr>
          <w:trHeight w:val="315"/>
        </w:trPr>
        <w:tc>
          <w:tcPr>
            <w:tcW w:w="0" w:type="auto"/>
            <w:tcBorders>
              <w:top w:val="nil"/>
              <w:left w:val="nil"/>
              <w:bottom w:val="nil"/>
              <w:right w:val="nil"/>
            </w:tcBorders>
            <w:shd w:val="clear" w:color="auto" w:fill="auto"/>
            <w:noWrap/>
            <w:vAlign w:val="center"/>
            <w:hideMark/>
          </w:tcPr>
          <w:p w14:paraId="640D5456"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Loi 65-25 du 4 mars 1965 sur les prix et les infractions à la législation économique.</w:t>
            </w:r>
          </w:p>
        </w:tc>
      </w:tr>
      <w:tr w:rsidR="00763E5D" w:rsidRPr="001164DA" w14:paraId="48B785AD" w14:textId="77777777" w:rsidTr="00A91B9E">
        <w:trPr>
          <w:trHeight w:val="315"/>
        </w:trPr>
        <w:tc>
          <w:tcPr>
            <w:tcW w:w="0" w:type="auto"/>
            <w:tcBorders>
              <w:top w:val="nil"/>
              <w:left w:val="nil"/>
              <w:bottom w:val="nil"/>
              <w:right w:val="nil"/>
            </w:tcBorders>
            <w:shd w:val="clear" w:color="auto" w:fill="auto"/>
            <w:noWrap/>
            <w:vAlign w:val="center"/>
            <w:hideMark/>
          </w:tcPr>
          <w:p w14:paraId="57BEAB1E"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Loi n°2012-18 du 17 décembre </w:t>
            </w:r>
            <w:proofErr w:type="gramStart"/>
            <w:r w:rsidRPr="007575D7">
              <w:rPr>
                <w:rFonts w:ascii="Times New Roman" w:eastAsia="Times New Roman" w:hAnsi="Times New Roman" w:cs="Times New Roman"/>
                <w:lang w:val="fr-FR"/>
              </w:rPr>
              <w:t>2012:</w:t>
            </w:r>
            <w:proofErr w:type="gramEnd"/>
            <w:r w:rsidRPr="007575D7">
              <w:rPr>
                <w:rFonts w:ascii="Times New Roman" w:eastAsia="Times New Roman" w:hAnsi="Times New Roman" w:cs="Times New Roman"/>
                <w:lang w:val="fr-FR"/>
              </w:rPr>
              <w:t xml:space="preserve"> </w:t>
            </w:r>
            <w:r w:rsidRPr="007575D7">
              <w:rPr>
                <w:rFonts w:ascii="Times New Roman" w:eastAsia="Times New Roman" w:hAnsi="Times New Roman" w:cs="Times New Roman"/>
                <w:i/>
                <w:iCs/>
                <w:lang w:val="fr-FR"/>
              </w:rPr>
              <w:t>Loi de finances pour 2013</w:t>
            </w:r>
            <w:r w:rsidRPr="007575D7">
              <w:rPr>
                <w:rFonts w:ascii="Times New Roman" w:eastAsia="Times New Roman" w:hAnsi="Times New Roman" w:cs="Times New Roman"/>
                <w:lang w:val="fr-FR"/>
              </w:rPr>
              <w:t>.</w:t>
            </w:r>
          </w:p>
        </w:tc>
      </w:tr>
      <w:tr w:rsidR="00763E5D" w:rsidRPr="001164DA" w14:paraId="077408EF" w14:textId="77777777" w:rsidTr="00A91B9E">
        <w:trPr>
          <w:trHeight w:val="315"/>
        </w:trPr>
        <w:tc>
          <w:tcPr>
            <w:tcW w:w="0" w:type="auto"/>
            <w:tcBorders>
              <w:top w:val="nil"/>
              <w:left w:val="nil"/>
              <w:bottom w:val="nil"/>
              <w:right w:val="nil"/>
            </w:tcBorders>
            <w:shd w:val="clear" w:color="auto" w:fill="auto"/>
            <w:noWrap/>
            <w:vAlign w:val="center"/>
            <w:hideMark/>
          </w:tcPr>
          <w:p w14:paraId="43900747"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Makhfou Mahécor DIOUF, Commissaire aux enquêtes économiques, Secrétaire général de la Commission de la Concurrence du Sénégal, “Plaidoyer pour le renforcement des politiques de la concurrence : le cas de la Commission nationale de la Concurrence du Sénégal”, 08 décembre 2016</w:t>
            </w:r>
          </w:p>
        </w:tc>
      </w:tr>
      <w:tr w:rsidR="00763E5D" w:rsidRPr="00763E5D" w14:paraId="2E4695A2" w14:textId="77777777" w:rsidTr="00A91B9E">
        <w:trPr>
          <w:trHeight w:val="315"/>
        </w:trPr>
        <w:tc>
          <w:tcPr>
            <w:tcW w:w="0" w:type="auto"/>
            <w:tcBorders>
              <w:top w:val="nil"/>
              <w:left w:val="nil"/>
              <w:bottom w:val="nil"/>
              <w:right w:val="nil"/>
            </w:tcBorders>
            <w:shd w:val="clear" w:color="auto" w:fill="auto"/>
            <w:noWrap/>
            <w:vAlign w:val="center"/>
            <w:hideMark/>
          </w:tcPr>
          <w:p w14:paraId="09878002" w14:textId="77777777" w:rsidR="00763E5D" w:rsidRPr="00763E5D" w:rsidRDefault="00763E5D" w:rsidP="00837781">
            <w:pPr>
              <w:spacing w:after="240"/>
              <w:ind w:left="525" w:hanging="525"/>
              <w:rPr>
                <w:rFonts w:ascii="Times New Roman" w:eastAsia="Times New Roman" w:hAnsi="Times New Roman" w:cs="Times New Roman"/>
              </w:rPr>
            </w:pPr>
            <w:proofErr w:type="spellStart"/>
            <w:r w:rsidRPr="00763E5D">
              <w:rPr>
                <w:rFonts w:ascii="Times New Roman" w:eastAsia="Times New Roman" w:hAnsi="Times New Roman" w:cs="Times New Roman"/>
              </w:rPr>
              <w:t>Malick</w:t>
            </w:r>
            <w:proofErr w:type="spellEnd"/>
            <w:r w:rsidRPr="00763E5D">
              <w:rPr>
                <w:rFonts w:ascii="Times New Roman" w:eastAsia="Times New Roman" w:hAnsi="Times New Roman" w:cs="Times New Roman"/>
              </w:rPr>
              <w:t xml:space="preserve"> Diallo. 2013. </w:t>
            </w:r>
            <w:r w:rsidRPr="00763E5D">
              <w:rPr>
                <w:rFonts w:ascii="Times New Roman" w:eastAsia="Times New Roman" w:hAnsi="Times New Roman" w:cs="Times New Roman"/>
                <w:i/>
                <w:iCs/>
              </w:rPr>
              <w:t>Senegal: Competition Commission</w:t>
            </w:r>
            <w:r w:rsidRPr="00763E5D">
              <w:rPr>
                <w:rFonts w:ascii="Times New Roman" w:eastAsia="Times New Roman" w:hAnsi="Times New Roman" w:cs="Times New Roman"/>
              </w:rPr>
              <w:t xml:space="preserve">, GCRI African and Middle Eastern Antitrust Review 2014. </w:t>
            </w:r>
          </w:p>
        </w:tc>
      </w:tr>
      <w:tr w:rsidR="00763E5D" w:rsidRPr="00763E5D" w14:paraId="154BE66F" w14:textId="77777777" w:rsidTr="00A91B9E">
        <w:trPr>
          <w:trHeight w:val="315"/>
        </w:trPr>
        <w:tc>
          <w:tcPr>
            <w:tcW w:w="0" w:type="auto"/>
            <w:tcBorders>
              <w:top w:val="nil"/>
              <w:left w:val="nil"/>
              <w:bottom w:val="nil"/>
              <w:right w:val="nil"/>
            </w:tcBorders>
            <w:shd w:val="clear" w:color="auto" w:fill="auto"/>
            <w:noWrap/>
            <w:vAlign w:val="center"/>
          </w:tcPr>
          <w:p w14:paraId="02530ADA" w14:textId="30F77DFB" w:rsidR="00763E5D" w:rsidRDefault="00763E5D" w:rsidP="00837781">
            <w:pPr>
              <w:spacing w:after="240"/>
              <w:ind w:left="525" w:hanging="525"/>
              <w:rPr>
                <w:rFonts w:ascii="Times New Roman" w:hAnsi="Times New Roman" w:cs="Times New Roman"/>
              </w:rPr>
            </w:pPr>
            <w:r w:rsidRPr="00763E5D">
              <w:rPr>
                <w:rFonts w:ascii="Times New Roman" w:eastAsia="Times New Roman" w:hAnsi="Times New Roman" w:cs="Times New Roman"/>
              </w:rPr>
              <w:t xml:space="preserve">Many Possibilities. 2017: </w:t>
            </w:r>
            <w:hyperlink r:id="rId116" w:history="1">
              <w:r w:rsidR="00DD70D7" w:rsidRPr="00AE5888">
                <w:rPr>
                  <w:rStyle w:val="Hyperlink"/>
                  <w:rFonts w:ascii="Times New Roman" w:hAnsi="Times New Roman" w:cs="Times New Roman"/>
                </w:rPr>
                <w:t>https://manypossibilities.net/2017/04/the-failure-of-spectrum-auctions-in-africa/</w:t>
              </w:r>
            </w:hyperlink>
          </w:p>
          <w:p w14:paraId="64E73793" w14:textId="1FA74FD1" w:rsidR="00DD70D7" w:rsidRPr="00763E5D" w:rsidRDefault="00DD70D7" w:rsidP="00837781">
            <w:pPr>
              <w:spacing w:after="240"/>
              <w:ind w:left="525" w:hanging="525"/>
              <w:rPr>
                <w:rFonts w:ascii="Times New Roman" w:eastAsia="Times New Roman" w:hAnsi="Times New Roman" w:cs="Times New Roman"/>
              </w:rPr>
            </w:pPr>
            <w:proofErr w:type="spellStart"/>
            <w:r w:rsidRPr="00B57E98">
              <w:rPr>
                <w:rFonts w:ascii="Times New Roman" w:hAnsi="Times New Roman" w:cs="Times New Roman"/>
                <w:color w:val="000000"/>
                <w:lang w:val="es-ES"/>
              </w:rPr>
              <w:t>Martins</w:t>
            </w:r>
            <w:proofErr w:type="spellEnd"/>
            <w:r w:rsidRPr="00B57E98">
              <w:rPr>
                <w:rFonts w:ascii="Times New Roman" w:hAnsi="Times New Roman" w:cs="Times New Roman"/>
                <w:color w:val="000000"/>
                <w:lang w:val="es-ES"/>
              </w:rPr>
              <w:t xml:space="preserve"> Sampaio, R. </w:t>
            </w:r>
            <w:proofErr w:type="spellStart"/>
            <w:r w:rsidRPr="00B57E98">
              <w:rPr>
                <w:rFonts w:ascii="Times New Roman" w:hAnsi="Times New Roman" w:cs="Times New Roman"/>
                <w:i/>
                <w:color w:val="000000"/>
                <w:lang w:val="es-ES"/>
              </w:rPr>
              <w:t>Tecnologia</w:t>
            </w:r>
            <w:proofErr w:type="spellEnd"/>
            <w:r w:rsidRPr="00B57E98">
              <w:rPr>
                <w:rFonts w:ascii="Times New Roman" w:hAnsi="Times New Roman" w:cs="Times New Roman"/>
                <w:i/>
                <w:color w:val="000000"/>
                <w:lang w:val="es-ES"/>
              </w:rPr>
              <w:t xml:space="preserve"> e </w:t>
            </w:r>
            <w:proofErr w:type="spellStart"/>
            <w:r w:rsidRPr="00B57E98">
              <w:rPr>
                <w:rFonts w:ascii="Times New Roman" w:hAnsi="Times New Roman" w:cs="Times New Roman"/>
                <w:i/>
                <w:color w:val="000000"/>
                <w:lang w:val="es-ES"/>
              </w:rPr>
              <w:t>Inovação</w:t>
            </w:r>
            <w:proofErr w:type="spellEnd"/>
            <w:r w:rsidRPr="00B57E98">
              <w:rPr>
                <w:rFonts w:ascii="Times New Roman" w:hAnsi="Times New Roman" w:cs="Times New Roman"/>
                <w:i/>
                <w:color w:val="000000"/>
                <w:lang w:val="es-ES"/>
              </w:rPr>
              <w:t xml:space="preserve">: </w:t>
            </w:r>
            <w:proofErr w:type="spellStart"/>
            <w:r w:rsidRPr="00B57E98">
              <w:rPr>
                <w:rFonts w:ascii="Times New Roman" w:hAnsi="Times New Roman" w:cs="Times New Roman"/>
                <w:i/>
                <w:color w:val="000000"/>
                <w:lang w:val="es-ES"/>
              </w:rPr>
              <w:t>evolução</w:t>
            </w:r>
            <w:proofErr w:type="spellEnd"/>
            <w:r w:rsidRPr="00B57E98">
              <w:rPr>
                <w:rFonts w:ascii="Times New Roman" w:hAnsi="Times New Roman" w:cs="Times New Roman"/>
                <w:i/>
                <w:color w:val="000000"/>
                <w:lang w:val="es-ES"/>
              </w:rPr>
              <w:t xml:space="preserve"> e demandas </w:t>
            </w:r>
            <w:proofErr w:type="spellStart"/>
            <w:r w:rsidRPr="00B57E98">
              <w:rPr>
                <w:rFonts w:ascii="Times New Roman" w:hAnsi="Times New Roman" w:cs="Times New Roman"/>
                <w:i/>
                <w:color w:val="000000"/>
                <w:lang w:val="es-ES"/>
              </w:rPr>
              <w:t>na</w:t>
            </w:r>
            <w:proofErr w:type="spellEnd"/>
            <w:r w:rsidRPr="00B57E98">
              <w:rPr>
                <w:rFonts w:ascii="Times New Roman" w:hAnsi="Times New Roman" w:cs="Times New Roman"/>
                <w:i/>
                <w:color w:val="000000"/>
                <w:lang w:val="es-ES"/>
              </w:rPr>
              <w:t xml:space="preserve"> </w:t>
            </w:r>
            <w:proofErr w:type="spellStart"/>
            <w:r w:rsidRPr="00B57E98">
              <w:rPr>
                <w:rFonts w:ascii="Times New Roman" w:hAnsi="Times New Roman" w:cs="Times New Roman"/>
                <w:i/>
                <w:color w:val="000000"/>
                <w:lang w:val="es-ES"/>
              </w:rPr>
              <w:t>produção</w:t>
            </w:r>
            <w:proofErr w:type="spellEnd"/>
            <w:r w:rsidRPr="00B57E98">
              <w:rPr>
                <w:rFonts w:ascii="Times New Roman" w:hAnsi="Times New Roman" w:cs="Times New Roman"/>
                <w:i/>
                <w:color w:val="000000"/>
                <w:lang w:val="es-ES"/>
              </w:rPr>
              <w:t xml:space="preserve"> paulista de </w:t>
            </w:r>
            <w:proofErr w:type="spellStart"/>
            <w:r w:rsidRPr="00B57E98">
              <w:rPr>
                <w:rFonts w:ascii="Times New Roman" w:hAnsi="Times New Roman" w:cs="Times New Roman"/>
                <w:i/>
                <w:color w:val="000000"/>
                <w:lang w:val="es-ES"/>
              </w:rPr>
              <w:t>amendoim</w:t>
            </w:r>
            <w:proofErr w:type="spellEnd"/>
            <w:r w:rsidRPr="00B57E98">
              <w:rPr>
                <w:rFonts w:ascii="Times New Roman" w:hAnsi="Times New Roman" w:cs="Times New Roman"/>
                <w:i/>
                <w:color w:val="000000"/>
                <w:lang w:val="es-ES"/>
              </w:rPr>
              <w:t xml:space="preserve">. </w:t>
            </w:r>
            <w:proofErr w:type="spellStart"/>
            <w:r w:rsidRPr="00B57E98">
              <w:rPr>
                <w:rFonts w:ascii="Times New Roman" w:hAnsi="Times New Roman" w:cs="Times New Roman"/>
                <w:color w:val="000000"/>
              </w:rPr>
              <w:t>Informações</w:t>
            </w:r>
            <w:proofErr w:type="spellEnd"/>
            <w:r w:rsidRPr="00B57E98">
              <w:rPr>
                <w:rFonts w:ascii="Times New Roman" w:hAnsi="Times New Roman" w:cs="Times New Roman"/>
                <w:color w:val="000000"/>
              </w:rPr>
              <w:t xml:space="preserve"> </w:t>
            </w:r>
            <w:proofErr w:type="spellStart"/>
            <w:r w:rsidRPr="00B57E98">
              <w:rPr>
                <w:rFonts w:ascii="Times New Roman" w:hAnsi="Times New Roman" w:cs="Times New Roman"/>
                <w:color w:val="000000"/>
              </w:rPr>
              <w:t>Econômicas</w:t>
            </w:r>
            <w:proofErr w:type="spellEnd"/>
            <w:r w:rsidRPr="00B57E98">
              <w:rPr>
                <w:rFonts w:ascii="Times New Roman" w:hAnsi="Times New Roman" w:cs="Times New Roman"/>
                <w:color w:val="000000"/>
              </w:rPr>
              <w:t xml:space="preserve">, SP, v. 46, n. 4, </w:t>
            </w:r>
            <w:proofErr w:type="spellStart"/>
            <w:proofErr w:type="gramStart"/>
            <w:r w:rsidRPr="00B57E98">
              <w:rPr>
                <w:rFonts w:ascii="Times New Roman" w:hAnsi="Times New Roman" w:cs="Times New Roman"/>
                <w:color w:val="000000"/>
              </w:rPr>
              <w:t>jul.</w:t>
            </w:r>
            <w:proofErr w:type="spellEnd"/>
            <w:r w:rsidRPr="00B57E98">
              <w:rPr>
                <w:rFonts w:ascii="Times New Roman" w:hAnsi="Times New Roman" w:cs="Times New Roman"/>
                <w:color w:val="000000"/>
              </w:rPr>
              <w:t>/</w:t>
            </w:r>
            <w:proofErr w:type="gramEnd"/>
            <w:r w:rsidRPr="00B57E98">
              <w:rPr>
                <w:rFonts w:ascii="Times New Roman" w:hAnsi="Times New Roman" w:cs="Times New Roman"/>
                <w:color w:val="000000"/>
              </w:rPr>
              <w:t>ago. 2016</w:t>
            </w:r>
            <w:r>
              <w:rPr>
                <w:rFonts w:ascii="Times New Roman" w:hAnsi="Times New Roman" w:cs="Times New Roman"/>
                <w:color w:val="000000"/>
              </w:rPr>
              <w:t>. A</w:t>
            </w:r>
            <w:r w:rsidRPr="00B57E98">
              <w:rPr>
                <w:rFonts w:ascii="Times New Roman" w:hAnsi="Times New Roman" w:cs="Times New Roman"/>
                <w:color w:val="000000"/>
              </w:rPr>
              <w:t xml:space="preserve">vailable at </w:t>
            </w:r>
            <w:hyperlink r:id="rId117" w:history="1">
              <w:r w:rsidRPr="00B57E98">
                <w:rPr>
                  <w:rStyle w:val="Hyperlink"/>
                  <w:rFonts w:ascii="Times New Roman" w:hAnsi="Times New Roman" w:cs="Times New Roman"/>
                </w:rPr>
                <w:t>http://www.iea.sp.gov.br/ftpiea/IE/2016/tec3-0816.pdf</w:t>
              </w:r>
            </w:hyperlink>
          </w:p>
        </w:tc>
      </w:tr>
      <w:tr w:rsidR="00763E5D" w:rsidRPr="00763E5D" w14:paraId="2DA880AF" w14:textId="77777777" w:rsidTr="00A91B9E">
        <w:trPr>
          <w:trHeight w:val="315"/>
        </w:trPr>
        <w:tc>
          <w:tcPr>
            <w:tcW w:w="0" w:type="auto"/>
            <w:tcBorders>
              <w:top w:val="nil"/>
              <w:left w:val="nil"/>
              <w:bottom w:val="nil"/>
              <w:right w:val="nil"/>
            </w:tcBorders>
            <w:shd w:val="clear" w:color="auto" w:fill="auto"/>
            <w:noWrap/>
            <w:vAlign w:val="center"/>
            <w:hideMark/>
          </w:tcPr>
          <w:p w14:paraId="1BD3F69C" w14:textId="77777777" w:rsidR="00763E5D" w:rsidRPr="00763E5D" w:rsidRDefault="00763E5D" w:rsidP="00837781">
            <w:pPr>
              <w:spacing w:after="240"/>
              <w:ind w:left="525" w:hanging="525"/>
              <w:rPr>
                <w:rFonts w:ascii="Times New Roman" w:eastAsia="Times New Roman" w:hAnsi="Times New Roman" w:cs="Times New Roman"/>
              </w:rPr>
            </w:pPr>
            <w:proofErr w:type="spellStart"/>
            <w:r w:rsidRPr="00763E5D">
              <w:rPr>
                <w:rFonts w:ascii="Times New Roman" w:eastAsia="Times New Roman" w:hAnsi="Times New Roman" w:cs="Times New Roman"/>
              </w:rPr>
              <w:t>Mbaye</w:t>
            </w:r>
            <w:proofErr w:type="spellEnd"/>
            <w:r w:rsidRPr="00763E5D">
              <w:rPr>
                <w:rFonts w:ascii="Times New Roman" w:eastAsia="Times New Roman" w:hAnsi="Times New Roman" w:cs="Times New Roman"/>
              </w:rPr>
              <w:t xml:space="preserve">, A. A., Golub, S., English, P. 2015. </w:t>
            </w:r>
            <w:r w:rsidRPr="00763E5D">
              <w:rPr>
                <w:rFonts w:ascii="Times New Roman" w:eastAsia="Times New Roman" w:hAnsi="Times New Roman" w:cs="Times New Roman"/>
                <w:i/>
                <w:iCs/>
              </w:rPr>
              <w:t>Policies, Prices and Poverty: The Sugar, Vegetable Oil, and Flour Industries in Senegal</w:t>
            </w:r>
            <w:r w:rsidRPr="00763E5D">
              <w:rPr>
                <w:rFonts w:ascii="Times New Roman" w:eastAsia="Times New Roman" w:hAnsi="Times New Roman" w:cs="Times New Roman"/>
              </w:rPr>
              <w:t>. World Bank Policy Research Working Paper 7286, p. 43ff</w:t>
            </w:r>
          </w:p>
        </w:tc>
      </w:tr>
      <w:tr w:rsidR="00763E5D" w:rsidRPr="00763E5D" w14:paraId="05127981" w14:textId="77777777" w:rsidTr="00A91B9E">
        <w:trPr>
          <w:trHeight w:val="315"/>
        </w:trPr>
        <w:tc>
          <w:tcPr>
            <w:tcW w:w="0" w:type="auto"/>
            <w:tcBorders>
              <w:top w:val="nil"/>
              <w:left w:val="nil"/>
              <w:bottom w:val="nil"/>
              <w:right w:val="nil"/>
            </w:tcBorders>
            <w:shd w:val="clear" w:color="auto" w:fill="auto"/>
            <w:noWrap/>
            <w:vAlign w:val="center"/>
            <w:hideMark/>
          </w:tcPr>
          <w:p w14:paraId="345D9463"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McKinsey Global Institute. 2013. </w:t>
            </w:r>
            <w:r w:rsidRPr="00763E5D">
              <w:rPr>
                <w:rFonts w:ascii="Times New Roman" w:eastAsia="Times New Roman" w:hAnsi="Times New Roman" w:cs="Times New Roman"/>
                <w:i/>
                <w:iCs/>
              </w:rPr>
              <w:t>Lions go digital: The internet’s transformative potential in Africa.</w:t>
            </w:r>
            <w:r w:rsidRPr="00763E5D">
              <w:rPr>
                <w:rFonts w:ascii="Times New Roman" w:eastAsia="Times New Roman" w:hAnsi="Times New Roman" w:cs="Times New Roman"/>
              </w:rPr>
              <w:t xml:space="preserve"> Available at http://www.mckinsey.com/industries/high-tech/our-insights/lions-go-digital-the-internets-transformative-potential-in-africa</w:t>
            </w:r>
          </w:p>
        </w:tc>
      </w:tr>
      <w:tr w:rsidR="00763E5D" w:rsidRPr="001164DA" w14:paraId="1A69FF4F" w14:textId="77777777" w:rsidTr="00A91B9E">
        <w:trPr>
          <w:trHeight w:val="315"/>
        </w:trPr>
        <w:tc>
          <w:tcPr>
            <w:tcW w:w="0" w:type="auto"/>
            <w:tcBorders>
              <w:top w:val="nil"/>
              <w:left w:val="nil"/>
              <w:bottom w:val="nil"/>
              <w:right w:val="nil"/>
            </w:tcBorders>
            <w:shd w:val="clear" w:color="auto" w:fill="auto"/>
            <w:noWrap/>
            <w:vAlign w:val="center"/>
            <w:hideMark/>
          </w:tcPr>
          <w:p w14:paraId="30CBEDAE"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Michigan State </w:t>
            </w:r>
            <w:proofErr w:type="spellStart"/>
            <w:r w:rsidRPr="007575D7">
              <w:rPr>
                <w:rFonts w:ascii="Times New Roman" w:eastAsia="Times New Roman" w:hAnsi="Times New Roman" w:cs="Times New Roman"/>
                <w:lang w:val="fr-FR"/>
              </w:rPr>
              <w:t>Universtity</w:t>
            </w:r>
            <w:proofErr w:type="spellEnd"/>
            <w:r w:rsidRPr="007575D7">
              <w:rPr>
                <w:rFonts w:ascii="Times New Roman" w:eastAsia="Times New Roman" w:hAnsi="Times New Roman" w:cs="Times New Roman"/>
                <w:lang w:val="fr-FR"/>
              </w:rPr>
              <w:t xml:space="preserve">. 2011. </w:t>
            </w:r>
            <w:r w:rsidRPr="007575D7">
              <w:rPr>
                <w:rFonts w:ascii="Times New Roman" w:eastAsia="Times New Roman" w:hAnsi="Times New Roman" w:cs="Times New Roman"/>
                <w:i/>
                <w:iCs/>
                <w:lang w:val="fr-FR"/>
              </w:rPr>
              <w:t>Etude sur la consommation alimentaire en Afrique de l’Ouest</w:t>
            </w:r>
            <w:r w:rsidRPr="007575D7">
              <w:rPr>
                <w:rFonts w:ascii="Times New Roman" w:eastAsia="Times New Roman" w:hAnsi="Times New Roman" w:cs="Times New Roman"/>
                <w:lang w:val="fr-FR"/>
              </w:rPr>
              <w:t xml:space="preserve">, p. 18 </w:t>
            </w:r>
            <w:proofErr w:type="spellStart"/>
            <w:r w:rsidRPr="007575D7">
              <w:rPr>
                <w:rFonts w:ascii="Times New Roman" w:eastAsia="Times New Roman" w:hAnsi="Times New Roman" w:cs="Times New Roman"/>
                <w:lang w:val="fr-FR"/>
              </w:rPr>
              <w:t>Available</w:t>
            </w:r>
            <w:proofErr w:type="spellEnd"/>
            <w:r w:rsidRPr="007575D7">
              <w:rPr>
                <w:rFonts w:ascii="Times New Roman" w:eastAsia="Times New Roman" w:hAnsi="Times New Roman" w:cs="Times New Roman"/>
                <w:lang w:val="fr-FR"/>
              </w:rPr>
              <w:t xml:space="preserve"> at http://fsg.afre.msu.edu/srai/Etude_consommation_rapport_regional_revue_diallo.pdf</w:t>
            </w:r>
          </w:p>
        </w:tc>
      </w:tr>
      <w:tr w:rsidR="00763E5D" w:rsidRPr="00763E5D" w14:paraId="597CABEC" w14:textId="77777777" w:rsidTr="00A91B9E">
        <w:trPr>
          <w:trHeight w:val="315"/>
        </w:trPr>
        <w:tc>
          <w:tcPr>
            <w:tcW w:w="0" w:type="auto"/>
            <w:tcBorders>
              <w:top w:val="nil"/>
              <w:left w:val="nil"/>
              <w:bottom w:val="nil"/>
              <w:right w:val="nil"/>
            </w:tcBorders>
            <w:shd w:val="clear" w:color="auto" w:fill="auto"/>
            <w:noWrap/>
            <w:vAlign w:val="center"/>
            <w:hideMark/>
          </w:tcPr>
          <w:p w14:paraId="6F743E08"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Millennium Challenge Corporation. 2017. </w:t>
            </w:r>
            <w:r w:rsidRPr="00763E5D">
              <w:rPr>
                <w:rFonts w:ascii="Times New Roman" w:eastAsia="Times New Roman" w:hAnsi="Times New Roman" w:cs="Times New Roman"/>
                <w:i/>
                <w:iCs/>
              </w:rPr>
              <w:t>Senegal Constraints Analysis Report</w:t>
            </w:r>
          </w:p>
        </w:tc>
      </w:tr>
      <w:tr w:rsidR="00763E5D" w:rsidRPr="003C4574" w14:paraId="04E9A2FA" w14:textId="77777777" w:rsidTr="00A91B9E">
        <w:trPr>
          <w:trHeight w:val="315"/>
        </w:trPr>
        <w:tc>
          <w:tcPr>
            <w:tcW w:w="0" w:type="auto"/>
            <w:tcBorders>
              <w:top w:val="nil"/>
              <w:left w:val="nil"/>
              <w:bottom w:val="nil"/>
              <w:right w:val="nil"/>
            </w:tcBorders>
            <w:shd w:val="clear" w:color="auto" w:fill="auto"/>
            <w:noWrap/>
            <w:vAlign w:val="center"/>
            <w:hideMark/>
          </w:tcPr>
          <w:p w14:paraId="1EDC4FAF"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Ministère de l'Agriculture et de l'Équipement Rural. 2016. </w:t>
            </w:r>
            <w:r w:rsidRPr="007575D7">
              <w:rPr>
                <w:rFonts w:ascii="Times New Roman" w:eastAsia="Times New Roman" w:hAnsi="Times New Roman" w:cs="Times New Roman"/>
                <w:i/>
                <w:iCs/>
                <w:lang w:val="fr-FR"/>
              </w:rPr>
              <w:t xml:space="preserve">Circulaire fixant les prix de cession des intrants subventionnés pour la campagne agricole 2016/17. </w:t>
            </w:r>
            <w:r w:rsidRPr="007575D7">
              <w:rPr>
                <w:rFonts w:ascii="Times New Roman" w:eastAsia="Times New Roman" w:hAnsi="Times New Roman" w:cs="Times New Roman"/>
                <w:lang w:val="fr-FR"/>
              </w:rPr>
              <w:t>29 April 2016.</w:t>
            </w:r>
          </w:p>
        </w:tc>
      </w:tr>
      <w:tr w:rsidR="00763E5D" w:rsidRPr="00763E5D" w14:paraId="23D9F1D2" w14:textId="77777777" w:rsidTr="00A91B9E">
        <w:trPr>
          <w:trHeight w:val="315"/>
        </w:trPr>
        <w:tc>
          <w:tcPr>
            <w:tcW w:w="0" w:type="auto"/>
            <w:tcBorders>
              <w:top w:val="nil"/>
              <w:left w:val="nil"/>
              <w:bottom w:val="nil"/>
              <w:right w:val="nil"/>
            </w:tcBorders>
            <w:shd w:val="clear" w:color="auto" w:fill="auto"/>
            <w:noWrap/>
            <w:vAlign w:val="center"/>
            <w:hideMark/>
          </w:tcPr>
          <w:p w14:paraId="121DFF5B"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Mobile World Live. 2009. </w:t>
            </w:r>
            <w:r w:rsidRPr="00763E5D">
              <w:rPr>
                <w:rFonts w:ascii="Times New Roman" w:eastAsia="Times New Roman" w:hAnsi="Times New Roman" w:cs="Times New Roman"/>
                <w:i/>
                <w:iCs/>
              </w:rPr>
              <w:t xml:space="preserve">France Telecom takes charge of Senegal’s </w:t>
            </w:r>
            <w:proofErr w:type="spellStart"/>
            <w:r w:rsidRPr="00763E5D">
              <w:rPr>
                <w:rFonts w:ascii="Times New Roman" w:eastAsia="Times New Roman" w:hAnsi="Times New Roman" w:cs="Times New Roman"/>
                <w:i/>
                <w:iCs/>
              </w:rPr>
              <w:t>Sonatel</w:t>
            </w:r>
            <w:proofErr w:type="spellEnd"/>
            <w:r w:rsidRPr="00763E5D">
              <w:rPr>
                <w:rFonts w:ascii="Times New Roman" w:eastAsia="Times New Roman" w:hAnsi="Times New Roman" w:cs="Times New Roman"/>
                <w:i/>
                <w:iCs/>
              </w:rPr>
              <w:t>.</w:t>
            </w:r>
            <w:r w:rsidRPr="00763E5D">
              <w:rPr>
                <w:rFonts w:ascii="Times New Roman" w:eastAsia="Times New Roman" w:hAnsi="Times New Roman" w:cs="Times New Roman"/>
              </w:rPr>
              <w:t xml:space="preserve"> Available at https://www.mobileworldlive.com/france-telecom-takes-charge-of-senegal-s-sonatel/</w:t>
            </w:r>
          </w:p>
        </w:tc>
      </w:tr>
      <w:tr w:rsidR="00763E5D" w:rsidRPr="00763E5D" w14:paraId="651603B3" w14:textId="77777777" w:rsidTr="00A91B9E">
        <w:trPr>
          <w:trHeight w:val="315"/>
        </w:trPr>
        <w:tc>
          <w:tcPr>
            <w:tcW w:w="0" w:type="auto"/>
            <w:tcBorders>
              <w:top w:val="nil"/>
              <w:left w:val="nil"/>
              <w:bottom w:val="nil"/>
              <w:right w:val="nil"/>
            </w:tcBorders>
            <w:shd w:val="clear" w:color="auto" w:fill="auto"/>
            <w:noWrap/>
            <w:vAlign w:val="center"/>
            <w:hideMark/>
          </w:tcPr>
          <w:p w14:paraId="7B1EBBC2"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Mor Bakhoum and Julia </w:t>
            </w:r>
            <w:proofErr w:type="spellStart"/>
            <w:r w:rsidRPr="00763E5D">
              <w:rPr>
                <w:rFonts w:ascii="Times New Roman" w:eastAsia="Times New Roman" w:hAnsi="Times New Roman" w:cs="Times New Roman"/>
              </w:rPr>
              <w:t>Molestina</w:t>
            </w:r>
            <w:proofErr w:type="spellEnd"/>
            <w:r w:rsidRPr="00763E5D">
              <w:rPr>
                <w:rFonts w:ascii="Times New Roman" w:eastAsia="Times New Roman" w:hAnsi="Times New Roman" w:cs="Times New Roman"/>
              </w:rPr>
              <w:t xml:space="preserve">, Institutional Coherence and Effectivity of a Regional Competition Policy: </w:t>
            </w:r>
            <w:proofErr w:type="gramStart"/>
            <w:r w:rsidRPr="00763E5D">
              <w:rPr>
                <w:rFonts w:ascii="Times New Roman" w:eastAsia="Times New Roman" w:hAnsi="Times New Roman" w:cs="Times New Roman"/>
              </w:rPr>
              <w:t>the</w:t>
            </w:r>
            <w:proofErr w:type="gramEnd"/>
            <w:r w:rsidRPr="00763E5D">
              <w:rPr>
                <w:rFonts w:ascii="Times New Roman" w:eastAsia="Times New Roman" w:hAnsi="Times New Roman" w:cs="Times New Roman"/>
              </w:rPr>
              <w:t xml:space="preserve"> Case of the West African Economic and Monetary Union (WAEMU), Max Planck Institute for Intellectual Property and Competition Law Research Paper No. 11-17, pp. 5-6</w:t>
            </w:r>
          </w:p>
        </w:tc>
      </w:tr>
      <w:tr w:rsidR="00763E5D" w:rsidRPr="001164DA" w14:paraId="3B9E3F48" w14:textId="77777777" w:rsidTr="00A91B9E">
        <w:trPr>
          <w:trHeight w:val="315"/>
        </w:trPr>
        <w:tc>
          <w:tcPr>
            <w:tcW w:w="0" w:type="auto"/>
            <w:tcBorders>
              <w:top w:val="nil"/>
              <w:left w:val="nil"/>
              <w:bottom w:val="nil"/>
              <w:right w:val="nil"/>
            </w:tcBorders>
            <w:shd w:val="clear" w:color="auto" w:fill="auto"/>
            <w:noWrap/>
            <w:vAlign w:val="center"/>
            <w:hideMark/>
          </w:tcPr>
          <w:p w14:paraId="1898DE8B"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Mor Bakhoum. 2005. </w:t>
            </w:r>
            <w:r w:rsidRPr="007575D7">
              <w:rPr>
                <w:rFonts w:ascii="Times New Roman" w:eastAsia="Times New Roman" w:hAnsi="Times New Roman" w:cs="Times New Roman"/>
                <w:i/>
                <w:iCs/>
                <w:lang w:val="fr-FR"/>
              </w:rPr>
              <w:t>Répartition et Exercice des Compétences entre l’Union et les États Membres en Droit de la Concurrence dans l’Union Économique et Monétaire Ouest-Africaine (UEOMA),</w:t>
            </w:r>
            <w:r w:rsidRPr="007575D7">
              <w:rPr>
                <w:rFonts w:ascii="Times New Roman" w:eastAsia="Times New Roman" w:hAnsi="Times New Roman" w:cs="Times New Roman"/>
                <w:lang w:val="fr-FR"/>
              </w:rPr>
              <w:t xml:space="preserve"> p. 337</w:t>
            </w:r>
          </w:p>
        </w:tc>
      </w:tr>
      <w:tr w:rsidR="00763E5D" w:rsidRPr="00763E5D" w14:paraId="18480720" w14:textId="77777777" w:rsidTr="00A91B9E">
        <w:trPr>
          <w:trHeight w:val="315"/>
        </w:trPr>
        <w:tc>
          <w:tcPr>
            <w:tcW w:w="0" w:type="auto"/>
            <w:tcBorders>
              <w:top w:val="nil"/>
              <w:left w:val="nil"/>
              <w:bottom w:val="nil"/>
              <w:right w:val="nil"/>
            </w:tcBorders>
            <w:shd w:val="clear" w:color="auto" w:fill="auto"/>
            <w:noWrap/>
            <w:vAlign w:val="center"/>
            <w:hideMark/>
          </w:tcPr>
          <w:p w14:paraId="40EE7D41" w14:textId="77777777" w:rsidR="00763E5D" w:rsidRPr="00763E5D" w:rsidRDefault="00763E5D" w:rsidP="00837781">
            <w:pPr>
              <w:spacing w:after="240"/>
              <w:ind w:left="525" w:hanging="525"/>
              <w:jc w:val="both"/>
              <w:rPr>
                <w:rFonts w:ascii="Times New Roman" w:eastAsia="Times New Roman" w:hAnsi="Times New Roman" w:cs="Times New Roman"/>
              </w:rPr>
            </w:pPr>
            <w:r w:rsidRPr="00763E5D">
              <w:rPr>
                <w:rFonts w:ascii="Times New Roman" w:eastAsia="Times New Roman" w:hAnsi="Times New Roman" w:cs="Times New Roman"/>
                <w:lang w:val="en"/>
              </w:rPr>
              <w:t xml:space="preserve">Motta, M. 2004. </w:t>
            </w:r>
            <w:r w:rsidRPr="00763E5D">
              <w:rPr>
                <w:rFonts w:ascii="Times New Roman" w:eastAsia="Times New Roman" w:hAnsi="Times New Roman" w:cs="Times New Roman"/>
                <w:i/>
                <w:iCs/>
                <w:lang w:val="en"/>
              </w:rPr>
              <w:t>Competition Policy</w:t>
            </w:r>
            <w:r w:rsidRPr="00763E5D">
              <w:rPr>
                <w:rFonts w:ascii="Times New Roman" w:eastAsia="Times New Roman" w:hAnsi="Times New Roman" w:cs="Times New Roman"/>
                <w:lang w:val="en"/>
              </w:rPr>
              <w:t>. Cambridge Books, Cambridge University Press.</w:t>
            </w:r>
          </w:p>
        </w:tc>
      </w:tr>
      <w:tr w:rsidR="00763E5D" w:rsidRPr="00763E5D" w14:paraId="7FB95C38" w14:textId="77777777" w:rsidTr="00A91B9E">
        <w:trPr>
          <w:trHeight w:val="315"/>
        </w:trPr>
        <w:tc>
          <w:tcPr>
            <w:tcW w:w="0" w:type="auto"/>
            <w:tcBorders>
              <w:top w:val="nil"/>
              <w:left w:val="nil"/>
              <w:bottom w:val="nil"/>
              <w:right w:val="nil"/>
            </w:tcBorders>
            <w:shd w:val="clear" w:color="auto" w:fill="auto"/>
            <w:noWrap/>
            <w:vAlign w:val="center"/>
          </w:tcPr>
          <w:p w14:paraId="1E46084E" w14:textId="77777777" w:rsidR="00763E5D" w:rsidRPr="007575D7" w:rsidRDefault="00763E5D" w:rsidP="000A1A02">
            <w:pPr>
              <w:spacing w:after="240"/>
              <w:ind w:left="525" w:hanging="525"/>
              <w:rPr>
                <w:rFonts w:ascii="Times New Roman" w:eastAsia="Times New Roman" w:hAnsi="Times New Roman" w:cs="Times New Roman"/>
              </w:rPr>
            </w:pPr>
            <w:r w:rsidRPr="00763E5D">
              <w:rPr>
                <w:rFonts w:ascii="Times New Roman" w:hAnsi="Times New Roman" w:cs="Times New Roman"/>
              </w:rPr>
              <w:t xml:space="preserve">OECD. 2009. </w:t>
            </w:r>
            <w:r w:rsidRPr="00763E5D">
              <w:rPr>
                <w:rFonts w:ascii="Times New Roman" w:hAnsi="Times New Roman" w:cs="Times New Roman"/>
                <w:i/>
              </w:rPr>
              <w:t>Competition and the Financial Crisis</w:t>
            </w:r>
          </w:p>
        </w:tc>
      </w:tr>
      <w:tr w:rsidR="00763E5D" w:rsidRPr="00763E5D" w14:paraId="61B63951" w14:textId="77777777" w:rsidTr="00A91B9E">
        <w:trPr>
          <w:trHeight w:val="315"/>
        </w:trPr>
        <w:tc>
          <w:tcPr>
            <w:tcW w:w="0" w:type="auto"/>
            <w:tcBorders>
              <w:top w:val="nil"/>
              <w:left w:val="nil"/>
              <w:bottom w:val="nil"/>
              <w:right w:val="nil"/>
            </w:tcBorders>
            <w:shd w:val="clear" w:color="auto" w:fill="auto"/>
            <w:noWrap/>
            <w:vAlign w:val="center"/>
          </w:tcPr>
          <w:p w14:paraId="0513BFEA" w14:textId="77777777" w:rsidR="00763E5D" w:rsidRPr="007575D7" w:rsidRDefault="00763E5D" w:rsidP="000A1A02">
            <w:pPr>
              <w:spacing w:after="240"/>
              <w:ind w:left="525" w:hanging="525"/>
              <w:rPr>
                <w:rFonts w:ascii="Times New Roman" w:eastAsia="Times New Roman" w:hAnsi="Times New Roman" w:cs="Times New Roman"/>
              </w:rPr>
            </w:pPr>
            <w:r w:rsidRPr="00763E5D">
              <w:rPr>
                <w:rFonts w:ascii="Times New Roman" w:hAnsi="Times New Roman" w:cs="Times New Roman"/>
              </w:rPr>
              <w:t xml:space="preserve">OECD. 2009. </w:t>
            </w:r>
            <w:r w:rsidRPr="00763E5D">
              <w:rPr>
                <w:rFonts w:ascii="Times New Roman" w:hAnsi="Times New Roman" w:cs="Times New Roman"/>
                <w:i/>
              </w:rPr>
              <w:t>State Owned Enterprises and the Principle of Competitive Neutrality</w:t>
            </w:r>
            <w:r w:rsidRPr="00763E5D">
              <w:rPr>
                <w:rFonts w:ascii="Times New Roman" w:hAnsi="Times New Roman" w:cs="Times New Roman"/>
              </w:rPr>
              <w:t>, OECD Policy Roundtables</w:t>
            </w:r>
          </w:p>
        </w:tc>
      </w:tr>
      <w:tr w:rsidR="00763E5D" w:rsidRPr="001164DA" w14:paraId="6FFA8B35" w14:textId="77777777" w:rsidTr="00A91B9E">
        <w:trPr>
          <w:trHeight w:val="315"/>
        </w:trPr>
        <w:tc>
          <w:tcPr>
            <w:tcW w:w="0" w:type="auto"/>
            <w:tcBorders>
              <w:top w:val="nil"/>
              <w:left w:val="nil"/>
              <w:bottom w:val="nil"/>
              <w:right w:val="nil"/>
            </w:tcBorders>
            <w:shd w:val="clear" w:color="auto" w:fill="auto"/>
            <w:noWrap/>
            <w:vAlign w:val="center"/>
            <w:hideMark/>
          </w:tcPr>
          <w:p w14:paraId="26C1B2F1"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OECD. 2011. </w:t>
            </w:r>
            <w:r w:rsidRPr="007575D7">
              <w:rPr>
                <w:rFonts w:ascii="Times New Roman" w:eastAsia="Times New Roman" w:hAnsi="Times New Roman" w:cs="Times New Roman"/>
                <w:i/>
                <w:iCs/>
                <w:lang w:val="fr-FR"/>
              </w:rPr>
              <w:t xml:space="preserve">Table-Ronde sur le Contrôle des Fusions </w:t>
            </w:r>
            <w:proofErr w:type="gramStart"/>
            <w:r w:rsidRPr="007575D7">
              <w:rPr>
                <w:rFonts w:ascii="Times New Roman" w:eastAsia="Times New Roman" w:hAnsi="Times New Roman" w:cs="Times New Roman"/>
                <w:i/>
                <w:iCs/>
                <w:lang w:val="fr-FR"/>
              </w:rPr>
              <w:t>Transnationales:</w:t>
            </w:r>
            <w:proofErr w:type="gramEnd"/>
            <w:r w:rsidRPr="007575D7">
              <w:rPr>
                <w:rFonts w:ascii="Times New Roman" w:eastAsia="Times New Roman" w:hAnsi="Times New Roman" w:cs="Times New Roman"/>
                <w:i/>
                <w:iCs/>
                <w:lang w:val="fr-FR"/>
              </w:rPr>
              <w:t xml:space="preserve"> Défis à Relever par les Pays en </w:t>
            </w:r>
            <w:proofErr w:type="spellStart"/>
            <w:r w:rsidRPr="007575D7">
              <w:rPr>
                <w:rFonts w:ascii="Times New Roman" w:eastAsia="Times New Roman" w:hAnsi="Times New Roman" w:cs="Times New Roman"/>
                <w:i/>
                <w:iCs/>
                <w:lang w:val="fr-FR"/>
              </w:rPr>
              <w:t>Développment</w:t>
            </w:r>
            <w:proofErr w:type="spellEnd"/>
            <w:r w:rsidRPr="007575D7">
              <w:rPr>
                <w:rFonts w:ascii="Times New Roman" w:eastAsia="Times New Roman" w:hAnsi="Times New Roman" w:cs="Times New Roman"/>
                <w:i/>
                <w:iCs/>
                <w:lang w:val="fr-FR"/>
              </w:rPr>
              <w:t xml:space="preserve"> et les Économies Émergentes, Contribution de Sénégal</w:t>
            </w:r>
            <w:r w:rsidRPr="007575D7">
              <w:rPr>
                <w:rFonts w:ascii="Times New Roman" w:eastAsia="Times New Roman" w:hAnsi="Times New Roman" w:cs="Times New Roman"/>
                <w:lang w:val="fr-FR"/>
              </w:rPr>
              <w:t xml:space="preserve">, 27 </w:t>
            </w:r>
            <w:proofErr w:type="spellStart"/>
            <w:r w:rsidRPr="007575D7">
              <w:rPr>
                <w:rFonts w:ascii="Times New Roman" w:eastAsia="Times New Roman" w:hAnsi="Times New Roman" w:cs="Times New Roman"/>
                <w:lang w:val="fr-FR"/>
              </w:rPr>
              <w:t>January</w:t>
            </w:r>
            <w:proofErr w:type="spellEnd"/>
            <w:r w:rsidRPr="007575D7">
              <w:rPr>
                <w:rFonts w:ascii="Times New Roman" w:eastAsia="Times New Roman" w:hAnsi="Times New Roman" w:cs="Times New Roman"/>
                <w:lang w:val="fr-FR"/>
              </w:rPr>
              <w:t xml:space="preserve"> 2011, p. 2</w:t>
            </w:r>
          </w:p>
        </w:tc>
      </w:tr>
      <w:tr w:rsidR="00763E5D" w:rsidRPr="00763E5D" w14:paraId="26F5A8E8" w14:textId="77777777" w:rsidTr="00A91B9E">
        <w:trPr>
          <w:trHeight w:val="315"/>
        </w:trPr>
        <w:tc>
          <w:tcPr>
            <w:tcW w:w="0" w:type="auto"/>
            <w:tcBorders>
              <w:top w:val="nil"/>
              <w:left w:val="nil"/>
              <w:bottom w:val="nil"/>
              <w:right w:val="nil"/>
            </w:tcBorders>
            <w:shd w:val="clear" w:color="auto" w:fill="auto"/>
            <w:noWrap/>
            <w:vAlign w:val="center"/>
          </w:tcPr>
          <w:p w14:paraId="79BB7147" w14:textId="0C4982EB" w:rsidR="00763E5D" w:rsidRPr="007575D7" w:rsidRDefault="00763E5D" w:rsidP="008C518E">
            <w:pPr>
              <w:spacing w:after="240"/>
              <w:ind w:left="525" w:hanging="525"/>
              <w:rPr>
                <w:rFonts w:ascii="Times New Roman" w:eastAsia="Times New Roman" w:hAnsi="Times New Roman" w:cs="Times New Roman"/>
              </w:rPr>
            </w:pPr>
            <w:r w:rsidRPr="00763E5D">
              <w:rPr>
                <w:rFonts w:ascii="Times New Roman" w:hAnsi="Times New Roman" w:cs="Times New Roman"/>
              </w:rPr>
              <w:t xml:space="preserve">Office of Fair Trading. 2009. </w:t>
            </w:r>
            <w:r w:rsidR="003B24ED">
              <w:rPr>
                <w:rFonts w:ascii="Times New Roman" w:hAnsi="Times New Roman" w:cs="Times New Roman"/>
                <w:i/>
              </w:rPr>
              <w:t>Government</w:t>
            </w:r>
            <w:r w:rsidRPr="00763E5D">
              <w:rPr>
                <w:rFonts w:ascii="Times New Roman" w:hAnsi="Times New Roman" w:cs="Times New Roman"/>
                <w:i/>
              </w:rPr>
              <w:t xml:space="preserve"> in markets. Why competition matters – a guide for policy makers</w:t>
            </w:r>
            <w:r w:rsidRPr="00763E5D">
              <w:rPr>
                <w:rFonts w:ascii="Times New Roman" w:hAnsi="Times New Roman" w:cs="Times New Roman"/>
              </w:rPr>
              <w:t>.</w:t>
            </w:r>
          </w:p>
        </w:tc>
      </w:tr>
      <w:tr w:rsidR="00763E5D" w:rsidRPr="00763E5D" w14:paraId="53F7FBC4" w14:textId="77777777" w:rsidTr="00C271A3">
        <w:trPr>
          <w:trHeight w:val="315"/>
        </w:trPr>
        <w:tc>
          <w:tcPr>
            <w:tcW w:w="0" w:type="auto"/>
            <w:tcBorders>
              <w:top w:val="nil"/>
              <w:left w:val="nil"/>
              <w:bottom w:val="nil"/>
              <w:right w:val="nil"/>
            </w:tcBorders>
            <w:shd w:val="clear" w:color="auto" w:fill="auto"/>
            <w:noWrap/>
          </w:tcPr>
          <w:p w14:paraId="40B5912B" w14:textId="77777777" w:rsidR="00EE65D3" w:rsidRDefault="00EE65D3" w:rsidP="00EE65D3">
            <w:pPr>
              <w:spacing w:after="240"/>
              <w:ind w:left="525" w:hanging="525"/>
              <w:rPr>
                <w:rFonts w:ascii="Times New Roman" w:eastAsia="Times New Roman" w:hAnsi="Times New Roman" w:cs="Times New Roman"/>
              </w:rPr>
            </w:pPr>
            <w:r w:rsidRPr="00B57E98">
              <w:rPr>
                <w:rFonts w:ascii="Times New Roman" w:eastAsia="Times New Roman" w:hAnsi="Times New Roman" w:cs="Times New Roman"/>
              </w:rPr>
              <w:t xml:space="preserve">Partnership for Aflatoxin Control in Africa (PACA).2015.  </w:t>
            </w:r>
            <w:r w:rsidRPr="00B57E98">
              <w:rPr>
                <w:rFonts w:ascii="Times New Roman" w:eastAsia="Times New Roman" w:hAnsi="Times New Roman" w:cs="Times New Roman"/>
                <w:i/>
              </w:rPr>
              <w:t>Policy and Regulations for Aflatoxin Control in ECOWAS</w:t>
            </w:r>
            <w:r w:rsidRPr="00F3238F">
              <w:rPr>
                <w:rFonts w:ascii="Times New Roman" w:eastAsia="Times New Roman" w:hAnsi="Times New Roman" w:cs="Times New Roman"/>
                <w:i/>
              </w:rPr>
              <w:t>.</w:t>
            </w:r>
            <w:r w:rsidRPr="00B57E98">
              <w:rPr>
                <w:rFonts w:ascii="Times New Roman" w:eastAsia="Times New Roman" w:hAnsi="Times New Roman" w:cs="Times New Roman"/>
              </w:rPr>
              <w:t xml:space="preserve"> Available at </w:t>
            </w:r>
            <w:hyperlink r:id="rId118" w:history="1">
              <w:r w:rsidRPr="00B57E98">
                <w:rPr>
                  <w:rFonts w:ascii="Times New Roman" w:eastAsia="Times New Roman" w:hAnsi="Times New Roman" w:cs="Times New Roman"/>
                </w:rPr>
                <w:t>http://aflatoxinpartnership.org/uploads/6.2%20-%20Policy%20and%20Regulations%20for%20Aflatoxin%20Control%20in%20ECOWAS.pdf</w:t>
              </w:r>
            </w:hyperlink>
            <w:r w:rsidRPr="00B57E98">
              <w:rPr>
                <w:rFonts w:ascii="Times New Roman" w:eastAsia="Times New Roman" w:hAnsi="Times New Roman" w:cs="Times New Roman"/>
              </w:rPr>
              <w:t xml:space="preserve"> </w:t>
            </w:r>
          </w:p>
          <w:p w14:paraId="108EF17F" w14:textId="77777777" w:rsidR="00EE65D3" w:rsidRPr="00B57E98" w:rsidRDefault="00EE65D3" w:rsidP="00EE65D3">
            <w:pPr>
              <w:spacing w:after="240"/>
              <w:ind w:left="525" w:hanging="525"/>
              <w:rPr>
                <w:rFonts w:ascii="Times New Roman" w:eastAsia="Times New Roman" w:hAnsi="Times New Roman" w:cs="Times New Roman"/>
              </w:rPr>
            </w:pPr>
            <w:r w:rsidRPr="00B57E98">
              <w:rPr>
                <w:rFonts w:ascii="Times New Roman" w:eastAsia="Times New Roman" w:hAnsi="Times New Roman" w:cs="Times New Roman"/>
              </w:rPr>
              <w:t xml:space="preserve">Partnership for Aflatoxin Control in Africa (PACA). 2015.  </w:t>
            </w:r>
            <w:r w:rsidRPr="00B57E98">
              <w:rPr>
                <w:rFonts w:ascii="Times New Roman" w:eastAsia="Times New Roman" w:hAnsi="Times New Roman" w:cs="Times New Roman"/>
                <w:i/>
              </w:rPr>
              <w:t>Regional Workshop on “Revamping Groundnut Value Chains of West Africa through Aflatoxin Mitigation”</w:t>
            </w:r>
            <w:r w:rsidRPr="00B57E98">
              <w:rPr>
                <w:rFonts w:ascii="Times New Roman" w:eastAsia="Times New Roman" w:hAnsi="Times New Roman" w:cs="Times New Roman"/>
              </w:rPr>
              <w:t xml:space="preserve">. Available at </w:t>
            </w:r>
            <w:hyperlink r:id="rId119" w:history="1">
              <w:r w:rsidRPr="00B57E98">
                <w:rPr>
                  <w:rFonts w:ascii="Times New Roman" w:eastAsia="Times New Roman" w:hAnsi="Times New Roman" w:cs="Times New Roman"/>
                </w:rPr>
                <w:t>http://aflatoxinpartnership.org/uploads/Revamping%20the%20groundnut%20value%20chain%20-%20Summary%20-English.pdf</w:t>
              </w:r>
            </w:hyperlink>
            <w:r w:rsidRPr="00B57E98">
              <w:rPr>
                <w:rFonts w:ascii="Times New Roman" w:eastAsia="Times New Roman" w:hAnsi="Times New Roman" w:cs="Times New Roman"/>
              </w:rPr>
              <w:t xml:space="preserve"> ; </w:t>
            </w:r>
          </w:p>
          <w:p w14:paraId="70423F53" w14:textId="56D34491" w:rsidR="00EE65D3" w:rsidRDefault="00EE65D3" w:rsidP="00EE65D3">
            <w:pPr>
              <w:spacing w:after="240"/>
              <w:ind w:left="525" w:hanging="525"/>
              <w:rPr>
                <w:rFonts w:ascii="Times New Roman" w:hAnsi="Times New Roman" w:cs="Times New Roman"/>
              </w:rPr>
            </w:pPr>
            <w:r w:rsidRPr="00B57E98">
              <w:rPr>
                <w:rFonts w:ascii="Times New Roman" w:eastAsia="Times New Roman" w:hAnsi="Times New Roman" w:cs="Times New Roman"/>
              </w:rPr>
              <w:t xml:space="preserve">Partnership for Aflatoxin Control in Africa (PACA). 2018. </w:t>
            </w:r>
            <w:r w:rsidRPr="00B57E98">
              <w:rPr>
                <w:rFonts w:ascii="Times New Roman" w:eastAsia="Times New Roman" w:hAnsi="Times New Roman" w:cs="Times New Roman"/>
                <w:i/>
              </w:rPr>
              <w:t>Strengthening aflatoxin control in Nigeria: Policy recommendations</w:t>
            </w:r>
            <w:r w:rsidRPr="00B57E98">
              <w:rPr>
                <w:rFonts w:ascii="Times New Roman" w:eastAsia="Times New Roman" w:hAnsi="Times New Roman" w:cs="Times New Roman"/>
              </w:rPr>
              <w:t xml:space="preserve">. Available at </w:t>
            </w:r>
            <w:hyperlink r:id="rId120" w:history="1">
              <w:r w:rsidRPr="00B57E98">
                <w:rPr>
                  <w:rFonts w:ascii="Times New Roman" w:eastAsia="Times New Roman" w:hAnsi="Times New Roman" w:cs="Times New Roman"/>
                </w:rPr>
                <w:t>http://www.aflatoxinpartnership.org/uploads/Nigeria_Aflatoxin_Control_May14.pdf</w:t>
              </w:r>
            </w:hyperlink>
          </w:p>
          <w:p w14:paraId="395D865A" w14:textId="78BFC700" w:rsidR="00763E5D" w:rsidRPr="007575D7" w:rsidRDefault="00763E5D" w:rsidP="00837781">
            <w:pPr>
              <w:spacing w:after="240"/>
              <w:ind w:left="525" w:hanging="525"/>
              <w:rPr>
                <w:rFonts w:ascii="Times New Roman" w:eastAsia="Times New Roman" w:hAnsi="Times New Roman" w:cs="Times New Roman"/>
              </w:rPr>
            </w:pPr>
            <w:r w:rsidRPr="00763E5D">
              <w:rPr>
                <w:rFonts w:ascii="Times New Roman" w:hAnsi="Times New Roman" w:cs="Times New Roman"/>
              </w:rPr>
              <w:t>Presentation by Prof. Abd Karim Alias (https://www.youtube.com/watch?v=F71jVjBK6FU)</w:t>
            </w:r>
          </w:p>
        </w:tc>
      </w:tr>
      <w:tr w:rsidR="00763E5D" w:rsidRPr="00763E5D" w14:paraId="07F1DC3D" w14:textId="77777777" w:rsidTr="00A91B9E">
        <w:trPr>
          <w:trHeight w:val="315"/>
        </w:trPr>
        <w:tc>
          <w:tcPr>
            <w:tcW w:w="0" w:type="auto"/>
            <w:tcBorders>
              <w:top w:val="nil"/>
              <w:left w:val="nil"/>
              <w:bottom w:val="nil"/>
              <w:right w:val="nil"/>
            </w:tcBorders>
            <w:shd w:val="clear" w:color="auto" w:fill="auto"/>
            <w:noWrap/>
            <w:vAlign w:val="center"/>
            <w:hideMark/>
          </w:tcPr>
          <w:p w14:paraId="6B827C92" w14:textId="77777777" w:rsidR="00763E5D" w:rsidRPr="007575D7" w:rsidRDefault="00763E5D" w:rsidP="00837781">
            <w:pPr>
              <w:spacing w:after="240"/>
              <w:ind w:left="525" w:hanging="525"/>
              <w:rPr>
                <w:rFonts w:ascii="Times New Roman" w:eastAsia="Times New Roman" w:hAnsi="Times New Roman" w:cs="Times New Roman"/>
              </w:rPr>
            </w:pPr>
            <w:proofErr w:type="spellStart"/>
            <w:r w:rsidRPr="007575D7">
              <w:rPr>
                <w:rFonts w:ascii="Times New Roman" w:eastAsia="Times New Roman" w:hAnsi="Times New Roman" w:cs="Times New Roman"/>
                <w:lang w:val="fr-FR"/>
              </w:rPr>
              <w:t>PressAfrik</w:t>
            </w:r>
            <w:proofErr w:type="spellEnd"/>
            <w:r w:rsidRPr="007575D7">
              <w:rPr>
                <w:rFonts w:ascii="Times New Roman" w:eastAsia="Times New Roman" w:hAnsi="Times New Roman" w:cs="Times New Roman"/>
                <w:lang w:val="fr-FR"/>
              </w:rPr>
              <w:t xml:space="preserve">. 2014. </w:t>
            </w:r>
            <w:r w:rsidRPr="007575D7">
              <w:rPr>
                <w:rFonts w:ascii="Times New Roman" w:eastAsia="Times New Roman" w:hAnsi="Times New Roman" w:cs="Times New Roman"/>
                <w:i/>
                <w:iCs/>
                <w:lang w:val="fr-FR"/>
              </w:rPr>
              <w:t>Entre reconstitution du capitalisme semencier et commercialisation de l’arachide : Le cycle d’une gestion nébuleuse</w:t>
            </w:r>
            <w:r w:rsidRPr="007575D7">
              <w:rPr>
                <w:rFonts w:ascii="Times New Roman" w:eastAsia="Times New Roman" w:hAnsi="Times New Roman" w:cs="Times New Roman"/>
                <w:lang w:val="fr-FR"/>
              </w:rPr>
              <w:t xml:space="preserve">. </w:t>
            </w:r>
            <w:r w:rsidRPr="007575D7">
              <w:rPr>
                <w:rFonts w:ascii="Times New Roman" w:eastAsia="Times New Roman" w:hAnsi="Times New Roman" w:cs="Times New Roman"/>
              </w:rPr>
              <w:t>Available at: http://www.pressafrik.com/Entre-reconstitution-du-capitalisme-semencier-et-commercialisation-de-l-arachide-Le-cycle-d-une-gestion-nebuleuse_a117408.html</w:t>
            </w:r>
          </w:p>
        </w:tc>
      </w:tr>
      <w:tr w:rsidR="00763E5D" w:rsidRPr="001164DA" w14:paraId="1DC0B360" w14:textId="77777777" w:rsidTr="00A91B9E">
        <w:trPr>
          <w:trHeight w:val="315"/>
        </w:trPr>
        <w:tc>
          <w:tcPr>
            <w:tcW w:w="0" w:type="auto"/>
            <w:tcBorders>
              <w:top w:val="nil"/>
              <w:left w:val="nil"/>
              <w:bottom w:val="nil"/>
              <w:right w:val="nil"/>
            </w:tcBorders>
            <w:shd w:val="clear" w:color="auto" w:fill="auto"/>
            <w:noWrap/>
            <w:vAlign w:val="center"/>
            <w:hideMark/>
          </w:tcPr>
          <w:p w14:paraId="649AB28D" w14:textId="77777777" w:rsidR="00763E5D" w:rsidRPr="007575D7" w:rsidRDefault="00763E5D" w:rsidP="00837781">
            <w:pPr>
              <w:spacing w:after="240"/>
              <w:ind w:left="525" w:hanging="525"/>
              <w:rPr>
                <w:rFonts w:ascii="Times New Roman" w:eastAsia="Times New Roman" w:hAnsi="Times New Roman" w:cs="Times New Roman"/>
                <w:i/>
                <w:iCs/>
                <w:lang w:val="fr-FR"/>
              </w:rPr>
            </w:pPr>
            <w:r w:rsidRPr="007575D7">
              <w:rPr>
                <w:rFonts w:ascii="Times New Roman" w:eastAsia="Times New Roman" w:hAnsi="Times New Roman" w:cs="Times New Roman"/>
                <w:i/>
                <w:iCs/>
                <w:lang w:val="fr-FR"/>
              </w:rPr>
              <w:t>Rapport de l’UIT 2015,</w:t>
            </w:r>
            <w:r w:rsidRPr="007575D7">
              <w:rPr>
                <w:rFonts w:ascii="Times New Roman" w:eastAsia="Times New Roman" w:hAnsi="Times New Roman" w:cs="Times New Roman"/>
                <w:lang w:val="fr-FR"/>
              </w:rPr>
              <w:t xml:space="preserve"> cité p. 14, in rapport </w:t>
            </w:r>
            <w:r w:rsidRPr="007575D7">
              <w:rPr>
                <w:rFonts w:ascii="Times New Roman" w:eastAsia="Times New Roman" w:hAnsi="Times New Roman" w:cs="Times New Roman"/>
                <w:i/>
                <w:iCs/>
                <w:lang w:val="fr-FR"/>
              </w:rPr>
              <w:t>Sénégal numérique 2025</w:t>
            </w:r>
            <w:r w:rsidRPr="007575D7">
              <w:rPr>
                <w:rFonts w:ascii="Times New Roman" w:eastAsia="Times New Roman" w:hAnsi="Times New Roman" w:cs="Times New Roman"/>
                <w:lang w:val="fr-FR"/>
              </w:rPr>
              <w:t>.</w:t>
            </w:r>
          </w:p>
        </w:tc>
      </w:tr>
      <w:tr w:rsidR="00763E5D" w:rsidRPr="001164DA" w14:paraId="296BF78E" w14:textId="77777777" w:rsidTr="00A91B9E">
        <w:trPr>
          <w:trHeight w:val="315"/>
        </w:trPr>
        <w:tc>
          <w:tcPr>
            <w:tcW w:w="0" w:type="auto"/>
            <w:tcBorders>
              <w:top w:val="nil"/>
              <w:left w:val="nil"/>
              <w:bottom w:val="nil"/>
              <w:right w:val="nil"/>
            </w:tcBorders>
            <w:shd w:val="clear" w:color="auto" w:fill="auto"/>
            <w:noWrap/>
            <w:vAlign w:val="center"/>
            <w:hideMark/>
          </w:tcPr>
          <w:p w14:paraId="04AE2FC9" w14:textId="77777777" w:rsidR="00763E5D" w:rsidRPr="007575D7" w:rsidRDefault="00763E5D" w:rsidP="00837781">
            <w:pPr>
              <w:spacing w:after="240"/>
              <w:ind w:left="525" w:hanging="525"/>
              <w:rPr>
                <w:rFonts w:ascii="Times New Roman" w:eastAsia="Times New Roman" w:hAnsi="Times New Roman" w:cs="Times New Roman"/>
                <w:lang w:val="fr-FR"/>
              </w:rPr>
            </w:pPr>
            <w:proofErr w:type="spellStart"/>
            <w:r w:rsidRPr="007575D7">
              <w:rPr>
                <w:rFonts w:ascii="Times New Roman" w:eastAsia="Times New Roman" w:hAnsi="Times New Roman" w:cs="Times New Roman"/>
                <w:lang w:val="fr-FR"/>
              </w:rPr>
              <w:t>Réglement</w:t>
            </w:r>
            <w:proofErr w:type="spellEnd"/>
            <w:r w:rsidRPr="007575D7">
              <w:rPr>
                <w:rFonts w:ascii="Times New Roman" w:eastAsia="Times New Roman" w:hAnsi="Times New Roman" w:cs="Times New Roman"/>
                <w:lang w:val="fr-FR"/>
              </w:rPr>
              <w:t xml:space="preserve"> N° 02/2002/CM/UEMOA relatif aux pratiques anticoncurrentielles à l'intérieur de l'UEMOA,</w:t>
            </w:r>
          </w:p>
        </w:tc>
      </w:tr>
      <w:tr w:rsidR="00763E5D" w:rsidRPr="001164DA" w14:paraId="0905303E" w14:textId="77777777" w:rsidTr="00A91B9E">
        <w:trPr>
          <w:trHeight w:val="315"/>
        </w:trPr>
        <w:tc>
          <w:tcPr>
            <w:tcW w:w="0" w:type="auto"/>
            <w:tcBorders>
              <w:top w:val="nil"/>
              <w:left w:val="nil"/>
              <w:bottom w:val="nil"/>
              <w:right w:val="nil"/>
            </w:tcBorders>
            <w:shd w:val="clear" w:color="auto" w:fill="auto"/>
            <w:noWrap/>
            <w:vAlign w:val="center"/>
            <w:hideMark/>
          </w:tcPr>
          <w:p w14:paraId="2E04CBA4" w14:textId="77777777" w:rsidR="00763E5D" w:rsidRPr="007575D7" w:rsidRDefault="00763E5D" w:rsidP="00837781">
            <w:pPr>
              <w:spacing w:after="240"/>
              <w:ind w:left="525" w:hanging="525"/>
              <w:rPr>
                <w:rFonts w:ascii="Times New Roman" w:eastAsia="Times New Roman" w:hAnsi="Times New Roman" w:cs="Times New Roman"/>
                <w:lang w:val="fr-FR"/>
              </w:rPr>
            </w:pPr>
            <w:proofErr w:type="spellStart"/>
            <w:r w:rsidRPr="007575D7">
              <w:rPr>
                <w:rFonts w:ascii="Times New Roman" w:eastAsia="Times New Roman" w:hAnsi="Times New Roman" w:cs="Times New Roman"/>
                <w:lang w:val="fr-FR"/>
              </w:rPr>
              <w:t>Réglement</w:t>
            </w:r>
            <w:proofErr w:type="spellEnd"/>
            <w:r w:rsidRPr="007575D7">
              <w:rPr>
                <w:rFonts w:ascii="Times New Roman" w:eastAsia="Times New Roman" w:hAnsi="Times New Roman" w:cs="Times New Roman"/>
                <w:lang w:val="fr-FR"/>
              </w:rPr>
              <w:t xml:space="preserve"> N° 03/2002/CM/UEMOA relatif aux procédures applicables aux ententes et abus de position dominante à l'intérieur de l'UEMOA, Article 28.4</w:t>
            </w:r>
          </w:p>
        </w:tc>
      </w:tr>
      <w:tr w:rsidR="00763E5D" w:rsidRPr="00EE65D3" w14:paraId="6F8B844F" w14:textId="77777777" w:rsidTr="00A91B9E">
        <w:trPr>
          <w:trHeight w:val="315"/>
        </w:trPr>
        <w:tc>
          <w:tcPr>
            <w:tcW w:w="0" w:type="auto"/>
            <w:tcBorders>
              <w:top w:val="nil"/>
              <w:left w:val="nil"/>
              <w:bottom w:val="nil"/>
              <w:right w:val="nil"/>
            </w:tcBorders>
            <w:shd w:val="clear" w:color="auto" w:fill="auto"/>
            <w:noWrap/>
            <w:vAlign w:val="center"/>
            <w:hideMark/>
          </w:tcPr>
          <w:p w14:paraId="6AB9767A" w14:textId="77777777" w:rsidR="00763E5D" w:rsidRDefault="00763E5D" w:rsidP="00837781">
            <w:pPr>
              <w:spacing w:after="240"/>
              <w:ind w:left="525" w:hanging="525"/>
              <w:rPr>
                <w:rFonts w:ascii="Times New Roman" w:eastAsia="Times New Roman" w:hAnsi="Times New Roman" w:cs="Times New Roman"/>
                <w:lang w:val="fr-FR"/>
              </w:rPr>
            </w:pPr>
            <w:proofErr w:type="spellStart"/>
            <w:r w:rsidRPr="007575D7">
              <w:rPr>
                <w:rFonts w:ascii="Times New Roman" w:eastAsia="Times New Roman" w:hAnsi="Times New Roman" w:cs="Times New Roman"/>
                <w:lang w:val="fr-FR"/>
              </w:rPr>
              <w:t>Réglement</w:t>
            </w:r>
            <w:proofErr w:type="spellEnd"/>
            <w:r w:rsidRPr="007575D7">
              <w:rPr>
                <w:rFonts w:ascii="Times New Roman" w:eastAsia="Times New Roman" w:hAnsi="Times New Roman" w:cs="Times New Roman"/>
                <w:lang w:val="fr-FR"/>
              </w:rPr>
              <w:t xml:space="preserve"> N° 04/2002/CM/UEMOA relatif aux aides d'Etat à l'intérieur de l'UEMOA et aux modalités d'application de l'article 88 (c) du Traité</w:t>
            </w:r>
          </w:p>
          <w:p w14:paraId="27186FF3" w14:textId="26CD750B" w:rsidR="00F3238F" w:rsidRPr="007575D7" w:rsidRDefault="00F3238F" w:rsidP="00EE65D3">
            <w:pPr>
              <w:spacing w:after="240"/>
              <w:ind w:left="525" w:hanging="525"/>
              <w:rPr>
                <w:rFonts w:ascii="Times New Roman" w:eastAsia="Times New Roman" w:hAnsi="Times New Roman" w:cs="Times New Roman"/>
              </w:rPr>
            </w:pPr>
            <w:r w:rsidRPr="00B57E98">
              <w:rPr>
                <w:rFonts w:ascii="Times New Roman" w:eastAsia="Times New Roman" w:hAnsi="Times New Roman" w:cs="Times New Roman"/>
              </w:rPr>
              <w:t xml:space="preserve">Reis, T et al. </w:t>
            </w:r>
            <w:r w:rsidRPr="00B57E98">
              <w:rPr>
                <w:rFonts w:ascii="Times New Roman" w:eastAsia="Times New Roman" w:hAnsi="Times New Roman" w:cs="Times New Roman"/>
                <w:i/>
              </w:rPr>
              <w:t>Innovation in peanut productive chain in Brazil between 1996-2016</w:t>
            </w:r>
            <w:r w:rsidRPr="00B57E98">
              <w:rPr>
                <w:rFonts w:ascii="Times New Roman" w:eastAsia="Times New Roman" w:hAnsi="Times New Roman" w:cs="Times New Roman"/>
              </w:rPr>
              <w:t xml:space="preserve">. International Journal for Innovation Education and Research, ISSN:2411-2933; Sweets Market in Brazil. Available at </w:t>
            </w:r>
            <w:hyperlink r:id="rId121" w:history="1">
              <w:r w:rsidRPr="00B57E98">
                <w:rPr>
                  <w:rFonts w:ascii="Times New Roman" w:eastAsia="Times New Roman" w:hAnsi="Times New Roman" w:cs="Times New Roman"/>
                </w:rPr>
                <w:t>http://thebrazilbusiness.com/article/sweets-market-in-brazil</w:t>
              </w:r>
            </w:hyperlink>
            <w:r w:rsidRPr="00B57E98">
              <w:rPr>
                <w:rFonts w:ascii="Times New Roman" w:eastAsia="Times New Roman" w:hAnsi="Times New Roman" w:cs="Times New Roman"/>
              </w:rPr>
              <w:t xml:space="preserve"> </w:t>
            </w:r>
          </w:p>
        </w:tc>
      </w:tr>
      <w:tr w:rsidR="00763E5D" w:rsidRPr="00763E5D" w14:paraId="2F5786F3" w14:textId="77777777" w:rsidTr="00A91B9E">
        <w:trPr>
          <w:trHeight w:val="315"/>
        </w:trPr>
        <w:tc>
          <w:tcPr>
            <w:tcW w:w="0" w:type="auto"/>
            <w:tcBorders>
              <w:top w:val="nil"/>
              <w:left w:val="nil"/>
              <w:bottom w:val="nil"/>
              <w:right w:val="nil"/>
            </w:tcBorders>
            <w:shd w:val="clear" w:color="auto" w:fill="auto"/>
            <w:noWrap/>
            <w:vAlign w:val="center"/>
            <w:hideMark/>
          </w:tcPr>
          <w:p w14:paraId="565FAC08"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Republic of Senegal. 2014. </w:t>
            </w:r>
            <w:r w:rsidRPr="00763E5D">
              <w:rPr>
                <w:rFonts w:ascii="Times New Roman" w:eastAsia="Times New Roman" w:hAnsi="Times New Roman" w:cs="Times New Roman"/>
                <w:i/>
                <w:iCs/>
              </w:rPr>
              <w:t xml:space="preserve">Plan </w:t>
            </w:r>
            <w:proofErr w:type="spellStart"/>
            <w:r w:rsidRPr="00763E5D">
              <w:rPr>
                <w:rFonts w:ascii="Times New Roman" w:eastAsia="Times New Roman" w:hAnsi="Times New Roman" w:cs="Times New Roman"/>
                <w:i/>
                <w:iCs/>
              </w:rPr>
              <w:t>Sénégal</w:t>
            </w:r>
            <w:proofErr w:type="spellEnd"/>
            <w:r w:rsidRPr="00763E5D">
              <w:rPr>
                <w:rFonts w:ascii="Times New Roman" w:eastAsia="Times New Roman" w:hAnsi="Times New Roman" w:cs="Times New Roman"/>
                <w:i/>
                <w:iCs/>
              </w:rPr>
              <w:t xml:space="preserve"> Emergent,</w:t>
            </w:r>
            <w:r w:rsidRPr="00763E5D">
              <w:rPr>
                <w:rFonts w:ascii="Times New Roman" w:eastAsia="Times New Roman" w:hAnsi="Times New Roman" w:cs="Times New Roman"/>
              </w:rPr>
              <w:t xml:space="preserve"> p. 80.</w:t>
            </w:r>
          </w:p>
        </w:tc>
      </w:tr>
      <w:tr w:rsidR="00763E5D" w:rsidRPr="00763E5D" w14:paraId="0C6B0077" w14:textId="77777777" w:rsidTr="00A91B9E">
        <w:trPr>
          <w:trHeight w:val="315"/>
        </w:trPr>
        <w:tc>
          <w:tcPr>
            <w:tcW w:w="0" w:type="auto"/>
            <w:tcBorders>
              <w:top w:val="nil"/>
              <w:left w:val="nil"/>
              <w:bottom w:val="nil"/>
              <w:right w:val="nil"/>
            </w:tcBorders>
            <w:shd w:val="clear" w:color="auto" w:fill="auto"/>
            <w:noWrap/>
            <w:vAlign w:val="center"/>
            <w:hideMark/>
          </w:tcPr>
          <w:p w14:paraId="4BE0DC29"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Republic of Senegal. 2016. </w:t>
            </w:r>
            <w:proofErr w:type="spellStart"/>
            <w:r w:rsidRPr="00763E5D">
              <w:rPr>
                <w:rFonts w:ascii="Times New Roman" w:eastAsia="Times New Roman" w:hAnsi="Times New Roman" w:cs="Times New Roman"/>
                <w:i/>
                <w:iCs/>
              </w:rPr>
              <w:t>Sénégal</w:t>
            </w:r>
            <w:proofErr w:type="spellEnd"/>
            <w:r w:rsidRPr="00763E5D">
              <w:rPr>
                <w:rFonts w:ascii="Times New Roman" w:eastAsia="Times New Roman" w:hAnsi="Times New Roman" w:cs="Times New Roman"/>
                <w:i/>
                <w:iCs/>
              </w:rPr>
              <w:t xml:space="preserve"> </w:t>
            </w:r>
            <w:proofErr w:type="spellStart"/>
            <w:r w:rsidRPr="00763E5D">
              <w:rPr>
                <w:rFonts w:ascii="Times New Roman" w:eastAsia="Times New Roman" w:hAnsi="Times New Roman" w:cs="Times New Roman"/>
                <w:i/>
                <w:iCs/>
              </w:rPr>
              <w:t>Numérique</w:t>
            </w:r>
            <w:proofErr w:type="spellEnd"/>
            <w:r w:rsidRPr="00763E5D">
              <w:rPr>
                <w:rFonts w:ascii="Times New Roman" w:eastAsia="Times New Roman" w:hAnsi="Times New Roman" w:cs="Times New Roman"/>
                <w:i/>
                <w:iCs/>
              </w:rPr>
              <w:t xml:space="preserve"> 2016-2025</w:t>
            </w:r>
            <w:r w:rsidRPr="00763E5D">
              <w:rPr>
                <w:rFonts w:ascii="Times New Roman" w:eastAsia="Times New Roman" w:hAnsi="Times New Roman" w:cs="Times New Roman"/>
              </w:rPr>
              <w:t>, p. 25.</w:t>
            </w:r>
          </w:p>
        </w:tc>
      </w:tr>
      <w:tr w:rsidR="00763E5D" w:rsidRPr="00763E5D" w14:paraId="3F1B9AC7" w14:textId="77777777" w:rsidTr="00A91B9E">
        <w:trPr>
          <w:trHeight w:val="315"/>
        </w:trPr>
        <w:tc>
          <w:tcPr>
            <w:tcW w:w="0" w:type="auto"/>
            <w:tcBorders>
              <w:top w:val="nil"/>
              <w:left w:val="nil"/>
              <w:bottom w:val="nil"/>
              <w:right w:val="nil"/>
            </w:tcBorders>
            <w:shd w:val="clear" w:color="auto" w:fill="auto"/>
            <w:noWrap/>
            <w:vAlign w:val="center"/>
            <w:hideMark/>
          </w:tcPr>
          <w:p w14:paraId="7FFD9A76"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lang w:val="en-GB"/>
              </w:rPr>
              <w:t xml:space="preserve">Republic of Senegal. 2017. </w:t>
            </w:r>
            <w:r w:rsidRPr="00763E5D">
              <w:rPr>
                <w:rFonts w:ascii="Times New Roman" w:eastAsia="Times New Roman" w:hAnsi="Times New Roman" w:cs="Times New Roman"/>
                <w:i/>
                <w:iCs/>
                <w:lang w:val="en-GB"/>
              </w:rPr>
              <w:t>April 2017 CPI</w:t>
            </w:r>
          </w:p>
        </w:tc>
      </w:tr>
      <w:tr w:rsidR="00763E5D" w:rsidRPr="00763E5D" w14:paraId="1FC66F10" w14:textId="77777777" w:rsidTr="00A91B9E">
        <w:trPr>
          <w:trHeight w:val="315"/>
        </w:trPr>
        <w:tc>
          <w:tcPr>
            <w:tcW w:w="0" w:type="auto"/>
            <w:tcBorders>
              <w:top w:val="nil"/>
              <w:left w:val="nil"/>
              <w:bottom w:val="nil"/>
              <w:right w:val="nil"/>
            </w:tcBorders>
            <w:shd w:val="clear" w:color="auto" w:fill="auto"/>
            <w:noWrap/>
            <w:vAlign w:val="center"/>
          </w:tcPr>
          <w:p w14:paraId="210D8C27" w14:textId="77777777" w:rsidR="00763E5D" w:rsidRPr="00763E5D" w:rsidRDefault="00763E5D" w:rsidP="00837781">
            <w:pPr>
              <w:spacing w:after="240"/>
              <w:ind w:left="525" w:hanging="525"/>
              <w:rPr>
                <w:rFonts w:ascii="Times New Roman" w:eastAsia="Times New Roman" w:hAnsi="Times New Roman" w:cs="Times New Roman"/>
                <w:iCs/>
              </w:rPr>
            </w:pPr>
            <w:r w:rsidRPr="00763E5D">
              <w:rPr>
                <w:rFonts w:ascii="Times New Roman" w:eastAsia="Times New Roman" w:hAnsi="Times New Roman" w:cs="Times New Roman"/>
                <w:iCs/>
              </w:rPr>
              <w:t xml:space="preserve">Research ICT Africa. 2017. </w:t>
            </w:r>
            <w:hyperlink r:id="rId122" w:history="1">
              <w:r w:rsidRPr="00763E5D">
                <w:rPr>
                  <w:rStyle w:val="Hyperlink"/>
                  <w:rFonts w:ascii="Times New Roman" w:eastAsia="Times New Roman" w:hAnsi="Times New Roman" w:cs="Times New Roman"/>
                  <w:iCs/>
                </w:rPr>
                <w:t>http://www.researchictafrica.net</w:t>
              </w:r>
            </w:hyperlink>
            <w:r w:rsidRPr="00763E5D">
              <w:rPr>
                <w:rFonts w:ascii="Times New Roman" w:eastAsia="Times New Roman" w:hAnsi="Times New Roman" w:cs="Times New Roman"/>
                <w:iCs/>
              </w:rPr>
              <w:t>.</w:t>
            </w:r>
          </w:p>
        </w:tc>
      </w:tr>
      <w:tr w:rsidR="00763E5D" w:rsidRPr="00763E5D" w14:paraId="7576B199" w14:textId="77777777" w:rsidTr="00A91B9E">
        <w:trPr>
          <w:trHeight w:val="315"/>
        </w:trPr>
        <w:tc>
          <w:tcPr>
            <w:tcW w:w="0" w:type="auto"/>
            <w:tcBorders>
              <w:top w:val="nil"/>
              <w:left w:val="nil"/>
              <w:bottom w:val="nil"/>
              <w:right w:val="nil"/>
            </w:tcBorders>
            <w:shd w:val="clear" w:color="auto" w:fill="auto"/>
            <w:noWrap/>
            <w:vAlign w:val="center"/>
            <w:hideMark/>
          </w:tcPr>
          <w:p w14:paraId="1A9F89D0" w14:textId="77777777" w:rsidR="00763E5D" w:rsidRPr="00763E5D" w:rsidRDefault="00763E5D" w:rsidP="00837781">
            <w:pPr>
              <w:spacing w:after="240"/>
              <w:ind w:left="525" w:hanging="525"/>
              <w:rPr>
                <w:rFonts w:ascii="Times New Roman" w:eastAsia="Times New Roman" w:hAnsi="Times New Roman" w:cs="Times New Roman"/>
              </w:rPr>
            </w:pPr>
            <w:proofErr w:type="spellStart"/>
            <w:r w:rsidRPr="007575D7">
              <w:rPr>
                <w:rFonts w:ascii="Times New Roman" w:eastAsia="Times New Roman" w:hAnsi="Times New Roman" w:cs="Times New Roman"/>
                <w:lang w:val="fr-FR"/>
              </w:rPr>
              <w:t>SocialNetLink</w:t>
            </w:r>
            <w:proofErr w:type="spellEnd"/>
            <w:r w:rsidRPr="007575D7">
              <w:rPr>
                <w:rFonts w:ascii="Times New Roman" w:eastAsia="Times New Roman" w:hAnsi="Times New Roman" w:cs="Times New Roman"/>
                <w:lang w:val="fr-FR"/>
              </w:rPr>
              <w:t xml:space="preserve">. 2017. </w:t>
            </w:r>
            <w:r w:rsidRPr="007575D7">
              <w:rPr>
                <w:rFonts w:ascii="Times New Roman" w:eastAsia="Times New Roman" w:hAnsi="Times New Roman" w:cs="Times New Roman"/>
                <w:i/>
                <w:iCs/>
                <w:lang w:val="fr-FR"/>
              </w:rPr>
              <w:t>Plus de 950 millions pour l’acquisition des trois licences FAI au Sénégal</w:t>
            </w:r>
            <w:r w:rsidRPr="007575D7">
              <w:rPr>
                <w:rFonts w:ascii="Times New Roman" w:eastAsia="Times New Roman" w:hAnsi="Times New Roman" w:cs="Times New Roman"/>
                <w:lang w:val="fr-FR"/>
              </w:rPr>
              <w:t xml:space="preserve">. </w:t>
            </w:r>
            <w:r w:rsidRPr="00763E5D">
              <w:rPr>
                <w:rFonts w:ascii="Times New Roman" w:eastAsia="Times New Roman" w:hAnsi="Times New Roman" w:cs="Times New Roman"/>
              </w:rPr>
              <w:t>Available at https://www.socialnetlink.org/2017/02/plus-de-950-millions-pour-lacquisition-des-trois-licences-fai-au-senegal/</w:t>
            </w:r>
          </w:p>
        </w:tc>
      </w:tr>
      <w:tr w:rsidR="00763E5D" w:rsidRPr="00763E5D" w14:paraId="34559903" w14:textId="77777777" w:rsidTr="00A91B9E">
        <w:trPr>
          <w:trHeight w:val="315"/>
        </w:trPr>
        <w:tc>
          <w:tcPr>
            <w:tcW w:w="0" w:type="auto"/>
            <w:tcBorders>
              <w:top w:val="nil"/>
              <w:left w:val="nil"/>
              <w:bottom w:val="nil"/>
              <w:right w:val="nil"/>
            </w:tcBorders>
            <w:shd w:val="clear" w:color="auto" w:fill="auto"/>
            <w:noWrap/>
            <w:vAlign w:val="center"/>
            <w:hideMark/>
          </w:tcPr>
          <w:p w14:paraId="65882DE5" w14:textId="77777777" w:rsidR="00763E5D" w:rsidRPr="00763E5D" w:rsidRDefault="00763E5D" w:rsidP="00837781">
            <w:pPr>
              <w:spacing w:after="240"/>
              <w:ind w:left="525" w:hanging="525"/>
              <w:rPr>
                <w:rFonts w:ascii="Times New Roman" w:eastAsia="Times New Roman" w:hAnsi="Times New Roman" w:cs="Times New Roman"/>
              </w:rPr>
            </w:pPr>
            <w:r w:rsidRPr="007575D7">
              <w:rPr>
                <w:rFonts w:ascii="Times New Roman" w:eastAsia="Times New Roman" w:hAnsi="Times New Roman" w:cs="Times New Roman"/>
                <w:lang w:val="fr-FR"/>
              </w:rPr>
              <w:t xml:space="preserve">Sud Quotidien. 2016. </w:t>
            </w:r>
            <w:r w:rsidRPr="007575D7">
              <w:rPr>
                <w:rFonts w:ascii="Times New Roman" w:eastAsia="Times New Roman" w:hAnsi="Times New Roman" w:cs="Times New Roman"/>
                <w:i/>
                <w:iCs/>
                <w:lang w:val="fr-FR"/>
              </w:rPr>
              <w:t xml:space="preserve">Le </w:t>
            </w:r>
            <w:proofErr w:type="spellStart"/>
            <w:r w:rsidRPr="007575D7">
              <w:rPr>
                <w:rFonts w:ascii="Times New Roman" w:eastAsia="Times New Roman" w:hAnsi="Times New Roman" w:cs="Times New Roman"/>
                <w:i/>
                <w:iCs/>
                <w:lang w:val="fr-FR"/>
              </w:rPr>
              <w:t>Copega</w:t>
            </w:r>
            <w:proofErr w:type="spellEnd"/>
            <w:r w:rsidRPr="007575D7">
              <w:rPr>
                <w:rFonts w:ascii="Times New Roman" w:eastAsia="Times New Roman" w:hAnsi="Times New Roman" w:cs="Times New Roman"/>
                <w:i/>
                <w:iCs/>
                <w:lang w:val="fr-FR"/>
              </w:rPr>
              <w:t xml:space="preserve"> Menace de Fermer L’ensemble de ses Points de Collecte</w:t>
            </w:r>
            <w:r w:rsidRPr="007575D7">
              <w:rPr>
                <w:rFonts w:ascii="Times New Roman" w:eastAsia="Times New Roman" w:hAnsi="Times New Roman" w:cs="Times New Roman"/>
                <w:lang w:val="fr-FR"/>
              </w:rPr>
              <w:t xml:space="preserve">. </w:t>
            </w:r>
            <w:r w:rsidRPr="00763E5D">
              <w:rPr>
                <w:rFonts w:ascii="Times New Roman" w:eastAsia="Times New Roman" w:hAnsi="Times New Roman" w:cs="Times New Roman"/>
              </w:rPr>
              <w:t>Available at: http://www.sudonline.sn/le-copega-menace-de-fermer-l-ensemble-de-ses-points-de-collecte_a_32847.html</w:t>
            </w:r>
          </w:p>
        </w:tc>
      </w:tr>
      <w:tr w:rsidR="00763E5D" w:rsidRPr="00763E5D" w14:paraId="566EF08A" w14:textId="77777777" w:rsidTr="00A91B9E">
        <w:trPr>
          <w:trHeight w:val="315"/>
        </w:trPr>
        <w:tc>
          <w:tcPr>
            <w:tcW w:w="0" w:type="auto"/>
            <w:tcBorders>
              <w:top w:val="nil"/>
              <w:left w:val="nil"/>
              <w:bottom w:val="nil"/>
              <w:right w:val="nil"/>
            </w:tcBorders>
            <w:shd w:val="clear" w:color="auto" w:fill="auto"/>
            <w:noWrap/>
            <w:vAlign w:val="center"/>
            <w:hideMark/>
          </w:tcPr>
          <w:p w14:paraId="52DBD45E"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Supplementary Act A/SA.1/06/08</w:t>
            </w:r>
          </w:p>
        </w:tc>
      </w:tr>
      <w:tr w:rsidR="00763E5D" w:rsidRPr="00763E5D" w14:paraId="472FE08C" w14:textId="77777777" w:rsidTr="00A91B9E">
        <w:trPr>
          <w:trHeight w:val="315"/>
        </w:trPr>
        <w:tc>
          <w:tcPr>
            <w:tcW w:w="0" w:type="auto"/>
            <w:tcBorders>
              <w:top w:val="nil"/>
              <w:left w:val="nil"/>
              <w:bottom w:val="nil"/>
              <w:right w:val="nil"/>
            </w:tcBorders>
            <w:shd w:val="clear" w:color="auto" w:fill="auto"/>
            <w:noWrap/>
            <w:vAlign w:val="center"/>
            <w:hideMark/>
          </w:tcPr>
          <w:p w14:paraId="790EC887"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Telecommunications Code</w:t>
            </w:r>
          </w:p>
        </w:tc>
      </w:tr>
      <w:tr w:rsidR="00763E5D" w:rsidRPr="00763E5D" w14:paraId="5A507825" w14:textId="77777777" w:rsidTr="00A91B9E">
        <w:trPr>
          <w:trHeight w:val="315"/>
        </w:trPr>
        <w:tc>
          <w:tcPr>
            <w:tcW w:w="0" w:type="auto"/>
            <w:tcBorders>
              <w:top w:val="nil"/>
              <w:left w:val="nil"/>
              <w:bottom w:val="nil"/>
              <w:right w:val="nil"/>
            </w:tcBorders>
            <w:shd w:val="clear" w:color="auto" w:fill="auto"/>
            <w:noWrap/>
            <w:vAlign w:val="center"/>
            <w:hideMark/>
          </w:tcPr>
          <w:p w14:paraId="48715970" w14:textId="70129F11" w:rsid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Telecommunications Management Group. 2011. </w:t>
            </w:r>
            <w:r w:rsidRPr="00763E5D">
              <w:rPr>
                <w:rFonts w:ascii="Times New Roman" w:eastAsia="Times New Roman" w:hAnsi="Times New Roman" w:cs="Times New Roman"/>
                <w:i/>
                <w:iCs/>
              </w:rPr>
              <w:t>On-net/Off-net Price Differentiation: Review of International Precedent</w:t>
            </w:r>
            <w:r w:rsidRPr="00763E5D">
              <w:rPr>
                <w:rFonts w:ascii="Times New Roman" w:eastAsia="Times New Roman" w:hAnsi="Times New Roman" w:cs="Times New Roman"/>
              </w:rPr>
              <w:t xml:space="preserve">, p. 9. Available at </w:t>
            </w:r>
            <w:hyperlink r:id="rId123" w:history="1">
              <w:r w:rsidR="00EF741B" w:rsidRPr="00AE5888">
                <w:rPr>
                  <w:rStyle w:val="Hyperlink"/>
                  <w:rFonts w:ascii="Times New Roman" w:eastAsia="Times New Roman" w:hAnsi="Times New Roman" w:cs="Times New Roman"/>
                </w:rPr>
                <w:t>https://www.comcom.govt.nz/dmsdocument/7958</w:t>
              </w:r>
            </w:hyperlink>
          </w:p>
          <w:p w14:paraId="52FD1D5B" w14:textId="77777777" w:rsidR="00EF741B" w:rsidRDefault="00EF741B" w:rsidP="00EF741B">
            <w:pPr>
              <w:spacing w:after="240"/>
              <w:ind w:left="525" w:hanging="525"/>
              <w:rPr>
                <w:rFonts w:ascii="Times New Roman" w:hAnsi="Times New Roman" w:cs="Times New Roman"/>
              </w:rPr>
            </w:pPr>
            <w:r w:rsidRPr="00B57E98">
              <w:rPr>
                <w:rFonts w:ascii="Times New Roman" w:hAnsi="Times New Roman" w:cs="Times New Roman"/>
              </w:rPr>
              <w:t xml:space="preserve">The Brookings Institute. 2018. </w:t>
            </w:r>
            <w:r w:rsidRPr="00B57E98">
              <w:rPr>
                <w:rFonts w:ascii="Times New Roman" w:hAnsi="Times New Roman" w:cs="Times New Roman"/>
                <w:i/>
              </w:rPr>
              <w:t>Can the digital revolution transform agriculture?</w:t>
            </w:r>
            <w:r w:rsidRPr="00B57E98">
              <w:rPr>
                <w:rFonts w:ascii="Times New Roman" w:hAnsi="Times New Roman" w:cs="Times New Roman"/>
              </w:rPr>
              <w:t xml:space="preserve"> Available at</w:t>
            </w:r>
            <w:r w:rsidRPr="00B57E98">
              <w:rPr>
                <w:rStyle w:val="Hyperlink"/>
                <w:rFonts w:ascii="Times New Roman" w:hAnsi="Times New Roman" w:cs="Times New Roman"/>
              </w:rPr>
              <w:t xml:space="preserve"> </w:t>
            </w:r>
            <w:hyperlink r:id="rId124" w:history="1">
              <w:r w:rsidRPr="00B57E98">
                <w:rPr>
                  <w:rStyle w:val="Hyperlink"/>
                  <w:rFonts w:ascii="Times New Roman" w:hAnsi="Times New Roman" w:cs="Times New Roman"/>
                </w:rPr>
                <w:t>https://www.brookings.edu/blog/future-development/2018/02/28/can-the-digital-revolution-transform-agriculture/</w:t>
              </w:r>
            </w:hyperlink>
          </w:p>
          <w:p w14:paraId="12C63E4B" w14:textId="535C0FB6" w:rsidR="00EF741B" w:rsidRPr="00763E5D" w:rsidRDefault="00EF741B" w:rsidP="00EF741B">
            <w:pPr>
              <w:spacing w:after="240"/>
              <w:ind w:left="525" w:hanging="525"/>
              <w:rPr>
                <w:rFonts w:ascii="Times New Roman" w:eastAsia="Times New Roman" w:hAnsi="Times New Roman" w:cs="Times New Roman"/>
              </w:rPr>
            </w:pPr>
            <w:r w:rsidRPr="00B57E98">
              <w:rPr>
                <w:rFonts w:ascii="Times New Roman" w:hAnsi="Times New Roman" w:cs="Times New Roman"/>
              </w:rPr>
              <w:t xml:space="preserve">The Economic Times. 2017. </w:t>
            </w:r>
            <w:r w:rsidRPr="00B57E98">
              <w:rPr>
                <w:rFonts w:ascii="Times New Roman" w:hAnsi="Times New Roman" w:cs="Times New Roman"/>
                <w:i/>
              </w:rPr>
              <w:t>Groundnut yield jumps 30% on use of digital farming practices.</w:t>
            </w:r>
            <w:r w:rsidRPr="00B57E98">
              <w:rPr>
                <w:rFonts w:ascii="Times New Roman" w:hAnsi="Times New Roman" w:cs="Times New Roman"/>
              </w:rPr>
              <w:t xml:space="preserve"> Available at </w:t>
            </w:r>
            <w:hyperlink r:id="rId125" w:history="1">
              <w:r w:rsidRPr="00B57E98">
                <w:rPr>
                  <w:rStyle w:val="Hyperlink"/>
                  <w:rFonts w:ascii="Times New Roman" w:hAnsi="Times New Roman" w:cs="Times New Roman"/>
                </w:rPr>
                <w:t>https://economictimes.indiatimes.com/news/economy/agriculture/groundnut-yield-jumps-30-on-use-of-digital-farming-practices/articleshow/56423815.cms</w:t>
              </w:r>
            </w:hyperlink>
          </w:p>
        </w:tc>
      </w:tr>
      <w:tr w:rsidR="00763E5D" w:rsidRPr="00763E5D" w14:paraId="06E9350E" w14:textId="77777777" w:rsidTr="00A91B9E">
        <w:trPr>
          <w:trHeight w:val="315"/>
        </w:trPr>
        <w:tc>
          <w:tcPr>
            <w:tcW w:w="0" w:type="auto"/>
            <w:tcBorders>
              <w:top w:val="nil"/>
              <w:left w:val="nil"/>
              <w:bottom w:val="nil"/>
              <w:right w:val="nil"/>
            </w:tcBorders>
            <w:shd w:val="clear" w:color="auto" w:fill="auto"/>
            <w:noWrap/>
            <w:vAlign w:val="center"/>
            <w:hideMark/>
          </w:tcPr>
          <w:p w14:paraId="5C1E066C"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The Japan Times. 2013. </w:t>
            </w:r>
            <w:r w:rsidRPr="00763E5D">
              <w:rPr>
                <w:rFonts w:ascii="Times New Roman" w:eastAsia="Times New Roman" w:hAnsi="Times New Roman" w:cs="Times New Roman"/>
                <w:i/>
                <w:iCs/>
              </w:rPr>
              <w:t>China makes peanuts new ‘gold’ in Senegal</w:t>
            </w:r>
            <w:r w:rsidRPr="00763E5D">
              <w:rPr>
                <w:rFonts w:ascii="Times New Roman" w:eastAsia="Times New Roman" w:hAnsi="Times New Roman" w:cs="Times New Roman"/>
              </w:rPr>
              <w:t>. Available at: http://www.japantimes.co.jp/news/2013/03/26/business/china-makes-peanuts-new-gold-in-senegal/#.WWesHOjyuUl</w:t>
            </w:r>
          </w:p>
        </w:tc>
      </w:tr>
      <w:tr w:rsidR="00763E5D" w:rsidRPr="00763E5D" w14:paraId="4559A6BE" w14:textId="77777777" w:rsidTr="00A91B9E">
        <w:trPr>
          <w:trHeight w:val="315"/>
        </w:trPr>
        <w:tc>
          <w:tcPr>
            <w:tcW w:w="0" w:type="auto"/>
            <w:tcBorders>
              <w:top w:val="nil"/>
              <w:left w:val="nil"/>
              <w:bottom w:val="nil"/>
              <w:right w:val="nil"/>
            </w:tcBorders>
            <w:shd w:val="clear" w:color="auto" w:fill="auto"/>
            <w:noWrap/>
            <w:vAlign w:val="center"/>
          </w:tcPr>
          <w:p w14:paraId="3BA50911"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hAnsi="Times New Roman" w:cs="Times New Roman"/>
              </w:rPr>
              <w:t>This Day Live. 2016: https://www.thisdaylive.com/index.php/2016/04/21/bitflux-begins-commercial-rollout-of-2-3ghz-services/</w:t>
            </w:r>
          </w:p>
        </w:tc>
      </w:tr>
      <w:tr w:rsidR="00763E5D" w:rsidRPr="00763E5D" w14:paraId="1ACC3340" w14:textId="77777777" w:rsidTr="00A91B9E">
        <w:trPr>
          <w:trHeight w:val="315"/>
        </w:trPr>
        <w:tc>
          <w:tcPr>
            <w:tcW w:w="0" w:type="auto"/>
            <w:tcBorders>
              <w:top w:val="nil"/>
              <w:left w:val="nil"/>
              <w:bottom w:val="nil"/>
              <w:right w:val="nil"/>
            </w:tcBorders>
            <w:shd w:val="clear" w:color="auto" w:fill="auto"/>
            <w:noWrap/>
            <w:vAlign w:val="center"/>
            <w:hideMark/>
          </w:tcPr>
          <w:p w14:paraId="1B5EB180"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lang w:val="en-GB"/>
              </w:rPr>
              <w:t xml:space="preserve">UN. 2017. </w:t>
            </w:r>
            <w:r w:rsidRPr="00763E5D">
              <w:rPr>
                <w:rFonts w:ascii="Times New Roman" w:eastAsia="Times New Roman" w:hAnsi="Times New Roman" w:cs="Times New Roman"/>
                <w:i/>
                <w:iCs/>
                <w:lang w:val="en-GB"/>
              </w:rPr>
              <w:t xml:space="preserve">Senegal Country Profile. </w:t>
            </w:r>
            <w:r w:rsidRPr="00763E5D">
              <w:rPr>
                <w:rFonts w:ascii="Times New Roman" w:eastAsia="Times New Roman" w:hAnsi="Times New Roman" w:cs="Times New Roman"/>
                <w:lang w:val="en-GB"/>
              </w:rPr>
              <w:t>Available at http://data.un.org/CountryProfile.aspx?crName=senegal</w:t>
            </w:r>
          </w:p>
        </w:tc>
      </w:tr>
      <w:tr w:rsidR="00763E5D" w:rsidRPr="00763E5D" w14:paraId="1B0794EF" w14:textId="77777777" w:rsidTr="00A91B9E">
        <w:trPr>
          <w:trHeight w:val="315"/>
        </w:trPr>
        <w:tc>
          <w:tcPr>
            <w:tcW w:w="0" w:type="auto"/>
            <w:tcBorders>
              <w:top w:val="nil"/>
              <w:left w:val="nil"/>
              <w:bottom w:val="nil"/>
              <w:right w:val="nil"/>
            </w:tcBorders>
            <w:shd w:val="clear" w:color="auto" w:fill="auto"/>
            <w:noWrap/>
            <w:vAlign w:val="center"/>
            <w:hideMark/>
          </w:tcPr>
          <w:p w14:paraId="26D6D71F"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UNCTAD, Model Law on Competition (2010) – Chapter II, p. 7.</w:t>
            </w:r>
          </w:p>
        </w:tc>
      </w:tr>
      <w:tr w:rsidR="00763E5D" w:rsidRPr="00763E5D" w14:paraId="6DFD32D4" w14:textId="77777777" w:rsidTr="00A91B9E">
        <w:trPr>
          <w:trHeight w:val="315"/>
        </w:trPr>
        <w:tc>
          <w:tcPr>
            <w:tcW w:w="0" w:type="auto"/>
            <w:tcBorders>
              <w:top w:val="nil"/>
              <w:left w:val="nil"/>
              <w:bottom w:val="nil"/>
              <w:right w:val="nil"/>
            </w:tcBorders>
            <w:shd w:val="clear" w:color="auto" w:fill="auto"/>
            <w:noWrap/>
            <w:vAlign w:val="center"/>
            <w:hideMark/>
          </w:tcPr>
          <w:p w14:paraId="0CE9520B"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UNCTAD. 2007. </w:t>
            </w:r>
            <w:r w:rsidRPr="00763E5D">
              <w:rPr>
                <w:rFonts w:ascii="Times New Roman" w:eastAsia="Times New Roman" w:hAnsi="Times New Roman" w:cs="Times New Roman"/>
                <w:i/>
                <w:iCs/>
              </w:rPr>
              <w:t>Voluntary peer review of competition policy: West African Economic and Monetary Union, Benin and Senegal</w:t>
            </w:r>
            <w:r w:rsidRPr="00763E5D">
              <w:rPr>
                <w:rFonts w:ascii="Times New Roman" w:eastAsia="Times New Roman" w:hAnsi="Times New Roman" w:cs="Times New Roman"/>
              </w:rPr>
              <w:t>, pp. 16-17</w:t>
            </w:r>
          </w:p>
        </w:tc>
      </w:tr>
      <w:tr w:rsidR="00763E5D" w:rsidRPr="00763E5D" w14:paraId="376F878A" w14:textId="77777777" w:rsidTr="00A91B9E">
        <w:trPr>
          <w:trHeight w:val="315"/>
        </w:trPr>
        <w:tc>
          <w:tcPr>
            <w:tcW w:w="0" w:type="auto"/>
            <w:tcBorders>
              <w:top w:val="nil"/>
              <w:left w:val="nil"/>
              <w:bottom w:val="nil"/>
              <w:right w:val="nil"/>
            </w:tcBorders>
            <w:shd w:val="clear" w:color="auto" w:fill="auto"/>
            <w:noWrap/>
            <w:vAlign w:val="center"/>
            <w:hideMark/>
          </w:tcPr>
          <w:p w14:paraId="2593F01E"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USAID. 2016. </w:t>
            </w:r>
            <w:r w:rsidRPr="00763E5D">
              <w:rPr>
                <w:rFonts w:ascii="Times New Roman" w:eastAsia="Times New Roman" w:hAnsi="Times New Roman" w:cs="Times New Roman"/>
                <w:i/>
                <w:iCs/>
              </w:rPr>
              <w:t>Fertilizer Statistics Overview Senegal 2012 -2015</w:t>
            </w:r>
            <w:r w:rsidRPr="00763E5D">
              <w:rPr>
                <w:rFonts w:ascii="Times New Roman" w:eastAsia="Times New Roman" w:hAnsi="Times New Roman" w:cs="Times New Roman"/>
              </w:rPr>
              <w:t>.</w:t>
            </w:r>
          </w:p>
        </w:tc>
      </w:tr>
      <w:tr w:rsidR="00763E5D" w:rsidRPr="00763E5D" w14:paraId="05F6D406" w14:textId="77777777" w:rsidTr="00A91B9E">
        <w:trPr>
          <w:trHeight w:val="315"/>
        </w:trPr>
        <w:tc>
          <w:tcPr>
            <w:tcW w:w="0" w:type="auto"/>
            <w:tcBorders>
              <w:top w:val="nil"/>
              <w:left w:val="nil"/>
              <w:bottom w:val="nil"/>
              <w:right w:val="nil"/>
            </w:tcBorders>
            <w:shd w:val="clear" w:color="auto" w:fill="auto"/>
            <w:noWrap/>
            <w:vAlign w:val="center"/>
            <w:hideMark/>
          </w:tcPr>
          <w:p w14:paraId="4CAF8E67"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USDA. 2016. </w:t>
            </w:r>
            <w:r w:rsidRPr="00763E5D">
              <w:rPr>
                <w:rFonts w:ascii="Times New Roman" w:eastAsia="Times New Roman" w:hAnsi="Times New Roman" w:cs="Times New Roman"/>
                <w:i/>
                <w:iCs/>
              </w:rPr>
              <w:t xml:space="preserve">Senegal – Oilseeds and Products Annual 2016. </w:t>
            </w:r>
            <w:r w:rsidRPr="00763E5D">
              <w:rPr>
                <w:rFonts w:ascii="Times New Roman" w:eastAsia="Times New Roman" w:hAnsi="Times New Roman" w:cs="Times New Roman"/>
              </w:rPr>
              <w:t>Global Agriculture Information Network (GAIN), p. 2</w:t>
            </w:r>
          </w:p>
        </w:tc>
      </w:tr>
      <w:tr w:rsidR="00763E5D" w:rsidRPr="00763E5D" w14:paraId="06798619" w14:textId="77777777" w:rsidTr="00A91B9E">
        <w:trPr>
          <w:trHeight w:val="300"/>
        </w:trPr>
        <w:tc>
          <w:tcPr>
            <w:tcW w:w="0" w:type="auto"/>
            <w:tcBorders>
              <w:top w:val="nil"/>
              <w:left w:val="nil"/>
              <w:bottom w:val="nil"/>
              <w:right w:val="nil"/>
            </w:tcBorders>
            <w:shd w:val="clear" w:color="auto" w:fill="auto"/>
            <w:noWrap/>
            <w:vAlign w:val="center"/>
            <w:hideMark/>
          </w:tcPr>
          <w:p w14:paraId="2AD86AE6" w14:textId="77777777" w:rsidR="00763E5D" w:rsidRDefault="00B42297" w:rsidP="00837781">
            <w:pPr>
              <w:spacing w:after="240"/>
              <w:ind w:left="525" w:hanging="525"/>
              <w:rPr>
                <w:rFonts w:ascii="Times New Roman" w:eastAsia="Times New Roman" w:hAnsi="Times New Roman" w:cs="Times New Roman"/>
              </w:rPr>
            </w:pPr>
            <w:hyperlink r:id="rId126" w:anchor="/app/home" w:history="1">
              <w:r w:rsidR="00763E5D" w:rsidRPr="00763E5D">
                <w:rPr>
                  <w:rFonts w:ascii="Times New Roman" w:eastAsia="Times New Roman" w:hAnsi="Times New Roman" w:cs="Times New Roman"/>
                </w:rPr>
                <w:t>USDA. 2017. Production, Supply and Distribution Database. Available at: https://apps.fas.usda.gov/psdonline/app/index.html#/app/home).</w:t>
              </w:r>
            </w:hyperlink>
          </w:p>
          <w:p w14:paraId="2A70745D" w14:textId="77777777" w:rsidR="00DD70D7" w:rsidRPr="007575D7" w:rsidRDefault="00DD70D7" w:rsidP="007575D7">
            <w:pPr>
              <w:spacing w:after="240"/>
              <w:ind w:left="525" w:hanging="525"/>
              <w:rPr>
                <w:rFonts w:eastAsia="Times New Roman"/>
              </w:rPr>
            </w:pPr>
            <w:r w:rsidRPr="007575D7">
              <w:rPr>
                <w:rFonts w:ascii="Times New Roman" w:eastAsia="Times New Roman" w:hAnsi="Times New Roman" w:cs="Times New Roman"/>
              </w:rPr>
              <w:t xml:space="preserve">USDA Foreign Agricultural Service. 2017. </w:t>
            </w:r>
            <w:r w:rsidRPr="007575D7">
              <w:rPr>
                <w:rFonts w:ascii="Times New Roman" w:eastAsia="Times New Roman" w:hAnsi="Times New Roman" w:cs="Times New Roman"/>
                <w:i/>
              </w:rPr>
              <w:t>Argentina. Oil Seeds and Products Annual. 2017/18 Forecast: Limited area growth for Soybeans, Sunflower, and Peanuts</w:t>
            </w:r>
            <w:r w:rsidRPr="007575D7">
              <w:rPr>
                <w:rFonts w:ascii="Times New Roman" w:eastAsia="Times New Roman" w:hAnsi="Times New Roman" w:cs="Times New Roman"/>
              </w:rPr>
              <w:t xml:space="preserve">. Available at </w:t>
            </w:r>
            <w:hyperlink r:id="rId127" w:history="1">
              <w:r w:rsidRPr="007575D7">
                <w:rPr>
                  <w:rFonts w:eastAsia="Times New Roman"/>
                </w:rPr>
                <w:t>https://gain.fas.usda.gov/Recent%20GAIN%20Publications/Oilseeds%20and%20Products%20Annual_Buenos%20Aires_Argentina_4-26-2017.pdf</w:t>
              </w:r>
            </w:hyperlink>
            <w:r w:rsidRPr="007575D7">
              <w:rPr>
                <w:rFonts w:eastAsia="Times New Roman"/>
              </w:rPr>
              <w:t xml:space="preserve"> </w:t>
            </w:r>
          </w:p>
          <w:p w14:paraId="69308C0C" w14:textId="4E53A4A9" w:rsidR="00DD70D7" w:rsidRPr="00763E5D" w:rsidRDefault="00F3238F" w:rsidP="00EE65D3">
            <w:pPr>
              <w:spacing w:after="240"/>
              <w:ind w:left="525" w:hanging="525"/>
              <w:rPr>
                <w:rFonts w:ascii="Times New Roman" w:eastAsia="Times New Roman" w:hAnsi="Times New Roman" w:cs="Times New Roman"/>
              </w:rPr>
            </w:pPr>
            <w:r w:rsidRPr="00B57E98">
              <w:rPr>
                <w:rFonts w:ascii="Times New Roman" w:eastAsia="Times New Roman" w:hAnsi="Times New Roman" w:cs="Times New Roman"/>
              </w:rPr>
              <w:t xml:space="preserve">USDA Foreign Agricultural Service. 2014. </w:t>
            </w:r>
            <w:r w:rsidRPr="00B57E98">
              <w:rPr>
                <w:rFonts w:ascii="Times New Roman" w:eastAsia="Times New Roman" w:hAnsi="Times New Roman" w:cs="Times New Roman"/>
                <w:i/>
              </w:rPr>
              <w:t>GAIN Report Benin</w:t>
            </w:r>
            <w:r w:rsidRPr="00B57E98">
              <w:rPr>
                <w:rFonts w:ascii="Times New Roman" w:eastAsia="Times New Roman" w:hAnsi="Times New Roman" w:cs="Times New Roman"/>
              </w:rPr>
              <w:t xml:space="preserve">. Available at </w:t>
            </w:r>
            <w:hyperlink r:id="rId128" w:history="1">
              <w:r w:rsidRPr="00B57E98">
                <w:rPr>
                  <w:rFonts w:ascii="Times New Roman" w:eastAsia="Times New Roman" w:hAnsi="Times New Roman" w:cs="Times New Roman"/>
                </w:rPr>
                <w:t>https://gain.fas.usda.gov/Recent%20GAIN%20Publications/Agricultural%20Situation_Lagos_Benin_3-20-2014.pdf</w:t>
              </w:r>
            </w:hyperlink>
            <w:r w:rsidRPr="00B57E98">
              <w:rPr>
                <w:rFonts w:ascii="Times New Roman" w:eastAsia="Times New Roman" w:hAnsi="Times New Roman" w:cs="Times New Roman"/>
              </w:rPr>
              <w:t xml:space="preserve"> </w:t>
            </w:r>
          </w:p>
        </w:tc>
      </w:tr>
      <w:tr w:rsidR="00763E5D" w:rsidRPr="00763E5D" w14:paraId="29B5F03C" w14:textId="77777777" w:rsidTr="00A91B9E">
        <w:trPr>
          <w:trHeight w:val="315"/>
        </w:trPr>
        <w:tc>
          <w:tcPr>
            <w:tcW w:w="0" w:type="auto"/>
            <w:tcBorders>
              <w:top w:val="nil"/>
              <w:left w:val="nil"/>
              <w:bottom w:val="nil"/>
              <w:right w:val="nil"/>
            </w:tcBorders>
            <w:shd w:val="clear" w:color="auto" w:fill="auto"/>
            <w:noWrap/>
            <w:vAlign w:val="center"/>
            <w:hideMark/>
          </w:tcPr>
          <w:p w14:paraId="7F1A2979"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WAEMU Treaty</w:t>
            </w:r>
          </w:p>
        </w:tc>
      </w:tr>
      <w:tr w:rsidR="00763E5D" w:rsidRPr="00763E5D" w14:paraId="4D78BE64" w14:textId="77777777" w:rsidTr="00A91B9E">
        <w:trPr>
          <w:trHeight w:val="315"/>
        </w:trPr>
        <w:tc>
          <w:tcPr>
            <w:tcW w:w="0" w:type="auto"/>
            <w:tcBorders>
              <w:top w:val="nil"/>
              <w:left w:val="nil"/>
              <w:bottom w:val="nil"/>
              <w:right w:val="nil"/>
            </w:tcBorders>
            <w:shd w:val="clear" w:color="auto" w:fill="auto"/>
            <w:noWrap/>
            <w:vAlign w:val="center"/>
            <w:hideMark/>
          </w:tcPr>
          <w:p w14:paraId="16F28742" w14:textId="77777777" w:rsid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WBG, Republic of Senegal. 2016. </w:t>
            </w:r>
            <w:r w:rsidRPr="00763E5D">
              <w:rPr>
                <w:rFonts w:ascii="Times New Roman" w:eastAsia="Times New Roman" w:hAnsi="Times New Roman" w:cs="Times New Roman"/>
                <w:i/>
                <w:iCs/>
              </w:rPr>
              <w:t xml:space="preserve">An Assessment of the </w:t>
            </w:r>
            <w:proofErr w:type="gramStart"/>
            <w:r w:rsidRPr="00763E5D">
              <w:rPr>
                <w:rFonts w:ascii="Times New Roman" w:eastAsia="Times New Roman" w:hAnsi="Times New Roman" w:cs="Times New Roman"/>
                <w:i/>
                <w:iCs/>
              </w:rPr>
              <w:t>Short Term</w:t>
            </w:r>
            <w:proofErr w:type="gramEnd"/>
            <w:r w:rsidRPr="00763E5D">
              <w:rPr>
                <w:rFonts w:ascii="Times New Roman" w:eastAsia="Times New Roman" w:hAnsi="Times New Roman" w:cs="Times New Roman"/>
                <w:i/>
                <w:iCs/>
              </w:rPr>
              <w:t xml:space="preserve"> Impact of the ECOWAS-CET and EU-EPA in Senegal</w:t>
            </w:r>
            <w:r w:rsidRPr="00763E5D">
              <w:rPr>
                <w:rFonts w:ascii="Times New Roman" w:eastAsia="Times New Roman" w:hAnsi="Times New Roman" w:cs="Times New Roman"/>
              </w:rPr>
              <w:t>, p. 15</w:t>
            </w:r>
          </w:p>
          <w:p w14:paraId="43CDE937" w14:textId="798E4831" w:rsidR="00DD70D7" w:rsidRPr="007575D7" w:rsidRDefault="00DD70D7" w:rsidP="00EE65D3">
            <w:pPr>
              <w:spacing w:after="240"/>
              <w:ind w:left="525" w:hanging="525"/>
              <w:rPr>
                <w:rFonts w:ascii="Times New Roman" w:hAnsi="Times New Roman" w:cs="Times New Roman"/>
                <w:color w:val="000000"/>
              </w:rPr>
            </w:pPr>
            <w:r w:rsidRPr="00B57E98">
              <w:rPr>
                <w:rFonts w:ascii="Times New Roman" w:hAnsi="Times New Roman" w:cs="Times New Roman"/>
              </w:rPr>
              <w:t xml:space="preserve">World </w:t>
            </w:r>
            <w:r w:rsidRPr="00B57E98">
              <w:rPr>
                <w:rFonts w:ascii="Times New Roman" w:hAnsi="Times New Roman" w:cs="Times New Roman"/>
                <w:color w:val="000000"/>
              </w:rPr>
              <w:t>Bank, 2008.</w:t>
            </w:r>
            <w:r w:rsidRPr="00B57E98">
              <w:rPr>
                <w:rFonts w:ascii="Times New Roman" w:hAnsi="Times New Roman" w:cs="Times New Roman"/>
                <w:i/>
                <w:color w:val="000000"/>
              </w:rPr>
              <w:t xml:space="preserve"> Catalyst, or Distraction? Standards, Competitiveness, and Africa’s Groundnut Exports to Europe. </w:t>
            </w:r>
            <w:r w:rsidRPr="00B57E98">
              <w:rPr>
                <w:rFonts w:ascii="Times New Roman" w:hAnsi="Times New Roman" w:cs="Times New Roman"/>
                <w:color w:val="000000"/>
              </w:rPr>
              <w:t>Agriculture and Rural Development</w:t>
            </w:r>
            <w:r w:rsidRPr="00B57E98">
              <w:rPr>
                <w:rFonts w:ascii="Times New Roman" w:hAnsi="Times New Roman" w:cs="Times New Roman"/>
                <w:i/>
                <w:color w:val="000000"/>
              </w:rPr>
              <w:t xml:space="preserve">. </w:t>
            </w:r>
            <w:r w:rsidRPr="00B57E98">
              <w:rPr>
                <w:rFonts w:ascii="Times New Roman" w:hAnsi="Times New Roman" w:cs="Times New Roman"/>
              </w:rPr>
              <w:t>Discussion Paper 39. A</w:t>
            </w:r>
            <w:r w:rsidRPr="007575D7">
              <w:rPr>
                <w:rFonts w:ascii="Times New Roman" w:hAnsi="Times New Roman" w:cs="Times New Roman"/>
                <w:color w:val="000000"/>
              </w:rPr>
              <w:t xml:space="preserve">vailable at </w:t>
            </w:r>
            <w:hyperlink r:id="rId129" w:history="1">
              <w:r w:rsidRPr="007575D7">
                <w:rPr>
                  <w:rStyle w:val="Hyperlink"/>
                  <w:rFonts w:ascii="Times New Roman" w:hAnsi="Times New Roman" w:cs="Times New Roman"/>
                </w:rPr>
                <w:t>http://siteresources.worldbank.org/INTARD/825826-1111055015956/21663468/ARDDiscussionPaper39.pdf</w:t>
              </w:r>
            </w:hyperlink>
            <w:r w:rsidRPr="007575D7">
              <w:rPr>
                <w:rFonts w:ascii="Times New Roman" w:hAnsi="Times New Roman" w:cs="Times New Roman"/>
                <w:color w:val="000000"/>
              </w:rPr>
              <w:t xml:space="preserve"> </w:t>
            </w:r>
          </w:p>
        </w:tc>
      </w:tr>
      <w:tr w:rsidR="00763E5D" w:rsidRPr="00763E5D" w14:paraId="537C8776" w14:textId="77777777" w:rsidTr="00C271A3">
        <w:trPr>
          <w:trHeight w:val="315"/>
        </w:trPr>
        <w:tc>
          <w:tcPr>
            <w:tcW w:w="0" w:type="auto"/>
            <w:tcBorders>
              <w:top w:val="nil"/>
              <w:left w:val="nil"/>
              <w:bottom w:val="nil"/>
              <w:right w:val="nil"/>
            </w:tcBorders>
            <w:shd w:val="clear" w:color="auto" w:fill="auto"/>
            <w:noWrap/>
          </w:tcPr>
          <w:p w14:paraId="2C2CF33F" w14:textId="77777777" w:rsidR="00763E5D" w:rsidRPr="00763E5D" w:rsidRDefault="00763E5D" w:rsidP="00B85169">
            <w:pPr>
              <w:spacing w:after="240"/>
              <w:ind w:left="525" w:hanging="525"/>
              <w:rPr>
                <w:rFonts w:ascii="Times New Roman" w:eastAsia="Times New Roman" w:hAnsi="Times New Roman" w:cs="Times New Roman"/>
              </w:rPr>
            </w:pPr>
            <w:r w:rsidRPr="00763E5D">
              <w:rPr>
                <w:rFonts w:ascii="Times New Roman" w:hAnsi="Times New Roman" w:cs="Times New Roman"/>
              </w:rPr>
              <w:t xml:space="preserve">World Bank Group (2012) Viewpoint, Public Policy for the private sector, </w:t>
            </w:r>
            <w:r w:rsidRPr="00763E5D">
              <w:rPr>
                <w:rFonts w:ascii="Times New Roman" w:hAnsi="Times New Roman" w:cs="Times New Roman"/>
                <w:i/>
                <w:iCs/>
              </w:rPr>
              <w:t>Competition Policy: Encouraging Thriving Markets for Development</w:t>
            </w:r>
            <w:r w:rsidRPr="00763E5D">
              <w:rPr>
                <w:rFonts w:ascii="Times New Roman" w:hAnsi="Times New Roman" w:cs="Times New Roman"/>
              </w:rPr>
              <w:t>. Note Num. 331</w:t>
            </w:r>
          </w:p>
        </w:tc>
      </w:tr>
      <w:tr w:rsidR="00763E5D" w:rsidRPr="00763E5D" w14:paraId="32509EE5" w14:textId="77777777" w:rsidTr="00C271A3">
        <w:trPr>
          <w:trHeight w:val="315"/>
        </w:trPr>
        <w:tc>
          <w:tcPr>
            <w:tcW w:w="0" w:type="auto"/>
            <w:tcBorders>
              <w:top w:val="nil"/>
              <w:left w:val="nil"/>
              <w:bottom w:val="nil"/>
              <w:right w:val="nil"/>
            </w:tcBorders>
            <w:shd w:val="clear" w:color="auto" w:fill="auto"/>
            <w:noWrap/>
          </w:tcPr>
          <w:p w14:paraId="5591FDFE" w14:textId="77777777" w:rsidR="00763E5D" w:rsidRDefault="00763E5D" w:rsidP="00837781">
            <w:pPr>
              <w:spacing w:after="240"/>
              <w:ind w:left="525" w:hanging="525"/>
              <w:rPr>
                <w:rFonts w:ascii="Times New Roman" w:hAnsi="Times New Roman" w:cs="Times New Roman"/>
              </w:rPr>
            </w:pPr>
            <w:r w:rsidRPr="00763E5D">
              <w:rPr>
                <w:rFonts w:ascii="Times New Roman" w:hAnsi="Times New Roman" w:cs="Times New Roman"/>
              </w:rPr>
              <w:t xml:space="preserve">World Bank Group. 2004. </w:t>
            </w:r>
            <w:r w:rsidRPr="00763E5D">
              <w:rPr>
                <w:rFonts w:ascii="Times New Roman" w:hAnsi="Times New Roman" w:cs="Times New Roman"/>
                <w:i/>
              </w:rPr>
              <w:t>Competition in International Voice Communications</w:t>
            </w:r>
            <w:r w:rsidRPr="00763E5D">
              <w:rPr>
                <w:rFonts w:ascii="Times New Roman" w:hAnsi="Times New Roman" w:cs="Times New Roman"/>
              </w:rPr>
              <w:t>. Working Paper No. 42.</w:t>
            </w:r>
          </w:p>
          <w:p w14:paraId="6B658FF5" w14:textId="5325ACC4" w:rsidR="00EF741B" w:rsidRPr="007575D7" w:rsidRDefault="00EF741B" w:rsidP="00EF741B">
            <w:pPr>
              <w:spacing w:after="240"/>
              <w:ind w:left="525" w:hanging="525"/>
              <w:rPr>
                <w:rFonts w:ascii="Times New Roman" w:hAnsi="Times New Roman" w:cs="Times New Roman"/>
              </w:rPr>
            </w:pPr>
            <w:r w:rsidRPr="00B57E98">
              <w:rPr>
                <w:rFonts w:ascii="Times New Roman" w:hAnsi="Times New Roman" w:cs="Times New Roman"/>
              </w:rPr>
              <w:t xml:space="preserve">World Bank, 2005. </w:t>
            </w:r>
            <w:r w:rsidRPr="00B57E98">
              <w:rPr>
                <w:rFonts w:ascii="Times New Roman" w:hAnsi="Times New Roman" w:cs="Times New Roman"/>
                <w:i/>
              </w:rPr>
              <w:t xml:space="preserve">Managing Agricultural Production Risk. Innovations in Developing Countries. Report No. 32727-GLB; </w:t>
            </w:r>
            <w:r w:rsidRPr="00B57E98">
              <w:rPr>
                <w:rFonts w:ascii="Times New Roman" w:hAnsi="Times New Roman" w:cs="Times New Roman"/>
              </w:rPr>
              <w:t xml:space="preserve">Miller, C. </w:t>
            </w:r>
            <w:r w:rsidRPr="00B57E98">
              <w:rPr>
                <w:rFonts w:ascii="Times New Roman" w:hAnsi="Times New Roman" w:cs="Times New Roman"/>
                <w:i/>
              </w:rPr>
              <w:t xml:space="preserve">Risk Mitigation and Management for Agricultural Investment. Investment and Resource Mobilization. </w:t>
            </w:r>
            <w:r w:rsidRPr="00B57E98">
              <w:rPr>
                <w:rFonts w:ascii="Times New Roman" w:hAnsi="Times New Roman" w:cs="Times New Roman"/>
              </w:rPr>
              <w:t>Food and Agriculture Organization (FAO) of the United Nations, 2008</w:t>
            </w:r>
          </w:p>
        </w:tc>
      </w:tr>
      <w:tr w:rsidR="00763E5D" w:rsidRPr="00763E5D" w14:paraId="5FD5DBFF" w14:textId="77777777" w:rsidTr="00A91B9E">
        <w:trPr>
          <w:trHeight w:val="315"/>
        </w:trPr>
        <w:tc>
          <w:tcPr>
            <w:tcW w:w="0" w:type="auto"/>
            <w:tcBorders>
              <w:top w:val="nil"/>
              <w:left w:val="nil"/>
              <w:bottom w:val="nil"/>
              <w:right w:val="nil"/>
            </w:tcBorders>
            <w:shd w:val="clear" w:color="auto" w:fill="auto"/>
            <w:noWrap/>
            <w:vAlign w:val="center"/>
          </w:tcPr>
          <w:p w14:paraId="59EC7874"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hAnsi="Times New Roman" w:cs="Times New Roman"/>
              </w:rPr>
              <w:t xml:space="preserve">World Bank Group. 2016. </w:t>
            </w:r>
            <w:r w:rsidRPr="00763E5D">
              <w:rPr>
                <w:rFonts w:ascii="Times New Roman" w:hAnsi="Times New Roman" w:cs="Times New Roman"/>
                <w:i/>
              </w:rPr>
              <w:t>IDA Program Document –Concept Stage for a Proposed Credit to Senegal, Multi-Sector Structural Reforms DPO, July 2016</w:t>
            </w:r>
            <w:r w:rsidRPr="00763E5D">
              <w:rPr>
                <w:rFonts w:ascii="Times New Roman" w:hAnsi="Times New Roman" w:cs="Times New Roman"/>
              </w:rPr>
              <w:t>. http://documents.worldbank.org/curated/en/813071472550399966/pdf/AB7863-PGID-P159023-Concept-Box396304B-PUBLIC-Disclosed-8-29-2016.pdf</w:t>
            </w:r>
          </w:p>
        </w:tc>
      </w:tr>
      <w:tr w:rsidR="00763E5D" w:rsidRPr="00763E5D" w14:paraId="18EB8E40" w14:textId="77777777" w:rsidTr="00A91B9E">
        <w:trPr>
          <w:trHeight w:val="315"/>
        </w:trPr>
        <w:tc>
          <w:tcPr>
            <w:tcW w:w="0" w:type="auto"/>
            <w:tcBorders>
              <w:top w:val="nil"/>
              <w:left w:val="nil"/>
              <w:bottom w:val="nil"/>
              <w:right w:val="nil"/>
            </w:tcBorders>
            <w:shd w:val="clear" w:color="auto" w:fill="auto"/>
            <w:noWrap/>
            <w:vAlign w:val="center"/>
            <w:hideMark/>
          </w:tcPr>
          <w:p w14:paraId="2A65A805"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World Bank Group/African Competition Forum. 2016. </w:t>
            </w:r>
            <w:r w:rsidRPr="00763E5D">
              <w:rPr>
                <w:rFonts w:ascii="Times New Roman" w:eastAsia="Times New Roman" w:hAnsi="Times New Roman" w:cs="Times New Roman"/>
                <w:i/>
                <w:iCs/>
              </w:rPr>
              <w:t>Breaking Down Barriers: Unlocking Africa’s Potential through Vigorous Competition Policy</w:t>
            </w:r>
            <w:r w:rsidRPr="00763E5D">
              <w:rPr>
                <w:rFonts w:ascii="Times New Roman" w:eastAsia="Times New Roman" w:hAnsi="Times New Roman" w:cs="Times New Roman"/>
              </w:rPr>
              <w:t>, p. 11</w:t>
            </w:r>
          </w:p>
        </w:tc>
      </w:tr>
      <w:tr w:rsidR="00763E5D" w:rsidRPr="001164DA" w14:paraId="304A6019" w14:textId="77777777" w:rsidTr="00A91B9E">
        <w:trPr>
          <w:trHeight w:val="315"/>
        </w:trPr>
        <w:tc>
          <w:tcPr>
            <w:tcW w:w="0" w:type="auto"/>
            <w:tcBorders>
              <w:top w:val="nil"/>
              <w:left w:val="nil"/>
              <w:bottom w:val="nil"/>
              <w:right w:val="nil"/>
            </w:tcBorders>
            <w:shd w:val="clear" w:color="auto" w:fill="auto"/>
            <w:noWrap/>
            <w:vAlign w:val="center"/>
            <w:hideMark/>
          </w:tcPr>
          <w:p w14:paraId="1FBCFD33"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World Bank. 2013. </w:t>
            </w:r>
            <w:r w:rsidRPr="007575D7">
              <w:rPr>
                <w:rFonts w:ascii="Times New Roman" w:eastAsia="Times New Roman" w:hAnsi="Times New Roman" w:cs="Times New Roman"/>
                <w:i/>
                <w:iCs/>
                <w:lang w:val="fr-FR"/>
              </w:rPr>
              <w:t>Étude Diagnostique sur l’Intégration du Commerce du Sénégal (DTIS)</w:t>
            </w:r>
            <w:r w:rsidRPr="007575D7">
              <w:rPr>
                <w:rFonts w:ascii="Times New Roman" w:eastAsia="Times New Roman" w:hAnsi="Times New Roman" w:cs="Times New Roman"/>
                <w:lang w:val="fr-FR"/>
              </w:rPr>
              <w:t>, p. 140</w:t>
            </w:r>
          </w:p>
        </w:tc>
      </w:tr>
      <w:tr w:rsidR="00763E5D" w:rsidRPr="00763E5D" w14:paraId="5B03FC48" w14:textId="77777777" w:rsidTr="00A91B9E">
        <w:trPr>
          <w:trHeight w:val="315"/>
        </w:trPr>
        <w:tc>
          <w:tcPr>
            <w:tcW w:w="0" w:type="auto"/>
            <w:tcBorders>
              <w:top w:val="nil"/>
              <w:left w:val="nil"/>
              <w:bottom w:val="nil"/>
              <w:right w:val="nil"/>
            </w:tcBorders>
            <w:shd w:val="clear" w:color="auto" w:fill="auto"/>
            <w:noWrap/>
            <w:vAlign w:val="center"/>
            <w:hideMark/>
          </w:tcPr>
          <w:p w14:paraId="30557F5E"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World Bank. 2014. </w:t>
            </w:r>
            <w:r w:rsidRPr="00763E5D">
              <w:rPr>
                <w:rFonts w:ascii="Times New Roman" w:eastAsia="Times New Roman" w:hAnsi="Times New Roman" w:cs="Times New Roman"/>
                <w:i/>
                <w:iCs/>
              </w:rPr>
              <w:t>Gabon Export Diversification and Competitiveness Report</w:t>
            </w:r>
            <w:r w:rsidRPr="00763E5D">
              <w:rPr>
                <w:rFonts w:ascii="Times New Roman" w:eastAsia="Times New Roman" w:hAnsi="Times New Roman" w:cs="Times New Roman"/>
              </w:rPr>
              <w:t>. World Bank, Washington, D.C.</w:t>
            </w:r>
          </w:p>
        </w:tc>
      </w:tr>
      <w:tr w:rsidR="00763E5D" w:rsidRPr="001164DA" w14:paraId="6477E9A5" w14:textId="77777777" w:rsidTr="00A91B9E">
        <w:trPr>
          <w:trHeight w:val="315"/>
        </w:trPr>
        <w:tc>
          <w:tcPr>
            <w:tcW w:w="0" w:type="auto"/>
            <w:tcBorders>
              <w:top w:val="nil"/>
              <w:left w:val="nil"/>
              <w:bottom w:val="nil"/>
              <w:right w:val="nil"/>
            </w:tcBorders>
            <w:shd w:val="clear" w:color="auto" w:fill="auto"/>
            <w:noWrap/>
            <w:vAlign w:val="center"/>
            <w:hideMark/>
          </w:tcPr>
          <w:p w14:paraId="42F24CC5" w14:textId="77777777" w:rsidR="00763E5D" w:rsidRPr="007575D7" w:rsidRDefault="00763E5D" w:rsidP="00837781">
            <w:pPr>
              <w:spacing w:after="240"/>
              <w:ind w:left="525" w:hanging="525"/>
              <w:rPr>
                <w:rFonts w:ascii="Times New Roman" w:eastAsia="Times New Roman" w:hAnsi="Times New Roman" w:cs="Times New Roman"/>
                <w:lang w:val="fr-FR"/>
              </w:rPr>
            </w:pPr>
            <w:r w:rsidRPr="007575D7">
              <w:rPr>
                <w:rFonts w:ascii="Times New Roman" w:eastAsia="Times New Roman" w:hAnsi="Times New Roman" w:cs="Times New Roman"/>
                <w:lang w:val="fr-FR"/>
              </w:rPr>
              <w:t xml:space="preserve">World Bank. 2015. </w:t>
            </w:r>
            <w:r w:rsidRPr="007575D7">
              <w:rPr>
                <w:rFonts w:ascii="Times New Roman" w:eastAsia="Times New Roman" w:hAnsi="Times New Roman" w:cs="Times New Roman"/>
                <w:i/>
                <w:iCs/>
                <w:lang w:val="fr-FR"/>
              </w:rPr>
              <w:t xml:space="preserve">Etude Diagnostique de la Chaîne de valeurs arachide au </w:t>
            </w:r>
            <w:proofErr w:type="gramStart"/>
            <w:r w:rsidRPr="007575D7">
              <w:rPr>
                <w:rFonts w:ascii="Times New Roman" w:eastAsia="Times New Roman" w:hAnsi="Times New Roman" w:cs="Times New Roman"/>
                <w:i/>
                <w:iCs/>
                <w:lang w:val="fr-FR"/>
              </w:rPr>
              <w:t>Sénégal:</w:t>
            </w:r>
            <w:proofErr w:type="gramEnd"/>
            <w:r w:rsidRPr="007575D7">
              <w:rPr>
                <w:rFonts w:ascii="Times New Roman" w:eastAsia="Times New Roman" w:hAnsi="Times New Roman" w:cs="Times New Roman"/>
                <w:i/>
                <w:iCs/>
                <w:lang w:val="fr-FR"/>
              </w:rPr>
              <w:t xml:space="preserve"> Propositions de réformes</w:t>
            </w:r>
            <w:r w:rsidRPr="007575D7">
              <w:rPr>
                <w:rFonts w:ascii="Times New Roman" w:eastAsia="Times New Roman" w:hAnsi="Times New Roman" w:cs="Times New Roman"/>
                <w:lang w:val="fr-FR"/>
              </w:rPr>
              <w:t>, p. 10</w:t>
            </w:r>
          </w:p>
        </w:tc>
      </w:tr>
      <w:tr w:rsidR="00763E5D" w:rsidRPr="00763E5D" w14:paraId="500CB171" w14:textId="77777777" w:rsidTr="00A91B9E">
        <w:trPr>
          <w:trHeight w:val="315"/>
        </w:trPr>
        <w:tc>
          <w:tcPr>
            <w:tcW w:w="0" w:type="auto"/>
            <w:tcBorders>
              <w:top w:val="nil"/>
              <w:left w:val="nil"/>
              <w:bottom w:val="nil"/>
              <w:right w:val="nil"/>
            </w:tcBorders>
            <w:shd w:val="clear" w:color="auto" w:fill="auto"/>
            <w:noWrap/>
            <w:vAlign w:val="center"/>
            <w:hideMark/>
          </w:tcPr>
          <w:p w14:paraId="674B551A"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World Bank. 2015. </w:t>
            </w:r>
            <w:r w:rsidRPr="00763E5D">
              <w:rPr>
                <w:rFonts w:ascii="Times New Roman" w:eastAsia="Times New Roman" w:hAnsi="Times New Roman" w:cs="Times New Roman"/>
                <w:i/>
                <w:iCs/>
              </w:rPr>
              <w:t>Export Competitiveness: Why Domestic Market Competition Matters</w:t>
            </w:r>
            <w:r w:rsidRPr="00763E5D">
              <w:rPr>
                <w:rFonts w:ascii="Times New Roman" w:eastAsia="Times New Roman" w:hAnsi="Times New Roman" w:cs="Times New Roman"/>
              </w:rPr>
              <w:t>. Viewpoint no. 348. 97914.</w:t>
            </w:r>
          </w:p>
        </w:tc>
      </w:tr>
      <w:tr w:rsidR="00763E5D" w:rsidRPr="00763E5D" w14:paraId="2A880427" w14:textId="77777777" w:rsidTr="00A91B9E">
        <w:trPr>
          <w:trHeight w:val="315"/>
        </w:trPr>
        <w:tc>
          <w:tcPr>
            <w:tcW w:w="0" w:type="auto"/>
            <w:tcBorders>
              <w:top w:val="nil"/>
              <w:left w:val="nil"/>
              <w:bottom w:val="nil"/>
              <w:right w:val="nil"/>
            </w:tcBorders>
            <w:shd w:val="clear" w:color="auto" w:fill="auto"/>
            <w:noWrap/>
            <w:vAlign w:val="center"/>
            <w:hideMark/>
          </w:tcPr>
          <w:p w14:paraId="12002494"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World Bank. 2016. </w:t>
            </w:r>
            <w:r w:rsidRPr="00763E5D">
              <w:rPr>
                <w:rFonts w:ascii="Times New Roman" w:eastAsia="Times New Roman" w:hAnsi="Times New Roman" w:cs="Times New Roman"/>
                <w:i/>
                <w:iCs/>
              </w:rPr>
              <w:t>A Step Ahead: Competition Policy for Shared Prosperity and Inclusive Growth.</w:t>
            </w:r>
          </w:p>
        </w:tc>
      </w:tr>
      <w:tr w:rsidR="00763E5D" w:rsidRPr="00763E5D" w14:paraId="02A130CD" w14:textId="77777777" w:rsidTr="00A91B9E">
        <w:trPr>
          <w:trHeight w:val="315"/>
        </w:trPr>
        <w:tc>
          <w:tcPr>
            <w:tcW w:w="0" w:type="auto"/>
            <w:tcBorders>
              <w:top w:val="nil"/>
              <w:left w:val="nil"/>
              <w:bottom w:val="nil"/>
              <w:right w:val="nil"/>
            </w:tcBorders>
            <w:shd w:val="clear" w:color="auto" w:fill="auto"/>
            <w:noWrap/>
            <w:vAlign w:val="center"/>
            <w:hideMark/>
          </w:tcPr>
          <w:p w14:paraId="3F142376"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World Bank. 2016. </w:t>
            </w:r>
            <w:r w:rsidRPr="00763E5D">
              <w:rPr>
                <w:rFonts w:ascii="Times New Roman" w:eastAsia="Times New Roman" w:hAnsi="Times New Roman" w:cs="Times New Roman"/>
                <w:i/>
                <w:iCs/>
              </w:rPr>
              <w:t>Competitiveness and comparative advantage of the groundnut value chain in Senegal</w:t>
            </w:r>
            <w:r w:rsidRPr="00763E5D">
              <w:rPr>
                <w:rFonts w:ascii="Times New Roman" w:eastAsia="Times New Roman" w:hAnsi="Times New Roman" w:cs="Times New Roman"/>
              </w:rPr>
              <w:t>, p. iv</w:t>
            </w:r>
          </w:p>
        </w:tc>
      </w:tr>
      <w:tr w:rsidR="00763E5D" w:rsidRPr="00763E5D" w14:paraId="4AC6E2BF" w14:textId="77777777" w:rsidTr="00A91B9E">
        <w:trPr>
          <w:trHeight w:val="315"/>
        </w:trPr>
        <w:tc>
          <w:tcPr>
            <w:tcW w:w="0" w:type="auto"/>
            <w:tcBorders>
              <w:top w:val="nil"/>
              <w:left w:val="nil"/>
              <w:bottom w:val="nil"/>
              <w:right w:val="nil"/>
            </w:tcBorders>
            <w:shd w:val="clear" w:color="auto" w:fill="auto"/>
            <w:noWrap/>
            <w:vAlign w:val="center"/>
            <w:hideMark/>
          </w:tcPr>
          <w:p w14:paraId="7CD9CE29" w14:textId="77777777" w:rsidR="00763E5D" w:rsidRPr="00763E5D" w:rsidRDefault="00763E5D" w:rsidP="00837781">
            <w:pPr>
              <w:spacing w:after="240"/>
              <w:ind w:left="525" w:hanging="525"/>
              <w:jc w:val="both"/>
              <w:rPr>
                <w:rFonts w:ascii="Times New Roman" w:eastAsia="Times New Roman" w:hAnsi="Times New Roman" w:cs="Times New Roman"/>
              </w:rPr>
            </w:pPr>
            <w:r w:rsidRPr="00763E5D">
              <w:rPr>
                <w:rFonts w:ascii="Times New Roman" w:eastAsia="Times New Roman" w:hAnsi="Times New Roman" w:cs="Times New Roman"/>
              </w:rPr>
              <w:t xml:space="preserve">World Bank. 2016. </w:t>
            </w:r>
            <w:r w:rsidRPr="00763E5D">
              <w:rPr>
                <w:rFonts w:ascii="Times New Roman" w:eastAsia="Times New Roman" w:hAnsi="Times New Roman" w:cs="Times New Roman"/>
                <w:i/>
                <w:iCs/>
              </w:rPr>
              <w:t>Economic Diversification Guidance Note</w:t>
            </w:r>
            <w:r w:rsidRPr="00763E5D">
              <w:rPr>
                <w:rFonts w:ascii="Times New Roman" w:eastAsia="Times New Roman" w:hAnsi="Times New Roman" w:cs="Times New Roman"/>
              </w:rPr>
              <w:t>.</w:t>
            </w:r>
          </w:p>
        </w:tc>
      </w:tr>
      <w:tr w:rsidR="00763E5D" w:rsidRPr="00763E5D" w14:paraId="4C291234" w14:textId="77777777" w:rsidTr="00A91B9E">
        <w:trPr>
          <w:trHeight w:val="315"/>
        </w:trPr>
        <w:tc>
          <w:tcPr>
            <w:tcW w:w="0" w:type="auto"/>
            <w:tcBorders>
              <w:top w:val="nil"/>
              <w:left w:val="nil"/>
              <w:bottom w:val="nil"/>
              <w:right w:val="nil"/>
            </w:tcBorders>
            <w:shd w:val="clear" w:color="auto" w:fill="auto"/>
            <w:noWrap/>
            <w:vAlign w:val="center"/>
            <w:hideMark/>
          </w:tcPr>
          <w:p w14:paraId="4AF5A0DD"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World Bank. 2016. </w:t>
            </w:r>
            <w:r w:rsidRPr="00763E5D">
              <w:rPr>
                <w:rFonts w:ascii="Times New Roman" w:eastAsia="Times New Roman" w:hAnsi="Times New Roman" w:cs="Times New Roman"/>
                <w:i/>
                <w:iCs/>
              </w:rPr>
              <w:t>Impact of the 2010 Log Export Ban on Forests, the Timber Industry and the Gabonese Economy</w:t>
            </w:r>
            <w:r w:rsidRPr="00763E5D">
              <w:rPr>
                <w:rFonts w:ascii="Times New Roman" w:eastAsia="Times New Roman" w:hAnsi="Times New Roman" w:cs="Times New Roman"/>
              </w:rPr>
              <w:t>. World Bank, Washington, D.C.</w:t>
            </w:r>
          </w:p>
        </w:tc>
      </w:tr>
      <w:tr w:rsidR="00763E5D" w:rsidRPr="00763E5D" w14:paraId="110D70A4" w14:textId="77777777" w:rsidTr="00A91B9E">
        <w:trPr>
          <w:trHeight w:val="315"/>
        </w:trPr>
        <w:tc>
          <w:tcPr>
            <w:tcW w:w="0" w:type="auto"/>
            <w:tcBorders>
              <w:top w:val="nil"/>
              <w:left w:val="nil"/>
              <w:bottom w:val="nil"/>
              <w:right w:val="nil"/>
            </w:tcBorders>
            <w:shd w:val="clear" w:color="auto" w:fill="auto"/>
            <w:noWrap/>
            <w:vAlign w:val="center"/>
            <w:hideMark/>
          </w:tcPr>
          <w:p w14:paraId="5EAC3F83"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World Bank. 2016. </w:t>
            </w:r>
            <w:r w:rsidRPr="00763E5D">
              <w:rPr>
                <w:rFonts w:ascii="Times New Roman" w:eastAsia="Times New Roman" w:hAnsi="Times New Roman" w:cs="Times New Roman"/>
                <w:i/>
                <w:iCs/>
              </w:rPr>
              <w:t>World Bank Smallholder Farmers in Senegal Receive Support to Improve Agricultural Productivity</w:t>
            </w:r>
            <w:r w:rsidRPr="00763E5D">
              <w:rPr>
                <w:rFonts w:ascii="Times New Roman" w:eastAsia="Times New Roman" w:hAnsi="Times New Roman" w:cs="Times New Roman"/>
              </w:rPr>
              <w:t>. Available at http://www.worldbank.org/en/news/press-release/2016/05/17/world-bank-smallholder-farmers-in-senegal-receive-support-to-improve-agricultural-productivity</w:t>
            </w:r>
          </w:p>
        </w:tc>
      </w:tr>
      <w:tr w:rsidR="00763E5D" w:rsidRPr="00763E5D" w14:paraId="5EF36AAC" w14:textId="77777777" w:rsidTr="00A91B9E">
        <w:trPr>
          <w:trHeight w:val="315"/>
        </w:trPr>
        <w:tc>
          <w:tcPr>
            <w:tcW w:w="0" w:type="auto"/>
            <w:tcBorders>
              <w:top w:val="nil"/>
              <w:left w:val="nil"/>
              <w:bottom w:val="nil"/>
              <w:right w:val="nil"/>
            </w:tcBorders>
            <w:shd w:val="clear" w:color="auto" w:fill="auto"/>
            <w:noWrap/>
            <w:vAlign w:val="center"/>
            <w:hideMark/>
          </w:tcPr>
          <w:p w14:paraId="4BA6F435"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World Bank. 2016.</w:t>
            </w:r>
            <w:r w:rsidRPr="00763E5D">
              <w:rPr>
                <w:rFonts w:ascii="Times New Roman" w:eastAsia="Times New Roman" w:hAnsi="Times New Roman" w:cs="Times New Roman"/>
                <w:i/>
                <w:iCs/>
              </w:rPr>
              <w:t>WAPP – 2A Project Document</w:t>
            </w:r>
            <w:r w:rsidRPr="00763E5D">
              <w:rPr>
                <w:rFonts w:ascii="Times New Roman" w:eastAsia="Times New Roman" w:hAnsi="Times New Roman" w:cs="Times New Roman"/>
              </w:rPr>
              <w:t>, p. 3</w:t>
            </w:r>
          </w:p>
        </w:tc>
      </w:tr>
      <w:tr w:rsidR="00763E5D" w:rsidRPr="00763E5D" w14:paraId="0CA9172C" w14:textId="77777777" w:rsidTr="00A91B9E">
        <w:trPr>
          <w:trHeight w:val="315"/>
        </w:trPr>
        <w:tc>
          <w:tcPr>
            <w:tcW w:w="0" w:type="auto"/>
            <w:tcBorders>
              <w:top w:val="nil"/>
              <w:left w:val="nil"/>
              <w:bottom w:val="nil"/>
              <w:right w:val="nil"/>
            </w:tcBorders>
            <w:shd w:val="clear" w:color="auto" w:fill="auto"/>
            <w:noWrap/>
            <w:vAlign w:val="center"/>
            <w:hideMark/>
          </w:tcPr>
          <w:p w14:paraId="3B502505" w14:textId="77777777" w:rsidR="00763E5D" w:rsidRPr="00763E5D" w:rsidRDefault="00763E5D" w:rsidP="00837781">
            <w:pPr>
              <w:spacing w:after="240"/>
              <w:ind w:left="525" w:hanging="525"/>
              <w:jc w:val="both"/>
              <w:rPr>
                <w:rFonts w:ascii="Times New Roman" w:eastAsia="Times New Roman" w:hAnsi="Times New Roman" w:cs="Times New Roman"/>
              </w:rPr>
            </w:pPr>
            <w:r w:rsidRPr="00763E5D">
              <w:rPr>
                <w:rFonts w:ascii="Times New Roman" w:eastAsia="Times New Roman" w:hAnsi="Times New Roman" w:cs="Times New Roman"/>
              </w:rPr>
              <w:t xml:space="preserve">World Bank. 2017. </w:t>
            </w:r>
            <w:r w:rsidRPr="00763E5D">
              <w:rPr>
                <w:rFonts w:ascii="Times New Roman" w:eastAsia="Times New Roman" w:hAnsi="Times New Roman" w:cs="Times New Roman"/>
                <w:i/>
                <w:iCs/>
              </w:rPr>
              <w:t>A Step Ahead: competition Policy for Shared Prosperity and Inclusive Growth</w:t>
            </w:r>
            <w:r w:rsidRPr="00763E5D">
              <w:rPr>
                <w:rFonts w:ascii="Times New Roman" w:eastAsia="Times New Roman" w:hAnsi="Times New Roman" w:cs="Times New Roman"/>
              </w:rPr>
              <w:t>.</w:t>
            </w:r>
          </w:p>
        </w:tc>
      </w:tr>
      <w:tr w:rsidR="00763E5D" w:rsidRPr="00763E5D" w14:paraId="3EB30685" w14:textId="77777777" w:rsidTr="00A91B9E">
        <w:trPr>
          <w:trHeight w:val="315"/>
        </w:trPr>
        <w:tc>
          <w:tcPr>
            <w:tcW w:w="0" w:type="auto"/>
            <w:tcBorders>
              <w:top w:val="nil"/>
              <w:left w:val="nil"/>
              <w:bottom w:val="nil"/>
              <w:right w:val="nil"/>
            </w:tcBorders>
            <w:shd w:val="clear" w:color="auto" w:fill="auto"/>
            <w:noWrap/>
            <w:vAlign w:val="center"/>
            <w:hideMark/>
          </w:tcPr>
          <w:p w14:paraId="4DEAAB1B" w14:textId="77777777" w:rsidR="00763E5D" w:rsidRPr="00763E5D" w:rsidRDefault="00763E5D" w:rsidP="00837781">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World Bank. 2017. </w:t>
            </w:r>
            <w:r w:rsidRPr="00763E5D">
              <w:rPr>
                <w:rFonts w:ascii="Times New Roman" w:eastAsia="Times New Roman" w:hAnsi="Times New Roman" w:cs="Times New Roman"/>
                <w:i/>
                <w:iCs/>
              </w:rPr>
              <w:t>Ease of Doing Business in Senegal</w:t>
            </w:r>
          </w:p>
        </w:tc>
      </w:tr>
      <w:tr w:rsidR="00763E5D" w:rsidRPr="00763E5D" w14:paraId="358C187A" w14:textId="77777777" w:rsidTr="00A91B9E">
        <w:trPr>
          <w:trHeight w:val="315"/>
        </w:trPr>
        <w:tc>
          <w:tcPr>
            <w:tcW w:w="0" w:type="auto"/>
            <w:tcBorders>
              <w:top w:val="nil"/>
              <w:left w:val="nil"/>
              <w:bottom w:val="nil"/>
              <w:right w:val="nil"/>
            </w:tcBorders>
            <w:shd w:val="clear" w:color="auto" w:fill="auto"/>
            <w:noWrap/>
            <w:vAlign w:val="center"/>
          </w:tcPr>
          <w:p w14:paraId="750E02BE" w14:textId="77777777" w:rsidR="00763E5D" w:rsidRPr="00763E5D" w:rsidRDefault="00763E5D" w:rsidP="00C73A1A">
            <w:pPr>
              <w:spacing w:after="240"/>
              <w:ind w:left="525" w:hanging="525"/>
              <w:rPr>
                <w:rFonts w:ascii="Times New Roman" w:eastAsia="Times New Roman" w:hAnsi="Times New Roman" w:cs="Times New Roman"/>
              </w:rPr>
            </w:pPr>
            <w:r w:rsidRPr="00763E5D">
              <w:rPr>
                <w:rFonts w:ascii="Times New Roman" w:eastAsia="Times New Roman" w:hAnsi="Times New Roman" w:cs="Times New Roman"/>
              </w:rPr>
              <w:t xml:space="preserve">World Bank. 2017. </w:t>
            </w:r>
            <w:r w:rsidRPr="00763E5D">
              <w:rPr>
                <w:rFonts w:ascii="Times New Roman" w:eastAsia="Times New Roman" w:hAnsi="Times New Roman" w:cs="Times New Roman"/>
                <w:i/>
                <w:iCs/>
              </w:rPr>
              <w:t>Macro Poverty Outlook – Sub-Saharan Africa</w:t>
            </w:r>
          </w:p>
        </w:tc>
      </w:tr>
      <w:tr w:rsidR="00763E5D" w:rsidRPr="00763E5D" w14:paraId="74D4AC2F" w14:textId="77777777" w:rsidTr="00A91B9E">
        <w:trPr>
          <w:trHeight w:val="315"/>
        </w:trPr>
        <w:tc>
          <w:tcPr>
            <w:tcW w:w="0" w:type="auto"/>
            <w:tcBorders>
              <w:top w:val="nil"/>
              <w:left w:val="nil"/>
              <w:bottom w:val="nil"/>
              <w:right w:val="nil"/>
            </w:tcBorders>
            <w:shd w:val="clear" w:color="auto" w:fill="auto"/>
            <w:noWrap/>
            <w:vAlign w:val="center"/>
            <w:hideMark/>
          </w:tcPr>
          <w:p w14:paraId="395B7855" w14:textId="77777777" w:rsidR="00763E5D" w:rsidRDefault="00763E5D" w:rsidP="00837781">
            <w:pPr>
              <w:spacing w:after="240"/>
              <w:ind w:left="525" w:hanging="525"/>
              <w:rPr>
                <w:rFonts w:ascii="Times New Roman" w:eastAsia="Times New Roman" w:hAnsi="Times New Roman" w:cs="Times New Roman"/>
                <w:i/>
                <w:iCs/>
              </w:rPr>
            </w:pPr>
            <w:r w:rsidRPr="00763E5D">
              <w:rPr>
                <w:rFonts w:ascii="Times New Roman" w:eastAsia="Times New Roman" w:hAnsi="Times New Roman" w:cs="Times New Roman"/>
              </w:rPr>
              <w:t xml:space="preserve">World Bank. 2017. </w:t>
            </w:r>
            <w:r w:rsidRPr="00763E5D">
              <w:rPr>
                <w:rFonts w:ascii="Times New Roman" w:eastAsia="Times New Roman" w:hAnsi="Times New Roman" w:cs="Times New Roman"/>
                <w:i/>
                <w:iCs/>
              </w:rPr>
              <w:t>World Development Indicators</w:t>
            </w:r>
          </w:p>
          <w:p w14:paraId="61F0A6E8" w14:textId="77777777" w:rsidR="00EF741B" w:rsidRDefault="00EF741B" w:rsidP="00EF741B">
            <w:pPr>
              <w:spacing w:after="240"/>
              <w:ind w:left="525" w:hanging="525"/>
              <w:rPr>
                <w:rFonts w:ascii="Times New Roman" w:eastAsia="Times New Roman" w:hAnsi="Times New Roman" w:cs="Times New Roman"/>
                <w:i/>
                <w:iCs/>
              </w:rPr>
            </w:pPr>
            <w:r w:rsidRPr="00763E5D">
              <w:rPr>
                <w:rFonts w:ascii="Times New Roman" w:eastAsia="Times New Roman" w:hAnsi="Times New Roman" w:cs="Times New Roman"/>
              </w:rPr>
              <w:t xml:space="preserve">World Economic Forum. 2016. </w:t>
            </w:r>
            <w:r w:rsidRPr="00763E5D">
              <w:rPr>
                <w:rFonts w:ascii="Times New Roman" w:eastAsia="Times New Roman" w:hAnsi="Times New Roman" w:cs="Times New Roman"/>
                <w:i/>
                <w:iCs/>
              </w:rPr>
              <w:t>Global Competitiveness Index</w:t>
            </w:r>
          </w:p>
          <w:p w14:paraId="5A93D80F" w14:textId="7BC7C19C" w:rsidR="00EF741B" w:rsidRPr="00763E5D" w:rsidRDefault="00EF741B" w:rsidP="00837781">
            <w:pPr>
              <w:spacing w:after="240"/>
              <w:ind w:left="525" w:hanging="525"/>
              <w:rPr>
                <w:rFonts w:ascii="Times New Roman" w:eastAsia="Times New Roman" w:hAnsi="Times New Roman" w:cs="Times New Roman"/>
              </w:rPr>
            </w:pPr>
          </w:p>
        </w:tc>
      </w:tr>
      <w:tr w:rsidR="00763E5D" w:rsidRPr="00763E5D" w14:paraId="7CF2C0CC" w14:textId="77777777" w:rsidTr="00A91B9E">
        <w:trPr>
          <w:trHeight w:val="315"/>
        </w:trPr>
        <w:tc>
          <w:tcPr>
            <w:tcW w:w="0" w:type="auto"/>
            <w:tcBorders>
              <w:top w:val="nil"/>
              <w:left w:val="nil"/>
              <w:bottom w:val="nil"/>
              <w:right w:val="nil"/>
            </w:tcBorders>
            <w:shd w:val="clear" w:color="auto" w:fill="auto"/>
            <w:noWrap/>
            <w:vAlign w:val="center"/>
            <w:hideMark/>
          </w:tcPr>
          <w:p w14:paraId="1DDE8721" w14:textId="7EE339F0" w:rsidR="00ED313F" w:rsidRPr="00ED313F" w:rsidRDefault="00ED313F" w:rsidP="00EF741B">
            <w:pPr>
              <w:spacing w:after="240"/>
              <w:ind w:left="525" w:hanging="525"/>
              <w:rPr>
                <w:rFonts w:ascii="Times New Roman" w:eastAsia="Times New Roman" w:hAnsi="Times New Roman" w:cs="Times New Roman"/>
              </w:rPr>
            </w:pPr>
          </w:p>
        </w:tc>
      </w:tr>
      <w:tr w:rsidR="00ED313F" w:rsidRPr="00763E5D" w14:paraId="35101D30" w14:textId="77777777" w:rsidTr="007575D7">
        <w:trPr>
          <w:trHeight w:val="225"/>
        </w:trPr>
        <w:tc>
          <w:tcPr>
            <w:tcW w:w="0" w:type="auto"/>
            <w:tcBorders>
              <w:top w:val="nil"/>
              <w:left w:val="nil"/>
              <w:bottom w:val="nil"/>
              <w:right w:val="nil"/>
            </w:tcBorders>
            <w:shd w:val="clear" w:color="auto" w:fill="auto"/>
            <w:noWrap/>
            <w:vAlign w:val="center"/>
          </w:tcPr>
          <w:p w14:paraId="03642C9C" w14:textId="77777777" w:rsidR="00ED313F" w:rsidRPr="00763E5D" w:rsidRDefault="00ED313F" w:rsidP="00837781">
            <w:pPr>
              <w:spacing w:after="240"/>
              <w:ind w:left="525" w:hanging="525"/>
              <w:rPr>
                <w:rFonts w:ascii="Times New Roman" w:eastAsia="Times New Roman" w:hAnsi="Times New Roman" w:cs="Times New Roman"/>
              </w:rPr>
            </w:pPr>
          </w:p>
        </w:tc>
      </w:tr>
    </w:tbl>
    <w:p w14:paraId="07DB3AB7" w14:textId="77777777" w:rsidR="000D0199" w:rsidRPr="00C91EA2" w:rsidRDefault="000D0199" w:rsidP="000D0199">
      <w:pPr>
        <w:rPr>
          <w:rFonts w:ascii="Times New Roman" w:hAnsi="Times New Roman" w:cs="Times New Roman"/>
        </w:rPr>
        <w:sectPr w:rsidR="000D0199" w:rsidRPr="00C91EA2" w:rsidSect="00B41724">
          <w:pgSz w:w="12240" w:h="15840" w:code="1"/>
          <w:pgMar w:top="1440" w:right="1800" w:bottom="1440" w:left="1800" w:header="720" w:footer="720" w:gutter="0"/>
          <w:cols w:space="720"/>
          <w:noEndnote/>
          <w:docGrid w:linePitch="326"/>
        </w:sectPr>
      </w:pPr>
    </w:p>
    <w:p w14:paraId="0068217A" w14:textId="77777777" w:rsidR="00234554" w:rsidRPr="00C91EA2" w:rsidRDefault="00576A60" w:rsidP="00BB4E4F">
      <w:pPr>
        <w:pStyle w:val="Heading1"/>
        <w:rPr>
          <w:rFonts w:ascii="Times New Roman" w:hAnsi="Times New Roman" w:cs="Times New Roman"/>
        </w:rPr>
      </w:pPr>
      <w:bookmarkStart w:id="335" w:name="_Toc520724125"/>
      <w:r w:rsidRPr="00C91EA2">
        <w:rPr>
          <w:rFonts w:ascii="Times New Roman" w:hAnsi="Times New Roman" w:cs="Times New Roman"/>
        </w:rPr>
        <w:t>8</w:t>
      </w:r>
      <w:r w:rsidR="00867E4F" w:rsidRPr="00C91EA2">
        <w:rPr>
          <w:rFonts w:ascii="Times New Roman" w:hAnsi="Times New Roman" w:cs="Times New Roman"/>
        </w:rPr>
        <w:t xml:space="preserve">. </w:t>
      </w:r>
      <w:r w:rsidR="00B37FE4">
        <w:rPr>
          <w:rFonts w:ascii="Times New Roman" w:hAnsi="Times New Roman" w:cs="Times New Roman"/>
        </w:rPr>
        <w:t>Annexes</w:t>
      </w:r>
      <w:bookmarkEnd w:id="335"/>
    </w:p>
    <w:p w14:paraId="35D8F221" w14:textId="77777777" w:rsidR="00E6663C" w:rsidRPr="00C91EA2" w:rsidRDefault="00E6663C" w:rsidP="00E6663C">
      <w:pPr>
        <w:rPr>
          <w:rFonts w:ascii="Times New Roman" w:hAnsi="Times New Roman" w:cs="Times New Roman"/>
        </w:rPr>
      </w:pPr>
    </w:p>
    <w:p w14:paraId="5ECDA74B" w14:textId="77777777" w:rsidR="00824EC0" w:rsidRDefault="00B37FE4" w:rsidP="00E02C08">
      <w:pPr>
        <w:pStyle w:val="Heading2"/>
        <w:rPr>
          <w:rFonts w:ascii="Times New Roman" w:hAnsi="Times New Roman" w:cs="Times New Roman"/>
        </w:rPr>
      </w:pPr>
      <w:bookmarkStart w:id="336" w:name="_Toc520724126"/>
      <w:r>
        <w:rPr>
          <w:rFonts w:ascii="Times New Roman" w:hAnsi="Times New Roman" w:cs="Times New Roman"/>
        </w:rPr>
        <w:t>Annex</w:t>
      </w:r>
      <w:r w:rsidR="00726079" w:rsidRPr="00C91EA2">
        <w:rPr>
          <w:rFonts w:ascii="Times New Roman" w:hAnsi="Times New Roman" w:cs="Times New Roman"/>
        </w:rPr>
        <w:t xml:space="preserve"> 1:</w:t>
      </w:r>
      <w:r w:rsidR="00824EC0" w:rsidRPr="00C91EA2">
        <w:rPr>
          <w:rFonts w:ascii="Times New Roman" w:hAnsi="Times New Roman" w:cs="Times New Roman"/>
        </w:rPr>
        <w:t xml:space="preserve"> </w:t>
      </w:r>
      <w:r w:rsidR="00AD53CA" w:rsidRPr="00C91EA2">
        <w:rPr>
          <w:rFonts w:ascii="Times New Roman" w:hAnsi="Times New Roman" w:cs="Times New Roman"/>
        </w:rPr>
        <w:t>Senegalese e</w:t>
      </w:r>
      <w:r w:rsidR="00824EC0" w:rsidRPr="00C91EA2">
        <w:rPr>
          <w:rFonts w:ascii="Times New Roman" w:hAnsi="Times New Roman" w:cs="Times New Roman"/>
        </w:rPr>
        <w:t xml:space="preserve">xport </w:t>
      </w:r>
      <w:r w:rsidR="00AD53CA" w:rsidRPr="00C91EA2">
        <w:rPr>
          <w:rFonts w:ascii="Times New Roman" w:hAnsi="Times New Roman" w:cs="Times New Roman"/>
        </w:rPr>
        <w:t>c</w:t>
      </w:r>
      <w:r w:rsidR="00824EC0" w:rsidRPr="00C91EA2">
        <w:rPr>
          <w:rFonts w:ascii="Times New Roman" w:hAnsi="Times New Roman" w:cs="Times New Roman"/>
        </w:rPr>
        <w:t>ommodities and destinations</w:t>
      </w:r>
      <w:bookmarkEnd w:id="336"/>
    </w:p>
    <w:p w14:paraId="1297BF2A" w14:textId="77777777" w:rsidR="009F5222" w:rsidRDefault="009F5222" w:rsidP="009F5222"/>
    <w:tbl>
      <w:tblPr>
        <w:tblStyle w:val="TableGrid"/>
        <w:tblW w:w="0" w:type="auto"/>
        <w:tblLook w:val="04A0" w:firstRow="1" w:lastRow="0" w:firstColumn="1" w:lastColumn="0" w:noHBand="0" w:noVBand="1"/>
      </w:tblPr>
      <w:tblGrid>
        <w:gridCol w:w="8630"/>
      </w:tblGrid>
      <w:tr w:rsidR="009F5222" w:rsidRPr="00C91EA2" w14:paraId="68F60C69" w14:textId="77777777" w:rsidTr="009F6729">
        <w:tc>
          <w:tcPr>
            <w:tcW w:w="8630" w:type="dxa"/>
            <w:tcBorders>
              <w:top w:val="single" w:sz="4" w:space="0" w:color="auto"/>
              <w:left w:val="single" w:sz="4" w:space="0" w:color="auto"/>
              <w:bottom w:val="single" w:sz="4" w:space="0" w:color="auto"/>
              <w:right w:val="single" w:sz="4" w:space="0" w:color="auto"/>
            </w:tcBorders>
            <w:hideMark/>
          </w:tcPr>
          <w:p w14:paraId="628D7CB5" w14:textId="3B3396B7" w:rsidR="009F5222" w:rsidRPr="00C91EA2" w:rsidRDefault="009F5222" w:rsidP="009F6729">
            <w:pPr>
              <w:pStyle w:val="Caption"/>
              <w:keepNext/>
              <w:jc w:val="both"/>
              <w:rPr>
                <w:rFonts w:ascii="Times New Roman" w:hAnsi="Times New Roman"/>
              </w:rPr>
            </w:pPr>
            <w:bookmarkStart w:id="337" w:name="_Ref497135350"/>
            <w:bookmarkStart w:id="338" w:name="_Toc497990856"/>
            <w:bookmarkStart w:id="339" w:name="_Toc520725633"/>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77</w:t>
            </w:r>
            <w:r w:rsidR="00D91B27">
              <w:rPr>
                <w:rFonts w:ascii="Times New Roman" w:hAnsi="Times New Roman"/>
              </w:rPr>
              <w:fldChar w:fldCharType="end"/>
            </w:r>
            <w:bookmarkEnd w:id="337"/>
            <w:r w:rsidRPr="00C91EA2">
              <w:rPr>
                <w:rFonts w:ascii="Times New Roman" w:hAnsi="Times New Roman"/>
              </w:rPr>
              <w:t>: Product Space of Senegal’s Exports (201</w:t>
            </w:r>
            <w:r w:rsidR="00662409">
              <w:rPr>
                <w:rFonts w:ascii="Times New Roman" w:hAnsi="Times New Roman"/>
              </w:rPr>
              <w:t>6</w:t>
            </w:r>
            <w:r w:rsidRPr="00C91EA2">
              <w:rPr>
                <w:rFonts w:ascii="Times New Roman" w:hAnsi="Times New Roman"/>
              </w:rPr>
              <w:t>)</w:t>
            </w:r>
            <w:bookmarkEnd w:id="338"/>
            <w:bookmarkEnd w:id="339"/>
          </w:p>
        </w:tc>
      </w:tr>
      <w:tr w:rsidR="009F5222" w:rsidRPr="00C91EA2" w14:paraId="7FC29A04" w14:textId="77777777" w:rsidTr="009F6729">
        <w:tc>
          <w:tcPr>
            <w:tcW w:w="8630" w:type="dxa"/>
            <w:tcBorders>
              <w:top w:val="single" w:sz="4" w:space="0" w:color="auto"/>
              <w:left w:val="single" w:sz="4" w:space="0" w:color="auto"/>
              <w:bottom w:val="single" w:sz="4" w:space="0" w:color="auto"/>
              <w:right w:val="single" w:sz="4" w:space="0" w:color="auto"/>
            </w:tcBorders>
            <w:hideMark/>
          </w:tcPr>
          <w:p w14:paraId="388FCD45" w14:textId="768A4294" w:rsidR="009F5222" w:rsidRPr="00C91EA2" w:rsidRDefault="00662409" w:rsidP="009F6729">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75F008DD" wp14:editId="1490EE10">
                  <wp:extent cx="5445648" cy="2447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0">
                            <a:extLst>
                              <a:ext uri="{28A0092B-C50C-407E-A947-70E740481C1C}">
                                <a14:useLocalDpi xmlns:a14="http://schemas.microsoft.com/office/drawing/2010/main" val="0"/>
                              </a:ext>
                            </a:extLst>
                          </a:blip>
                          <a:srcRect l="5086" r="2819" b="5951"/>
                          <a:stretch/>
                        </pic:blipFill>
                        <pic:spPr bwMode="auto">
                          <a:xfrm>
                            <a:off x="0" y="0"/>
                            <a:ext cx="5472133" cy="24598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5222" w:rsidRPr="00C91EA2" w14:paraId="56E48B5C" w14:textId="77777777" w:rsidTr="009F6729">
        <w:tc>
          <w:tcPr>
            <w:tcW w:w="8630" w:type="dxa"/>
            <w:tcBorders>
              <w:top w:val="single" w:sz="4" w:space="0" w:color="auto"/>
              <w:left w:val="single" w:sz="4" w:space="0" w:color="auto"/>
              <w:bottom w:val="single" w:sz="4" w:space="0" w:color="auto"/>
              <w:right w:val="single" w:sz="4" w:space="0" w:color="auto"/>
            </w:tcBorders>
            <w:hideMark/>
          </w:tcPr>
          <w:p w14:paraId="679B965E" w14:textId="77777777" w:rsidR="009F5222" w:rsidRPr="00C91EA2" w:rsidRDefault="009F5222" w:rsidP="009F6729">
            <w:pPr>
              <w:pStyle w:val="PlainText"/>
              <w:rPr>
                <w:rFonts w:ascii="Times New Roman" w:hAnsi="Times New Roman" w:cs="Times New Roman"/>
                <w:szCs w:val="24"/>
              </w:rPr>
            </w:pPr>
            <w:r w:rsidRPr="00C91EA2">
              <w:rPr>
                <w:rFonts w:ascii="Times New Roman" w:hAnsi="Times New Roman" w:cs="Times New Roman"/>
                <w:szCs w:val="24"/>
              </w:rPr>
              <w:t xml:space="preserve">Source: Atlas of Economic Complexity, Harvard University </w:t>
            </w:r>
            <w:r w:rsidR="00662409">
              <w:rPr>
                <w:rFonts w:ascii="Times New Roman" w:hAnsi="Times New Roman" w:cs="Times New Roman"/>
                <w:szCs w:val="24"/>
              </w:rPr>
              <w:t>(2018)</w:t>
            </w:r>
          </w:p>
        </w:tc>
      </w:tr>
    </w:tbl>
    <w:p w14:paraId="18C321E4" w14:textId="77777777" w:rsidR="009F5222" w:rsidRPr="009F5222" w:rsidRDefault="009F5222" w:rsidP="009F5222"/>
    <w:p w14:paraId="10F7D6A9" w14:textId="77777777" w:rsidR="00824EC0" w:rsidRPr="00C91EA2" w:rsidRDefault="00824EC0" w:rsidP="00E6663C">
      <w:pPr>
        <w:rPr>
          <w:rFonts w:ascii="Times New Roman" w:hAnsi="Times New Roman" w:cs="Times New Roman"/>
        </w:rPr>
      </w:pPr>
    </w:p>
    <w:tbl>
      <w:tblPr>
        <w:tblStyle w:val="TableGrid"/>
        <w:tblW w:w="0" w:type="auto"/>
        <w:tblLook w:val="04A0" w:firstRow="1" w:lastRow="0" w:firstColumn="1" w:lastColumn="0" w:noHBand="0" w:noVBand="1"/>
      </w:tblPr>
      <w:tblGrid>
        <w:gridCol w:w="8630"/>
      </w:tblGrid>
      <w:tr w:rsidR="00824EC0" w:rsidRPr="00C91EA2" w14:paraId="157CADE6" w14:textId="77777777" w:rsidTr="004F7805">
        <w:tc>
          <w:tcPr>
            <w:tcW w:w="8630" w:type="dxa"/>
          </w:tcPr>
          <w:p w14:paraId="0EF2D908" w14:textId="0911E6DC" w:rsidR="00824EC0" w:rsidRPr="00C91EA2" w:rsidRDefault="00AD53CA" w:rsidP="00AD53CA">
            <w:pPr>
              <w:pStyle w:val="Caption"/>
              <w:keepNext/>
              <w:rPr>
                <w:rFonts w:ascii="Times New Roman" w:hAnsi="Times New Roman"/>
              </w:rPr>
            </w:pPr>
            <w:bookmarkStart w:id="340" w:name="_Toc520725634"/>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78</w:t>
            </w:r>
            <w:r w:rsidR="00D91B27">
              <w:rPr>
                <w:rFonts w:ascii="Times New Roman" w:hAnsi="Times New Roman"/>
              </w:rPr>
              <w:fldChar w:fldCharType="end"/>
            </w:r>
            <w:r w:rsidRPr="00C91EA2">
              <w:rPr>
                <w:rFonts w:ascii="Times New Roman" w:hAnsi="Times New Roman"/>
              </w:rPr>
              <w:t>: Senegalese Exports by Product (201</w:t>
            </w:r>
            <w:r w:rsidR="00662409">
              <w:rPr>
                <w:rFonts w:ascii="Times New Roman" w:hAnsi="Times New Roman"/>
              </w:rPr>
              <w:t>6</w:t>
            </w:r>
            <w:r w:rsidRPr="00C91EA2">
              <w:rPr>
                <w:rFonts w:ascii="Times New Roman" w:hAnsi="Times New Roman"/>
              </w:rPr>
              <w:t>)</w:t>
            </w:r>
            <w:bookmarkEnd w:id="340"/>
          </w:p>
        </w:tc>
      </w:tr>
      <w:tr w:rsidR="00824EC0" w:rsidRPr="00C91EA2" w14:paraId="79B6927F" w14:textId="77777777" w:rsidTr="004F7805">
        <w:tc>
          <w:tcPr>
            <w:tcW w:w="8630" w:type="dxa"/>
          </w:tcPr>
          <w:p w14:paraId="6B28078D" w14:textId="18410B41" w:rsidR="00824EC0" w:rsidRPr="00C91EA2" w:rsidRDefault="00662409" w:rsidP="004F7805">
            <w:pPr>
              <w:pStyle w:val="PlainText"/>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62C066BF" wp14:editId="0A328AC0">
                  <wp:extent cx="5343525" cy="3172718"/>
                  <wp:effectExtent l="0" t="0" r="0" b="0"/>
                  <wp:docPr id="8" name="Picture 8" descr="C:\Users\jkoschorke\AppData\Local\Microsoft\Windows\INetCache\Content.Word\What did Senegal export in 201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schorke\AppData\Local\Microsoft\Windows\INetCache\Content.Word\What did Senegal export in 2016 (2).png"/>
                          <pic:cNvPicPr>
                            <a:picLocks noChangeAspect="1" noChangeArrowheads="1"/>
                          </pic:cNvPicPr>
                        </pic:nvPicPr>
                        <pic:blipFill rotWithShape="1">
                          <a:blip r:embed="rId131">
                            <a:extLst>
                              <a:ext uri="{28A0092B-C50C-407E-A947-70E740481C1C}">
                                <a14:useLocalDpi xmlns:a14="http://schemas.microsoft.com/office/drawing/2010/main" val="0"/>
                              </a:ext>
                            </a:extLst>
                          </a:blip>
                          <a:srcRect l="10069" r="6597" b="10937"/>
                          <a:stretch/>
                        </pic:blipFill>
                        <pic:spPr bwMode="auto">
                          <a:xfrm>
                            <a:off x="0" y="0"/>
                            <a:ext cx="5354623" cy="3179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4EC0" w:rsidRPr="00C91EA2" w14:paraId="7EB9293B" w14:textId="77777777" w:rsidTr="004F7805">
        <w:tc>
          <w:tcPr>
            <w:tcW w:w="8630" w:type="dxa"/>
          </w:tcPr>
          <w:p w14:paraId="6C1F1017" w14:textId="77ADC3FB" w:rsidR="00824EC0" w:rsidRPr="00C91EA2" w:rsidRDefault="00AD53CA" w:rsidP="00AD53CA">
            <w:pPr>
              <w:pStyle w:val="Caption"/>
              <w:keepNext/>
              <w:rPr>
                <w:rFonts w:ascii="Times New Roman" w:hAnsi="Times New Roman"/>
              </w:rPr>
            </w:pPr>
            <w:bookmarkStart w:id="341" w:name="_Ref498110405"/>
            <w:bookmarkStart w:id="342" w:name="_Toc520725635"/>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79</w:t>
            </w:r>
            <w:r w:rsidR="00D91B27">
              <w:rPr>
                <w:rFonts w:ascii="Times New Roman" w:hAnsi="Times New Roman"/>
              </w:rPr>
              <w:fldChar w:fldCharType="end"/>
            </w:r>
            <w:bookmarkEnd w:id="341"/>
            <w:r w:rsidRPr="00C91EA2">
              <w:rPr>
                <w:rFonts w:ascii="Times New Roman" w:hAnsi="Times New Roman"/>
              </w:rPr>
              <w:t>: Senegalese Exports by Destination (201</w:t>
            </w:r>
            <w:r w:rsidR="002E3D23">
              <w:rPr>
                <w:rFonts w:ascii="Times New Roman" w:hAnsi="Times New Roman"/>
              </w:rPr>
              <w:t>6</w:t>
            </w:r>
            <w:r w:rsidRPr="00C91EA2">
              <w:rPr>
                <w:rFonts w:ascii="Times New Roman" w:hAnsi="Times New Roman"/>
              </w:rPr>
              <w:t>)</w:t>
            </w:r>
            <w:bookmarkEnd w:id="342"/>
          </w:p>
        </w:tc>
      </w:tr>
      <w:tr w:rsidR="00824EC0" w:rsidRPr="00C91EA2" w14:paraId="7629730D" w14:textId="77777777" w:rsidTr="004F7805">
        <w:tc>
          <w:tcPr>
            <w:tcW w:w="8630" w:type="dxa"/>
          </w:tcPr>
          <w:p w14:paraId="206FA569" w14:textId="7B35DD14" w:rsidR="00824EC0" w:rsidRPr="00C91EA2" w:rsidRDefault="00662409" w:rsidP="004F7805">
            <w:pPr>
              <w:pStyle w:val="PlainText"/>
              <w:rPr>
                <w:rFonts w:ascii="Times New Roman" w:hAnsi="Times New Roman" w:cs="Times New Roman"/>
                <w:b/>
                <w:sz w:val="24"/>
                <w:szCs w:val="24"/>
              </w:rPr>
            </w:pPr>
            <w:r>
              <w:rPr>
                <w:rFonts w:ascii="Times New Roman" w:hAnsi="Times New Roman" w:cs="Times New Roman"/>
                <w:noProof/>
                <w:szCs w:val="24"/>
              </w:rPr>
              <w:drawing>
                <wp:inline distT="0" distB="0" distL="0" distR="0" wp14:anchorId="5001A7AA" wp14:editId="6A89FC46">
                  <wp:extent cx="5391150" cy="3262161"/>
                  <wp:effectExtent l="0" t="0" r="0" b="0"/>
                  <wp:docPr id="15" name="Picture 15" descr="C:\Users\jkoschorke\AppData\Local\Microsoft\Windows\INetCache\Content.Word\Where did Senegal export to in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schorke\AppData\Local\Microsoft\Windows\INetCache\Content.Word\Where did Senegal export to in 2016.png"/>
                          <pic:cNvPicPr>
                            <a:picLocks noChangeAspect="1" noChangeArrowheads="1"/>
                          </pic:cNvPicPr>
                        </pic:nvPicPr>
                        <pic:blipFill rotWithShape="1">
                          <a:blip r:embed="rId132">
                            <a:extLst>
                              <a:ext uri="{28A0092B-C50C-407E-A947-70E740481C1C}">
                                <a14:useLocalDpi xmlns:a14="http://schemas.microsoft.com/office/drawing/2010/main" val="0"/>
                              </a:ext>
                            </a:extLst>
                          </a:blip>
                          <a:srcRect l="10937" r="7292" b="10937"/>
                          <a:stretch/>
                        </pic:blipFill>
                        <pic:spPr bwMode="auto">
                          <a:xfrm>
                            <a:off x="0" y="0"/>
                            <a:ext cx="5395095" cy="32645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4EC0" w:rsidRPr="00C91EA2" w14:paraId="51F18DD1" w14:textId="77777777" w:rsidTr="004F7805">
        <w:tc>
          <w:tcPr>
            <w:tcW w:w="8630" w:type="dxa"/>
          </w:tcPr>
          <w:p w14:paraId="2F2FA59F" w14:textId="77777777" w:rsidR="00824EC0" w:rsidRPr="00C91EA2" w:rsidRDefault="00824EC0" w:rsidP="004F7805">
            <w:pPr>
              <w:pStyle w:val="PlainText"/>
              <w:rPr>
                <w:rFonts w:ascii="Times New Roman" w:hAnsi="Times New Roman" w:cs="Times New Roman"/>
                <w:sz w:val="24"/>
                <w:szCs w:val="24"/>
              </w:rPr>
            </w:pPr>
            <w:r w:rsidRPr="00C91EA2">
              <w:rPr>
                <w:rFonts w:ascii="Times New Roman" w:hAnsi="Times New Roman" w:cs="Times New Roman"/>
                <w:szCs w:val="24"/>
              </w:rPr>
              <w:t>Source: Atlas of Economic Complexity, Harvard University</w:t>
            </w:r>
            <w:r w:rsidR="00662409">
              <w:rPr>
                <w:rFonts w:ascii="Times New Roman" w:hAnsi="Times New Roman" w:cs="Times New Roman"/>
                <w:szCs w:val="24"/>
              </w:rPr>
              <w:t xml:space="preserve"> (2018)</w:t>
            </w:r>
          </w:p>
        </w:tc>
      </w:tr>
    </w:tbl>
    <w:p w14:paraId="3ADA6896" w14:textId="77777777" w:rsidR="00AD53CA" w:rsidRPr="00C91EA2" w:rsidRDefault="00AD53CA">
      <w:pPr>
        <w:rPr>
          <w:rFonts w:ascii="Times New Roman" w:eastAsiaTheme="majorEastAsia" w:hAnsi="Times New Roman" w:cs="Times New Roman"/>
          <w:b/>
          <w:bCs/>
          <w:color w:val="4F81BD" w:themeColor="accent1"/>
          <w:sz w:val="26"/>
          <w:szCs w:val="26"/>
        </w:rPr>
      </w:pPr>
      <w:r w:rsidRPr="00C91EA2">
        <w:rPr>
          <w:rFonts w:ascii="Times New Roman" w:hAnsi="Times New Roman" w:cs="Times New Roman"/>
        </w:rPr>
        <w:br w:type="page"/>
      </w:r>
    </w:p>
    <w:p w14:paraId="67EB1E47" w14:textId="77777777" w:rsidR="0057130B" w:rsidRPr="00C91EA2" w:rsidRDefault="00B37FE4" w:rsidP="00AD53CA">
      <w:pPr>
        <w:pStyle w:val="Heading2"/>
        <w:rPr>
          <w:rFonts w:ascii="Times New Roman" w:hAnsi="Times New Roman" w:cs="Times New Roman"/>
        </w:rPr>
      </w:pPr>
      <w:bookmarkStart w:id="343" w:name="_Toc520724127"/>
      <w:r>
        <w:rPr>
          <w:rFonts w:ascii="Times New Roman" w:hAnsi="Times New Roman" w:cs="Times New Roman"/>
        </w:rPr>
        <w:t>Annex</w:t>
      </w:r>
      <w:r w:rsidR="0057130B" w:rsidRPr="00C91EA2">
        <w:rPr>
          <w:rFonts w:ascii="Times New Roman" w:hAnsi="Times New Roman" w:cs="Times New Roman"/>
        </w:rPr>
        <w:t xml:space="preserve"> </w:t>
      </w:r>
      <w:r w:rsidR="00726079" w:rsidRPr="00C91EA2">
        <w:rPr>
          <w:rFonts w:ascii="Times New Roman" w:hAnsi="Times New Roman" w:cs="Times New Roman"/>
        </w:rPr>
        <w:t>2</w:t>
      </w:r>
      <w:r w:rsidR="0057130B" w:rsidRPr="00C91EA2">
        <w:rPr>
          <w:rFonts w:ascii="Times New Roman" w:hAnsi="Times New Roman" w:cs="Times New Roman"/>
        </w:rPr>
        <w:t xml:space="preserve">: </w:t>
      </w:r>
      <w:r w:rsidR="00726079" w:rsidRPr="00C91EA2">
        <w:rPr>
          <w:rFonts w:ascii="Times New Roman" w:hAnsi="Times New Roman" w:cs="Times New Roman"/>
        </w:rPr>
        <w:t>PMR</w:t>
      </w:r>
      <w:bookmarkEnd w:id="343"/>
    </w:p>
    <w:p w14:paraId="41F57730" w14:textId="77777777" w:rsidR="0057130B" w:rsidRPr="00C91EA2" w:rsidRDefault="0057130B" w:rsidP="0057130B">
      <w:pPr>
        <w:jc w:val="both"/>
        <w:rPr>
          <w:rFonts w:ascii="Times New Roman" w:hAnsi="Times New Roman" w:cs="Times New Roman"/>
        </w:rPr>
      </w:pPr>
    </w:p>
    <w:p w14:paraId="00EA4DC6" w14:textId="00C9A2DC" w:rsidR="0057130B" w:rsidRPr="00C91EA2" w:rsidRDefault="0057130B" w:rsidP="0057130B">
      <w:pPr>
        <w:pStyle w:val="Caption"/>
        <w:keepNext/>
        <w:rPr>
          <w:rFonts w:ascii="Times New Roman" w:hAnsi="Times New Roman"/>
        </w:rPr>
      </w:pPr>
      <w:bookmarkStart w:id="344" w:name="_Ref497139629"/>
      <w:bookmarkStart w:id="345" w:name="_Toc520725814"/>
      <w:r w:rsidRPr="00C91EA2">
        <w:rPr>
          <w:rFonts w:ascii="Times New Roman" w:hAnsi="Times New Roman"/>
        </w:rPr>
        <w:t xml:space="preserve">Box </w:t>
      </w:r>
      <w:r w:rsidR="009547FF">
        <w:rPr>
          <w:rFonts w:ascii="Times New Roman" w:hAnsi="Times New Roman"/>
        </w:rPr>
        <w:fldChar w:fldCharType="begin"/>
      </w:r>
      <w:r w:rsidR="009547FF">
        <w:rPr>
          <w:rFonts w:ascii="Times New Roman" w:hAnsi="Times New Roman"/>
        </w:rPr>
        <w:instrText xml:space="preserve"> SEQ Box \* ARABIC </w:instrText>
      </w:r>
      <w:r w:rsidR="009547FF">
        <w:rPr>
          <w:rFonts w:ascii="Times New Roman" w:hAnsi="Times New Roman"/>
        </w:rPr>
        <w:fldChar w:fldCharType="separate"/>
      </w:r>
      <w:r w:rsidR="008261B2">
        <w:rPr>
          <w:rFonts w:ascii="Times New Roman" w:hAnsi="Times New Roman"/>
          <w:noProof/>
        </w:rPr>
        <w:t>26</w:t>
      </w:r>
      <w:r w:rsidR="009547FF">
        <w:rPr>
          <w:rFonts w:ascii="Times New Roman" w:hAnsi="Times New Roman"/>
        </w:rPr>
        <w:fldChar w:fldCharType="end"/>
      </w:r>
      <w:bookmarkEnd w:id="344"/>
      <w:r w:rsidRPr="00C91EA2">
        <w:rPr>
          <w:rFonts w:ascii="Times New Roman" w:hAnsi="Times New Roman"/>
        </w:rPr>
        <w:t>: The Low-Level PMR Indicators</w:t>
      </w:r>
      <w:bookmarkEnd w:id="345"/>
    </w:p>
    <w:tbl>
      <w:tblPr>
        <w:tblStyle w:val="TableGrid"/>
        <w:tblW w:w="0" w:type="auto"/>
        <w:shd w:val="clear" w:color="auto" w:fill="F2F2F2" w:themeFill="background1" w:themeFillShade="F2"/>
        <w:tblLook w:val="04A0" w:firstRow="1" w:lastRow="0" w:firstColumn="1" w:lastColumn="0" w:noHBand="0" w:noVBand="1"/>
      </w:tblPr>
      <w:tblGrid>
        <w:gridCol w:w="8630"/>
      </w:tblGrid>
      <w:tr w:rsidR="0057130B" w:rsidRPr="00C91EA2" w14:paraId="109F5981" w14:textId="77777777" w:rsidTr="00726079">
        <w:tc>
          <w:tcPr>
            <w:tcW w:w="8630" w:type="dxa"/>
            <w:shd w:val="clear" w:color="auto" w:fill="F2F2F2" w:themeFill="background1" w:themeFillShade="F2"/>
          </w:tcPr>
          <w:p w14:paraId="37B65688" w14:textId="77777777" w:rsidR="0057130B" w:rsidRPr="00C91EA2" w:rsidRDefault="0057130B" w:rsidP="00AD53CA">
            <w:pPr>
              <w:jc w:val="both"/>
              <w:rPr>
                <w:rFonts w:ascii="Times New Roman" w:hAnsi="Times New Roman" w:cs="Times New Roman"/>
                <w:b/>
                <w:sz w:val="20"/>
                <w:szCs w:val="20"/>
                <w:lang w:val="en-GB"/>
              </w:rPr>
            </w:pPr>
            <w:r w:rsidRPr="00C91EA2">
              <w:rPr>
                <w:rFonts w:ascii="Times New Roman" w:hAnsi="Times New Roman" w:cs="Times New Roman"/>
                <w:b/>
                <w:sz w:val="20"/>
                <w:szCs w:val="20"/>
                <w:lang w:val="en-GB"/>
              </w:rPr>
              <w:t>State control</w:t>
            </w:r>
          </w:p>
          <w:p w14:paraId="692282AF" w14:textId="77777777" w:rsidR="0057130B" w:rsidRPr="00C91EA2" w:rsidRDefault="0057130B" w:rsidP="00AD53CA">
            <w:pPr>
              <w:pStyle w:val="ListParagraph"/>
              <w:numPr>
                <w:ilvl w:val="0"/>
                <w:numId w:val="6"/>
              </w:numPr>
              <w:jc w:val="both"/>
              <w:rPr>
                <w:rFonts w:ascii="Times New Roman" w:hAnsi="Times New Roman" w:cs="Times New Roman"/>
                <w:sz w:val="20"/>
                <w:szCs w:val="20"/>
                <w:u w:val="single"/>
                <w:lang w:val="en-GB"/>
              </w:rPr>
            </w:pPr>
            <w:r w:rsidRPr="00C91EA2">
              <w:rPr>
                <w:rFonts w:ascii="Times New Roman" w:hAnsi="Times New Roman" w:cs="Times New Roman"/>
                <w:sz w:val="20"/>
                <w:szCs w:val="20"/>
                <w:u w:val="single"/>
                <w:lang w:val="en-GB"/>
              </w:rPr>
              <w:t>Public ownership</w:t>
            </w:r>
          </w:p>
          <w:p w14:paraId="6BFC72BA"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Scope of</w:t>
            </w:r>
            <w:r w:rsidR="00FA09FE">
              <w:rPr>
                <w:rFonts w:ascii="Times New Roman" w:hAnsi="Times New Roman" w:cs="Times New Roman"/>
                <w:i/>
                <w:sz w:val="20"/>
                <w:szCs w:val="20"/>
                <w:lang w:val="en-GB"/>
              </w:rPr>
              <w:t xml:space="preserve"> state-owned</w:t>
            </w:r>
            <w:r w:rsidRPr="00C91EA2">
              <w:rPr>
                <w:rFonts w:ascii="Times New Roman" w:hAnsi="Times New Roman" w:cs="Times New Roman"/>
                <w:i/>
                <w:sz w:val="20"/>
                <w:szCs w:val="20"/>
                <w:lang w:val="en-GB"/>
              </w:rPr>
              <w:t xml:space="preserve"> enterprises: </w:t>
            </w:r>
            <w:r w:rsidRPr="00C91EA2">
              <w:rPr>
                <w:rFonts w:ascii="Times New Roman" w:hAnsi="Times New Roman" w:cs="Times New Roman"/>
                <w:sz w:val="20"/>
                <w:szCs w:val="20"/>
                <w:lang w:val="en-GB"/>
              </w:rPr>
              <w:t>pervasiveness of state ownership across 30 business sectors measured as the share of sectors in which the state controls at least one firm.</w:t>
            </w:r>
          </w:p>
          <w:p w14:paraId="4ECA2CC6" w14:textId="0C9C9317" w:rsidR="0057130B" w:rsidRPr="00C91EA2" w:rsidRDefault="003B24ED" w:rsidP="00AD53CA">
            <w:pPr>
              <w:pStyle w:val="ListParagraph"/>
              <w:numPr>
                <w:ilvl w:val="1"/>
                <w:numId w:val="6"/>
              </w:numPr>
              <w:jc w:val="both"/>
              <w:rPr>
                <w:rFonts w:ascii="Times New Roman" w:hAnsi="Times New Roman" w:cs="Times New Roman"/>
                <w:sz w:val="20"/>
                <w:szCs w:val="20"/>
                <w:lang w:val="en-GB"/>
              </w:rPr>
            </w:pPr>
            <w:r>
              <w:rPr>
                <w:rFonts w:ascii="Times New Roman" w:hAnsi="Times New Roman" w:cs="Times New Roman"/>
                <w:i/>
                <w:sz w:val="20"/>
                <w:szCs w:val="20"/>
                <w:lang w:val="en-GB"/>
              </w:rPr>
              <w:t>Government</w:t>
            </w:r>
            <w:r w:rsidR="0057130B" w:rsidRPr="00C91EA2">
              <w:rPr>
                <w:rFonts w:ascii="Times New Roman" w:hAnsi="Times New Roman" w:cs="Times New Roman"/>
                <w:i/>
                <w:sz w:val="20"/>
                <w:szCs w:val="20"/>
                <w:lang w:val="en-GB"/>
              </w:rPr>
              <w:t xml:space="preserve"> involvement in network sectors:</w:t>
            </w:r>
            <w:r w:rsidR="0057130B" w:rsidRPr="00C91EA2">
              <w:rPr>
                <w:rFonts w:ascii="Times New Roman" w:hAnsi="Times New Roman" w:cs="Times New Roman"/>
                <w:sz w:val="20"/>
                <w:szCs w:val="20"/>
                <w:lang w:val="en-GB"/>
              </w:rPr>
              <w:t xml:space="preserve"> </w:t>
            </w:r>
            <w:r>
              <w:rPr>
                <w:rFonts w:ascii="Times New Roman" w:hAnsi="Times New Roman" w:cs="Times New Roman"/>
                <w:sz w:val="20"/>
                <w:szCs w:val="20"/>
                <w:lang w:val="en-GB"/>
              </w:rPr>
              <w:t>Government</w:t>
            </w:r>
            <w:r w:rsidR="0057130B" w:rsidRPr="00C91EA2">
              <w:rPr>
                <w:rFonts w:ascii="Times New Roman" w:hAnsi="Times New Roman" w:cs="Times New Roman"/>
                <w:sz w:val="20"/>
                <w:szCs w:val="20"/>
                <w:lang w:val="en-GB"/>
              </w:rPr>
              <w:t xml:space="preserve"> stakes in the largest firms in 6 network sectors (electricity, gas, rail transport, air transport, postal services and telecommunication).</w:t>
            </w:r>
          </w:p>
          <w:p w14:paraId="3D2494A7" w14:textId="04D2F877" w:rsidR="0057130B" w:rsidRPr="00C91EA2" w:rsidRDefault="0057130B" w:rsidP="00AD53CA">
            <w:pPr>
              <w:pStyle w:val="ListParagraph"/>
              <w:numPr>
                <w:ilvl w:val="1"/>
                <w:numId w:val="6"/>
              </w:numPr>
              <w:jc w:val="both"/>
              <w:rPr>
                <w:rFonts w:ascii="Times New Roman" w:hAnsi="Times New Roman" w:cs="Times New Roman"/>
                <w:i/>
                <w:sz w:val="20"/>
                <w:szCs w:val="20"/>
                <w:lang w:val="en-GB"/>
              </w:rPr>
            </w:pPr>
            <w:r w:rsidRPr="00C91EA2">
              <w:rPr>
                <w:rFonts w:ascii="Times New Roman" w:hAnsi="Times New Roman" w:cs="Times New Roman"/>
                <w:i/>
                <w:sz w:val="20"/>
                <w:szCs w:val="20"/>
                <w:lang w:val="en-GB"/>
              </w:rPr>
              <w:t>Direct control over business enterprises:</w:t>
            </w:r>
            <w:r w:rsidRPr="00C91EA2">
              <w:rPr>
                <w:rFonts w:ascii="Times New Roman" w:hAnsi="Times New Roman" w:cs="Times New Roman"/>
                <w:sz w:val="20"/>
                <w:szCs w:val="20"/>
                <w:lang w:val="en-GB"/>
              </w:rPr>
              <w:t xml:space="preserve"> existence of special voting rights by the </w:t>
            </w:r>
            <w:r w:rsidR="003B24ED">
              <w:rPr>
                <w:rFonts w:ascii="Times New Roman" w:hAnsi="Times New Roman" w:cs="Times New Roman"/>
                <w:sz w:val="20"/>
                <w:szCs w:val="20"/>
                <w:lang w:val="en-GB"/>
              </w:rPr>
              <w:t>Government</w:t>
            </w:r>
            <w:r w:rsidRPr="00C91EA2">
              <w:rPr>
                <w:rFonts w:ascii="Times New Roman" w:hAnsi="Times New Roman" w:cs="Times New Roman"/>
                <w:sz w:val="20"/>
                <w:szCs w:val="20"/>
                <w:lang w:val="en-GB"/>
              </w:rPr>
              <w:t xml:space="preserve"> in privately-owned firms and constraints to the sale of </w:t>
            </w:r>
            <w:r w:rsidR="003B24ED">
              <w:rPr>
                <w:rFonts w:ascii="Times New Roman" w:hAnsi="Times New Roman" w:cs="Times New Roman"/>
                <w:sz w:val="20"/>
                <w:szCs w:val="20"/>
                <w:lang w:val="en-GB"/>
              </w:rPr>
              <w:t>Government</w:t>
            </w:r>
            <w:r w:rsidRPr="00C91EA2">
              <w:rPr>
                <w:rFonts w:ascii="Times New Roman" w:hAnsi="Times New Roman" w:cs="Times New Roman"/>
                <w:sz w:val="20"/>
                <w:szCs w:val="20"/>
                <w:lang w:val="en-GB"/>
              </w:rPr>
              <w:t xml:space="preserve"> stakes in publicly-controlled firms (based on 30 business sectors).</w:t>
            </w:r>
          </w:p>
          <w:p w14:paraId="3F6793A6"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Governance of</w:t>
            </w:r>
            <w:r w:rsidR="00FA09FE">
              <w:rPr>
                <w:rFonts w:ascii="Times New Roman" w:hAnsi="Times New Roman" w:cs="Times New Roman"/>
                <w:i/>
                <w:sz w:val="20"/>
                <w:szCs w:val="20"/>
                <w:lang w:val="en-GB"/>
              </w:rPr>
              <w:t xml:space="preserve"> state-owned</w:t>
            </w:r>
            <w:r w:rsidRPr="00C91EA2">
              <w:rPr>
                <w:rFonts w:ascii="Times New Roman" w:hAnsi="Times New Roman" w:cs="Times New Roman"/>
                <w:i/>
                <w:sz w:val="20"/>
                <w:szCs w:val="20"/>
                <w:lang w:val="en-GB"/>
              </w:rPr>
              <w:t xml:space="preserve"> enterprises:</w:t>
            </w:r>
            <w:r w:rsidRPr="00C91EA2">
              <w:rPr>
                <w:rFonts w:ascii="Times New Roman" w:hAnsi="Times New Roman" w:cs="Times New Roman"/>
                <w:sz w:val="20"/>
                <w:szCs w:val="20"/>
                <w:lang w:val="en-GB"/>
              </w:rPr>
              <w:t xml:space="preserve"> degree of insulation of</w:t>
            </w:r>
            <w:r w:rsidR="00FA09FE">
              <w:rPr>
                <w:rFonts w:ascii="Times New Roman" w:hAnsi="Times New Roman" w:cs="Times New Roman"/>
                <w:sz w:val="20"/>
                <w:szCs w:val="20"/>
                <w:lang w:val="en-GB"/>
              </w:rPr>
              <w:t xml:space="preserve"> state-owned</w:t>
            </w:r>
            <w:r w:rsidRPr="00C91EA2">
              <w:rPr>
                <w:rFonts w:ascii="Times New Roman" w:hAnsi="Times New Roman" w:cs="Times New Roman"/>
                <w:sz w:val="20"/>
                <w:szCs w:val="20"/>
                <w:lang w:val="en-GB"/>
              </w:rPr>
              <w:t xml:space="preserve"> enterprises (SOEs) from market discipline and degree of political interference in the management of SOEs.</w:t>
            </w:r>
          </w:p>
          <w:p w14:paraId="03981E00" w14:textId="77777777" w:rsidR="0057130B" w:rsidRPr="00C91EA2" w:rsidRDefault="0057130B" w:rsidP="00AD53CA">
            <w:pPr>
              <w:pStyle w:val="ListParagraph"/>
              <w:numPr>
                <w:ilvl w:val="0"/>
                <w:numId w:val="6"/>
              </w:numPr>
              <w:jc w:val="both"/>
              <w:rPr>
                <w:rFonts w:ascii="Times New Roman" w:hAnsi="Times New Roman" w:cs="Times New Roman"/>
                <w:sz w:val="20"/>
                <w:szCs w:val="20"/>
                <w:u w:val="single"/>
                <w:lang w:val="en-GB"/>
              </w:rPr>
            </w:pPr>
            <w:r w:rsidRPr="00C91EA2">
              <w:rPr>
                <w:rFonts w:ascii="Times New Roman" w:hAnsi="Times New Roman" w:cs="Times New Roman"/>
                <w:sz w:val="20"/>
                <w:szCs w:val="20"/>
                <w:u w:val="single"/>
                <w:lang w:val="en-GB"/>
              </w:rPr>
              <w:t>Involvement in business operation</w:t>
            </w:r>
          </w:p>
          <w:p w14:paraId="7DC39F8B"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Price controls:</w:t>
            </w:r>
            <w:r w:rsidRPr="00C91EA2">
              <w:rPr>
                <w:rFonts w:ascii="Times New Roman" w:hAnsi="Times New Roman" w:cs="Times New Roman"/>
                <w:sz w:val="20"/>
                <w:szCs w:val="20"/>
                <w:lang w:val="en-GB"/>
              </w:rPr>
              <w:t xml:space="preserve"> extent and type of price controls in 8 sectors (air transport, road freight transport, retail distribution, telecommunication, electricity, gas, water, professional services).</w:t>
            </w:r>
          </w:p>
          <w:p w14:paraId="54CC8484" w14:textId="2C929DB6"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Use of command &amp; control regulation:</w:t>
            </w:r>
            <w:r w:rsidRPr="00C91EA2">
              <w:rPr>
                <w:rFonts w:ascii="Times New Roman" w:hAnsi="Times New Roman" w:cs="Times New Roman"/>
                <w:sz w:val="20"/>
                <w:szCs w:val="20"/>
                <w:lang w:val="en-GB"/>
              </w:rPr>
              <w:t xml:space="preserve"> extent to which the </w:t>
            </w:r>
            <w:r w:rsidR="003B24ED">
              <w:rPr>
                <w:rFonts w:ascii="Times New Roman" w:hAnsi="Times New Roman" w:cs="Times New Roman"/>
                <w:sz w:val="20"/>
                <w:szCs w:val="20"/>
                <w:lang w:val="en-GB"/>
              </w:rPr>
              <w:t>Government</w:t>
            </w:r>
            <w:r w:rsidRPr="00C91EA2">
              <w:rPr>
                <w:rFonts w:ascii="Times New Roman" w:hAnsi="Times New Roman" w:cs="Times New Roman"/>
                <w:sz w:val="20"/>
                <w:szCs w:val="20"/>
                <w:lang w:val="en-GB"/>
              </w:rPr>
              <w:t xml:space="preserve"> uses coercive (as opposed to incentive-based) regulation.</w:t>
            </w:r>
          </w:p>
          <w:p w14:paraId="4504A0E2" w14:textId="77777777" w:rsidR="0057130B" w:rsidRPr="00C91EA2" w:rsidRDefault="0057130B" w:rsidP="00AD53CA">
            <w:pPr>
              <w:jc w:val="both"/>
              <w:rPr>
                <w:rFonts w:ascii="Times New Roman" w:hAnsi="Times New Roman" w:cs="Times New Roman"/>
                <w:b/>
                <w:sz w:val="20"/>
                <w:szCs w:val="20"/>
                <w:lang w:val="en-GB"/>
              </w:rPr>
            </w:pPr>
            <w:r w:rsidRPr="00C91EA2">
              <w:rPr>
                <w:rFonts w:ascii="Times New Roman" w:hAnsi="Times New Roman" w:cs="Times New Roman"/>
                <w:b/>
                <w:sz w:val="20"/>
                <w:szCs w:val="20"/>
                <w:lang w:val="en-GB"/>
              </w:rPr>
              <w:t>Barriers to entry and rivalry</w:t>
            </w:r>
          </w:p>
          <w:p w14:paraId="5D9CCB47" w14:textId="77777777" w:rsidR="0057130B" w:rsidRPr="00C91EA2" w:rsidRDefault="0057130B" w:rsidP="00AD53CA">
            <w:pPr>
              <w:pStyle w:val="ListParagraph"/>
              <w:numPr>
                <w:ilvl w:val="0"/>
                <w:numId w:val="6"/>
              </w:numPr>
              <w:jc w:val="both"/>
              <w:rPr>
                <w:rFonts w:ascii="Times New Roman" w:hAnsi="Times New Roman" w:cs="Times New Roman"/>
                <w:sz w:val="20"/>
                <w:szCs w:val="20"/>
                <w:u w:val="single"/>
                <w:lang w:val="en-GB"/>
              </w:rPr>
            </w:pPr>
            <w:r w:rsidRPr="00C91EA2">
              <w:rPr>
                <w:rFonts w:ascii="Times New Roman" w:hAnsi="Times New Roman" w:cs="Times New Roman"/>
                <w:sz w:val="20"/>
                <w:szCs w:val="20"/>
                <w:u w:val="single"/>
                <w:lang w:val="en-GB"/>
              </w:rPr>
              <w:t>Complexity of regulatory procedures</w:t>
            </w:r>
          </w:p>
          <w:p w14:paraId="632F4014"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Licence and permits system:</w:t>
            </w:r>
            <w:r w:rsidRPr="00C91EA2">
              <w:rPr>
                <w:rFonts w:ascii="Times New Roman" w:hAnsi="Times New Roman" w:cs="Times New Roman"/>
                <w:sz w:val="20"/>
                <w:szCs w:val="20"/>
                <w:lang w:val="en-GB"/>
              </w:rPr>
              <w:t xml:space="preserve"> use of ‘one-stop-shops’ and the ‘silence is consent’ rule for issuing licenses and accepting notifications.</w:t>
            </w:r>
          </w:p>
          <w:p w14:paraId="26BA1E94" w14:textId="4AA4D05C"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Communication and simplification of rules and procedures:</w:t>
            </w:r>
            <w:r w:rsidRPr="00C91EA2">
              <w:rPr>
                <w:rFonts w:ascii="Times New Roman" w:hAnsi="Times New Roman" w:cs="Times New Roman"/>
                <w:sz w:val="20"/>
                <w:szCs w:val="20"/>
                <w:lang w:val="en-GB"/>
              </w:rPr>
              <w:t xml:space="preserve"> </w:t>
            </w:r>
            <w:proofErr w:type="gramStart"/>
            <w:r w:rsidRPr="00C91EA2">
              <w:rPr>
                <w:rFonts w:ascii="Times New Roman" w:hAnsi="Times New Roman" w:cs="Times New Roman"/>
                <w:sz w:val="20"/>
                <w:szCs w:val="20"/>
                <w:lang w:val="en-GB"/>
              </w:rPr>
              <w:t>the</w:t>
            </w:r>
            <w:proofErr w:type="gramEnd"/>
            <w:r w:rsidRPr="00C91EA2">
              <w:rPr>
                <w:rFonts w:ascii="Times New Roman" w:hAnsi="Times New Roman" w:cs="Times New Roman"/>
                <w:sz w:val="20"/>
                <w:szCs w:val="20"/>
                <w:lang w:val="en-GB"/>
              </w:rPr>
              <w:t xml:space="preserve"> </w:t>
            </w:r>
            <w:r w:rsidR="003B24ED">
              <w:rPr>
                <w:rFonts w:ascii="Times New Roman" w:hAnsi="Times New Roman" w:cs="Times New Roman"/>
                <w:sz w:val="20"/>
                <w:szCs w:val="20"/>
                <w:lang w:val="en-GB"/>
              </w:rPr>
              <w:t>Government</w:t>
            </w:r>
            <w:r w:rsidRPr="00C91EA2">
              <w:rPr>
                <w:rFonts w:ascii="Times New Roman" w:hAnsi="Times New Roman" w:cs="Times New Roman"/>
                <w:sz w:val="20"/>
                <w:szCs w:val="20"/>
                <w:lang w:val="en-GB"/>
              </w:rPr>
              <w:t xml:space="preserve">’s communication strategy and efforts to reduce and simplify the administrative burden of interacting with the </w:t>
            </w:r>
            <w:r w:rsidR="003B24ED">
              <w:rPr>
                <w:rFonts w:ascii="Times New Roman" w:hAnsi="Times New Roman" w:cs="Times New Roman"/>
                <w:sz w:val="20"/>
                <w:szCs w:val="20"/>
                <w:lang w:val="en-GB"/>
              </w:rPr>
              <w:t>Government</w:t>
            </w:r>
            <w:r w:rsidRPr="00C91EA2">
              <w:rPr>
                <w:rFonts w:ascii="Times New Roman" w:hAnsi="Times New Roman" w:cs="Times New Roman"/>
                <w:sz w:val="20"/>
                <w:szCs w:val="20"/>
                <w:lang w:val="en-GB"/>
              </w:rPr>
              <w:t>.</w:t>
            </w:r>
          </w:p>
          <w:p w14:paraId="4D33C90A" w14:textId="77777777" w:rsidR="0057130B" w:rsidRPr="00C91EA2" w:rsidRDefault="0057130B" w:rsidP="00AD53CA">
            <w:pPr>
              <w:pStyle w:val="ListParagraph"/>
              <w:numPr>
                <w:ilvl w:val="0"/>
                <w:numId w:val="6"/>
              </w:numPr>
              <w:jc w:val="both"/>
              <w:rPr>
                <w:rFonts w:ascii="Times New Roman" w:hAnsi="Times New Roman" w:cs="Times New Roman"/>
                <w:sz w:val="20"/>
                <w:szCs w:val="20"/>
                <w:u w:val="single"/>
                <w:lang w:val="en-GB"/>
              </w:rPr>
            </w:pPr>
            <w:r w:rsidRPr="00C91EA2">
              <w:rPr>
                <w:rFonts w:ascii="Times New Roman" w:hAnsi="Times New Roman" w:cs="Times New Roman"/>
                <w:sz w:val="20"/>
                <w:szCs w:val="20"/>
                <w:u w:val="single"/>
                <w:lang w:val="en-GB"/>
              </w:rPr>
              <w:t xml:space="preserve">Administrative burdens on </w:t>
            </w:r>
            <w:proofErr w:type="spellStart"/>
            <w:r w:rsidRPr="00C91EA2">
              <w:rPr>
                <w:rFonts w:ascii="Times New Roman" w:hAnsi="Times New Roman" w:cs="Times New Roman"/>
                <w:sz w:val="20"/>
                <w:szCs w:val="20"/>
                <w:u w:val="single"/>
                <w:lang w:val="en-GB"/>
              </w:rPr>
              <w:t>startups</w:t>
            </w:r>
            <w:proofErr w:type="spellEnd"/>
          </w:p>
          <w:p w14:paraId="56B46417"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Administrative burdens for corporations:</w:t>
            </w:r>
            <w:r w:rsidRPr="00C91EA2">
              <w:rPr>
                <w:rFonts w:ascii="Times New Roman" w:hAnsi="Times New Roman" w:cs="Times New Roman"/>
                <w:sz w:val="20"/>
                <w:szCs w:val="20"/>
                <w:lang w:val="en-GB"/>
              </w:rPr>
              <w:t xml:space="preserve"> administrative burdens on creating a public limited company.</w:t>
            </w:r>
          </w:p>
          <w:p w14:paraId="6170AFED"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Administrative burdens for sole proprietor firms:</w:t>
            </w:r>
            <w:r w:rsidRPr="00C91EA2">
              <w:rPr>
                <w:rFonts w:ascii="Times New Roman" w:hAnsi="Times New Roman" w:cs="Times New Roman"/>
                <w:sz w:val="20"/>
                <w:szCs w:val="20"/>
                <w:lang w:val="en-GB"/>
              </w:rPr>
              <w:t xml:space="preserve"> administrative burdens on creating an individual enterprise.</w:t>
            </w:r>
          </w:p>
          <w:p w14:paraId="3B1A14AE"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Barriers in services sectors:</w:t>
            </w:r>
            <w:r w:rsidRPr="00C91EA2">
              <w:rPr>
                <w:rFonts w:ascii="Times New Roman" w:hAnsi="Times New Roman" w:cs="Times New Roman"/>
                <w:sz w:val="20"/>
                <w:szCs w:val="20"/>
                <w:lang w:val="en-GB"/>
              </w:rPr>
              <w:t xml:space="preserve"> entry barriers in professional services, freight transport services and retail distribution.</w:t>
            </w:r>
          </w:p>
          <w:p w14:paraId="72981B2B" w14:textId="77777777" w:rsidR="0057130B" w:rsidRPr="00C91EA2" w:rsidRDefault="0057130B" w:rsidP="00AD53CA">
            <w:pPr>
              <w:pStyle w:val="ListParagraph"/>
              <w:numPr>
                <w:ilvl w:val="0"/>
                <w:numId w:val="6"/>
              </w:numPr>
              <w:jc w:val="both"/>
              <w:rPr>
                <w:rFonts w:ascii="Times New Roman" w:hAnsi="Times New Roman" w:cs="Times New Roman"/>
                <w:sz w:val="20"/>
                <w:szCs w:val="20"/>
                <w:u w:val="single"/>
                <w:lang w:val="en-GB"/>
              </w:rPr>
            </w:pPr>
            <w:r w:rsidRPr="00C91EA2">
              <w:rPr>
                <w:rFonts w:ascii="Times New Roman" w:hAnsi="Times New Roman" w:cs="Times New Roman"/>
                <w:sz w:val="20"/>
                <w:szCs w:val="20"/>
                <w:u w:val="single"/>
                <w:lang w:val="en-GB"/>
              </w:rPr>
              <w:t>Regulatory protection of incumbents</w:t>
            </w:r>
          </w:p>
          <w:p w14:paraId="50573728"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Legal barriers:</w:t>
            </w:r>
            <w:r w:rsidRPr="00C91EA2">
              <w:rPr>
                <w:rFonts w:ascii="Times New Roman" w:hAnsi="Times New Roman" w:cs="Times New Roman"/>
                <w:sz w:val="20"/>
                <w:szCs w:val="20"/>
                <w:lang w:val="en-GB"/>
              </w:rPr>
              <w:t xml:space="preserve"> pervasiveness of barriers to entry in 30 business sectors as a share of sectors in which there are explicit legal limitations on the number of competitors.</w:t>
            </w:r>
          </w:p>
          <w:p w14:paraId="3CEBE128"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Antitrust exemptions:</w:t>
            </w:r>
            <w:r w:rsidRPr="00C91EA2">
              <w:rPr>
                <w:rFonts w:ascii="Times New Roman" w:hAnsi="Times New Roman" w:cs="Times New Roman"/>
                <w:sz w:val="20"/>
                <w:szCs w:val="20"/>
                <w:lang w:val="en-GB"/>
              </w:rPr>
              <w:t xml:space="preserve"> scope of exemptions from competition law for public enterprises.</w:t>
            </w:r>
          </w:p>
          <w:p w14:paraId="40299D63"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Barriers in network sectors:</w:t>
            </w:r>
            <w:r w:rsidRPr="00C91EA2">
              <w:rPr>
                <w:rFonts w:ascii="Times New Roman" w:hAnsi="Times New Roman" w:cs="Times New Roman"/>
                <w:sz w:val="20"/>
                <w:szCs w:val="20"/>
                <w:lang w:val="en-GB"/>
              </w:rPr>
              <w:t xml:space="preserve"> entry barriers in 8 network sectors (gas, electricity, water, rail transport, air transport, road freight transport, postal services and telecommunication) and degree of vertical separation in 3 network sectors (gas, electricity and rail transport).</w:t>
            </w:r>
          </w:p>
          <w:p w14:paraId="1787C159" w14:textId="77777777" w:rsidR="0057130B" w:rsidRPr="00C91EA2" w:rsidRDefault="0057130B" w:rsidP="00AD53CA">
            <w:pPr>
              <w:jc w:val="both"/>
              <w:rPr>
                <w:rFonts w:ascii="Times New Roman" w:hAnsi="Times New Roman" w:cs="Times New Roman"/>
                <w:b/>
                <w:sz w:val="20"/>
                <w:szCs w:val="20"/>
                <w:lang w:val="en-GB"/>
              </w:rPr>
            </w:pPr>
            <w:r w:rsidRPr="00C91EA2">
              <w:rPr>
                <w:rFonts w:ascii="Times New Roman" w:hAnsi="Times New Roman" w:cs="Times New Roman"/>
                <w:b/>
                <w:sz w:val="20"/>
                <w:szCs w:val="20"/>
                <w:lang w:val="en-GB"/>
              </w:rPr>
              <w:t>Barriers to trade and investment</w:t>
            </w:r>
          </w:p>
          <w:p w14:paraId="4E1139C4" w14:textId="77777777" w:rsidR="0057130B" w:rsidRPr="00C91EA2" w:rsidRDefault="0057130B" w:rsidP="00AD53CA">
            <w:pPr>
              <w:pStyle w:val="ListParagraph"/>
              <w:numPr>
                <w:ilvl w:val="0"/>
                <w:numId w:val="6"/>
              </w:numPr>
              <w:jc w:val="both"/>
              <w:rPr>
                <w:rFonts w:ascii="Times New Roman" w:hAnsi="Times New Roman" w:cs="Times New Roman"/>
                <w:sz w:val="20"/>
                <w:szCs w:val="20"/>
                <w:u w:val="single"/>
                <w:lang w:val="en-GB"/>
              </w:rPr>
            </w:pPr>
            <w:r w:rsidRPr="00C91EA2">
              <w:rPr>
                <w:rFonts w:ascii="Times New Roman" w:hAnsi="Times New Roman" w:cs="Times New Roman"/>
                <w:sz w:val="20"/>
                <w:szCs w:val="20"/>
                <w:u w:val="single"/>
                <w:lang w:val="en-GB"/>
              </w:rPr>
              <w:t>Explicit barriers to trade and investment</w:t>
            </w:r>
          </w:p>
          <w:p w14:paraId="05E1E428"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Barriers to FDI:</w:t>
            </w:r>
            <w:r w:rsidRPr="00C91EA2">
              <w:rPr>
                <w:rFonts w:ascii="Times New Roman" w:hAnsi="Times New Roman" w:cs="Times New Roman"/>
                <w:sz w:val="20"/>
                <w:szCs w:val="20"/>
                <w:lang w:val="en-GB"/>
              </w:rPr>
              <w:t xml:space="preserve"> restrictiveness of a country’s FDI rules in 22 sectors in terms of foreign equity limitations, screening or approval mechanisms, restrictions on the employment of foreigners as key personnel and operational restrictions (e.g. restrictions on branching and on capital repatriation or on land ownership)</w:t>
            </w:r>
          </w:p>
          <w:p w14:paraId="45FA7EBD"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Tariff barriers:</w:t>
            </w:r>
            <w:r w:rsidRPr="00C91EA2">
              <w:rPr>
                <w:rFonts w:ascii="Times New Roman" w:hAnsi="Times New Roman" w:cs="Times New Roman"/>
                <w:sz w:val="20"/>
                <w:szCs w:val="20"/>
                <w:lang w:val="en-GB"/>
              </w:rPr>
              <w:t xml:space="preserve"> simple cross-product average of effectively applied tariffs.</w:t>
            </w:r>
          </w:p>
          <w:p w14:paraId="35DCF8F2" w14:textId="77777777" w:rsidR="0057130B" w:rsidRPr="00C91EA2" w:rsidRDefault="0057130B" w:rsidP="00AD53CA">
            <w:pPr>
              <w:pStyle w:val="ListParagraph"/>
              <w:numPr>
                <w:ilvl w:val="0"/>
                <w:numId w:val="6"/>
              </w:numPr>
              <w:jc w:val="both"/>
              <w:rPr>
                <w:rFonts w:ascii="Times New Roman" w:hAnsi="Times New Roman" w:cs="Times New Roman"/>
                <w:sz w:val="20"/>
                <w:szCs w:val="20"/>
                <w:u w:val="single"/>
                <w:lang w:val="en-GB"/>
              </w:rPr>
            </w:pPr>
            <w:r w:rsidRPr="00C91EA2">
              <w:rPr>
                <w:rFonts w:ascii="Times New Roman" w:hAnsi="Times New Roman" w:cs="Times New Roman"/>
                <w:sz w:val="20"/>
                <w:szCs w:val="20"/>
                <w:u w:val="single"/>
                <w:lang w:val="en-GB"/>
              </w:rPr>
              <w:t>Other barriers to trade and investment</w:t>
            </w:r>
          </w:p>
          <w:p w14:paraId="79471F0C" w14:textId="77777777" w:rsidR="0057130B" w:rsidRPr="00C91EA2" w:rsidRDefault="0057130B" w:rsidP="00AD53CA">
            <w:pPr>
              <w:pStyle w:val="ListParagraph"/>
              <w:numPr>
                <w:ilvl w:val="1"/>
                <w:numId w:val="6"/>
              </w:numPr>
              <w:jc w:val="both"/>
              <w:rPr>
                <w:rFonts w:ascii="Times New Roman" w:hAnsi="Times New Roman" w:cs="Times New Roman"/>
                <w:i/>
                <w:sz w:val="20"/>
                <w:szCs w:val="20"/>
                <w:lang w:val="en-GB"/>
              </w:rPr>
            </w:pPr>
            <w:r w:rsidRPr="00C91EA2">
              <w:rPr>
                <w:rFonts w:ascii="Times New Roman" w:hAnsi="Times New Roman" w:cs="Times New Roman"/>
                <w:i/>
                <w:sz w:val="20"/>
                <w:szCs w:val="20"/>
                <w:lang w:val="en-GB"/>
              </w:rPr>
              <w:t>Differential treatment of foreign suppliers:</w:t>
            </w:r>
            <w:r w:rsidRPr="00C91EA2">
              <w:rPr>
                <w:rFonts w:ascii="Times New Roman" w:hAnsi="Times New Roman" w:cs="Times New Roman"/>
                <w:sz w:val="20"/>
                <w:szCs w:val="20"/>
                <w:lang w:val="en-GB"/>
              </w:rPr>
              <w:t xml:space="preserve"> discrimination of foreign firms with respect to taxes and subsidies, public procurement, entry regulation and appeal and procedures.</w:t>
            </w:r>
          </w:p>
          <w:p w14:paraId="387F05F9" w14:textId="77777777" w:rsidR="0057130B" w:rsidRPr="00C91EA2" w:rsidRDefault="0057130B" w:rsidP="00AD53CA">
            <w:pPr>
              <w:pStyle w:val="ListParagraph"/>
              <w:numPr>
                <w:ilvl w:val="1"/>
                <w:numId w:val="6"/>
              </w:numPr>
              <w:jc w:val="both"/>
              <w:rPr>
                <w:rFonts w:ascii="Times New Roman" w:hAnsi="Times New Roman" w:cs="Times New Roman"/>
                <w:sz w:val="20"/>
                <w:szCs w:val="20"/>
                <w:lang w:val="en-GB"/>
              </w:rPr>
            </w:pPr>
            <w:r w:rsidRPr="00C91EA2">
              <w:rPr>
                <w:rFonts w:ascii="Times New Roman" w:hAnsi="Times New Roman" w:cs="Times New Roman"/>
                <w:i/>
                <w:sz w:val="20"/>
                <w:szCs w:val="20"/>
                <w:lang w:val="en-GB"/>
              </w:rPr>
              <w:t>Barriers to trade facilitation:</w:t>
            </w:r>
            <w:r w:rsidRPr="00C91EA2">
              <w:rPr>
                <w:rFonts w:ascii="Times New Roman" w:hAnsi="Times New Roman" w:cs="Times New Roman"/>
                <w:sz w:val="20"/>
                <w:szCs w:val="20"/>
                <w:lang w:val="en-GB"/>
              </w:rPr>
              <w:t xml:space="preserve"> recognition of foreign regulations, use of international standards and international transparency of domestic regulation.</w:t>
            </w:r>
          </w:p>
          <w:p w14:paraId="7C14E99C" w14:textId="77777777" w:rsidR="0057130B" w:rsidRPr="00C91EA2" w:rsidRDefault="0057130B" w:rsidP="00AD53CA">
            <w:pPr>
              <w:jc w:val="both"/>
              <w:rPr>
                <w:rFonts w:ascii="Times New Roman" w:hAnsi="Times New Roman" w:cs="Times New Roman"/>
                <w:sz w:val="20"/>
                <w:szCs w:val="20"/>
                <w:lang w:val="en-GB"/>
              </w:rPr>
            </w:pPr>
          </w:p>
          <w:p w14:paraId="495302CD" w14:textId="77777777" w:rsidR="0057130B" w:rsidRPr="00C91EA2" w:rsidRDefault="0057130B" w:rsidP="00AD53CA">
            <w:pPr>
              <w:jc w:val="both"/>
              <w:rPr>
                <w:rFonts w:ascii="Times New Roman" w:hAnsi="Times New Roman" w:cs="Times New Roman"/>
              </w:rPr>
            </w:pPr>
            <w:r w:rsidRPr="00C91EA2">
              <w:rPr>
                <w:rFonts w:ascii="Times New Roman" w:hAnsi="Times New Roman" w:cs="Times New Roman"/>
                <w:i/>
                <w:color w:val="222222"/>
                <w:sz w:val="20"/>
                <w:szCs w:val="20"/>
              </w:rPr>
              <w:t xml:space="preserve">Source: </w:t>
            </w:r>
            <w:proofErr w:type="spellStart"/>
            <w:r w:rsidRPr="00C91EA2">
              <w:rPr>
                <w:rFonts w:ascii="Times New Roman" w:hAnsi="Times New Roman" w:cs="Times New Roman"/>
                <w:i/>
                <w:color w:val="222222"/>
                <w:sz w:val="20"/>
                <w:szCs w:val="20"/>
              </w:rPr>
              <w:t>Koske</w:t>
            </w:r>
            <w:proofErr w:type="spellEnd"/>
            <w:r w:rsidRPr="00C91EA2">
              <w:rPr>
                <w:rFonts w:ascii="Times New Roman" w:hAnsi="Times New Roman" w:cs="Times New Roman"/>
                <w:i/>
                <w:color w:val="222222"/>
                <w:sz w:val="20"/>
                <w:szCs w:val="20"/>
              </w:rPr>
              <w:t xml:space="preserve"> et al (2013)</w:t>
            </w:r>
          </w:p>
        </w:tc>
      </w:tr>
    </w:tbl>
    <w:p w14:paraId="4C3953F9" w14:textId="77777777" w:rsidR="00E44756" w:rsidRPr="00C91EA2" w:rsidRDefault="00E44756" w:rsidP="00E6663C">
      <w:pPr>
        <w:rPr>
          <w:rFonts w:ascii="Times New Roman" w:hAnsi="Times New Roman" w:cs="Times New Roman"/>
        </w:rPr>
      </w:pPr>
    </w:p>
    <w:p w14:paraId="4E575471" w14:textId="77777777" w:rsidR="00726079" w:rsidRPr="00C91EA2" w:rsidRDefault="00726079" w:rsidP="00E6663C">
      <w:pPr>
        <w:rPr>
          <w:rFonts w:ascii="Times New Roman" w:hAnsi="Times New Roman" w:cs="Times New Roman"/>
        </w:rPr>
      </w:pPr>
    </w:p>
    <w:p w14:paraId="074F5CDA" w14:textId="0655AF80" w:rsidR="00E44756" w:rsidRPr="00C91EA2" w:rsidRDefault="00E44756" w:rsidP="00E44756">
      <w:pPr>
        <w:pStyle w:val="Caption"/>
        <w:keepNext/>
        <w:rPr>
          <w:rFonts w:ascii="Times New Roman" w:hAnsi="Times New Roman"/>
        </w:rPr>
      </w:pPr>
      <w:bookmarkStart w:id="346" w:name="_Ref496891372"/>
      <w:bookmarkStart w:id="347" w:name="_Toc520725704"/>
      <w:r w:rsidRPr="00C91EA2">
        <w:rPr>
          <w:rFonts w:ascii="Times New Roman" w:hAnsi="Times New Roman"/>
        </w:rPr>
        <w:t xml:space="preserve">Table </w:t>
      </w:r>
      <w:r w:rsidR="00DD174A" w:rsidRPr="00C91EA2">
        <w:rPr>
          <w:rFonts w:ascii="Times New Roman" w:hAnsi="Times New Roman"/>
        </w:rPr>
        <w:fldChar w:fldCharType="begin"/>
      </w:r>
      <w:r w:rsidR="00DD174A" w:rsidRPr="00C91EA2">
        <w:rPr>
          <w:rFonts w:ascii="Times New Roman" w:hAnsi="Times New Roman"/>
        </w:rPr>
        <w:instrText xml:space="preserve"> SEQ Table \* ARABIC </w:instrText>
      </w:r>
      <w:r w:rsidR="00DD174A" w:rsidRPr="00C91EA2">
        <w:rPr>
          <w:rFonts w:ascii="Times New Roman" w:hAnsi="Times New Roman"/>
        </w:rPr>
        <w:fldChar w:fldCharType="separate"/>
      </w:r>
      <w:r w:rsidR="008261B2">
        <w:rPr>
          <w:rFonts w:ascii="Times New Roman" w:hAnsi="Times New Roman"/>
          <w:noProof/>
        </w:rPr>
        <w:t>17</w:t>
      </w:r>
      <w:r w:rsidR="00DD174A" w:rsidRPr="00C91EA2">
        <w:rPr>
          <w:rFonts w:ascii="Times New Roman" w:hAnsi="Times New Roman"/>
          <w:noProof/>
        </w:rPr>
        <w:fldChar w:fldCharType="end"/>
      </w:r>
      <w:bookmarkEnd w:id="346"/>
      <w:r w:rsidRPr="00C91EA2">
        <w:rPr>
          <w:rFonts w:ascii="Times New Roman" w:hAnsi="Times New Roman"/>
        </w:rPr>
        <w:t>: Sectors with SOE presence in Senegal</w:t>
      </w:r>
      <w:bookmarkEnd w:id="347"/>
    </w:p>
    <w:tbl>
      <w:tblPr>
        <w:tblStyle w:val="ListTable1Light1"/>
        <w:tblW w:w="9000" w:type="dxa"/>
        <w:tblLayout w:type="fixed"/>
        <w:tblLook w:val="06A0" w:firstRow="1" w:lastRow="0" w:firstColumn="1" w:lastColumn="0" w:noHBand="1" w:noVBand="1"/>
      </w:tblPr>
      <w:tblGrid>
        <w:gridCol w:w="7110"/>
        <w:gridCol w:w="1170"/>
        <w:gridCol w:w="720"/>
      </w:tblGrid>
      <w:tr w:rsidR="00E6663C" w:rsidRPr="00C91EA2" w14:paraId="7255026F" w14:textId="77777777" w:rsidTr="006C11B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single" w:sz="4" w:space="0" w:color="auto"/>
              <w:left w:val="nil"/>
              <w:bottom w:val="double" w:sz="4" w:space="0" w:color="auto"/>
              <w:right w:val="nil"/>
            </w:tcBorders>
            <w:hideMark/>
          </w:tcPr>
          <w:p w14:paraId="0AA9DCF5" w14:textId="2FDA3F07" w:rsidR="00E6663C" w:rsidRPr="00C91EA2" w:rsidRDefault="00E6663C" w:rsidP="006C11BE">
            <w:pPr>
              <w:rPr>
                <w:rFonts w:ascii="Times New Roman"/>
              </w:rPr>
            </w:pPr>
            <w:bookmarkStart w:id="348" w:name="_Toc421665687"/>
            <w:r w:rsidRPr="00C91EA2">
              <w:rPr>
                <w:rFonts w:ascii="Times New Roman"/>
              </w:rPr>
              <w:t xml:space="preserve">National, state or provincial </w:t>
            </w:r>
            <w:r w:rsidR="003B24ED">
              <w:rPr>
                <w:rFonts w:ascii="Times New Roman"/>
              </w:rPr>
              <w:t>Government</w:t>
            </w:r>
            <w:r w:rsidRPr="00C91EA2">
              <w:rPr>
                <w:rFonts w:ascii="Times New Roman"/>
              </w:rPr>
              <w:t xml:space="preserve">s </w:t>
            </w:r>
            <w:r w:rsidRPr="00C91EA2">
              <w:rPr>
                <w:rFonts w:ascii="Times New Roman"/>
                <w:u w:val="single"/>
              </w:rPr>
              <w:t>control at least one firm</w:t>
            </w:r>
            <w:r w:rsidRPr="00C91EA2">
              <w:rPr>
                <w:rFonts w:ascii="Times New Roman"/>
              </w:rPr>
              <w:t xml:space="preserve"> in the sector</w:t>
            </w:r>
            <w:bookmarkEnd w:id="348"/>
          </w:p>
        </w:tc>
        <w:tc>
          <w:tcPr>
            <w:tcW w:w="1170" w:type="dxa"/>
            <w:tcBorders>
              <w:top w:val="single" w:sz="4" w:space="0" w:color="auto"/>
              <w:left w:val="nil"/>
              <w:bottom w:val="double" w:sz="4" w:space="0" w:color="auto"/>
              <w:right w:val="nil"/>
            </w:tcBorders>
            <w:noWrap/>
            <w:hideMark/>
          </w:tcPr>
          <w:p w14:paraId="318E5A9A" w14:textId="77777777" w:rsidR="00E6663C" w:rsidRPr="00C91EA2" w:rsidRDefault="00E6663C" w:rsidP="006C11BE">
            <w:pPr>
              <w:cnfStyle w:val="100000000000" w:firstRow="1" w:lastRow="0" w:firstColumn="0" w:lastColumn="0" w:oddVBand="0" w:evenVBand="0" w:oddHBand="0" w:evenHBand="0" w:firstRowFirstColumn="0" w:firstRowLastColumn="0" w:lastRowFirstColumn="0" w:lastRowLastColumn="0"/>
              <w:rPr>
                <w:rFonts w:ascii="Times New Roman" w:eastAsiaTheme="minorEastAsia"/>
              </w:rPr>
            </w:pPr>
            <w:bookmarkStart w:id="349" w:name="_Toc421665688"/>
            <w:r w:rsidRPr="00C91EA2">
              <w:rPr>
                <w:rFonts w:ascii="Times New Roman"/>
              </w:rPr>
              <w:t>Yes</w:t>
            </w:r>
            <w:bookmarkEnd w:id="349"/>
          </w:p>
        </w:tc>
        <w:tc>
          <w:tcPr>
            <w:tcW w:w="720" w:type="dxa"/>
            <w:tcBorders>
              <w:top w:val="single" w:sz="4" w:space="0" w:color="auto"/>
              <w:left w:val="nil"/>
              <w:bottom w:val="double" w:sz="4" w:space="0" w:color="auto"/>
              <w:right w:val="nil"/>
            </w:tcBorders>
            <w:hideMark/>
          </w:tcPr>
          <w:p w14:paraId="3D36973E" w14:textId="77777777" w:rsidR="00E6663C" w:rsidRPr="00C91EA2" w:rsidRDefault="00E6663C" w:rsidP="006C11BE">
            <w:pPr>
              <w:cnfStyle w:val="100000000000" w:firstRow="1" w:lastRow="0" w:firstColumn="0" w:lastColumn="0" w:oddVBand="0" w:evenVBand="0" w:oddHBand="0" w:evenHBand="0" w:firstRowFirstColumn="0" w:firstRowLastColumn="0" w:lastRowFirstColumn="0" w:lastRowLastColumn="0"/>
              <w:rPr>
                <w:rFonts w:ascii="Times New Roman"/>
              </w:rPr>
            </w:pPr>
            <w:bookmarkStart w:id="350" w:name="_Toc421665689"/>
            <w:r w:rsidRPr="00C91EA2">
              <w:rPr>
                <w:rFonts w:ascii="Times New Roman"/>
              </w:rPr>
              <w:t>No</w:t>
            </w:r>
            <w:bookmarkEnd w:id="350"/>
          </w:p>
        </w:tc>
      </w:tr>
      <w:tr w:rsidR="00E6663C" w:rsidRPr="00C91EA2" w14:paraId="7AA01CA4"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tcBorders>
              <w:top w:val="double" w:sz="4" w:space="0" w:color="auto"/>
              <w:left w:val="nil"/>
              <w:bottom w:val="nil"/>
              <w:right w:val="nil"/>
            </w:tcBorders>
            <w:shd w:val="clear" w:color="auto" w:fill="F2F2F2" w:themeFill="background1" w:themeFillShade="F2"/>
            <w:hideMark/>
          </w:tcPr>
          <w:p w14:paraId="424B3F28" w14:textId="77777777" w:rsidR="00E6663C" w:rsidRPr="00C91EA2" w:rsidRDefault="00E6663C" w:rsidP="006C11BE">
            <w:pPr>
              <w:rPr>
                <w:rFonts w:ascii="Times New Roman"/>
              </w:rPr>
            </w:pPr>
            <w:r w:rsidRPr="00C91EA2">
              <w:rPr>
                <w:rFonts w:ascii="Times New Roman"/>
              </w:rPr>
              <w:t>Electricity generation, import, transmission, distribution and supply</w:t>
            </w:r>
          </w:p>
        </w:tc>
        <w:tc>
          <w:tcPr>
            <w:tcW w:w="1170" w:type="dxa"/>
            <w:tcBorders>
              <w:top w:val="double" w:sz="4" w:space="0" w:color="auto"/>
              <w:left w:val="nil"/>
              <w:bottom w:val="nil"/>
              <w:right w:val="nil"/>
            </w:tcBorders>
            <w:shd w:val="clear" w:color="auto" w:fill="F2F2F2" w:themeFill="background1" w:themeFillShade="F2"/>
            <w:noWrap/>
            <w:hideMark/>
          </w:tcPr>
          <w:p w14:paraId="5BC2AB7C"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tcBorders>
              <w:top w:val="double" w:sz="4" w:space="0" w:color="auto"/>
              <w:left w:val="nil"/>
              <w:bottom w:val="nil"/>
              <w:right w:val="nil"/>
            </w:tcBorders>
            <w:shd w:val="clear" w:color="auto" w:fill="F2F2F2" w:themeFill="background1" w:themeFillShade="F2"/>
          </w:tcPr>
          <w:p w14:paraId="5639989A"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794343A5"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shd w:val="clear" w:color="auto" w:fill="F2F2F2" w:themeFill="background1" w:themeFillShade="F2"/>
            <w:hideMark/>
          </w:tcPr>
          <w:p w14:paraId="6B77B178" w14:textId="77777777" w:rsidR="00E6663C" w:rsidRPr="00C91EA2" w:rsidRDefault="00E6663C" w:rsidP="006C11BE">
            <w:pPr>
              <w:rPr>
                <w:rFonts w:ascii="Times New Roman"/>
                <w:b w:val="0"/>
              </w:rPr>
            </w:pPr>
            <w:bookmarkStart w:id="351" w:name="_Toc421665690"/>
            <w:r w:rsidRPr="00C91EA2">
              <w:rPr>
                <w:rFonts w:ascii="Times New Roman"/>
              </w:rPr>
              <w:t>Natural gas production, import, transmission, distribution and supply</w:t>
            </w:r>
            <w:bookmarkEnd w:id="351"/>
          </w:p>
        </w:tc>
        <w:tc>
          <w:tcPr>
            <w:tcW w:w="1170" w:type="dxa"/>
            <w:shd w:val="clear" w:color="auto" w:fill="F2F2F2" w:themeFill="background1" w:themeFillShade="F2"/>
            <w:noWrap/>
            <w:hideMark/>
          </w:tcPr>
          <w:p w14:paraId="69E02607"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shd w:val="clear" w:color="auto" w:fill="F2F2F2" w:themeFill="background1" w:themeFillShade="F2"/>
          </w:tcPr>
          <w:p w14:paraId="571FC7DD"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40EC494C"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shd w:val="clear" w:color="auto" w:fill="F2F2F2" w:themeFill="background1" w:themeFillShade="F2"/>
            <w:hideMark/>
          </w:tcPr>
          <w:p w14:paraId="24871365" w14:textId="77777777" w:rsidR="00E6663C" w:rsidRPr="00C91EA2" w:rsidRDefault="00E6663C" w:rsidP="006C11BE">
            <w:pPr>
              <w:rPr>
                <w:rFonts w:ascii="Times New Roman"/>
                <w:b w:val="0"/>
              </w:rPr>
            </w:pPr>
            <w:bookmarkStart w:id="352" w:name="_Toc421665691"/>
            <w:r w:rsidRPr="00C91EA2">
              <w:rPr>
                <w:rFonts w:ascii="Times New Roman"/>
              </w:rPr>
              <w:t>Telecommunication fixed line, mobile and internet services</w:t>
            </w:r>
            <w:bookmarkEnd w:id="352"/>
          </w:p>
        </w:tc>
        <w:tc>
          <w:tcPr>
            <w:tcW w:w="1170" w:type="dxa"/>
            <w:shd w:val="clear" w:color="auto" w:fill="F2F2F2" w:themeFill="background1" w:themeFillShade="F2"/>
            <w:noWrap/>
          </w:tcPr>
          <w:p w14:paraId="6CFFC64E"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shd w:val="clear" w:color="auto" w:fill="F2F2F2" w:themeFill="background1" w:themeFillShade="F2"/>
            <w:hideMark/>
          </w:tcPr>
          <w:p w14:paraId="2B679C84"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4DBA044A"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shd w:val="clear" w:color="auto" w:fill="F2F2F2" w:themeFill="background1" w:themeFillShade="F2"/>
            <w:hideMark/>
          </w:tcPr>
          <w:p w14:paraId="43C4BE2D" w14:textId="77777777" w:rsidR="00E6663C" w:rsidRPr="00C91EA2" w:rsidRDefault="00E6663C" w:rsidP="006C11BE">
            <w:pPr>
              <w:rPr>
                <w:rFonts w:ascii="Times New Roman"/>
              </w:rPr>
            </w:pPr>
            <w:r w:rsidRPr="00C91EA2">
              <w:rPr>
                <w:rFonts w:ascii="Times New Roman"/>
              </w:rPr>
              <w:t>Post basic and courier services</w:t>
            </w:r>
          </w:p>
        </w:tc>
        <w:tc>
          <w:tcPr>
            <w:tcW w:w="1170" w:type="dxa"/>
            <w:shd w:val="clear" w:color="auto" w:fill="F2F2F2" w:themeFill="background1" w:themeFillShade="F2"/>
            <w:noWrap/>
            <w:hideMark/>
          </w:tcPr>
          <w:p w14:paraId="6DC0AED1"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shd w:val="clear" w:color="auto" w:fill="F2F2F2" w:themeFill="background1" w:themeFillShade="F2"/>
          </w:tcPr>
          <w:p w14:paraId="13FF8C67"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0F1AFD19"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shd w:val="clear" w:color="auto" w:fill="F2F2F2" w:themeFill="background1" w:themeFillShade="F2"/>
            <w:hideMark/>
          </w:tcPr>
          <w:p w14:paraId="74435F8D" w14:textId="77777777" w:rsidR="00E6663C" w:rsidRPr="00C91EA2" w:rsidRDefault="00E6663C" w:rsidP="006C11BE">
            <w:pPr>
              <w:rPr>
                <w:rFonts w:ascii="Times New Roman"/>
              </w:rPr>
            </w:pPr>
            <w:r w:rsidRPr="00C91EA2">
              <w:rPr>
                <w:rFonts w:ascii="Times New Roman"/>
              </w:rPr>
              <w:t>Railways transport</w:t>
            </w:r>
          </w:p>
        </w:tc>
        <w:tc>
          <w:tcPr>
            <w:tcW w:w="1170" w:type="dxa"/>
            <w:shd w:val="clear" w:color="auto" w:fill="F2F2F2" w:themeFill="background1" w:themeFillShade="F2"/>
            <w:noWrap/>
            <w:hideMark/>
          </w:tcPr>
          <w:p w14:paraId="57B587CD"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shd w:val="clear" w:color="auto" w:fill="F2F2F2" w:themeFill="background1" w:themeFillShade="F2"/>
          </w:tcPr>
          <w:p w14:paraId="6A27ACBF"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3A392EDF"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shd w:val="clear" w:color="auto" w:fill="F2F2F2" w:themeFill="background1" w:themeFillShade="F2"/>
            <w:hideMark/>
          </w:tcPr>
          <w:p w14:paraId="196C562A" w14:textId="77777777" w:rsidR="00E6663C" w:rsidRPr="00C91EA2" w:rsidRDefault="00E6663C" w:rsidP="006C11BE">
            <w:pPr>
              <w:rPr>
                <w:rFonts w:ascii="Times New Roman"/>
                <w:b w:val="0"/>
              </w:rPr>
            </w:pPr>
            <w:r w:rsidRPr="00C91EA2">
              <w:rPr>
                <w:rFonts w:ascii="Times New Roman"/>
              </w:rPr>
              <w:t>Air transport</w:t>
            </w:r>
          </w:p>
        </w:tc>
        <w:tc>
          <w:tcPr>
            <w:tcW w:w="1170" w:type="dxa"/>
            <w:shd w:val="clear" w:color="auto" w:fill="F2F2F2" w:themeFill="background1" w:themeFillShade="F2"/>
            <w:noWrap/>
            <w:hideMark/>
          </w:tcPr>
          <w:p w14:paraId="6C3257EE"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shd w:val="clear" w:color="auto" w:fill="F2F2F2" w:themeFill="background1" w:themeFillShade="F2"/>
          </w:tcPr>
          <w:p w14:paraId="62643B06"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78CD060A"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shd w:val="clear" w:color="auto" w:fill="F2F2F2" w:themeFill="background1" w:themeFillShade="F2"/>
            <w:hideMark/>
          </w:tcPr>
          <w:p w14:paraId="3EC7E4BF" w14:textId="77777777" w:rsidR="00E6663C" w:rsidRPr="00C91EA2" w:rsidRDefault="00E6663C" w:rsidP="006C11BE">
            <w:pPr>
              <w:rPr>
                <w:rFonts w:ascii="Times New Roman"/>
              </w:rPr>
            </w:pPr>
            <w:r w:rsidRPr="00C91EA2">
              <w:rPr>
                <w:rFonts w:ascii="Times New Roman"/>
              </w:rPr>
              <w:t>Operation of air transportation infrastructure</w:t>
            </w:r>
          </w:p>
        </w:tc>
        <w:tc>
          <w:tcPr>
            <w:tcW w:w="1170" w:type="dxa"/>
            <w:shd w:val="clear" w:color="auto" w:fill="F2F2F2" w:themeFill="background1" w:themeFillShade="F2"/>
            <w:noWrap/>
            <w:hideMark/>
          </w:tcPr>
          <w:p w14:paraId="159F5505"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shd w:val="clear" w:color="auto" w:fill="F2F2F2" w:themeFill="background1" w:themeFillShade="F2"/>
          </w:tcPr>
          <w:p w14:paraId="1C8D6E4B"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0EB3A2D9"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shd w:val="clear" w:color="auto" w:fill="F2F2F2" w:themeFill="background1" w:themeFillShade="F2"/>
            <w:hideMark/>
          </w:tcPr>
          <w:p w14:paraId="6C6DA2D1" w14:textId="77777777" w:rsidR="00E6663C" w:rsidRPr="00C91EA2" w:rsidRDefault="00E6663C" w:rsidP="006C11BE">
            <w:pPr>
              <w:rPr>
                <w:rFonts w:ascii="Times New Roman"/>
              </w:rPr>
            </w:pPr>
            <w:r w:rsidRPr="00C91EA2">
              <w:rPr>
                <w:rFonts w:ascii="Times New Roman"/>
              </w:rPr>
              <w:t>Operation of water transportation infrastructure</w:t>
            </w:r>
          </w:p>
        </w:tc>
        <w:tc>
          <w:tcPr>
            <w:tcW w:w="1170" w:type="dxa"/>
            <w:shd w:val="clear" w:color="auto" w:fill="F2F2F2" w:themeFill="background1" w:themeFillShade="F2"/>
            <w:noWrap/>
            <w:hideMark/>
          </w:tcPr>
          <w:p w14:paraId="450C2F6D"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shd w:val="clear" w:color="auto" w:fill="F2F2F2" w:themeFill="background1" w:themeFillShade="F2"/>
          </w:tcPr>
          <w:p w14:paraId="7F843A0B"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7D931193"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shd w:val="clear" w:color="auto" w:fill="F2F2F2" w:themeFill="background1" w:themeFillShade="F2"/>
            <w:hideMark/>
          </w:tcPr>
          <w:p w14:paraId="1C7B1336" w14:textId="77777777" w:rsidR="00E6663C" w:rsidRPr="00C91EA2" w:rsidRDefault="00E6663C" w:rsidP="006C11BE">
            <w:pPr>
              <w:rPr>
                <w:rFonts w:ascii="Times New Roman"/>
              </w:rPr>
            </w:pPr>
            <w:r w:rsidRPr="00C91EA2">
              <w:rPr>
                <w:rFonts w:ascii="Times New Roman"/>
              </w:rPr>
              <w:t>Operation of road infrastructure</w:t>
            </w:r>
          </w:p>
        </w:tc>
        <w:tc>
          <w:tcPr>
            <w:tcW w:w="1170" w:type="dxa"/>
            <w:shd w:val="clear" w:color="auto" w:fill="F2F2F2" w:themeFill="background1" w:themeFillShade="F2"/>
            <w:noWrap/>
            <w:hideMark/>
          </w:tcPr>
          <w:p w14:paraId="389CB0D2"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shd w:val="clear" w:color="auto" w:fill="F2F2F2" w:themeFill="background1" w:themeFillShade="F2"/>
          </w:tcPr>
          <w:p w14:paraId="6E383696"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6C3193DB"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shd w:val="clear" w:color="auto" w:fill="F2F2F2" w:themeFill="background1" w:themeFillShade="F2"/>
            <w:hideMark/>
          </w:tcPr>
          <w:p w14:paraId="0E1622A0" w14:textId="77777777" w:rsidR="00E6663C" w:rsidRPr="00C91EA2" w:rsidRDefault="00E6663C" w:rsidP="006C11BE">
            <w:pPr>
              <w:rPr>
                <w:rFonts w:ascii="Times New Roman"/>
              </w:rPr>
            </w:pPr>
            <w:r w:rsidRPr="00C91EA2">
              <w:rPr>
                <w:rFonts w:ascii="Times New Roman"/>
              </w:rPr>
              <w:t>Water collection, treatment and supply</w:t>
            </w:r>
          </w:p>
        </w:tc>
        <w:tc>
          <w:tcPr>
            <w:tcW w:w="1170" w:type="dxa"/>
            <w:shd w:val="clear" w:color="auto" w:fill="F2F2F2" w:themeFill="background1" w:themeFillShade="F2"/>
            <w:noWrap/>
            <w:hideMark/>
          </w:tcPr>
          <w:p w14:paraId="023B0F19"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shd w:val="clear" w:color="auto" w:fill="F2F2F2" w:themeFill="background1" w:themeFillShade="F2"/>
          </w:tcPr>
          <w:p w14:paraId="2EBEE3B0"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7BAB8E04"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45021CE3" w14:textId="77777777" w:rsidR="00E6663C" w:rsidRPr="00C91EA2" w:rsidRDefault="00E6663C" w:rsidP="006C11BE">
            <w:pPr>
              <w:rPr>
                <w:rFonts w:ascii="Times New Roman"/>
                <w:b w:val="0"/>
              </w:rPr>
            </w:pPr>
            <w:bookmarkStart w:id="353" w:name="_Toc421665693"/>
            <w:r w:rsidRPr="00C91EA2">
              <w:rPr>
                <w:rFonts w:ascii="Times New Roman"/>
              </w:rPr>
              <w:t>Manufacture of tobacco products</w:t>
            </w:r>
            <w:bookmarkEnd w:id="353"/>
          </w:p>
        </w:tc>
        <w:tc>
          <w:tcPr>
            <w:tcW w:w="1170" w:type="dxa"/>
            <w:noWrap/>
          </w:tcPr>
          <w:p w14:paraId="7D1B12B1"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hideMark/>
          </w:tcPr>
          <w:p w14:paraId="12A91587"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2141DD8E"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7F743592" w14:textId="77777777" w:rsidR="00E6663C" w:rsidRPr="00C91EA2" w:rsidRDefault="00E6663C" w:rsidP="006C11BE">
            <w:pPr>
              <w:rPr>
                <w:rFonts w:ascii="Times New Roman"/>
                <w:b w:val="0"/>
              </w:rPr>
            </w:pPr>
            <w:r w:rsidRPr="00C91EA2">
              <w:rPr>
                <w:rFonts w:ascii="Times New Roman"/>
              </w:rPr>
              <w:t>Manufacture of refined petroleum products</w:t>
            </w:r>
          </w:p>
        </w:tc>
        <w:tc>
          <w:tcPr>
            <w:tcW w:w="1170" w:type="dxa"/>
            <w:noWrap/>
            <w:hideMark/>
          </w:tcPr>
          <w:p w14:paraId="283827A3"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tcPr>
          <w:p w14:paraId="0D556CF6"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4D930E54"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76DD4F4C" w14:textId="77777777" w:rsidR="00E6663C" w:rsidRPr="00C91EA2" w:rsidRDefault="00E6663C" w:rsidP="006C11BE">
            <w:pPr>
              <w:rPr>
                <w:rFonts w:ascii="Times New Roman"/>
                <w:b w:val="0"/>
              </w:rPr>
            </w:pPr>
            <w:bookmarkStart w:id="354" w:name="_Toc421665694"/>
            <w:r w:rsidRPr="00C91EA2">
              <w:rPr>
                <w:rFonts w:ascii="Times New Roman"/>
              </w:rPr>
              <w:t>Manufacture of basic metals</w:t>
            </w:r>
            <w:bookmarkEnd w:id="354"/>
          </w:p>
        </w:tc>
        <w:tc>
          <w:tcPr>
            <w:tcW w:w="1170" w:type="dxa"/>
            <w:noWrap/>
          </w:tcPr>
          <w:p w14:paraId="23381816"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hideMark/>
          </w:tcPr>
          <w:p w14:paraId="3A00D909"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7547052E"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1D99811D" w14:textId="77777777" w:rsidR="00E6663C" w:rsidRPr="00C91EA2" w:rsidRDefault="00E6663C" w:rsidP="006C11BE">
            <w:pPr>
              <w:rPr>
                <w:rFonts w:ascii="Times New Roman"/>
              </w:rPr>
            </w:pPr>
            <w:bookmarkStart w:id="355" w:name="_Toc421665695"/>
            <w:r w:rsidRPr="00C91EA2">
              <w:rPr>
                <w:rFonts w:ascii="Times New Roman"/>
              </w:rPr>
              <w:t>Manufacture of fabricated metal products, machinery and equipment</w:t>
            </w:r>
            <w:bookmarkEnd w:id="355"/>
          </w:p>
        </w:tc>
        <w:tc>
          <w:tcPr>
            <w:tcW w:w="1170" w:type="dxa"/>
            <w:noWrap/>
            <w:hideMark/>
          </w:tcPr>
          <w:p w14:paraId="24FAEBC9"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tcPr>
          <w:p w14:paraId="493444FA"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507B6925"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409EB829" w14:textId="77777777" w:rsidR="00E6663C" w:rsidRPr="00C91EA2" w:rsidRDefault="00E6663C" w:rsidP="006C11BE">
            <w:pPr>
              <w:rPr>
                <w:rFonts w:ascii="Times New Roman"/>
                <w:b w:val="0"/>
              </w:rPr>
            </w:pPr>
            <w:bookmarkStart w:id="356" w:name="_Toc421665696"/>
            <w:r w:rsidRPr="00C91EA2">
              <w:rPr>
                <w:rFonts w:ascii="Times New Roman"/>
              </w:rPr>
              <w:t>Building and repairing of ships and boats</w:t>
            </w:r>
            <w:bookmarkEnd w:id="356"/>
          </w:p>
        </w:tc>
        <w:tc>
          <w:tcPr>
            <w:tcW w:w="1170" w:type="dxa"/>
            <w:noWrap/>
            <w:hideMark/>
          </w:tcPr>
          <w:p w14:paraId="240BDFE0"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tcPr>
          <w:p w14:paraId="76986C30"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5A4FA3A6"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297D8616" w14:textId="77777777" w:rsidR="00E6663C" w:rsidRPr="00C91EA2" w:rsidRDefault="00E6663C" w:rsidP="006C11BE">
            <w:pPr>
              <w:rPr>
                <w:rFonts w:ascii="Times New Roman"/>
                <w:b w:val="0"/>
              </w:rPr>
            </w:pPr>
            <w:bookmarkStart w:id="357" w:name="_Toc421665697"/>
            <w:r w:rsidRPr="00C91EA2">
              <w:rPr>
                <w:rFonts w:ascii="Times New Roman"/>
              </w:rPr>
              <w:t>Manufacture of railway and tramway locomotives and rolling stock</w:t>
            </w:r>
            <w:bookmarkEnd w:id="357"/>
          </w:p>
        </w:tc>
        <w:tc>
          <w:tcPr>
            <w:tcW w:w="1170" w:type="dxa"/>
            <w:noWrap/>
          </w:tcPr>
          <w:p w14:paraId="4F8DC512"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hideMark/>
          </w:tcPr>
          <w:p w14:paraId="0CCE1D88"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3F7AE99E"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3C460ED1" w14:textId="77777777" w:rsidR="00E6663C" w:rsidRPr="00C91EA2" w:rsidRDefault="00E6663C" w:rsidP="006C11BE">
            <w:pPr>
              <w:rPr>
                <w:rFonts w:ascii="Times New Roman"/>
              </w:rPr>
            </w:pPr>
            <w:bookmarkStart w:id="358" w:name="_Toc421665698"/>
            <w:r w:rsidRPr="00C91EA2">
              <w:rPr>
                <w:rFonts w:ascii="Times New Roman"/>
              </w:rPr>
              <w:t>Manufacture of aircraft and spacecraft</w:t>
            </w:r>
            <w:bookmarkEnd w:id="358"/>
          </w:p>
        </w:tc>
        <w:tc>
          <w:tcPr>
            <w:tcW w:w="1170" w:type="dxa"/>
            <w:noWrap/>
            <w:hideMark/>
          </w:tcPr>
          <w:p w14:paraId="66B336E6"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tcPr>
          <w:p w14:paraId="044E00A2"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7CD6DDFD"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69613706" w14:textId="77777777" w:rsidR="00E6663C" w:rsidRPr="00C91EA2" w:rsidRDefault="00E6663C" w:rsidP="006C11BE">
            <w:pPr>
              <w:rPr>
                <w:rFonts w:ascii="Times New Roman"/>
              </w:rPr>
            </w:pPr>
            <w:bookmarkStart w:id="359" w:name="_Toc421665699"/>
            <w:r w:rsidRPr="00C91EA2">
              <w:rPr>
                <w:rFonts w:ascii="Times New Roman"/>
              </w:rPr>
              <w:t>Construction</w:t>
            </w:r>
            <w:bookmarkEnd w:id="359"/>
          </w:p>
        </w:tc>
        <w:tc>
          <w:tcPr>
            <w:tcW w:w="1170" w:type="dxa"/>
            <w:noWrap/>
            <w:hideMark/>
          </w:tcPr>
          <w:p w14:paraId="5188DF35"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tcPr>
          <w:p w14:paraId="0AE7E207"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0627503B"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5A0F1CA2" w14:textId="77777777" w:rsidR="00E6663C" w:rsidRPr="00C91EA2" w:rsidRDefault="00E6663C" w:rsidP="006C11BE">
            <w:pPr>
              <w:rPr>
                <w:rFonts w:ascii="Times New Roman"/>
              </w:rPr>
            </w:pPr>
            <w:r w:rsidRPr="00C91EA2">
              <w:rPr>
                <w:rFonts w:ascii="Times New Roman"/>
              </w:rPr>
              <w:t>Wholesale trade, incl. of motor vehicles</w:t>
            </w:r>
          </w:p>
        </w:tc>
        <w:tc>
          <w:tcPr>
            <w:tcW w:w="1170" w:type="dxa"/>
            <w:noWrap/>
          </w:tcPr>
          <w:p w14:paraId="10CA5815"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hideMark/>
          </w:tcPr>
          <w:p w14:paraId="3DA1E051"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262B6D03"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2D3DA1E1" w14:textId="77777777" w:rsidR="00E6663C" w:rsidRPr="00C91EA2" w:rsidRDefault="00E6663C" w:rsidP="006C11BE">
            <w:pPr>
              <w:rPr>
                <w:rFonts w:ascii="Times New Roman"/>
              </w:rPr>
            </w:pPr>
            <w:r w:rsidRPr="00C91EA2">
              <w:rPr>
                <w:rFonts w:ascii="Times New Roman"/>
              </w:rPr>
              <w:t>Retail trade, incl. of motor vehicles</w:t>
            </w:r>
          </w:p>
        </w:tc>
        <w:tc>
          <w:tcPr>
            <w:tcW w:w="1170" w:type="dxa"/>
            <w:noWrap/>
          </w:tcPr>
          <w:p w14:paraId="3078024A"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hideMark/>
          </w:tcPr>
          <w:p w14:paraId="06FCAAA7"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1D007B3E"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6B01C33C" w14:textId="77777777" w:rsidR="00E6663C" w:rsidRPr="00C91EA2" w:rsidRDefault="00E6663C" w:rsidP="006C11BE">
            <w:pPr>
              <w:rPr>
                <w:rFonts w:ascii="Times New Roman"/>
              </w:rPr>
            </w:pPr>
            <w:bookmarkStart w:id="360" w:name="_Toc421665700"/>
            <w:r w:rsidRPr="00C91EA2">
              <w:rPr>
                <w:rFonts w:ascii="Times New Roman"/>
              </w:rPr>
              <w:t>Accommodation, food and beverage service activities</w:t>
            </w:r>
            <w:bookmarkEnd w:id="360"/>
          </w:p>
        </w:tc>
        <w:tc>
          <w:tcPr>
            <w:tcW w:w="1170" w:type="dxa"/>
            <w:noWrap/>
            <w:hideMark/>
          </w:tcPr>
          <w:p w14:paraId="3DABC903"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tcPr>
          <w:p w14:paraId="024B4771"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1189FBE0"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3684AE0D" w14:textId="77777777" w:rsidR="00E6663C" w:rsidRPr="00C91EA2" w:rsidRDefault="00E6663C" w:rsidP="006C11BE">
            <w:pPr>
              <w:rPr>
                <w:rFonts w:ascii="Times New Roman"/>
              </w:rPr>
            </w:pPr>
            <w:r w:rsidRPr="00C91EA2">
              <w:rPr>
                <w:rFonts w:ascii="Times New Roman"/>
              </w:rPr>
              <w:t>Other urban, suburban and interurban passenger transport</w:t>
            </w:r>
          </w:p>
        </w:tc>
        <w:tc>
          <w:tcPr>
            <w:tcW w:w="1170" w:type="dxa"/>
            <w:noWrap/>
            <w:hideMark/>
          </w:tcPr>
          <w:p w14:paraId="1B15FFDE"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tcPr>
          <w:p w14:paraId="3605A4A4"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78F6229D"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7590811C" w14:textId="77777777" w:rsidR="00E6663C" w:rsidRPr="00C91EA2" w:rsidRDefault="00E6663C" w:rsidP="006C11BE">
            <w:pPr>
              <w:rPr>
                <w:rFonts w:ascii="Times New Roman"/>
              </w:rPr>
            </w:pPr>
            <w:r w:rsidRPr="00C91EA2">
              <w:rPr>
                <w:rFonts w:ascii="Times New Roman"/>
              </w:rPr>
              <w:t>Financial service activities, except central banking, insurance and pension funding</w:t>
            </w:r>
          </w:p>
        </w:tc>
        <w:tc>
          <w:tcPr>
            <w:tcW w:w="1170" w:type="dxa"/>
            <w:noWrap/>
            <w:hideMark/>
          </w:tcPr>
          <w:p w14:paraId="43B60CFA"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tcPr>
          <w:p w14:paraId="3A1CABC3"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060D307B"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159AEBE1" w14:textId="77777777" w:rsidR="00E6663C" w:rsidRPr="00C91EA2" w:rsidRDefault="00E6663C" w:rsidP="006C11BE">
            <w:pPr>
              <w:rPr>
                <w:rFonts w:ascii="Times New Roman"/>
              </w:rPr>
            </w:pPr>
            <w:r w:rsidRPr="00C91EA2">
              <w:rPr>
                <w:rFonts w:ascii="Times New Roman"/>
              </w:rPr>
              <w:t>Insurance, reinsurance and pension funding</w:t>
            </w:r>
          </w:p>
        </w:tc>
        <w:tc>
          <w:tcPr>
            <w:tcW w:w="1170" w:type="dxa"/>
            <w:noWrap/>
          </w:tcPr>
          <w:p w14:paraId="7357E08A"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hideMark/>
          </w:tcPr>
          <w:p w14:paraId="0D4E0B1E"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6C6D25A4"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43098319" w14:textId="77777777" w:rsidR="00E6663C" w:rsidRPr="00C91EA2" w:rsidRDefault="00E6663C" w:rsidP="006C11BE">
            <w:pPr>
              <w:rPr>
                <w:rFonts w:ascii="Times New Roman"/>
              </w:rPr>
            </w:pPr>
            <w:r w:rsidRPr="00C91EA2">
              <w:rPr>
                <w:rFonts w:ascii="Times New Roman"/>
              </w:rPr>
              <w:t>Other business activities</w:t>
            </w:r>
          </w:p>
        </w:tc>
        <w:tc>
          <w:tcPr>
            <w:tcW w:w="1170" w:type="dxa"/>
            <w:noWrap/>
            <w:hideMark/>
          </w:tcPr>
          <w:p w14:paraId="5EF73A8F"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tcPr>
          <w:p w14:paraId="4D8E700B"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6091E001"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hideMark/>
          </w:tcPr>
          <w:p w14:paraId="324A0801" w14:textId="77777777" w:rsidR="00E6663C" w:rsidRPr="00C91EA2" w:rsidRDefault="00E6663C" w:rsidP="006C11BE">
            <w:pPr>
              <w:rPr>
                <w:rFonts w:ascii="Times New Roman"/>
              </w:rPr>
            </w:pPr>
            <w:r w:rsidRPr="00C91EA2">
              <w:rPr>
                <w:rFonts w:ascii="Times New Roman"/>
              </w:rPr>
              <w:t>Human health activities</w:t>
            </w:r>
          </w:p>
        </w:tc>
        <w:tc>
          <w:tcPr>
            <w:tcW w:w="1170" w:type="dxa"/>
            <w:noWrap/>
            <w:hideMark/>
          </w:tcPr>
          <w:p w14:paraId="5D21D8EA"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c>
          <w:tcPr>
            <w:tcW w:w="720" w:type="dxa"/>
          </w:tcPr>
          <w:p w14:paraId="768B7EF1"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r>
      <w:tr w:rsidR="00E6663C" w:rsidRPr="00C91EA2" w14:paraId="52942604"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tcBorders>
              <w:top w:val="nil"/>
              <w:left w:val="nil"/>
              <w:bottom w:val="single" w:sz="12" w:space="0" w:color="auto"/>
              <w:right w:val="nil"/>
            </w:tcBorders>
            <w:hideMark/>
          </w:tcPr>
          <w:p w14:paraId="574B7B53" w14:textId="77777777" w:rsidR="00E6663C" w:rsidRPr="00C91EA2" w:rsidRDefault="00E6663C" w:rsidP="006C11BE">
            <w:pPr>
              <w:rPr>
                <w:rFonts w:ascii="Times New Roman"/>
                <w:b w:val="0"/>
              </w:rPr>
            </w:pPr>
            <w:bookmarkStart w:id="361" w:name="_Toc421665701"/>
            <w:r w:rsidRPr="00C91EA2">
              <w:rPr>
                <w:rFonts w:ascii="Times New Roman"/>
              </w:rPr>
              <w:t>Motion picture distribution and projection</w:t>
            </w:r>
            <w:bookmarkEnd w:id="361"/>
          </w:p>
        </w:tc>
        <w:tc>
          <w:tcPr>
            <w:tcW w:w="1170" w:type="dxa"/>
            <w:tcBorders>
              <w:top w:val="nil"/>
              <w:left w:val="nil"/>
              <w:bottom w:val="single" w:sz="12" w:space="0" w:color="auto"/>
              <w:right w:val="nil"/>
            </w:tcBorders>
            <w:noWrap/>
          </w:tcPr>
          <w:p w14:paraId="05C70DC0"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p>
        </w:tc>
        <w:tc>
          <w:tcPr>
            <w:tcW w:w="720" w:type="dxa"/>
            <w:tcBorders>
              <w:top w:val="nil"/>
              <w:left w:val="nil"/>
              <w:bottom w:val="single" w:sz="12" w:space="0" w:color="auto"/>
              <w:right w:val="nil"/>
            </w:tcBorders>
            <w:hideMark/>
          </w:tcPr>
          <w:p w14:paraId="4067361F"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rPr>
            </w:pPr>
            <w:r w:rsidRPr="00C91EA2">
              <w:rPr>
                <w:rFonts w:ascii="Times New Roman"/>
              </w:rPr>
              <w:t>X</w:t>
            </w:r>
          </w:p>
        </w:tc>
      </w:tr>
      <w:tr w:rsidR="00E6663C" w:rsidRPr="00C91EA2" w14:paraId="57F9A3D6" w14:textId="77777777" w:rsidTr="006C11BE">
        <w:trPr>
          <w:trHeight w:val="238"/>
        </w:trPr>
        <w:tc>
          <w:tcPr>
            <w:cnfStyle w:val="001000000000" w:firstRow="0" w:lastRow="0" w:firstColumn="1" w:lastColumn="0" w:oddVBand="0" w:evenVBand="0" w:oddHBand="0" w:evenHBand="0" w:firstRowFirstColumn="0" w:firstRowLastColumn="0" w:lastRowFirstColumn="0" w:lastRowLastColumn="0"/>
            <w:tcW w:w="7110" w:type="dxa"/>
            <w:tcBorders>
              <w:top w:val="single" w:sz="12" w:space="0" w:color="auto"/>
              <w:left w:val="nil"/>
              <w:bottom w:val="single" w:sz="12" w:space="0" w:color="auto"/>
              <w:right w:val="nil"/>
            </w:tcBorders>
            <w:hideMark/>
          </w:tcPr>
          <w:p w14:paraId="188350BB" w14:textId="77777777" w:rsidR="00E6663C" w:rsidRPr="00C91EA2" w:rsidRDefault="00E6663C" w:rsidP="006C11BE">
            <w:pPr>
              <w:rPr>
                <w:rFonts w:ascii="Times New Roman"/>
              </w:rPr>
            </w:pPr>
            <w:r w:rsidRPr="00C91EA2">
              <w:rPr>
                <w:rFonts w:ascii="Times New Roman"/>
              </w:rPr>
              <w:t>TOTAL</w:t>
            </w:r>
          </w:p>
        </w:tc>
        <w:tc>
          <w:tcPr>
            <w:tcW w:w="1170" w:type="dxa"/>
            <w:tcBorders>
              <w:top w:val="single" w:sz="12" w:space="0" w:color="auto"/>
              <w:left w:val="nil"/>
              <w:bottom w:val="single" w:sz="12" w:space="0" w:color="auto"/>
              <w:right w:val="nil"/>
            </w:tcBorders>
            <w:noWrap/>
            <w:hideMark/>
          </w:tcPr>
          <w:p w14:paraId="00BCD148"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b/>
              </w:rPr>
            </w:pPr>
            <w:r w:rsidRPr="00C91EA2">
              <w:rPr>
                <w:rFonts w:ascii="Times New Roman"/>
                <w:b/>
              </w:rPr>
              <w:t>13</w:t>
            </w:r>
          </w:p>
        </w:tc>
        <w:tc>
          <w:tcPr>
            <w:tcW w:w="720" w:type="dxa"/>
            <w:tcBorders>
              <w:top w:val="single" w:sz="12" w:space="0" w:color="auto"/>
              <w:left w:val="nil"/>
              <w:bottom w:val="single" w:sz="12" w:space="0" w:color="auto"/>
              <w:right w:val="nil"/>
            </w:tcBorders>
            <w:hideMark/>
          </w:tcPr>
          <w:p w14:paraId="66B5653C" w14:textId="77777777" w:rsidR="00E6663C" w:rsidRPr="00C91EA2" w:rsidRDefault="00E6663C" w:rsidP="006C11BE">
            <w:pPr>
              <w:cnfStyle w:val="000000000000" w:firstRow="0" w:lastRow="0" w:firstColumn="0" w:lastColumn="0" w:oddVBand="0" w:evenVBand="0" w:oddHBand="0" w:evenHBand="0" w:firstRowFirstColumn="0" w:firstRowLastColumn="0" w:lastRowFirstColumn="0" w:lastRowLastColumn="0"/>
              <w:rPr>
                <w:rFonts w:ascii="Times New Roman"/>
                <w:b/>
              </w:rPr>
            </w:pPr>
            <w:r w:rsidRPr="00C91EA2">
              <w:rPr>
                <w:rFonts w:ascii="Times New Roman"/>
                <w:b/>
              </w:rPr>
              <w:t>14</w:t>
            </w:r>
          </w:p>
        </w:tc>
      </w:tr>
    </w:tbl>
    <w:p w14:paraId="1F0F2368" w14:textId="77777777" w:rsidR="00E6663C" w:rsidRPr="00C91EA2" w:rsidRDefault="00E6663C" w:rsidP="00E6663C">
      <w:pPr>
        <w:rPr>
          <w:rFonts w:ascii="Times New Roman" w:hAnsi="Times New Roman" w:cs="Times New Roman"/>
          <w:sz w:val="20"/>
        </w:rPr>
      </w:pPr>
      <w:r w:rsidRPr="00C91EA2">
        <w:rPr>
          <w:rFonts w:ascii="Times New Roman" w:hAnsi="Times New Roman" w:cs="Times New Roman"/>
          <w:sz w:val="20"/>
        </w:rPr>
        <w:t>Source: OECD/WBG PMR</w:t>
      </w:r>
    </w:p>
    <w:p w14:paraId="22CE1E61" w14:textId="77777777" w:rsidR="00E6663C" w:rsidRDefault="00E6663C" w:rsidP="00E6663C">
      <w:pPr>
        <w:rPr>
          <w:rFonts w:ascii="Times New Roman" w:hAnsi="Times New Roman" w:cs="Times New Roman"/>
          <w:sz w:val="20"/>
        </w:rPr>
      </w:pPr>
      <w:r w:rsidRPr="00C91EA2">
        <w:rPr>
          <w:rFonts w:ascii="Times New Roman" w:hAnsi="Times New Roman" w:cs="Times New Roman"/>
          <w:sz w:val="20"/>
        </w:rPr>
        <w:t>Note: Shaded areas highlight network sectors</w:t>
      </w:r>
    </w:p>
    <w:p w14:paraId="587041A9" w14:textId="77777777" w:rsidR="00A933E4" w:rsidRDefault="00A933E4" w:rsidP="00E6663C">
      <w:pPr>
        <w:rPr>
          <w:rFonts w:ascii="Times New Roman" w:hAnsi="Times New Roman" w:cs="Times New Roman"/>
          <w:sz w:val="20"/>
        </w:rPr>
      </w:pPr>
    </w:p>
    <w:p w14:paraId="6593C2BD" w14:textId="77777777" w:rsidR="00A933E4" w:rsidRPr="00403012" w:rsidRDefault="00A933E4" w:rsidP="00A933E4">
      <w:pPr>
        <w:pStyle w:val="Heading3"/>
        <w:rPr>
          <w:rFonts w:ascii="Times New Roman" w:hAnsi="Times New Roman" w:cs="Times New Roman"/>
        </w:rPr>
      </w:pPr>
      <w:bookmarkStart w:id="362" w:name="_Toc520724128"/>
      <w:r w:rsidRPr="00403012">
        <w:rPr>
          <w:rFonts w:ascii="Times New Roman" w:hAnsi="Times New Roman" w:cs="Times New Roman"/>
        </w:rPr>
        <w:t>Simulation of effect of improvements in PMR scores on value added and GDP growth</w:t>
      </w:r>
      <w:bookmarkEnd w:id="362"/>
    </w:p>
    <w:p w14:paraId="70A2BE66" w14:textId="77777777" w:rsidR="00A933E4" w:rsidRDefault="00A933E4" w:rsidP="00A933E4"/>
    <w:p w14:paraId="2E6F44EB" w14:textId="77777777" w:rsidR="00A933E4" w:rsidRPr="00A933E4" w:rsidRDefault="00A933E4" w:rsidP="00A933E4">
      <w:pPr>
        <w:jc w:val="both"/>
        <w:rPr>
          <w:rFonts w:ascii="Times New Roman" w:hAnsi="Times New Roman" w:cs="Times New Roman"/>
        </w:rPr>
      </w:pPr>
      <w:r w:rsidRPr="00A933E4">
        <w:rPr>
          <w:rFonts w:ascii="Times New Roman" w:hAnsi="Times New Roman" w:cs="Times New Roman"/>
        </w:rPr>
        <w:t>Following existing literature on the effects of restrictive product market r</w:t>
      </w:r>
      <w:r>
        <w:rPr>
          <w:rFonts w:ascii="Times New Roman" w:hAnsi="Times New Roman" w:cs="Times New Roman"/>
        </w:rPr>
        <w:t>egulations reforms on growth,</w:t>
      </w:r>
      <w:r>
        <w:rPr>
          <w:rStyle w:val="FootnoteReference"/>
          <w:rFonts w:ascii="Times New Roman" w:hAnsi="Times New Roman" w:cs="Times New Roman"/>
        </w:rPr>
        <w:footnoteReference w:id="308"/>
      </w:r>
      <w:r w:rsidRPr="00A933E4">
        <w:rPr>
          <w:rFonts w:ascii="Times New Roman" w:hAnsi="Times New Roman" w:cs="Times New Roman"/>
        </w:rPr>
        <w:t xml:space="preserve"> notably Barone and </w:t>
      </w:r>
      <w:proofErr w:type="spellStart"/>
      <w:r w:rsidRPr="00A933E4">
        <w:rPr>
          <w:rFonts w:ascii="Times New Roman" w:hAnsi="Times New Roman" w:cs="Times New Roman"/>
        </w:rPr>
        <w:t>Cingano</w:t>
      </w:r>
      <w:proofErr w:type="spellEnd"/>
      <w:r w:rsidRPr="00A933E4">
        <w:rPr>
          <w:rFonts w:ascii="Times New Roman" w:hAnsi="Times New Roman" w:cs="Times New Roman"/>
        </w:rPr>
        <w:t xml:space="preserve"> (2011), Conway et al. (2006), Arnold et al. (2008) a</w:t>
      </w:r>
      <w:r>
        <w:rPr>
          <w:rFonts w:ascii="Times New Roman" w:hAnsi="Times New Roman" w:cs="Times New Roman"/>
        </w:rPr>
        <w:t>nd De Rosa et al. (2009), this r</w:t>
      </w:r>
      <w:r w:rsidRPr="00A933E4">
        <w:rPr>
          <w:rFonts w:ascii="Times New Roman" w:hAnsi="Times New Roman" w:cs="Times New Roman"/>
        </w:rPr>
        <w:t>eview presents an ex-ante estimation of potential impact of reforms in specific network markets (electricity, gas, water supply, telecommunications),</w:t>
      </w:r>
      <w:r w:rsidR="00A11C6A">
        <w:rPr>
          <w:rFonts w:ascii="Times New Roman" w:hAnsi="Times New Roman" w:cs="Times New Roman"/>
        </w:rPr>
        <w:t xml:space="preserve"> transport,</w:t>
      </w:r>
      <w:r w:rsidRPr="00A933E4">
        <w:rPr>
          <w:rFonts w:ascii="Times New Roman" w:hAnsi="Times New Roman" w:cs="Times New Roman"/>
        </w:rPr>
        <w:t xml:space="preserve"> retail, and other business services, that would reduce restrictive product market regulations on value added and associated GDP growth.</w:t>
      </w:r>
    </w:p>
    <w:p w14:paraId="7DB3BA91" w14:textId="77777777" w:rsidR="00A933E4" w:rsidRPr="00A933E4" w:rsidRDefault="00A933E4" w:rsidP="00A933E4">
      <w:pPr>
        <w:jc w:val="both"/>
        <w:rPr>
          <w:rFonts w:ascii="Times New Roman" w:hAnsi="Times New Roman" w:cs="Times New Roman"/>
        </w:rPr>
      </w:pPr>
    </w:p>
    <w:p w14:paraId="73094CA7" w14:textId="77777777" w:rsidR="00A933E4" w:rsidRPr="00A933E4" w:rsidRDefault="00A933E4" w:rsidP="00A933E4">
      <w:pPr>
        <w:jc w:val="both"/>
        <w:rPr>
          <w:rFonts w:ascii="Times New Roman" w:hAnsi="Times New Roman" w:cs="Times New Roman"/>
        </w:rPr>
      </w:pPr>
      <w:r w:rsidRPr="00A933E4">
        <w:rPr>
          <w:rFonts w:ascii="Times New Roman" w:hAnsi="Times New Roman" w:cs="Times New Roman"/>
        </w:rPr>
        <w:t>Based on the WBG MCPAT, four scenarios are estimated:</w:t>
      </w:r>
    </w:p>
    <w:p w14:paraId="46CE85CC" w14:textId="77777777" w:rsidR="00A933E4" w:rsidRPr="00A933E4" w:rsidRDefault="00A933E4" w:rsidP="00A933E4">
      <w:pPr>
        <w:jc w:val="both"/>
        <w:rPr>
          <w:rFonts w:ascii="Times New Roman" w:hAnsi="Times New Roman" w:cs="Times New Roman"/>
        </w:rPr>
      </w:pPr>
    </w:p>
    <w:p w14:paraId="7BEFC8EF" w14:textId="77777777" w:rsidR="00A933E4" w:rsidRPr="00A933E4" w:rsidRDefault="00A933E4" w:rsidP="00A933E4">
      <w:pPr>
        <w:pStyle w:val="ListParagraph"/>
        <w:numPr>
          <w:ilvl w:val="0"/>
          <w:numId w:val="135"/>
        </w:numPr>
        <w:jc w:val="both"/>
        <w:rPr>
          <w:rFonts w:ascii="Times New Roman" w:hAnsi="Times New Roman" w:cs="Times New Roman"/>
        </w:rPr>
      </w:pPr>
      <w:r w:rsidRPr="00A933E4">
        <w:rPr>
          <w:rFonts w:ascii="Times New Roman" w:hAnsi="Times New Roman" w:cs="Times New Roman"/>
        </w:rPr>
        <w:t xml:space="preserve">Scenario 1: The simulation is based on the differential of the reform effect between network markets, </w:t>
      </w:r>
      <w:r w:rsidR="00A11C6A">
        <w:rPr>
          <w:rFonts w:ascii="Times New Roman" w:hAnsi="Times New Roman" w:cs="Times New Roman"/>
        </w:rPr>
        <w:t xml:space="preserve">transport, </w:t>
      </w:r>
      <w:r w:rsidRPr="00A933E4">
        <w:rPr>
          <w:rFonts w:ascii="Times New Roman" w:hAnsi="Times New Roman" w:cs="Times New Roman"/>
        </w:rPr>
        <w:t xml:space="preserve">retail and other business services and non-service-intensive sectors as a proxy for the size of the reform effect for only above-average service </w:t>
      </w:r>
      <w:r>
        <w:rPr>
          <w:rFonts w:ascii="Times New Roman" w:hAnsi="Times New Roman" w:cs="Times New Roman"/>
        </w:rPr>
        <w:t>and network intensive sectors.</w:t>
      </w:r>
      <w:r>
        <w:rPr>
          <w:rStyle w:val="FootnoteReference"/>
          <w:rFonts w:ascii="Times New Roman" w:hAnsi="Times New Roman" w:cs="Times New Roman"/>
        </w:rPr>
        <w:footnoteReference w:id="309"/>
      </w:r>
      <w:r w:rsidRPr="00A933E4">
        <w:rPr>
          <w:rFonts w:ascii="Times New Roman" w:hAnsi="Times New Roman" w:cs="Times New Roman"/>
        </w:rPr>
        <w:t xml:space="preserve"> The analysis identifies </w:t>
      </w:r>
      <w:r>
        <w:rPr>
          <w:rFonts w:ascii="Times New Roman" w:hAnsi="Times New Roman" w:cs="Times New Roman"/>
        </w:rPr>
        <w:t>Senegalese</w:t>
      </w:r>
      <w:r w:rsidRPr="00A933E4">
        <w:rPr>
          <w:rFonts w:ascii="Times New Roman" w:hAnsi="Times New Roman" w:cs="Times New Roman"/>
        </w:rPr>
        <w:t xml:space="preserve"> sectors with above-average technical coefficients of the abovementioned inputs based on the Input-Output tables for </w:t>
      </w:r>
      <w:r>
        <w:rPr>
          <w:rFonts w:ascii="Times New Roman" w:hAnsi="Times New Roman" w:cs="Times New Roman"/>
        </w:rPr>
        <w:t>Senegal (2014</w:t>
      </w:r>
      <w:r w:rsidRPr="00A933E4">
        <w:rPr>
          <w:rFonts w:ascii="Times New Roman" w:hAnsi="Times New Roman" w:cs="Times New Roman"/>
        </w:rPr>
        <w:t>) as intensive in those services. In this scenario, additional value added</w:t>
      </w:r>
      <w:r>
        <w:rPr>
          <w:rFonts w:ascii="Times New Roman" w:hAnsi="Times New Roman" w:cs="Times New Roman"/>
        </w:rPr>
        <w:t xml:space="preserve"> is estimated using data on 2014</w:t>
      </w:r>
      <w:r w:rsidRPr="00A933E4">
        <w:rPr>
          <w:rFonts w:ascii="Times New Roman" w:hAnsi="Times New Roman" w:cs="Times New Roman"/>
        </w:rPr>
        <w:t xml:space="preserve"> value added in sectors intensive in network inputs, retail, telecommunication and other business services and the additional GDP growth is estimated based on the share of ad</w:t>
      </w:r>
      <w:r>
        <w:rPr>
          <w:rFonts w:ascii="Times New Roman" w:hAnsi="Times New Roman" w:cs="Times New Roman"/>
        </w:rPr>
        <w:t>ditional value added in 2014 GDP</w:t>
      </w:r>
      <w:r w:rsidRPr="00A933E4">
        <w:rPr>
          <w:rFonts w:ascii="Times New Roman" w:hAnsi="Times New Roman" w:cs="Times New Roman"/>
        </w:rPr>
        <w:t>.</w:t>
      </w:r>
    </w:p>
    <w:p w14:paraId="38FC7342" w14:textId="77777777" w:rsidR="00A933E4" w:rsidRPr="00A933E4" w:rsidRDefault="00A933E4" w:rsidP="00A933E4">
      <w:pPr>
        <w:pStyle w:val="ListParagraph"/>
        <w:numPr>
          <w:ilvl w:val="0"/>
          <w:numId w:val="135"/>
        </w:numPr>
        <w:jc w:val="both"/>
        <w:rPr>
          <w:rFonts w:ascii="Times New Roman" w:hAnsi="Times New Roman" w:cs="Times New Roman"/>
        </w:rPr>
      </w:pPr>
      <w:r w:rsidRPr="00A933E4">
        <w:rPr>
          <w:rFonts w:ascii="Times New Roman" w:hAnsi="Times New Roman" w:cs="Times New Roman"/>
        </w:rPr>
        <w:t xml:space="preserve">Scenario 2: Includes the same assumptions as in Scenario 1 and </w:t>
      </w:r>
      <w:proofErr w:type="gramStart"/>
      <w:r w:rsidRPr="00A933E4">
        <w:rPr>
          <w:rFonts w:ascii="Times New Roman" w:hAnsi="Times New Roman" w:cs="Times New Roman"/>
        </w:rPr>
        <w:t>takes into account</w:t>
      </w:r>
      <w:proofErr w:type="gramEnd"/>
      <w:r w:rsidRPr="00A933E4">
        <w:rPr>
          <w:rFonts w:ascii="Times New Roman" w:hAnsi="Times New Roman" w:cs="Times New Roman"/>
        </w:rPr>
        <w:t xml:space="preserve"> the reform effect for only above-average network and service intensive sectors. In this scenario, additional value added is estimated</w:t>
      </w:r>
      <w:r>
        <w:rPr>
          <w:rFonts w:ascii="Times New Roman" w:hAnsi="Times New Roman" w:cs="Times New Roman"/>
        </w:rPr>
        <w:t xml:space="preserve"> using data on 2014</w:t>
      </w:r>
      <w:r w:rsidRPr="00A933E4">
        <w:rPr>
          <w:rFonts w:ascii="Times New Roman" w:hAnsi="Times New Roman" w:cs="Times New Roman"/>
        </w:rPr>
        <w:t xml:space="preserve"> value added in sectors intensive in network inputs, </w:t>
      </w:r>
      <w:r w:rsidR="00A11C6A">
        <w:rPr>
          <w:rFonts w:ascii="Times New Roman" w:hAnsi="Times New Roman" w:cs="Times New Roman"/>
        </w:rPr>
        <w:t xml:space="preserve">transport, </w:t>
      </w:r>
      <w:r w:rsidRPr="00A933E4">
        <w:rPr>
          <w:rFonts w:ascii="Times New Roman" w:hAnsi="Times New Roman" w:cs="Times New Roman"/>
        </w:rPr>
        <w:t>retail</w:t>
      </w:r>
      <w:r w:rsidR="00287C82">
        <w:rPr>
          <w:rFonts w:ascii="Times New Roman" w:hAnsi="Times New Roman" w:cs="Times New Roman"/>
        </w:rPr>
        <w:t>,</w:t>
      </w:r>
      <w:r w:rsidRPr="00A933E4">
        <w:rPr>
          <w:rFonts w:ascii="Times New Roman" w:hAnsi="Times New Roman" w:cs="Times New Roman"/>
        </w:rPr>
        <w:t xml:space="preserve"> and other business services, and the additional GDP growth is estimated based on the share o</w:t>
      </w:r>
      <w:r>
        <w:rPr>
          <w:rFonts w:ascii="Times New Roman" w:hAnsi="Times New Roman" w:cs="Times New Roman"/>
        </w:rPr>
        <w:t>f additional value added in 2014</w:t>
      </w:r>
      <w:r w:rsidRPr="00A933E4">
        <w:rPr>
          <w:rFonts w:ascii="Times New Roman" w:hAnsi="Times New Roman" w:cs="Times New Roman"/>
        </w:rPr>
        <w:t xml:space="preserve"> GDP.</w:t>
      </w:r>
    </w:p>
    <w:p w14:paraId="47DE7D53" w14:textId="77777777" w:rsidR="00A933E4" w:rsidRPr="00021E5E" w:rsidRDefault="00A933E4" w:rsidP="00A933E4">
      <w:pPr>
        <w:pStyle w:val="ListParagraph"/>
        <w:numPr>
          <w:ilvl w:val="0"/>
          <w:numId w:val="135"/>
        </w:numPr>
        <w:jc w:val="both"/>
        <w:rPr>
          <w:rFonts w:ascii="Times New Roman" w:hAnsi="Times New Roman" w:cs="Times New Roman"/>
        </w:rPr>
      </w:pPr>
      <w:r w:rsidRPr="00A933E4">
        <w:rPr>
          <w:rFonts w:ascii="Times New Roman" w:hAnsi="Times New Roman" w:cs="Times New Roman"/>
        </w:rPr>
        <w:t xml:space="preserve">Scenario 3: Includes the same assumptions as in Scenario 1 and </w:t>
      </w:r>
      <w:proofErr w:type="gramStart"/>
      <w:r w:rsidRPr="00A933E4">
        <w:rPr>
          <w:rFonts w:ascii="Times New Roman" w:hAnsi="Times New Roman" w:cs="Times New Roman"/>
        </w:rPr>
        <w:t>takes into account</w:t>
      </w:r>
      <w:proofErr w:type="gramEnd"/>
      <w:r w:rsidRPr="00A933E4">
        <w:rPr>
          <w:rFonts w:ascii="Times New Roman" w:hAnsi="Times New Roman" w:cs="Times New Roman"/>
        </w:rPr>
        <w:t xml:space="preserve"> the reform effect for only above-average network and service intensive sectors. In this </w:t>
      </w:r>
      <w:r w:rsidRPr="00021E5E">
        <w:rPr>
          <w:rFonts w:ascii="Times New Roman" w:hAnsi="Times New Roman" w:cs="Times New Roman"/>
        </w:rPr>
        <w:t xml:space="preserve">scenario, additional value added is estimated using 2014 value added in sectors intensive in network inputs, </w:t>
      </w:r>
      <w:r w:rsidR="00A11C6A">
        <w:rPr>
          <w:rFonts w:ascii="Times New Roman" w:hAnsi="Times New Roman" w:cs="Times New Roman"/>
        </w:rPr>
        <w:t xml:space="preserve">transport, </w:t>
      </w:r>
      <w:r w:rsidRPr="00021E5E">
        <w:rPr>
          <w:rFonts w:ascii="Times New Roman" w:hAnsi="Times New Roman" w:cs="Times New Roman"/>
        </w:rPr>
        <w:t>retail</w:t>
      </w:r>
      <w:r w:rsidR="00287C82">
        <w:rPr>
          <w:rFonts w:ascii="Times New Roman" w:hAnsi="Times New Roman" w:cs="Times New Roman"/>
        </w:rPr>
        <w:t>,</w:t>
      </w:r>
      <w:r w:rsidRPr="00021E5E">
        <w:rPr>
          <w:rFonts w:ascii="Times New Roman" w:hAnsi="Times New Roman" w:cs="Times New Roman"/>
        </w:rPr>
        <w:t xml:space="preserve"> and other business services and the additional </w:t>
      </w:r>
      <w:r w:rsidR="009A76DB" w:rsidRPr="00021E5E">
        <w:rPr>
          <w:rFonts w:ascii="Times New Roman" w:hAnsi="Times New Roman" w:cs="Times New Roman"/>
        </w:rPr>
        <w:t>value added</w:t>
      </w:r>
      <w:r w:rsidRPr="00021E5E">
        <w:rPr>
          <w:rFonts w:ascii="Times New Roman" w:hAnsi="Times New Roman" w:cs="Times New Roman"/>
        </w:rPr>
        <w:t xml:space="preserve"> is estimated based on the share of value added in 2014 </w:t>
      </w:r>
      <w:r w:rsidR="009A76DB" w:rsidRPr="00021E5E">
        <w:rPr>
          <w:rFonts w:ascii="Times New Roman" w:hAnsi="Times New Roman" w:cs="Times New Roman"/>
        </w:rPr>
        <w:t>gross value added</w:t>
      </w:r>
      <w:r w:rsidRPr="00021E5E">
        <w:rPr>
          <w:rFonts w:ascii="Times New Roman" w:hAnsi="Times New Roman" w:cs="Times New Roman"/>
        </w:rPr>
        <w:t>.</w:t>
      </w:r>
    </w:p>
    <w:p w14:paraId="3D7AA488" w14:textId="77777777" w:rsidR="00A933E4" w:rsidRPr="00A11C6A" w:rsidRDefault="00A933E4" w:rsidP="00A933E4">
      <w:pPr>
        <w:pStyle w:val="ListParagraph"/>
        <w:numPr>
          <w:ilvl w:val="0"/>
          <w:numId w:val="135"/>
        </w:numPr>
        <w:jc w:val="both"/>
        <w:rPr>
          <w:rFonts w:ascii="Times New Roman" w:hAnsi="Times New Roman" w:cs="Times New Roman"/>
        </w:rPr>
      </w:pPr>
      <w:r w:rsidRPr="00021E5E">
        <w:rPr>
          <w:rFonts w:ascii="Times New Roman" w:hAnsi="Times New Roman" w:cs="Times New Roman"/>
        </w:rPr>
        <w:t xml:space="preserve">Scenario 4: </w:t>
      </w:r>
      <w:proofErr w:type="gramStart"/>
      <w:r w:rsidRPr="00A11C6A">
        <w:rPr>
          <w:rFonts w:ascii="Times New Roman" w:hAnsi="Times New Roman" w:cs="Times New Roman"/>
        </w:rPr>
        <w:t>Takes into account</w:t>
      </w:r>
      <w:proofErr w:type="gramEnd"/>
      <w:r w:rsidRPr="00A11C6A">
        <w:rPr>
          <w:rFonts w:ascii="Times New Roman" w:hAnsi="Times New Roman" w:cs="Times New Roman"/>
        </w:rPr>
        <w:t xml:space="preserve"> the reform effect for highly intensive service sectors. Highly intensive sectors are those whose technical coefficients for the abovementioned network and services inputs exceed the 75th percentile of the technical coefficients for those services and network inputs across all sectors. In this scenario, additional value added is estimated using data on 2014 value added in sectors that are highly intensive in the abovementioned network inputs and services and the additional GDP growth is estimated based on the share of additional value added in 2014 GDP.</w:t>
      </w:r>
    </w:p>
    <w:p w14:paraId="2506C4E8" w14:textId="77777777" w:rsidR="00A933E4" w:rsidRPr="00A933E4" w:rsidRDefault="00A933E4" w:rsidP="00A933E4">
      <w:pPr>
        <w:jc w:val="both"/>
        <w:rPr>
          <w:rFonts w:ascii="Times New Roman" w:hAnsi="Times New Roman" w:cs="Times New Roman"/>
        </w:rPr>
      </w:pPr>
    </w:p>
    <w:p w14:paraId="0FBCC769" w14:textId="1C5803E7" w:rsidR="00A933E4" w:rsidRPr="00A933E4" w:rsidRDefault="00EE37A8" w:rsidP="00A933E4">
      <w:pPr>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_Ref498111640 \h </w:instrText>
      </w:r>
      <w:r>
        <w:rPr>
          <w:rFonts w:ascii="Times New Roman" w:hAnsi="Times New Roman" w:cs="Times New Roman"/>
        </w:rPr>
      </w:r>
      <w:r>
        <w:rPr>
          <w:rFonts w:ascii="Times New Roman" w:hAnsi="Times New Roman" w:cs="Times New Roman"/>
        </w:rPr>
        <w:fldChar w:fldCharType="separate"/>
      </w:r>
      <w:r w:rsidR="008261B2" w:rsidRPr="00E36FD9">
        <w:rPr>
          <w:rFonts w:ascii="Times New Roman" w:hAnsi="Times New Roman"/>
        </w:rPr>
        <w:t xml:space="preserve">Table </w:t>
      </w:r>
      <w:r w:rsidR="008261B2">
        <w:rPr>
          <w:rFonts w:ascii="Times New Roman" w:hAnsi="Times New Roman"/>
          <w:noProof/>
        </w:rPr>
        <w:t>18</w:t>
      </w:r>
      <w:r>
        <w:rPr>
          <w:rFonts w:ascii="Times New Roman" w:hAnsi="Times New Roman" w:cs="Times New Roman"/>
        </w:rPr>
        <w:fldChar w:fldCharType="end"/>
      </w:r>
      <w:r>
        <w:rPr>
          <w:rFonts w:ascii="Times New Roman" w:hAnsi="Times New Roman" w:cs="Times New Roman"/>
        </w:rPr>
        <w:t xml:space="preserve"> </w:t>
      </w:r>
      <w:r w:rsidR="00A933E4" w:rsidRPr="00A933E4">
        <w:rPr>
          <w:rFonts w:ascii="Times New Roman" w:hAnsi="Times New Roman" w:cs="Times New Roman"/>
        </w:rPr>
        <w:t xml:space="preserve">presents the results of the sensitivity analysis using these four alternative estimation methods. The results are robust to the assumptions presented above and suggest that if </w:t>
      </w:r>
      <w:r w:rsidR="00C66F55">
        <w:rPr>
          <w:rFonts w:ascii="Times New Roman" w:hAnsi="Times New Roman" w:cs="Times New Roman"/>
        </w:rPr>
        <w:t>Senegal</w:t>
      </w:r>
      <w:r w:rsidR="00A933E4" w:rsidRPr="00A933E4">
        <w:rPr>
          <w:rFonts w:ascii="Times New Roman" w:hAnsi="Times New Roman" w:cs="Times New Roman"/>
        </w:rPr>
        <w:t xml:space="preserve"> undergoes reforms that decrease regulatory restrictiveness of the network sectors, </w:t>
      </w:r>
      <w:r w:rsidR="00A11C6A">
        <w:rPr>
          <w:rFonts w:ascii="Times New Roman" w:hAnsi="Times New Roman" w:cs="Times New Roman"/>
        </w:rPr>
        <w:t xml:space="preserve">transport, </w:t>
      </w:r>
      <w:r w:rsidR="00A933E4" w:rsidRPr="00A933E4">
        <w:rPr>
          <w:rFonts w:ascii="Times New Roman" w:hAnsi="Times New Roman" w:cs="Times New Roman"/>
        </w:rPr>
        <w:t>retail and other business services, growth in value added in industries intensive in the abovementioned services and network inputs would</w:t>
      </w:r>
      <w:r w:rsidR="00C66F55">
        <w:rPr>
          <w:rFonts w:ascii="Times New Roman" w:hAnsi="Times New Roman" w:cs="Times New Roman"/>
        </w:rPr>
        <w:t xml:space="preserve"> translat</w:t>
      </w:r>
      <w:r w:rsidR="0094299B">
        <w:rPr>
          <w:rFonts w:ascii="Times New Roman" w:hAnsi="Times New Roman" w:cs="Times New Roman"/>
        </w:rPr>
        <w:t>e into additional 0.</w:t>
      </w:r>
      <w:r w:rsidR="001562C8">
        <w:rPr>
          <w:rFonts w:ascii="Times New Roman" w:hAnsi="Times New Roman" w:cs="Times New Roman"/>
        </w:rPr>
        <w:t>2 up to 0.5 percent</w:t>
      </w:r>
      <w:r w:rsidR="00A933E4" w:rsidRPr="00A933E4">
        <w:rPr>
          <w:rFonts w:ascii="Times New Roman" w:hAnsi="Times New Roman" w:cs="Times New Roman"/>
        </w:rPr>
        <w:t xml:space="preserve"> growth o</w:t>
      </w:r>
      <w:r w:rsidR="00A933E4">
        <w:rPr>
          <w:rFonts w:ascii="Times New Roman" w:hAnsi="Times New Roman" w:cs="Times New Roman"/>
        </w:rPr>
        <w:t xml:space="preserve">f annual GDP, all else </w:t>
      </w:r>
      <w:r w:rsidR="001562C8">
        <w:rPr>
          <w:rFonts w:ascii="Times New Roman" w:hAnsi="Times New Roman" w:cs="Times New Roman"/>
        </w:rPr>
        <w:t xml:space="preserve">being </w:t>
      </w:r>
      <w:r w:rsidR="00A933E4">
        <w:rPr>
          <w:rFonts w:ascii="Times New Roman" w:hAnsi="Times New Roman" w:cs="Times New Roman"/>
        </w:rPr>
        <w:t>equal.</w:t>
      </w:r>
    </w:p>
    <w:p w14:paraId="583AB36D" w14:textId="77777777" w:rsidR="00A933E4" w:rsidRPr="00E36FD9" w:rsidRDefault="00A933E4" w:rsidP="00E6663C">
      <w:pPr>
        <w:rPr>
          <w:rFonts w:ascii="Times New Roman" w:hAnsi="Times New Roman" w:cs="Times New Roman"/>
          <w:sz w:val="20"/>
        </w:rPr>
      </w:pPr>
    </w:p>
    <w:p w14:paraId="5F0243D9" w14:textId="6B005EF2" w:rsidR="00A933E4" w:rsidRPr="00E36FD9" w:rsidRDefault="00A933E4" w:rsidP="00A933E4">
      <w:pPr>
        <w:pStyle w:val="Caption"/>
        <w:keepNext/>
        <w:rPr>
          <w:rFonts w:ascii="Times New Roman" w:hAnsi="Times New Roman"/>
        </w:rPr>
      </w:pPr>
      <w:bookmarkStart w:id="363" w:name="_Ref498111640"/>
      <w:bookmarkStart w:id="364" w:name="_Toc520725705"/>
      <w:r w:rsidRPr="00E36FD9">
        <w:rPr>
          <w:rFonts w:ascii="Times New Roman" w:hAnsi="Times New Roman"/>
        </w:rPr>
        <w:t xml:space="preserve">Table </w:t>
      </w:r>
      <w:r w:rsidRPr="00E36FD9">
        <w:rPr>
          <w:rFonts w:ascii="Times New Roman" w:hAnsi="Times New Roman"/>
        </w:rPr>
        <w:fldChar w:fldCharType="begin"/>
      </w:r>
      <w:r w:rsidRPr="00E36FD9">
        <w:rPr>
          <w:rFonts w:ascii="Times New Roman" w:hAnsi="Times New Roman"/>
        </w:rPr>
        <w:instrText xml:space="preserve"> SEQ Table \* ARABIC </w:instrText>
      </w:r>
      <w:r w:rsidRPr="00E36FD9">
        <w:rPr>
          <w:rFonts w:ascii="Times New Roman" w:hAnsi="Times New Roman"/>
        </w:rPr>
        <w:fldChar w:fldCharType="separate"/>
      </w:r>
      <w:r w:rsidR="008261B2">
        <w:rPr>
          <w:rFonts w:ascii="Times New Roman" w:hAnsi="Times New Roman"/>
          <w:noProof/>
        </w:rPr>
        <w:t>18</w:t>
      </w:r>
      <w:r w:rsidRPr="00E36FD9">
        <w:rPr>
          <w:rFonts w:ascii="Times New Roman" w:hAnsi="Times New Roman"/>
        </w:rPr>
        <w:fldChar w:fldCharType="end"/>
      </w:r>
      <w:bookmarkEnd w:id="363"/>
      <w:r w:rsidRPr="00E36FD9">
        <w:rPr>
          <w:rFonts w:ascii="Times New Roman" w:hAnsi="Times New Roman"/>
        </w:rPr>
        <w:t>: Simulated effect of improvements in PMR scores on value added and GDP growth</w:t>
      </w:r>
      <w:bookmarkEnd w:id="364"/>
    </w:p>
    <w:tbl>
      <w:tblPr>
        <w:tblW w:w="9460" w:type="dxa"/>
        <w:tblCellMar>
          <w:left w:w="0" w:type="dxa"/>
          <w:right w:w="0" w:type="dxa"/>
        </w:tblCellMar>
        <w:tblLook w:val="0600" w:firstRow="0" w:lastRow="0" w:firstColumn="0" w:lastColumn="0" w:noHBand="1" w:noVBand="1"/>
      </w:tblPr>
      <w:tblGrid>
        <w:gridCol w:w="2800"/>
        <w:gridCol w:w="2100"/>
        <w:gridCol w:w="2300"/>
        <w:gridCol w:w="2260"/>
      </w:tblGrid>
      <w:tr w:rsidR="00A933E4" w:rsidRPr="00A933E4" w14:paraId="3D806743" w14:textId="77777777" w:rsidTr="00A933E4">
        <w:trPr>
          <w:trHeight w:val="195"/>
        </w:trPr>
        <w:tc>
          <w:tcPr>
            <w:tcW w:w="4900" w:type="dxa"/>
            <w:gridSpan w:val="2"/>
            <w:tcBorders>
              <w:top w:val="single" w:sz="8" w:space="0" w:color="002345"/>
              <w:left w:val="nil"/>
              <w:bottom w:val="nil"/>
              <w:right w:val="nil"/>
            </w:tcBorders>
            <w:shd w:val="clear" w:color="auto" w:fill="D3E9FF"/>
            <w:tcMar>
              <w:top w:w="8" w:type="dxa"/>
              <w:left w:w="8" w:type="dxa"/>
              <w:bottom w:w="0" w:type="dxa"/>
              <w:right w:w="8" w:type="dxa"/>
            </w:tcMar>
            <w:vAlign w:val="center"/>
            <w:hideMark/>
          </w:tcPr>
          <w:p w14:paraId="74F1C135" w14:textId="77777777" w:rsidR="00A933E4" w:rsidRPr="00C66F55" w:rsidRDefault="00A933E4" w:rsidP="00A933E4">
            <w:pPr>
              <w:rPr>
                <w:rFonts w:ascii="Times New Roman" w:hAnsi="Times New Roman" w:cs="Times New Roman"/>
                <w:sz w:val="22"/>
              </w:rPr>
            </w:pPr>
            <w:r w:rsidRPr="00C66F55">
              <w:rPr>
                <w:rFonts w:ascii="Times New Roman" w:hAnsi="Times New Roman" w:cs="Times New Roman"/>
                <w:b/>
                <w:bCs/>
                <w:sz w:val="22"/>
              </w:rPr>
              <w:t>Estimation method</w:t>
            </w:r>
          </w:p>
        </w:tc>
        <w:tc>
          <w:tcPr>
            <w:tcW w:w="2300" w:type="dxa"/>
            <w:vMerge w:val="restart"/>
            <w:tcBorders>
              <w:top w:val="single" w:sz="8" w:space="0" w:color="002345"/>
              <w:left w:val="nil"/>
              <w:bottom w:val="nil"/>
              <w:right w:val="nil"/>
            </w:tcBorders>
            <w:shd w:val="clear" w:color="auto" w:fill="D3E9FF"/>
            <w:tcMar>
              <w:top w:w="8" w:type="dxa"/>
              <w:left w:w="8" w:type="dxa"/>
              <w:bottom w:w="0" w:type="dxa"/>
              <w:right w:w="8" w:type="dxa"/>
            </w:tcMar>
            <w:vAlign w:val="center"/>
            <w:hideMark/>
          </w:tcPr>
          <w:p w14:paraId="798E053D" w14:textId="77777777" w:rsidR="00A933E4" w:rsidRPr="00C66F55" w:rsidRDefault="00A933E4" w:rsidP="00A933E4">
            <w:pPr>
              <w:rPr>
                <w:rFonts w:ascii="Times New Roman" w:hAnsi="Times New Roman" w:cs="Times New Roman"/>
                <w:sz w:val="22"/>
              </w:rPr>
            </w:pPr>
            <w:r w:rsidRPr="00C66F55">
              <w:rPr>
                <w:rFonts w:ascii="Times New Roman" w:hAnsi="Times New Roman" w:cs="Times New Roman"/>
                <w:b/>
                <w:bCs/>
                <w:sz w:val="22"/>
              </w:rPr>
              <w:t>Additional value added (million CFA Franc)</w:t>
            </w:r>
          </w:p>
        </w:tc>
        <w:tc>
          <w:tcPr>
            <w:tcW w:w="2260" w:type="dxa"/>
            <w:vMerge w:val="restart"/>
            <w:tcBorders>
              <w:top w:val="single" w:sz="8" w:space="0" w:color="002345"/>
              <w:left w:val="nil"/>
              <w:bottom w:val="nil"/>
              <w:right w:val="nil"/>
            </w:tcBorders>
            <w:shd w:val="clear" w:color="auto" w:fill="D3E9FF"/>
            <w:tcMar>
              <w:top w:w="8" w:type="dxa"/>
              <w:left w:w="8" w:type="dxa"/>
              <w:bottom w:w="0" w:type="dxa"/>
              <w:right w:w="8" w:type="dxa"/>
            </w:tcMar>
            <w:vAlign w:val="center"/>
            <w:hideMark/>
          </w:tcPr>
          <w:p w14:paraId="586BE015" w14:textId="77777777" w:rsidR="00A933E4" w:rsidRPr="00C66F55" w:rsidRDefault="00A933E4" w:rsidP="00A933E4">
            <w:pPr>
              <w:rPr>
                <w:rFonts w:ascii="Times New Roman" w:hAnsi="Times New Roman" w:cs="Times New Roman"/>
                <w:sz w:val="22"/>
              </w:rPr>
            </w:pPr>
            <w:r w:rsidRPr="00C66F55">
              <w:rPr>
                <w:rFonts w:ascii="Times New Roman" w:hAnsi="Times New Roman" w:cs="Times New Roman"/>
                <w:b/>
                <w:bCs/>
                <w:sz w:val="22"/>
              </w:rPr>
              <w:t xml:space="preserve">Additional growth </w:t>
            </w:r>
            <w:r w:rsidR="001562C8">
              <w:rPr>
                <w:rFonts w:ascii="Times New Roman" w:hAnsi="Times New Roman" w:cs="Times New Roman"/>
                <w:b/>
                <w:bCs/>
                <w:sz w:val="22"/>
              </w:rPr>
              <w:t>of annual GDP (percent</w:t>
            </w:r>
            <w:r w:rsidRPr="00C66F55">
              <w:rPr>
                <w:rFonts w:ascii="Times New Roman" w:hAnsi="Times New Roman" w:cs="Times New Roman"/>
                <w:b/>
                <w:bCs/>
                <w:sz w:val="22"/>
              </w:rPr>
              <w:t>)</w:t>
            </w:r>
          </w:p>
        </w:tc>
      </w:tr>
      <w:tr w:rsidR="00A933E4" w:rsidRPr="00A933E4" w14:paraId="5BDE1DD0" w14:textId="77777777" w:rsidTr="00A933E4">
        <w:trPr>
          <w:trHeight w:val="486"/>
        </w:trPr>
        <w:tc>
          <w:tcPr>
            <w:tcW w:w="2800" w:type="dxa"/>
            <w:tcBorders>
              <w:top w:val="nil"/>
              <w:left w:val="nil"/>
              <w:bottom w:val="nil"/>
              <w:right w:val="nil"/>
            </w:tcBorders>
            <w:shd w:val="clear" w:color="auto" w:fill="D3E9FF"/>
            <w:tcMar>
              <w:top w:w="8" w:type="dxa"/>
              <w:left w:w="8" w:type="dxa"/>
              <w:bottom w:w="0" w:type="dxa"/>
              <w:right w:w="8" w:type="dxa"/>
            </w:tcMar>
            <w:vAlign w:val="center"/>
            <w:hideMark/>
          </w:tcPr>
          <w:p w14:paraId="020642D2" w14:textId="77777777" w:rsidR="00A933E4" w:rsidRPr="00C66F55" w:rsidRDefault="00A933E4" w:rsidP="00A933E4">
            <w:pPr>
              <w:rPr>
                <w:rFonts w:ascii="Times New Roman" w:hAnsi="Times New Roman" w:cs="Times New Roman"/>
                <w:sz w:val="22"/>
              </w:rPr>
            </w:pPr>
            <w:r w:rsidRPr="00C66F55">
              <w:rPr>
                <w:rFonts w:ascii="Times New Roman" w:hAnsi="Times New Roman" w:cs="Times New Roman"/>
                <w:b/>
                <w:bCs/>
                <w:sz w:val="22"/>
              </w:rPr>
              <w:t>Additional value added</w:t>
            </w:r>
          </w:p>
        </w:tc>
        <w:tc>
          <w:tcPr>
            <w:tcW w:w="2100" w:type="dxa"/>
            <w:tcBorders>
              <w:top w:val="nil"/>
              <w:left w:val="nil"/>
              <w:bottom w:val="nil"/>
              <w:right w:val="nil"/>
            </w:tcBorders>
            <w:shd w:val="clear" w:color="auto" w:fill="D3E9FF"/>
            <w:tcMar>
              <w:top w:w="8" w:type="dxa"/>
              <w:left w:w="8" w:type="dxa"/>
              <w:bottom w:w="0" w:type="dxa"/>
              <w:right w:w="8" w:type="dxa"/>
            </w:tcMar>
            <w:vAlign w:val="center"/>
            <w:hideMark/>
          </w:tcPr>
          <w:p w14:paraId="453E1EB9" w14:textId="77777777" w:rsidR="00A933E4" w:rsidRPr="00C66F55" w:rsidRDefault="00A933E4" w:rsidP="00A933E4">
            <w:pPr>
              <w:rPr>
                <w:rFonts w:ascii="Times New Roman" w:hAnsi="Times New Roman" w:cs="Times New Roman"/>
                <w:sz w:val="22"/>
              </w:rPr>
            </w:pPr>
            <w:r w:rsidRPr="00C66F55">
              <w:rPr>
                <w:rFonts w:ascii="Times New Roman" w:hAnsi="Times New Roman" w:cs="Times New Roman"/>
                <w:b/>
                <w:bCs/>
                <w:sz w:val="22"/>
              </w:rPr>
              <w:t>Additional growth of annual GDP</w:t>
            </w:r>
          </w:p>
        </w:tc>
        <w:tc>
          <w:tcPr>
            <w:tcW w:w="0" w:type="auto"/>
            <w:vMerge/>
            <w:tcBorders>
              <w:top w:val="single" w:sz="8" w:space="0" w:color="002345"/>
              <w:left w:val="nil"/>
              <w:bottom w:val="nil"/>
              <w:right w:val="nil"/>
            </w:tcBorders>
            <w:vAlign w:val="center"/>
            <w:hideMark/>
          </w:tcPr>
          <w:p w14:paraId="7B2D6E08" w14:textId="77777777" w:rsidR="00A933E4" w:rsidRPr="00C66F55" w:rsidRDefault="00A933E4" w:rsidP="00A933E4">
            <w:pPr>
              <w:rPr>
                <w:rFonts w:ascii="Times New Roman" w:hAnsi="Times New Roman" w:cs="Times New Roman"/>
                <w:sz w:val="22"/>
              </w:rPr>
            </w:pPr>
          </w:p>
        </w:tc>
        <w:tc>
          <w:tcPr>
            <w:tcW w:w="0" w:type="auto"/>
            <w:vMerge/>
            <w:tcBorders>
              <w:top w:val="single" w:sz="8" w:space="0" w:color="002345"/>
              <w:left w:val="nil"/>
              <w:bottom w:val="nil"/>
              <w:right w:val="nil"/>
            </w:tcBorders>
            <w:vAlign w:val="center"/>
            <w:hideMark/>
          </w:tcPr>
          <w:p w14:paraId="18E31D0C" w14:textId="77777777" w:rsidR="00A933E4" w:rsidRPr="00C66F55" w:rsidRDefault="00A933E4" w:rsidP="00A933E4">
            <w:pPr>
              <w:rPr>
                <w:rFonts w:ascii="Times New Roman" w:hAnsi="Times New Roman" w:cs="Times New Roman"/>
                <w:sz w:val="22"/>
              </w:rPr>
            </w:pPr>
          </w:p>
        </w:tc>
      </w:tr>
      <w:tr w:rsidR="009A76DB" w:rsidRPr="00A933E4" w14:paraId="6DFAE2D0" w14:textId="77777777" w:rsidTr="009A76DB">
        <w:trPr>
          <w:trHeight w:val="1637"/>
        </w:trPr>
        <w:tc>
          <w:tcPr>
            <w:tcW w:w="2800" w:type="dxa"/>
            <w:tcBorders>
              <w:top w:val="nil"/>
              <w:left w:val="nil"/>
              <w:bottom w:val="nil"/>
              <w:right w:val="nil"/>
            </w:tcBorders>
            <w:shd w:val="clear" w:color="auto" w:fill="auto"/>
            <w:tcMar>
              <w:top w:w="8" w:type="dxa"/>
              <w:left w:w="8" w:type="dxa"/>
              <w:bottom w:w="0" w:type="dxa"/>
              <w:right w:w="8" w:type="dxa"/>
            </w:tcMar>
            <w:vAlign w:val="center"/>
            <w:hideMark/>
          </w:tcPr>
          <w:p w14:paraId="732AA733" w14:textId="77777777" w:rsidR="009A76DB" w:rsidRPr="009A76DB" w:rsidRDefault="009A76DB" w:rsidP="00287C82">
            <w:pPr>
              <w:rPr>
                <w:rFonts w:ascii="Times New Roman" w:hAnsi="Times New Roman" w:cs="Times New Roman"/>
                <w:sz w:val="21"/>
              </w:rPr>
            </w:pPr>
            <w:r w:rsidRPr="009A76DB">
              <w:rPr>
                <w:rFonts w:ascii="Times New Roman" w:hAnsi="Times New Roman" w:cs="Times New Roman"/>
                <w:b/>
                <w:sz w:val="21"/>
              </w:rPr>
              <w:t>Scenario 1</w:t>
            </w:r>
            <w:r w:rsidRPr="009A76DB">
              <w:rPr>
                <w:rFonts w:ascii="Times New Roman" w:hAnsi="Times New Roman" w:cs="Times New Roman"/>
                <w:sz w:val="21"/>
              </w:rPr>
              <w:t>. Estimated using data on 2014 value added in sector</w:t>
            </w:r>
            <w:r w:rsidR="00287C82">
              <w:rPr>
                <w:rFonts w:ascii="Times New Roman" w:hAnsi="Times New Roman" w:cs="Times New Roman"/>
                <w:sz w:val="21"/>
              </w:rPr>
              <w:t xml:space="preserve">s intensive in gas, electricity, </w:t>
            </w:r>
            <w:r w:rsidRPr="009A76DB">
              <w:rPr>
                <w:rFonts w:ascii="Times New Roman" w:hAnsi="Times New Roman" w:cs="Times New Roman"/>
                <w:sz w:val="21"/>
              </w:rPr>
              <w:t xml:space="preserve">water supply, </w:t>
            </w:r>
            <w:r w:rsidR="00287C82">
              <w:rPr>
                <w:rFonts w:ascii="Times New Roman" w:hAnsi="Times New Roman" w:cs="Times New Roman"/>
                <w:sz w:val="21"/>
              </w:rPr>
              <w:t xml:space="preserve">telecoms, </w:t>
            </w:r>
            <w:r w:rsidRPr="009A76DB">
              <w:rPr>
                <w:rFonts w:ascii="Times New Roman" w:hAnsi="Times New Roman" w:cs="Times New Roman"/>
                <w:sz w:val="21"/>
              </w:rPr>
              <w:t>tran</w:t>
            </w:r>
            <w:r w:rsidR="00065591">
              <w:rPr>
                <w:rFonts w:ascii="Times New Roman" w:hAnsi="Times New Roman" w:cs="Times New Roman"/>
                <w:sz w:val="21"/>
              </w:rPr>
              <w:t>s</w:t>
            </w:r>
            <w:r w:rsidRPr="009A76DB">
              <w:rPr>
                <w:rFonts w:ascii="Times New Roman" w:hAnsi="Times New Roman" w:cs="Times New Roman"/>
                <w:sz w:val="21"/>
              </w:rPr>
              <w:t>port, retail, and other business services</w:t>
            </w:r>
          </w:p>
        </w:tc>
        <w:tc>
          <w:tcPr>
            <w:tcW w:w="2100" w:type="dxa"/>
            <w:tcBorders>
              <w:top w:val="nil"/>
              <w:left w:val="nil"/>
              <w:bottom w:val="nil"/>
              <w:right w:val="nil"/>
            </w:tcBorders>
            <w:shd w:val="clear" w:color="auto" w:fill="auto"/>
            <w:tcMar>
              <w:top w:w="8" w:type="dxa"/>
              <w:left w:w="8" w:type="dxa"/>
              <w:bottom w:w="0" w:type="dxa"/>
              <w:right w:w="8" w:type="dxa"/>
            </w:tcMar>
            <w:vAlign w:val="center"/>
            <w:hideMark/>
          </w:tcPr>
          <w:p w14:paraId="465D4C48"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Based on the share of additional value added in 2017 GDP</w:t>
            </w:r>
          </w:p>
        </w:tc>
        <w:tc>
          <w:tcPr>
            <w:tcW w:w="2300" w:type="dxa"/>
            <w:tcBorders>
              <w:top w:val="nil"/>
              <w:left w:val="nil"/>
              <w:bottom w:val="nil"/>
              <w:right w:val="nil"/>
            </w:tcBorders>
            <w:shd w:val="clear" w:color="auto" w:fill="auto"/>
            <w:tcMar>
              <w:top w:w="15" w:type="dxa"/>
              <w:left w:w="15" w:type="dxa"/>
              <w:bottom w:w="0" w:type="dxa"/>
              <w:right w:w="15" w:type="dxa"/>
            </w:tcMar>
            <w:vAlign w:val="center"/>
            <w:hideMark/>
          </w:tcPr>
          <w:p w14:paraId="044450A2"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32,297</w:t>
            </w:r>
          </w:p>
        </w:tc>
        <w:tc>
          <w:tcPr>
            <w:tcW w:w="2260" w:type="dxa"/>
            <w:tcBorders>
              <w:top w:val="nil"/>
              <w:left w:val="nil"/>
              <w:bottom w:val="nil"/>
              <w:right w:val="nil"/>
            </w:tcBorders>
            <w:shd w:val="clear" w:color="auto" w:fill="auto"/>
            <w:tcMar>
              <w:top w:w="15" w:type="dxa"/>
              <w:left w:w="15" w:type="dxa"/>
              <w:bottom w:w="0" w:type="dxa"/>
              <w:right w:w="15" w:type="dxa"/>
            </w:tcMar>
            <w:vAlign w:val="center"/>
            <w:hideMark/>
          </w:tcPr>
          <w:p w14:paraId="4BD60E99"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0.339</w:t>
            </w:r>
          </w:p>
        </w:tc>
      </w:tr>
      <w:tr w:rsidR="009A76DB" w:rsidRPr="00A933E4" w14:paraId="37F9B3BC" w14:textId="77777777" w:rsidTr="009A76DB">
        <w:trPr>
          <w:trHeight w:val="1660"/>
        </w:trPr>
        <w:tc>
          <w:tcPr>
            <w:tcW w:w="2800" w:type="dxa"/>
            <w:tcBorders>
              <w:top w:val="nil"/>
              <w:left w:val="nil"/>
              <w:bottom w:val="nil"/>
              <w:right w:val="nil"/>
            </w:tcBorders>
            <w:shd w:val="clear" w:color="auto" w:fill="auto"/>
            <w:tcMar>
              <w:top w:w="8" w:type="dxa"/>
              <w:left w:w="8" w:type="dxa"/>
              <w:bottom w:w="0" w:type="dxa"/>
              <w:right w:w="8" w:type="dxa"/>
            </w:tcMar>
            <w:vAlign w:val="center"/>
            <w:hideMark/>
          </w:tcPr>
          <w:p w14:paraId="4CDC4098" w14:textId="77777777" w:rsidR="009A76DB" w:rsidRPr="009A76DB" w:rsidRDefault="009A76DB" w:rsidP="00287C82">
            <w:pPr>
              <w:rPr>
                <w:rFonts w:ascii="Times New Roman" w:hAnsi="Times New Roman" w:cs="Times New Roman"/>
                <w:sz w:val="21"/>
              </w:rPr>
            </w:pPr>
            <w:r w:rsidRPr="009A76DB">
              <w:rPr>
                <w:rFonts w:ascii="Times New Roman" w:hAnsi="Times New Roman" w:cs="Times New Roman"/>
                <w:b/>
                <w:sz w:val="21"/>
              </w:rPr>
              <w:t>Scenario 2</w:t>
            </w:r>
            <w:r w:rsidRPr="009A76DB">
              <w:rPr>
                <w:rFonts w:ascii="Times New Roman" w:hAnsi="Times New Roman" w:cs="Times New Roman"/>
                <w:sz w:val="21"/>
              </w:rPr>
              <w:t>. Estimated using data on 2014 value added in sector</w:t>
            </w:r>
            <w:r w:rsidR="00287C82">
              <w:rPr>
                <w:rFonts w:ascii="Times New Roman" w:hAnsi="Times New Roman" w:cs="Times New Roman"/>
                <w:sz w:val="21"/>
              </w:rPr>
              <w:t xml:space="preserve">s intensive in gas, electricity, </w:t>
            </w:r>
            <w:r w:rsidRPr="009A76DB">
              <w:rPr>
                <w:rFonts w:ascii="Times New Roman" w:hAnsi="Times New Roman" w:cs="Times New Roman"/>
                <w:sz w:val="21"/>
              </w:rPr>
              <w:t xml:space="preserve">water supply, </w:t>
            </w:r>
            <w:r w:rsidR="00287C82">
              <w:rPr>
                <w:rFonts w:ascii="Times New Roman" w:hAnsi="Times New Roman" w:cs="Times New Roman"/>
                <w:sz w:val="21"/>
              </w:rPr>
              <w:t xml:space="preserve">telecoms, </w:t>
            </w:r>
            <w:r w:rsidRPr="009A76DB">
              <w:rPr>
                <w:rFonts w:ascii="Times New Roman" w:hAnsi="Times New Roman" w:cs="Times New Roman"/>
                <w:sz w:val="21"/>
              </w:rPr>
              <w:t>transport, retail, and other business services</w:t>
            </w:r>
          </w:p>
        </w:tc>
        <w:tc>
          <w:tcPr>
            <w:tcW w:w="2100" w:type="dxa"/>
            <w:tcBorders>
              <w:top w:val="nil"/>
              <w:left w:val="nil"/>
              <w:bottom w:val="nil"/>
              <w:right w:val="nil"/>
            </w:tcBorders>
            <w:shd w:val="clear" w:color="auto" w:fill="auto"/>
            <w:tcMar>
              <w:top w:w="8" w:type="dxa"/>
              <w:left w:w="8" w:type="dxa"/>
              <w:bottom w:w="0" w:type="dxa"/>
              <w:right w:w="8" w:type="dxa"/>
            </w:tcMar>
            <w:vAlign w:val="center"/>
            <w:hideMark/>
          </w:tcPr>
          <w:p w14:paraId="38A6EAF3"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Based on the share of additional value added in 2014 GDP</w:t>
            </w:r>
          </w:p>
        </w:tc>
        <w:tc>
          <w:tcPr>
            <w:tcW w:w="2300" w:type="dxa"/>
            <w:tcBorders>
              <w:top w:val="nil"/>
              <w:left w:val="nil"/>
              <w:bottom w:val="nil"/>
              <w:right w:val="nil"/>
            </w:tcBorders>
            <w:shd w:val="clear" w:color="auto" w:fill="auto"/>
            <w:tcMar>
              <w:top w:w="15" w:type="dxa"/>
              <w:left w:w="15" w:type="dxa"/>
              <w:bottom w:w="0" w:type="dxa"/>
              <w:right w:w="15" w:type="dxa"/>
            </w:tcMar>
            <w:vAlign w:val="center"/>
            <w:hideMark/>
          </w:tcPr>
          <w:p w14:paraId="76903D0C"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32,297</w:t>
            </w:r>
          </w:p>
        </w:tc>
        <w:tc>
          <w:tcPr>
            <w:tcW w:w="2260" w:type="dxa"/>
            <w:tcBorders>
              <w:top w:val="nil"/>
              <w:left w:val="nil"/>
              <w:bottom w:val="nil"/>
              <w:right w:val="nil"/>
            </w:tcBorders>
            <w:shd w:val="clear" w:color="auto" w:fill="auto"/>
            <w:tcMar>
              <w:top w:w="15" w:type="dxa"/>
              <w:left w:w="15" w:type="dxa"/>
              <w:bottom w:w="0" w:type="dxa"/>
              <w:right w:w="15" w:type="dxa"/>
            </w:tcMar>
            <w:vAlign w:val="center"/>
            <w:hideMark/>
          </w:tcPr>
          <w:p w14:paraId="1682EE39"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0.426</w:t>
            </w:r>
          </w:p>
        </w:tc>
      </w:tr>
      <w:tr w:rsidR="009A76DB" w:rsidRPr="00A933E4" w14:paraId="461E834A" w14:textId="77777777" w:rsidTr="009A76DB">
        <w:trPr>
          <w:trHeight w:val="1640"/>
        </w:trPr>
        <w:tc>
          <w:tcPr>
            <w:tcW w:w="2800" w:type="dxa"/>
            <w:tcBorders>
              <w:top w:val="nil"/>
              <w:left w:val="nil"/>
              <w:bottom w:val="nil"/>
              <w:right w:val="nil"/>
            </w:tcBorders>
            <w:shd w:val="clear" w:color="auto" w:fill="auto"/>
            <w:tcMar>
              <w:top w:w="8" w:type="dxa"/>
              <w:left w:w="8" w:type="dxa"/>
              <w:bottom w:w="0" w:type="dxa"/>
              <w:right w:w="8" w:type="dxa"/>
            </w:tcMar>
            <w:vAlign w:val="center"/>
            <w:hideMark/>
          </w:tcPr>
          <w:p w14:paraId="01710187" w14:textId="77777777" w:rsidR="009A76DB" w:rsidRPr="009A76DB" w:rsidRDefault="009A76DB" w:rsidP="00287C82">
            <w:pPr>
              <w:rPr>
                <w:rFonts w:ascii="Times New Roman" w:hAnsi="Times New Roman" w:cs="Times New Roman"/>
                <w:sz w:val="21"/>
              </w:rPr>
            </w:pPr>
            <w:r w:rsidRPr="009A76DB">
              <w:rPr>
                <w:rFonts w:ascii="Times New Roman" w:hAnsi="Times New Roman" w:cs="Times New Roman"/>
                <w:b/>
                <w:sz w:val="21"/>
              </w:rPr>
              <w:t>Scenario 3</w:t>
            </w:r>
            <w:r w:rsidRPr="009A76DB">
              <w:rPr>
                <w:rFonts w:ascii="Times New Roman" w:hAnsi="Times New Roman" w:cs="Times New Roman"/>
                <w:sz w:val="21"/>
              </w:rPr>
              <w:t>. Estimated using data on 2014 value added in sector</w:t>
            </w:r>
            <w:r w:rsidR="00287C82">
              <w:rPr>
                <w:rFonts w:ascii="Times New Roman" w:hAnsi="Times New Roman" w:cs="Times New Roman"/>
                <w:sz w:val="21"/>
              </w:rPr>
              <w:t xml:space="preserve">s intensive in gas, electricity, </w:t>
            </w:r>
            <w:r w:rsidRPr="009A76DB">
              <w:rPr>
                <w:rFonts w:ascii="Times New Roman" w:hAnsi="Times New Roman" w:cs="Times New Roman"/>
                <w:sz w:val="21"/>
              </w:rPr>
              <w:t xml:space="preserve">water supply, </w:t>
            </w:r>
            <w:r w:rsidR="00287C82">
              <w:rPr>
                <w:rFonts w:ascii="Times New Roman" w:hAnsi="Times New Roman" w:cs="Times New Roman"/>
                <w:sz w:val="21"/>
              </w:rPr>
              <w:t xml:space="preserve">telecoms, </w:t>
            </w:r>
            <w:r w:rsidRPr="009A76DB">
              <w:rPr>
                <w:rFonts w:ascii="Times New Roman" w:hAnsi="Times New Roman" w:cs="Times New Roman"/>
                <w:sz w:val="21"/>
              </w:rPr>
              <w:t>transport, retail, and other business services</w:t>
            </w:r>
          </w:p>
        </w:tc>
        <w:tc>
          <w:tcPr>
            <w:tcW w:w="2100" w:type="dxa"/>
            <w:tcBorders>
              <w:top w:val="nil"/>
              <w:left w:val="nil"/>
              <w:bottom w:val="nil"/>
              <w:right w:val="nil"/>
            </w:tcBorders>
            <w:shd w:val="clear" w:color="auto" w:fill="auto"/>
            <w:tcMar>
              <w:top w:w="8" w:type="dxa"/>
              <w:left w:w="8" w:type="dxa"/>
              <w:bottom w:w="0" w:type="dxa"/>
              <w:right w:w="8" w:type="dxa"/>
            </w:tcMar>
            <w:vAlign w:val="center"/>
            <w:hideMark/>
          </w:tcPr>
          <w:p w14:paraId="67543D6E"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Based on the share of additional value added in 2014 gross value added</w:t>
            </w:r>
          </w:p>
        </w:tc>
        <w:tc>
          <w:tcPr>
            <w:tcW w:w="2300" w:type="dxa"/>
            <w:tcBorders>
              <w:top w:val="nil"/>
              <w:left w:val="nil"/>
              <w:bottom w:val="nil"/>
              <w:right w:val="nil"/>
            </w:tcBorders>
            <w:shd w:val="clear" w:color="auto" w:fill="auto"/>
            <w:tcMar>
              <w:top w:w="15" w:type="dxa"/>
              <w:left w:w="15" w:type="dxa"/>
              <w:bottom w:w="0" w:type="dxa"/>
              <w:right w:w="15" w:type="dxa"/>
            </w:tcMar>
            <w:vAlign w:val="center"/>
            <w:hideMark/>
          </w:tcPr>
          <w:p w14:paraId="25C5974E"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32,297</w:t>
            </w:r>
          </w:p>
        </w:tc>
        <w:tc>
          <w:tcPr>
            <w:tcW w:w="2260" w:type="dxa"/>
            <w:tcBorders>
              <w:top w:val="nil"/>
              <w:left w:val="nil"/>
              <w:bottom w:val="nil"/>
              <w:right w:val="nil"/>
            </w:tcBorders>
            <w:shd w:val="clear" w:color="auto" w:fill="auto"/>
            <w:tcMar>
              <w:top w:w="15" w:type="dxa"/>
              <w:left w:w="15" w:type="dxa"/>
              <w:bottom w:w="0" w:type="dxa"/>
              <w:right w:w="15" w:type="dxa"/>
            </w:tcMar>
            <w:vAlign w:val="center"/>
            <w:hideMark/>
          </w:tcPr>
          <w:p w14:paraId="284A5152"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0.489</w:t>
            </w:r>
          </w:p>
        </w:tc>
      </w:tr>
      <w:tr w:rsidR="009A76DB" w:rsidRPr="00A933E4" w14:paraId="113190B6" w14:textId="77777777" w:rsidTr="009A76DB">
        <w:trPr>
          <w:trHeight w:val="1623"/>
        </w:trPr>
        <w:tc>
          <w:tcPr>
            <w:tcW w:w="2800" w:type="dxa"/>
            <w:tcBorders>
              <w:top w:val="nil"/>
              <w:left w:val="nil"/>
              <w:bottom w:val="single" w:sz="8" w:space="0" w:color="002345"/>
              <w:right w:val="nil"/>
            </w:tcBorders>
            <w:shd w:val="clear" w:color="auto" w:fill="auto"/>
            <w:tcMar>
              <w:top w:w="8" w:type="dxa"/>
              <w:left w:w="8" w:type="dxa"/>
              <w:bottom w:w="0" w:type="dxa"/>
              <w:right w:w="8" w:type="dxa"/>
            </w:tcMar>
            <w:vAlign w:val="center"/>
            <w:hideMark/>
          </w:tcPr>
          <w:p w14:paraId="1B9F992F" w14:textId="77777777" w:rsidR="009A76DB" w:rsidRPr="009A76DB" w:rsidRDefault="009A76DB" w:rsidP="00287C82">
            <w:pPr>
              <w:rPr>
                <w:rFonts w:ascii="Times New Roman" w:hAnsi="Times New Roman" w:cs="Times New Roman"/>
                <w:sz w:val="21"/>
              </w:rPr>
            </w:pPr>
            <w:r w:rsidRPr="009A76DB">
              <w:rPr>
                <w:rFonts w:ascii="Times New Roman" w:hAnsi="Times New Roman" w:cs="Times New Roman"/>
                <w:b/>
                <w:sz w:val="21"/>
              </w:rPr>
              <w:t>Scenario 4</w:t>
            </w:r>
            <w:r w:rsidRPr="009A76DB">
              <w:rPr>
                <w:rFonts w:ascii="Times New Roman" w:hAnsi="Times New Roman" w:cs="Times New Roman"/>
                <w:sz w:val="21"/>
              </w:rPr>
              <w:t>. Estimated using data on 2014 value added in sectors that are highly i</w:t>
            </w:r>
            <w:r w:rsidR="00287C82">
              <w:rPr>
                <w:rFonts w:ascii="Times New Roman" w:hAnsi="Times New Roman" w:cs="Times New Roman"/>
                <w:sz w:val="21"/>
              </w:rPr>
              <w:t xml:space="preserve">ntensive in gas, electricity, </w:t>
            </w:r>
            <w:r w:rsidRPr="009A76DB">
              <w:rPr>
                <w:rFonts w:ascii="Times New Roman" w:hAnsi="Times New Roman" w:cs="Times New Roman"/>
                <w:sz w:val="21"/>
              </w:rPr>
              <w:t>water supply,</w:t>
            </w:r>
            <w:r w:rsidR="00287C82">
              <w:rPr>
                <w:rFonts w:ascii="Times New Roman" w:hAnsi="Times New Roman" w:cs="Times New Roman"/>
                <w:sz w:val="21"/>
              </w:rPr>
              <w:t xml:space="preserve"> </w:t>
            </w:r>
            <w:r w:rsidR="00287C82" w:rsidRPr="009A76DB">
              <w:rPr>
                <w:rFonts w:ascii="Times New Roman" w:hAnsi="Times New Roman" w:cs="Times New Roman"/>
                <w:sz w:val="21"/>
              </w:rPr>
              <w:t>telecoms</w:t>
            </w:r>
            <w:r w:rsidRPr="009A76DB">
              <w:rPr>
                <w:rFonts w:ascii="Times New Roman" w:hAnsi="Times New Roman" w:cs="Times New Roman"/>
                <w:sz w:val="21"/>
              </w:rPr>
              <w:t xml:space="preserve"> transport, retail, and other business services</w:t>
            </w:r>
          </w:p>
        </w:tc>
        <w:tc>
          <w:tcPr>
            <w:tcW w:w="2100" w:type="dxa"/>
            <w:tcBorders>
              <w:top w:val="nil"/>
              <w:left w:val="nil"/>
              <w:bottom w:val="single" w:sz="8" w:space="0" w:color="002345"/>
              <w:right w:val="nil"/>
            </w:tcBorders>
            <w:shd w:val="clear" w:color="auto" w:fill="auto"/>
            <w:tcMar>
              <w:top w:w="8" w:type="dxa"/>
              <w:left w:w="8" w:type="dxa"/>
              <w:bottom w:w="0" w:type="dxa"/>
              <w:right w:w="8" w:type="dxa"/>
            </w:tcMar>
            <w:vAlign w:val="center"/>
            <w:hideMark/>
          </w:tcPr>
          <w:p w14:paraId="54C457BF"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Based on the share of additional value added in 2017 GDP</w:t>
            </w:r>
          </w:p>
        </w:tc>
        <w:tc>
          <w:tcPr>
            <w:tcW w:w="2300" w:type="dxa"/>
            <w:tcBorders>
              <w:top w:val="nil"/>
              <w:left w:val="nil"/>
              <w:bottom w:val="single" w:sz="8" w:space="0" w:color="002345"/>
              <w:right w:val="nil"/>
            </w:tcBorders>
            <w:shd w:val="clear" w:color="auto" w:fill="auto"/>
            <w:tcMar>
              <w:top w:w="15" w:type="dxa"/>
              <w:left w:w="15" w:type="dxa"/>
              <w:bottom w:w="0" w:type="dxa"/>
              <w:right w:w="15" w:type="dxa"/>
            </w:tcMar>
            <w:vAlign w:val="center"/>
            <w:hideMark/>
          </w:tcPr>
          <w:p w14:paraId="0B6712A8"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22,819</w:t>
            </w:r>
          </w:p>
        </w:tc>
        <w:tc>
          <w:tcPr>
            <w:tcW w:w="2260" w:type="dxa"/>
            <w:tcBorders>
              <w:top w:val="nil"/>
              <w:left w:val="nil"/>
              <w:bottom w:val="single" w:sz="8" w:space="0" w:color="002345"/>
              <w:right w:val="nil"/>
            </w:tcBorders>
            <w:shd w:val="clear" w:color="auto" w:fill="auto"/>
            <w:tcMar>
              <w:top w:w="15" w:type="dxa"/>
              <w:left w:w="15" w:type="dxa"/>
              <w:bottom w:w="0" w:type="dxa"/>
              <w:right w:w="15" w:type="dxa"/>
            </w:tcMar>
            <w:vAlign w:val="center"/>
            <w:hideMark/>
          </w:tcPr>
          <w:p w14:paraId="0C436976" w14:textId="77777777" w:rsidR="009A76DB" w:rsidRPr="009A76DB" w:rsidRDefault="009A76DB" w:rsidP="009A76DB">
            <w:pPr>
              <w:rPr>
                <w:rFonts w:ascii="Times New Roman" w:hAnsi="Times New Roman" w:cs="Times New Roman"/>
                <w:sz w:val="21"/>
              </w:rPr>
            </w:pPr>
            <w:r w:rsidRPr="009A76DB">
              <w:rPr>
                <w:rFonts w:ascii="Times New Roman" w:hAnsi="Times New Roman" w:cs="Times New Roman"/>
                <w:sz w:val="21"/>
              </w:rPr>
              <w:t>0.239</w:t>
            </w:r>
          </w:p>
        </w:tc>
      </w:tr>
      <w:tr w:rsidR="00A933E4" w:rsidRPr="00A933E4" w14:paraId="71AD7D4C" w14:textId="77777777" w:rsidTr="00A933E4">
        <w:trPr>
          <w:trHeight w:val="472"/>
        </w:trPr>
        <w:tc>
          <w:tcPr>
            <w:tcW w:w="9460" w:type="dxa"/>
            <w:gridSpan w:val="4"/>
            <w:tcBorders>
              <w:top w:val="single" w:sz="8" w:space="0" w:color="002345"/>
              <w:left w:val="nil"/>
              <w:bottom w:val="nil"/>
              <w:right w:val="nil"/>
            </w:tcBorders>
            <w:shd w:val="clear" w:color="auto" w:fill="auto"/>
            <w:tcMar>
              <w:top w:w="8" w:type="dxa"/>
              <w:left w:w="8" w:type="dxa"/>
              <w:bottom w:w="0" w:type="dxa"/>
              <w:right w:w="8" w:type="dxa"/>
            </w:tcMar>
            <w:vAlign w:val="center"/>
            <w:hideMark/>
          </w:tcPr>
          <w:p w14:paraId="35895C7A" w14:textId="77777777" w:rsidR="00A933E4" w:rsidRPr="00A933E4" w:rsidRDefault="00A933E4" w:rsidP="00A933E4">
            <w:pPr>
              <w:rPr>
                <w:rFonts w:ascii="Times New Roman" w:hAnsi="Times New Roman" w:cs="Times New Roman"/>
                <w:sz w:val="20"/>
              </w:rPr>
            </w:pPr>
            <w:r w:rsidRPr="00A933E4">
              <w:rPr>
                <w:rFonts w:ascii="Times New Roman" w:hAnsi="Times New Roman" w:cs="Times New Roman"/>
                <w:sz w:val="20"/>
              </w:rPr>
              <w:t xml:space="preserve">Sources: OECD: Input-Output table for Senegal (2014), IMF World Economic Outlook (April 2017): GDP 2017 and 2014 (million CFA Franc); </w:t>
            </w:r>
          </w:p>
        </w:tc>
      </w:tr>
      <w:tr w:rsidR="00A933E4" w:rsidRPr="00A933E4" w14:paraId="2AC15EBE" w14:textId="77777777" w:rsidTr="00A933E4">
        <w:trPr>
          <w:trHeight w:val="721"/>
        </w:trPr>
        <w:tc>
          <w:tcPr>
            <w:tcW w:w="9460" w:type="dxa"/>
            <w:gridSpan w:val="4"/>
            <w:tcBorders>
              <w:top w:val="nil"/>
              <w:left w:val="nil"/>
              <w:bottom w:val="nil"/>
              <w:right w:val="nil"/>
            </w:tcBorders>
            <w:shd w:val="clear" w:color="auto" w:fill="auto"/>
            <w:tcMar>
              <w:top w:w="8" w:type="dxa"/>
              <w:left w:w="8" w:type="dxa"/>
              <w:bottom w:w="0" w:type="dxa"/>
              <w:right w:w="8" w:type="dxa"/>
            </w:tcMar>
            <w:vAlign w:val="center"/>
            <w:hideMark/>
          </w:tcPr>
          <w:p w14:paraId="27ACC9AB" w14:textId="77777777" w:rsidR="00A933E4" w:rsidRPr="00A933E4" w:rsidRDefault="00A933E4" w:rsidP="00A933E4">
            <w:pPr>
              <w:rPr>
                <w:rFonts w:ascii="Times New Roman" w:hAnsi="Times New Roman" w:cs="Times New Roman"/>
                <w:sz w:val="20"/>
              </w:rPr>
            </w:pPr>
            <w:r w:rsidRPr="00A933E4">
              <w:rPr>
                <w:rFonts w:ascii="Times New Roman" w:hAnsi="Times New Roman" w:cs="Times New Roman"/>
                <w:sz w:val="20"/>
              </w:rPr>
              <w:t>Highly intensive sectors are those whose technical coefficients for network inputs (electricity, gas and water supply), post and telecommunication, transport and other business services, exceed the 75th percentile of the technical coefficients for the network inputs (electricity, gas and water supply), post and telecommunication, transport and other business services across all sectors</w:t>
            </w:r>
            <w:r w:rsidR="00F07358">
              <w:rPr>
                <w:rFonts w:ascii="Times New Roman" w:hAnsi="Times New Roman" w:cs="Times New Roman"/>
                <w:sz w:val="20"/>
              </w:rPr>
              <w:t>.</w:t>
            </w:r>
          </w:p>
        </w:tc>
      </w:tr>
    </w:tbl>
    <w:p w14:paraId="575C6CA6" w14:textId="77777777" w:rsidR="00A933E4" w:rsidRPr="00C91EA2" w:rsidRDefault="00A933E4" w:rsidP="00E6663C">
      <w:pPr>
        <w:rPr>
          <w:rFonts w:ascii="Times New Roman" w:hAnsi="Times New Roman" w:cs="Times New Roman"/>
          <w:sz w:val="20"/>
        </w:rPr>
      </w:pPr>
    </w:p>
    <w:p w14:paraId="0FC0FD0A" w14:textId="77777777" w:rsidR="00E6663C" w:rsidRPr="00C91EA2" w:rsidRDefault="00E6663C" w:rsidP="00E6663C">
      <w:pPr>
        <w:rPr>
          <w:rFonts w:ascii="Times New Roman" w:hAnsi="Times New Roman" w:cs="Times New Roman"/>
        </w:rPr>
      </w:pPr>
    </w:p>
    <w:p w14:paraId="79B82F36" w14:textId="77777777" w:rsidR="002C7C77" w:rsidRPr="00C91EA2" w:rsidRDefault="002C7C77" w:rsidP="008256BA">
      <w:pPr>
        <w:rPr>
          <w:rFonts w:ascii="Times New Roman" w:hAnsi="Times New Roman" w:cs="Times New Roman"/>
        </w:rPr>
        <w:sectPr w:rsidR="002C7C77" w:rsidRPr="00C91EA2" w:rsidSect="00B41724">
          <w:pgSz w:w="12240" w:h="15840" w:code="1"/>
          <w:pgMar w:top="1440" w:right="1800" w:bottom="1440" w:left="1800" w:header="720" w:footer="720" w:gutter="0"/>
          <w:cols w:space="720"/>
          <w:noEndnote/>
          <w:docGrid w:linePitch="326"/>
        </w:sectPr>
      </w:pPr>
    </w:p>
    <w:p w14:paraId="29F82EDE" w14:textId="77777777" w:rsidR="007328E5" w:rsidRPr="00C91EA2" w:rsidRDefault="00B37FE4" w:rsidP="007328E5">
      <w:pPr>
        <w:pStyle w:val="Heading2"/>
        <w:rPr>
          <w:rFonts w:ascii="Times New Roman" w:hAnsi="Times New Roman" w:cs="Times New Roman"/>
        </w:rPr>
      </w:pPr>
      <w:bookmarkStart w:id="365" w:name="_Ref498003285"/>
      <w:bookmarkStart w:id="366" w:name="_Toc520724129"/>
      <w:r>
        <w:rPr>
          <w:rFonts w:ascii="Times New Roman" w:hAnsi="Times New Roman" w:cs="Times New Roman"/>
        </w:rPr>
        <w:t>Annex</w:t>
      </w:r>
      <w:r w:rsidR="007328E5" w:rsidRPr="00C91EA2">
        <w:rPr>
          <w:rFonts w:ascii="Times New Roman" w:hAnsi="Times New Roman" w:cs="Times New Roman"/>
        </w:rPr>
        <w:t xml:space="preserve"> </w:t>
      </w:r>
      <w:r w:rsidR="00726079" w:rsidRPr="00C91EA2">
        <w:rPr>
          <w:rFonts w:ascii="Times New Roman" w:hAnsi="Times New Roman" w:cs="Times New Roman"/>
        </w:rPr>
        <w:t>4</w:t>
      </w:r>
      <w:r w:rsidR="007328E5" w:rsidRPr="00C91EA2">
        <w:rPr>
          <w:rFonts w:ascii="Times New Roman" w:hAnsi="Times New Roman" w:cs="Times New Roman"/>
        </w:rPr>
        <w:t>: Sector Prioritization Matrix for Senegal Competitiveness Assessment</w:t>
      </w:r>
      <w:bookmarkEnd w:id="365"/>
      <w:bookmarkEnd w:id="366"/>
    </w:p>
    <w:p w14:paraId="312AC50E" w14:textId="77777777" w:rsidR="002C7C77" w:rsidRPr="00C91EA2" w:rsidRDefault="002C7C77" w:rsidP="002C7C77">
      <w:pPr>
        <w:rPr>
          <w:rFonts w:ascii="Times New Roman" w:hAnsi="Times New Roman" w:cs="Times New Roman"/>
        </w:rPr>
      </w:pPr>
    </w:p>
    <w:p w14:paraId="50D66BB9" w14:textId="15A2456E" w:rsidR="002C7C77" w:rsidRPr="00C91EA2" w:rsidRDefault="002C7C77" w:rsidP="002C7C77">
      <w:pPr>
        <w:pStyle w:val="Caption"/>
        <w:keepNext/>
        <w:rPr>
          <w:rFonts w:ascii="Times New Roman" w:hAnsi="Times New Roman"/>
        </w:rPr>
      </w:pPr>
      <w:bookmarkStart w:id="367" w:name="_Toc520725706"/>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19</w:t>
      </w:r>
      <w:r w:rsidRPr="00C91EA2">
        <w:rPr>
          <w:rFonts w:ascii="Times New Roman" w:hAnsi="Times New Roman"/>
        </w:rPr>
        <w:fldChar w:fldCharType="end"/>
      </w:r>
      <w:r w:rsidRPr="00C91EA2">
        <w:rPr>
          <w:rFonts w:ascii="Times New Roman" w:hAnsi="Times New Roman"/>
        </w:rPr>
        <w:t>: Sector prioritization matrix</w:t>
      </w:r>
      <w:bookmarkEnd w:id="367"/>
    </w:p>
    <w:tbl>
      <w:tblPr>
        <w:tblStyle w:val="ListTable3-Accent1"/>
        <w:tblW w:w="0" w:type="auto"/>
        <w:tblLook w:val="04A0" w:firstRow="1" w:lastRow="0" w:firstColumn="1" w:lastColumn="0" w:noHBand="0" w:noVBand="1"/>
      </w:tblPr>
      <w:tblGrid>
        <w:gridCol w:w="1937"/>
        <w:gridCol w:w="1586"/>
        <w:gridCol w:w="2823"/>
        <w:gridCol w:w="1778"/>
        <w:gridCol w:w="1468"/>
        <w:gridCol w:w="1678"/>
        <w:gridCol w:w="1680"/>
      </w:tblGrid>
      <w:tr w:rsidR="007328E5" w:rsidRPr="00C91EA2" w14:paraId="3DBAA200" w14:textId="77777777" w:rsidTr="002C7C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tcPr>
          <w:p w14:paraId="4CEF768B" w14:textId="77777777" w:rsidR="007328E5" w:rsidRPr="00C91EA2" w:rsidRDefault="007328E5" w:rsidP="0070643F">
            <w:pPr>
              <w:rPr>
                <w:rFonts w:ascii="Times New Roman" w:hAnsi="Times New Roman" w:cs="Times New Roman"/>
                <w:b w:val="0"/>
                <w:sz w:val="22"/>
                <w:szCs w:val="22"/>
              </w:rPr>
            </w:pPr>
            <w:r w:rsidRPr="00C91EA2">
              <w:rPr>
                <w:rFonts w:ascii="Times New Roman" w:hAnsi="Times New Roman" w:cs="Times New Roman"/>
                <w:b w:val="0"/>
                <w:sz w:val="22"/>
                <w:szCs w:val="22"/>
              </w:rPr>
              <w:t>Sector</w:t>
            </w:r>
          </w:p>
        </w:tc>
        <w:tc>
          <w:tcPr>
            <w:tcW w:w="0" w:type="auto"/>
            <w:gridSpan w:val="5"/>
          </w:tcPr>
          <w:p w14:paraId="19A38046" w14:textId="77777777" w:rsidR="007328E5" w:rsidRPr="00C91EA2" w:rsidRDefault="007328E5" w:rsidP="007064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C91EA2">
              <w:rPr>
                <w:rFonts w:ascii="Times New Roman" w:hAnsi="Times New Roman" w:cs="Times New Roman"/>
                <w:b w:val="0"/>
                <w:sz w:val="22"/>
                <w:szCs w:val="22"/>
              </w:rPr>
              <w:t>Contribution to Economy</w:t>
            </w:r>
          </w:p>
        </w:tc>
        <w:tc>
          <w:tcPr>
            <w:tcW w:w="0" w:type="auto"/>
            <w:vMerge w:val="restart"/>
          </w:tcPr>
          <w:p w14:paraId="307CC5BD" w14:textId="77777777" w:rsidR="007328E5" w:rsidRPr="00C91EA2" w:rsidRDefault="007328E5" w:rsidP="007064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C91EA2">
              <w:rPr>
                <w:rFonts w:ascii="Times New Roman" w:hAnsi="Times New Roman" w:cs="Times New Roman"/>
                <w:b w:val="0"/>
                <w:sz w:val="22"/>
                <w:szCs w:val="22"/>
              </w:rPr>
              <w:t>Development Plans</w:t>
            </w:r>
          </w:p>
        </w:tc>
      </w:tr>
      <w:tr w:rsidR="007328E5" w:rsidRPr="00C91EA2" w14:paraId="4B53597D" w14:textId="77777777" w:rsidTr="002C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BE5B8A3" w14:textId="77777777" w:rsidR="007328E5" w:rsidRPr="00C91EA2" w:rsidRDefault="007328E5" w:rsidP="0070643F">
            <w:pPr>
              <w:rPr>
                <w:rFonts w:ascii="Times New Roman" w:hAnsi="Times New Roman" w:cs="Times New Roman"/>
                <w:b w:val="0"/>
                <w:sz w:val="22"/>
                <w:szCs w:val="22"/>
              </w:rPr>
            </w:pPr>
          </w:p>
        </w:tc>
        <w:tc>
          <w:tcPr>
            <w:tcW w:w="0" w:type="auto"/>
            <w:shd w:val="clear" w:color="auto" w:fill="C6D9F1" w:themeFill="text2" w:themeFillTint="33"/>
          </w:tcPr>
          <w:p w14:paraId="76E9087F"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C91EA2">
              <w:rPr>
                <w:rFonts w:ascii="Times New Roman" w:hAnsi="Times New Roman" w:cs="Times New Roman"/>
                <w:b/>
                <w:sz w:val="22"/>
                <w:szCs w:val="22"/>
              </w:rPr>
              <w:t>Percentage contribution to GDP</w:t>
            </w:r>
          </w:p>
        </w:tc>
        <w:tc>
          <w:tcPr>
            <w:tcW w:w="0" w:type="auto"/>
            <w:shd w:val="clear" w:color="auto" w:fill="C6D9F1" w:themeFill="text2" w:themeFillTint="33"/>
          </w:tcPr>
          <w:p w14:paraId="64F7F4AF"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C91EA2">
              <w:rPr>
                <w:rFonts w:ascii="Times New Roman" w:hAnsi="Times New Roman" w:cs="Times New Roman"/>
                <w:b/>
                <w:sz w:val="22"/>
                <w:szCs w:val="22"/>
              </w:rPr>
              <w:t>% of Consumer Expenditure/ Consumer Price Index Weights</w:t>
            </w:r>
          </w:p>
        </w:tc>
        <w:tc>
          <w:tcPr>
            <w:tcW w:w="0" w:type="auto"/>
            <w:shd w:val="clear" w:color="auto" w:fill="C6D9F1" w:themeFill="text2" w:themeFillTint="33"/>
          </w:tcPr>
          <w:p w14:paraId="1772C3DB"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C91EA2">
              <w:rPr>
                <w:rFonts w:ascii="Times New Roman" w:hAnsi="Times New Roman" w:cs="Times New Roman"/>
                <w:b/>
                <w:sz w:val="22"/>
                <w:szCs w:val="22"/>
              </w:rPr>
              <w:t>Employment by sector</w:t>
            </w:r>
          </w:p>
        </w:tc>
        <w:tc>
          <w:tcPr>
            <w:tcW w:w="0" w:type="auto"/>
            <w:shd w:val="clear" w:color="auto" w:fill="C6D9F1" w:themeFill="text2" w:themeFillTint="33"/>
          </w:tcPr>
          <w:p w14:paraId="28D059B7"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C91EA2">
              <w:rPr>
                <w:rFonts w:ascii="Times New Roman" w:hAnsi="Times New Roman" w:cs="Times New Roman"/>
                <w:b/>
                <w:sz w:val="22"/>
                <w:szCs w:val="22"/>
              </w:rPr>
              <w:t>Spillover effects</w:t>
            </w:r>
          </w:p>
        </w:tc>
        <w:tc>
          <w:tcPr>
            <w:tcW w:w="0" w:type="auto"/>
            <w:shd w:val="clear" w:color="auto" w:fill="C6D9F1" w:themeFill="text2" w:themeFillTint="33"/>
          </w:tcPr>
          <w:p w14:paraId="5C0E7AF3"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C91EA2">
              <w:rPr>
                <w:rFonts w:ascii="Times New Roman" w:hAnsi="Times New Roman" w:cs="Times New Roman"/>
                <w:b/>
                <w:sz w:val="22"/>
                <w:szCs w:val="22"/>
              </w:rPr>
              <w:t>Contribution to exports</w:t>
            </w:r>
          </w:p>
        </w:tc>
        <w:tc>
          <w:tcPr>
            <w:tcW w:w="0" w:type="auto"/>
            <w:vMerge/>
          </w:tcPr>
          <w:p w14:paraId="328FA255"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7328E5" w:rsidRPr="00C91EA2" w14:paraId="6E8DC2E2" w14:textId="77777777" w:rsidTr="002C7C77">
        <w:tc>
          <w:tcPr>
            <w:cnfStyle w:val="001000000000" w:firstRow="0" w:lastRow="0" w:firstColumn="1" w:lastColumn="0" w:oddVBand="0" w:evenVBand="0" w:oddHBand="0" w:evenHBand="0" w:firstRowFirstColumn="0" w:firstRowLastColumn="0" w:lastRowFirstColumn="0" w:lastRowLastColumn="0"/>
            <w:tcW w:w="0" w:type="auto"/>
          </w:tcPr>
          <w:p w14:paraId="579CFC9B" w14:textId="77777777" w:rsidR="007328E5" w:rsidRPr="00C91EA2" w:rsidRDefault="007328E5" w:rsidP="0070643F">
            <w:pPr>
              <w:rPr>
                <w:rFonts w:ascii="Times New Roman" w:hAnsi="Times New Roman" w:cs="Times New Roman"/>
                <w:sz w:val="22"/>
                <w:szCs w:val="22"/>
              </w:rPr>
            </w:pPr>
            <w:r w:rsidRPr="00C91EA2">
              <w:rPr>
                <w:rFonts w:ascii="Times New Roman" w:hAnsi="Times New Roman" w:cs="Times New Roman"/>
                <w:sz w:val="22"/>
                <w:szCs w:val="22"/>
              </w:rPr>
              <w:t>Agriculture</w:t>
            </w:r>
          </w:p>
        </w:tc>
        <w:tc>
          <w:tcPr>
            <w:tcW w:w="0" w:type="auto"/>
          </w:tcPr>
          <w:p w14:paraId="3C93AB3D"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Contribution to GDP: 17%</w:t>
            </w:r>
            <w:r w:rsidRPr="00C91EA2">
              <w:rPr>
                <w:rStyle w:val="FootnoteReference"/>
                <w:rFonts w:ascii="Times New Roman" w:hAnsi="Times New Roman" w:cs="Times New Roman"/>
                <w:sz w:val="22"/>
                <w:szCs w:val="22"/>
              </w:rPr>
              <w:footnoteReference w:id="310"/>
            </w:r>
            <w:r w:rsidRPr="00C91EA2">
              <w:rPr>
                <w:rFonts w:ascii="Times New Roman" w:hAnsi="Times New Roman" w:cs="Times New Roman"/>
                <w:sz w:val="22"/>
                <w:szCs w:val="22"/>
              </w:rPr>
              <w:t>; 15.6%</w:t>
            </w:r>
            <w:r w:rsidRPr="00C91EA2">
              <w:rPr>
                <w:rStyle w:val="FootnoteReference"/>
                <w:rFonts w:ascii="Times New Roman" w:hAnsi="Times New Roman" w:cs="Times New Roman"/>
                <w:sz w:val="22"/>
                <w:szCs w:val="22"/>
              </w:rPr>
              <w:footnoteReference w:id="311"/>
            </w:r>
          </w:p>
          <w:p w14:paraId="081D1057"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Contribution to GVA: 15.3% in 2014</w:t>
            </w:r>
            <w:r w:rsidRPr="00C91EA2">
              <w:rPr>
                <w:rStyle w:val="FootnoteReference"/>
                <w:rFonts w:ascii="Times New Roman" w:hAnsi="Times New Roman" w:cs="Times New Roman"/>
                <w:sz w:val="22"/>
                <w:szCs w:val="22"/>
              </w:rPr>
              <w:footnoteReference w:id="312"/>
            </w:r>
          </w:p>
        </w:tc>
        <w:tc>
          <w:tcPr>
            <w:tcW w:w="0" w:type="auto"/>
          </w:tcPr>
          <w:p w14:paraId="5E089087"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Food &amp; Beverages: 53.6% of consumption basket</w:t>
            </w:r>
            <w:r w:rsidRPr="00C91EA2">
              <w:rPr>
                <w:rStyle w:val="FootnoteReference"/>
                <w:rFonts w:ascii="Times New Roman" w:hAnsi="Times New Roman" w:cs="Times New Roman"/>
                <w:sz w:val="22"/>
                <w:szCs w:val="22"/>
              </w:rPr>
              <w:footnoteReference w:id="313"/>
            </w:r>
          </w:p>
        </w:tc>
        <w:tc>
          <w:tcPr>
            <w:tcW w:w="0" w:type="auto"/>
          </w:tcPr>
          <w:p w14:paraId="099D6A5B"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46.1%</w:t>
            </w:r>
            <w:r w:rsidRPr="00C91EA2">
              <w:rPr>
                <w:rStyle w:val="FootnoteReference"/>
                <w:rFonts w:ascii="Times New Roman" w:hAnsi="Times New Roman" w:cs="Times New Roman"/>
                <w:sz w:val="22"/>
                <w:szCs w:val="22"/>
              </w:rPr>
              <w:footnoteReference w:id="314"/>
            </w:r>
            <w:r w:rsidRPr="00C91EA2">
              <w:rPr>
                <w:rFonts w:ascii="Times New Roman" w:hAnsi="Times New Roman" w:cs="Times New Roman"/>
                <w:sz w:val="22"/>
                <w:szCs w:val="22"/>
              </w:rPr>
              <w:t xml:space="preserve"> of employed</w:t>
            </w:r>
          </w:p>
        </w:tc>
        <w:tc>
          <w:tcPr>
            <w:tcW w:w="0" w:type="auto"/>
          </w:tcPr>
          <w:p w14:paraId="7705DA54"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3695CE57"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2/3</w:t>
            </w:r>
            <w:r w:rsidRPr="00C91EA2">
              <w:rPr>
                <w:rStyle w:val="FootnoteReference"/>
                <w:rFonts w:ascii="Times New Roman" w:hAnsi="Times New Roman" w:cs="Times New Roman"/>
                <w:sz w:val="22"/>
                <w:szCs w:val="22"/>
              </w:rPr>
              <w:footnoteReference w:id="315"/>
            </w:r>
          </w:p>
        </w:tc>
        <w:tc>
          <w:tcPr>
            <w:tcW w:w="0" w:type="auto"/>
          </w:tcPr>
          <w:p w14:paraId="2C19A2F8"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7328E5" w:rsidRPr="00C91EA2" w14:paraId="5D2D94D5" w14:textId="77777777" w:rsidTr="002C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7A3A2F" w14:textId="77777777" w:rsidR="007328E5" w:rsidRPr="00C91EA2" w:rsidRDefault="00E16ECD" w:rsidP="0070643F">
            <w:pPr>
              <w:rPr>
                <w:rFonts w:ascii="Times New Roman" w:hAnsi="Times New Roman" w:cs="Times New Roman"/>
                <w:sz w:val="22"/>
                <w:szCs w:val="22"/>
              </w:rPr>
            </w:pPr>
            <w:r>
              <w:rPr>
                <w:rFonts w:ascii="Times New Roman" w:hAnsi="Times New Roman" w:cs="Times New Roman"/>
                <w:sz w:val="22"/>
                <w:szCs w:val="22"/>
              </w:rPr>
              <w:t>Ground</w:t>
            </w:r>
            <w:r w:rsidR="007328E5" w:rsidRPr="00C91EA2">
              <w:rPr>
                <w:rFonts w:ascii="Times New Roman" w:hAnsi="Times New Roman" w:cs="Times New Roman"/>
                <w:sz w:val="22"/>
                <w:szCs w:val="22"/>
              </w:rPr>
              <w:t>nut</w:t>
            </w:r>
          </w:p>
        </w:tc>
        <w:tc>
          <w:tcPr>
            <w:tcW w:w="0" w:type="auto"/>
          </w:tcPr>
          <w:p w14:paraId="1F16EE13"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60% of agricultural GDP</w:t>
            </w:r>
            <w:r w:rsidRPr="00C91EA2">
              <w:rPr>
                <w:rStyle w:val="FootnoteReference"/>
                <w:rFonts w:ascii="Times New Roman" w:hAnsi="Times New Roman" w:cs="Times New Roman"/>
                <w:sz w:val="22"/>
                <w:szCs w:val="22"/>
              </w:rPr>
              <w:footnoteReference w:id="316"/>
            </w:r>
          </w:p>
        </w:tc>
        <w:tc>
          <w:tcPr>
            <w:tcW w:w="0" w:type="auto"/>
          </w:tcPr>
          <w:p w14:paraId="4DB80FF1" w14:textId="77777777" w:rsidR="007328E5" w:rsidRPr="00C91EA2" w:rsidRDefault="00E16ECD"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Ground</w:t>
            </w:r>
            <w:r w:rsidR="007328E5" w:rsidRPr="00C91EA2">
              <w:rPr>
                <w:rFonts w:ascii="Times New Roman" w:hAnsi="Times New Roman" w:cs="Times New Roman"/>
                <w:sz w:val="22"/>
                <w:szCs w:val="22"/>
              </w:rPr>
              <w:t>nut oil represents 0.3% of consumption expenditure. Whole groundnuts not in top 100 products in product basket. But: 255,000 tons of groundnuts were consumed locally.</w:t>
            </w:r>
            <w:r w:rsidR="007328E5" w:rsidRPr="00C91EA2">
              <w:rPr>
                <w:rStyle w:val="FootnoteReference"/>
                <w:rFonts w:ascii="Times New Roman" w:hAnsi="Times New Roman" w:cs="Times New Roman"/>
                <w:sz w:val="22"/>
                <w:szCs w:val="22"/>
              </w:rPr>
              <w:footnoteReference w:id="317"/>
            </w:r>
            <w:r w:rsidR="007328E5" w:rsidRPr="00C91EA2">
              <w:rPr>
                <w:rFonts w:ascii="Times New Roman" w:hAnsi="Times New Roman" w:cs="Times New Roman"/>
                <w:sz w:val="22"/>
                <w:szCs w:val="22"/>
              </w:rPr>
              <w:t xml:space="preserve"> Alternatively: 350,000</w:t>
            </w:r>
            <w:r w:rsidR="007328E5" w:rsidRPr="00C91EA2">
              <w:rPr>
                <w:rStyle w:val="FootnoteReference"/>
                <w:rFonts w:ascii="Times New Roman" w:hAnsi="Times New Roman" w:cs="Times New Roman"/>
                <w:sz w:val="22"/>
                <w:szCs w:val="22"/>
              </w:rPr>
              <w:footnoteReference w:id="318"/>
            </w:r>
          </w:p>
        </w:tc>
        <w:tc>
          <w:tcPr>
            <w:tcW w:w="0" w:type="auto"/>
          </w:tcPr>
          <w:p w14:paraId="29485D81" w14:textId="48A8B50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482</w:t>
            </w:r>
            <w:r w:rsidR="00434C22">
              <w:rPr>
                <w:rFonts w:ascii="Times New Roman" w:hAnsi="Times New Roman" w:cs="Times New Roman"/>
                <w:sz w:val="22"/>
                <w:szCs w:val="22"/>
              </w:rPr>
              <w:t>,</w:t>
            </w:r>
            <w:r w:rsidRPr="00C91EA2">
              <w:rPr>
                <w:rFonts w:ascii="Times New Roman" w:hAnsi="Times New Roman" w:cs="Times New Roman"/>
                <w:sz w:val="22"/>
                <w:szCs w:val="22"/>
              </w:rPr>
              <w:t>000 family farms (63% of Senegalese agriculture).</w:t>
            </w:r>
            <w:r w:rsidRPr="00C91EA2">
              <w:rPr>
                <w:rStyle w:val="FootnoteReference"/>
                <w:rFonts w:ascii="Times New Roman" w:hAnsi="Times New Roman" w:cs="Times New Roman"/>
                <w:sz w:val="22"/>
                <w:szCs w:val="22"/>
              </w:rPr>
              <w:footnoteReference w:id="319"/>
            </w:r>
          </w:p>
          <w:p w14:paraId="5837E63E"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482,000</w:t>
            </w:r>
            <w:r w:rsidRPr="00C91EA2">
              <w:rPr>
                <w:rStyle w:val="FootnoteReference"/>
                <w:rFonts w:ascii="Times New Roman" w:hAnsi="Times New Roman" w:cs="Times New Roman"/>
                <w:sz w:val="22"/>
                <w:szCs w:val="22"/>
              </w:rPr>
              <w:footnoteReference w:id="320"/>
            </w:r>
          </w:p>
        </w:tc>
        <w:tc>
          <w:tcPr>
            <w:tcW w:w="0" w:type="auto"/>
          </w:tcPr>
          <w:p w14:paraId="7388C431" w14:textId="77777777" w:rsidR="007328E5" w:rsidRPr="00C91EA2" w:rsidRDefault="00E16ECD"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Low. Ground</w:t>
            </w:r>
            <w:r w:rsidR="007328E5" w:rsidRPr="00C91EA2">
              <w:rPr>
                <w:rFonts w:ascii="Times New Roman" w:hAnsi="Times New Roman" w:cs="Times New Roman"/>
                <w:sz w:val="22"/>
                <w:szCs w:val="22"/>
              </w:rPr>
              <w:t>nuts at the far edge of product space.</w:t>
            </w:r>
            <w:r w:rsidR="007328E5" w:rsidRPr="00C91EA2">
              <w:rPr>
                <w:rStyle w:val="FootnoteReference"/>
                <w:rFonts w:ascii="Times New Roman" w:hAnsi="Times New Roman" w:cs="Times New Roman"/>
                <w:sz w:val="22"/>
                <w:szCs w:val="22"/>
              </w:rPr>
              <w:footnoteReference w:id="321"/>
            </w:r>
          </w:p>
        </w:tc>
        <w:tc>
          <w:tcPr>
            <w:tcW w:w="0" w:type="auto"/>
          </w:tcPr>
          <w:p w14:paraId="60DB8CAD"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3.08% (oil) and 0.41% (whole nuts) of total exports in 2011</w:t>
            </w:r>
            <w:r w:rsidRPr="00C91EA2">
              <w:rPr>
                <w:rStyle w:val="FootnoteReference"/>
                <w:rFonts w:ascii="Times New Roman" w:hAnsi="Times New Roman" w:cs="Times New Roman"/>
                <w:sz w:val="22"/>
                <w:szCs w:val="22"/>
              </w:rPr>
              <w:footnoteReference w:id="322"/>
            </w:r>
          </w:p>
          <w:p w14:paraId="61B0B2DF"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52CAEFAD"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80% of export receipts.</w:t>
            </w:r>
            <w:r w:rsidRPr="00C91EA2">
              <w:rPr>
                <w:rStyle w:val="FootnoteReference"/>
                <w:rFonts w:ascii="Times New Roman" w:hAnsi="Times New Roman" w:cs="Times New Roman"/>
                <w:sz w:val="22"/>
                <w:szCs w:val="22"/>
              </w:rPr>
              <w:footnoteReference w:id="323"/>
            </w:r>
          </w:p>
        </w:tc>
        <w:tc>
          <w:tcPr>
            <w:tcW w:w="0" w:type="auto"/>
          </w:tcPr>
          <w:p w14:paraId="4E599172"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1</w:t>
            </w:r>
            <w:r w:rsidRPr="00C91EA2">
              <w:rPr>
                <w:rFonts w:ascii="Times New Roman" w:hAnsi="Times New Roman" w:cs="Times New Roman"/>
                <w:sz w:val="22"/>
                <w:szCs w:val="22"/>
                <w:vertAlign w:val="superscript"/>
              </w:rPr>
              <w:t>st</w:t>
            </w:r>
            <w:r w:rsidRPr="00C91EA2">
              <w:rPr>
                <w:rFonts w:ascii="Times New Roman" w:hAnsi="Times New Roman" w:cs="Times New Roman"/>
                <w:sz w:val="22"/>
                <w:szCs w:val="22"/>
              </w:rPr>
              <w:t xml:space="preserve"> sector to be mentioned under agriculture in Plan Senegal Emergent</w:t>
            </w:r>
            <w:r w:rsidRPr="00C91EA2">
              <w:rPr>
                <w:rStyle w:val="FootnoteReference"/>
                <w:rFonts w:ascii="Times New Roman" w:hAnsi="Times New Roman" w:cs="Times New Roman"/>
                <w:sz w:val="22"/>
                <w:szCs w:val="22"/>
              </w:rPr>
              <w:footnoteReference w:id="324"/>
            </w:r>
          </w:p>
        </w:tc>
      </w:tr>
      <w:tr w:rsidR="007328E5" w:rsidRPr="00C91EA2" w14:paraId="7466A8E3" w14:textId="77777777" w:rsidTr="002C7C77">
        <w:tc>
          <w:tcPr>
            <w:cnfStyle w:val="001000000000" w:firstRow="0" w:lastRow="0" w:firstColumn="1" w:lastColumn="0" w:oddVBand="0" w:evenVBand="0" w:oddHBand="0" w:evenHBand="0" w:firstRowFirstColumn="0" w:firstRowLastColumn="0" w:lastRowFirstColumn="0" w:lastRowLastColumn="0"/>
            <w:tcW w:w="0" w:type="auto"/>
          </w:tcPr>
          <w:p w14:paraId="38B3A817" w14:textId="77777777" w:rsidR="007328E5" w:rsidRPr="00C91EA2" w:rsidRDefault="007328E5" w:rsidP="0070643F">
            <w:pPr>
              <w:rPr>
                <w:rFonts w:ascii="Times New Roman" w:hAnsi="Times New Roman" w:cs="Times New Roman"/>
                <w:sz w:val="22"/>
                <w:szCs w:val="22"/>
              </w:rPr>
            </w:pPr>
            <w:r w:rsidRPr="00C91EA2">
              <w:rPr>
                <w:rFonts w:ascii="Times New Roman" w:hAnsi="Times New Roman" w:cs="Times New Roman"/>
                <w:sz w:val="22"/>
                <w:szCs w:val="22"/>
              </w:rPr>
              <w:t>Cereals (rice, millet, corn, sorghum)</w:t>
            </w:r>
          </w:p>
        </w:tc>
        <w:tc>
          <w:tcPr>
            <w:tcW w:w="0" w:type="auto"/>
          </w:tcPr>
          <w:p w14:paraId="5F4445BB"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59340CCB"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Rice: 5.4% of consumption, 7.4% if included as part of whole meals</w:t>
            </w:r>
            <w:r w:rsidRPr="00C91EA2">
              <w:rPr>
                <w:rStyle w:val="FootnoteReference"/>
                <w:rFonts w:ascii="Times New Roman" w:hAnsi="Times New Roman" w:cs="Times New Roman"/>
                <w:sz w:val="22"/>
                <w:szCs w:val="22"/>
              </w:rPr>
              <w:footnoteReference w:id="325"/>
            </w:r>
          </w:p>
          <w:p w14:paraId="3CDBBD3C"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14:paraId="54F77971"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Calorie intake between 2004-08: 30.2% (rice), 11.2% (corn), 11.9% (millet/sorghum), 10% (wheat)</w:t>
            </w:r>
            <w:r w:rsidRPr="00C91EA2">
              <w:rPr>
                <w:rStyle w:val="FootnoteReference"/>
                <w:rFonts w:ascii="Times New Roman" w:hAnsi="Times New Roman" w:cs="Times New Roman"/>
                <w:sz w:val="22"/>
                <w:szCs w:val="22"/>
              </w:rPr>
              <w:footnoteReference w:id="326"/>
            </w:r>
          </w:p>
        </w:tc>
        <w:tc>
          <w:tcPr>
            <w:tcW w:w="0" w:type="auto"/>
          </w:tcPr>
          <w:p w14:paraId="34FACB4E"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14562E5B"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493D0351"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2% (2011)</w:t>
            </w:r>
            <w:r w:rsidRPr="00C91EA2">
              <w:rPr>
                <w:rStyle w:val="FootnoteReference"/>
                <w:rFonts w:ascii="Times New Roman" w:hAnsi="Times New Roman" w:cs="Times New Roman"/>
                <w:sz w:val="22"/>
                <w:szCs w:val="22"/>
              </w:rPr>
              <w:footnoteReference w:id="327"/>
            </w:r>
          </w:p>
        </w:tc>
        <w:tc>
          <w:tcPr>
            <w:tcW w:w="0" w:type="auto"/>
          </w:tcPr>
          <w:p w14:paraId="44B52559"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Self-sufficiency targeted</w:t>
            </w:r>
          </w:p>
        </w:tc>
      </w:tr>
      <w:tr w:rsidR="007328E5" w:rsidRPr="00C91EA2" w14:paraId="5F54766D" w14:textId="77777777" w:rsidTr="002C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69F956" w14:textId="77777777" w:rsidR="007328E5" w:rsidRPr="00C91EA2" w:rsidRDefault="007328E5" w:rsidP="0070643F">
            <w:pPr>
              <w:rPr>
                <w:rFonts w:ascii="Times New Roman" w:hAnsi="Times New Roman" w:cs="Times New Roman"/>
                <w:sz w:val="22"/>
                <w:szCs w:val="22"/>
              </w:rPr>
            </w:pPr>
            <w:r w:rsidRPr="00C91EA2">
              <w:rPr>
                <w:rFonts w:ascii="Times New Roman" w:hAnsi="Times New Roman" w:cs="Times New Roman"/>
                <w:sz w:val="22"/>
                <w:szCs w:val="22"/>
              </w:rPr>
              <w:t>Livestock</w:t>
            </w:r>
          </w:p>
        </w:tc>
        <w:tc>
          <w:tcPr>
            <w:tcW w:w="0" w:type="auto"/>
          </w:tcPr>
          <w:p w14:paraId="798F2F3B"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4.2% of GDP (2012) and 28.8% of agriculture GDP.</w:t>
            </w:r>
            <w:r w:rsidRPr="00C91EA2">
              <w:rPr>
                <w:rStyle w:val="FootnoteReference"/>
                <w:rFonts w:ascii="Times New Roman" w:hAnsi="Times New Roman" w:cs="Times New Roman"/>
                <w:sz w:val="22"/>
                <w:szCs w:val="22"/>
              </w:rPr>
              <w:footnoteReference w:id="328"/>
            </w:r>
          </w:p>
        </w:tc>
        <w:tc>
          <w:tcPr>
            <w:tcW w:w="0" w:type="auto"/>
          </w:tcPr>
          <w:p w14:paraId="0513E638"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6773A884"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5B14B64E"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Low.</w:t>
            </w:r>
          </w:p>
        </w:tc>
        <w:tc>
          <w:tcPr>
            <w:tcW w:w="0" w:type="auto"/>
          </w:tcPr>
          <w:p w14:paraId="44A2ACD2"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2FCCD001"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Mentioned in Plan Senegal Emergent and in IFC analysis</w:t>
            </w:r>
          </w:p>
        </w:tc>
      </w:tr>
      <w:tr w:rsidR="007328E5" w:rsidRPr="00C91EA2" w14:paraId="2DE8DA87" w14:textId="77777777" w:rsidTr="002C7C77">
        <w:tc>
          <w:tcPr>
            <w:cnfStyle w:val="001000000000" w:firstRow="0" w:lastRow="0" w:firstColumn="1" w:lastColumn="0" w:oddVBand="0" w:evenVBand="0" w:oddHBand="0" w:evenHBand="0" w:firstRowFirstColumn="0" w:firstRowLastColumn="0" w:lastRowFirstColumn="0" w:lastRowLastColumn="0"/>
            <w:tcW w:w="0" w:type="auto"/>
          </w:tcPr>
          <w:p w14:paraId="4650190D" w14:textId="77777777" w:rsidR="007328E5" w:rsidRPr="00C91EA2" w:rsidRDefault="007328E5" w:rsidP="0070643F">
            <w:pPr>
              <w:rPr>
                <w:rFonts w:ascii="Times New Roman" w:hAnsi="Times New Roman" w:cs="Times New Roman"/>
                <w:sz w:val="22"/>
                <w:szCs w:val="22"/>
              </w:rPr>
            </w:pPr>
            <w:r w:rsidRPr="00C91EA2">
              <w:rPr>
                <w:rFonts w:ascii="Times New Roman" w:hAnsi="Times New Roman" w:cs="Times New Roman"/>
                <w:sz w:val="22"/>
                <w:szCs w:val="22"/>
              </w:rPr>
              <w:t>Aquaculture/</w:t>
            </w:r>
          </w:p>
          <w:p w14:paraId="09DDDF51" w14:textId="77777777" w:rsidR="007328E5" w:rsidRPr="00C91EA2" w:rsidRDefault="007328E5" w:rsidP="0070643F">
            <w:pPr>
              <w:rPr>
                <w:rFonts w:ascii="Times New Roman" w:hAnsi="Times New Roman" w:cs="Times New Roman"/>
                <w:sz w:val="22"/>
                <w:szCs w:val="22"/>
              </w:rPr>
            </w:pPr>
            <w:r w:rsidRPr="00C91EA2">
              <w:rPr>
                <w:rFonts w:ascii="Times New Roman" w:hAnsi="Times New Roman" w:cs="Times New Roman"/>
                <w:sz w:val="22"/>
                <w:szCs w:val="22"/>
              </w:rPr>
              <w:t>Fisheries</w:t>
            </w:r>
          </w:p>
        </w:tc>
        <w:tc>
          <w:tcPr>
            <w:tcW w:w="0" w:type="auto"/>
          </w:tcPr>
          <w:p w14:paraId="1FCCE6DE"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2.2% of GDP (2012)</w:t>
            </w:r>
            <w:r w:rsidRPr="00C91EA2">
              <w:rPr>
                <w:rStyle w:val="FootnoteReference"/>
                <w:rFonts w:ascii="Times New Roman" w:hAnsi="Times New Roman" w:cs="Times New Roman"/>
                <w:sz w:val="22"/>
                <w:szCs w:val="22"/>
              </w:rPr>
              <w:footnoteReference w:id="329"/>
            </w:r>
            <w:r w:rsidRPr="00C91EA2">
              <w:rPr>
                <w:rFonts w:ascii="Times New Roman" w:hAnsi="Times New Roman" w:cs="Times New Roman"/>
                <w:sz w:val="22"/>
                <w:szCs w:val="22"/>
              </w:rPr>
              <w:t xml:space="preserve"> for fisheries.</w:t>
            </w:r>
          </w:p>
        </w:tc>
        <w:tc>
          <w:tcPr>
            <w:tcW w:w="0" w:type="auto"/>
          </w:tcPr>
          <w:p w14:paraId="12C18E38"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2.5% of consumption basket for “</w:t>
            </w:r>
            <w:proofErr w:type="spellStart"/>
            <w:r w:rsidRPr="00C91EA2">
              <w:rPr>
                <w:rFonts w:ascii="Times New Roman" w:hAnsi="Times New Roman" w:cs="Times New Roman"/>
                <w:sz w:val="22"/>
                <w:szCs w:val="22"/>
              </w:rPr>
              <w:t>sardinelle</w:t>
            </w:r>
            <w:proofErr w:type="spellEnd"/>
            <w:r w:rsidRPr="00C91EA2">
              <w:rPr>
                <w:rFonts w:ascii="Times New Roman" w:hAnsi="Times New Roman" w:cs="Times New Roman"/>
                <w:sz w:val="22"/>
                <w:szCs w:val="22"/>
              </w:rPr>
              <w:t>”</w:t>
            </w:r>
          </w:p>
        </w:tc>
        <w:tc>
          <w:tcPr>
            <w:tcW w:w="0" w:type="auto"/>
          </w:tcPr>
          <w:p w14:paraId="2679BD55"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600,000</w:t>
            </w:r>
            <w:r w:rsidRPr="00C91EA2">
              <w:rPr>
                <w:rStyle w:val="FootnoteReference"/>
                <w:rFonts w:ascii="Times New Roman" w:hAnsi="Times New Roman" w:cs="Times New Roman"/>
                <w:sz w:val="22"/>
                <w:szCs w:val="22"/>
              </w:rPr>
              <w:footnoteReference w:id="330"/>
            </w:r>
            <w:r w:rsidRPr="00C91EA2">
              <w:rPr>
                <w:rFonts w:ascii="Times New Roman" w:hAnsi="Times New Roman" w:cs="Times New Roman"/>
                <w:sz w:val="22"/>
                <w:szCs w:val="22"/>
              </w:rPr>
              <w:t xml:space="preserve"> for fisheries</w:t>
            </w:r>
          </w:p>
        </w:tc>
        <w:tc>
          <w:tcPr>
            <w:tcW w:w="0" w:type="auto"/>
          </w:tcPr>
          <w:p w14:paraId="27612831"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Low.</w:t>
            </w:r>
          </w:p>
        </w:tc>
        <w:tc>
          <w:tcPr>
            <w:tcW w:w="0" w:type="auto"/>
          </w:tcPr>
          <w:p w14:paraId="554FB01F"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6D248AAC"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Regarded as potential growth sector by the IFC</w:t>
            </w:r>
          </w:p>
        </w:tc>
      </w:tr>
      <w:tr w:rsidR="007328E5" w:rsidRPr="00C91EA2" w14:paraId="2734248A" w14:textId="77777777" w:rsidTr="002C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143233" w14:textId="77777777" w:rsidR="007328E5" w:rsidRPr="00C91EA2" w:rsidRDefault="007328E5" w:rsidP="0070643F">
            <w:pPr>
              <w:rPr>
                <w:rFonts w:ascii="Times New Roman" w:hAnsi="Times New Roman" w:cs="Times New Roman"/>
                <w:sz w:val="22"/>
                <w:szCs w:val="22"/>
              </w:rPr>
            </w:pPr>
            <w:r w:rsidRPr="00C91EA2">
              <w:rPr>
                <w:rFonts w:ascii="Times New Roman" w:hAnsi="Times New Roman" w:cs="Times New Roman"/>
                <w:sz w:val="22"/>
                <w:szCs w:val="22"/>
              </w:rPr>
              <w:t>Mining/Fertilizer</w:t>
            </w:r>
          </w:p>
        </w:tc>
        <w:tc>
          <w:tcPr>
            <w:tcW w:w="0" w:type="auto"/>
          </w:tcPr>
          <w:p w14:paraId="76D6C177"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27C8E47F"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N/A</w:t>
            </w:r>
          </w:p>
        </w:tc>
        <w:tc>
          <w:tcPr>
            <w:tcW w:w="0" w:type="auto"/>
          </w:tcPr>
          <w:p w14:paraId="60F2B620"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5A41C93B"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28D1D3F2"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37.47% (2011)</w:t>
            </w:r>
            <w:r w:rsidRPr="00C91EA2">
              <w:rPr>
                <w:rStyle w:val="FootnoteReference"/>
                <w:rFonts w:ascii="Times New Roman" w:hAnsi="Times New Roman" w:cs="Times New Roman"/>
                <w:sz w:val="22"/>
                <w:szCs w:val="22"/>
              </w:rPr>
              <w:footnoteReference w:id="331"/>
            </w:r>
          </w:p>
        </w:tc>
        <w:tc>
          <w:tcPr>
            <w:tcW w:w="0" w:type="auto"/>
          </w:tcPr>
          <w:p w14:paraId="14BCB9E4"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Regarded as priority sector in Plan Senegal Emergent</w:t>
            </w:r>
          </w:p>
        </w:tc>
      </w:tr>
      <w:tr w:rsidR="007328E5" w:rsidRPr="00C91EA2" w14:paraId="11A92DFC" w14:textId="77777777" w:rsidTr="002C7C77">
        <w:tc>
          <w:tcPr>
            <w:cnfStyle w:val="001000000000" w:firstRow="0" w:lastRow="0" w:firstColumn="1" w:lastColumn="0" w:oddVBand="0" w:evenVBand="0" w:oddHBand="0" w:evenHBand="0" w:firstRowFirstColumn="0" w:firstRowLastColumn="0" w:lastRowFirstColumn="0" w:lastRowLastColumn="0"/>
            <w:tcW w:w="0" w:type="auto"/>
          </w:tcPr>
          <w:p w14:paraId="166A8B44" w14:textId="77777777" w:rsidR="007328E5" w:rsidRPr="00C91EA2" w:rsidRDefault="007328E5" w:rsidP="0070643F">
            <w:pPr>
              <w:rPr>
                <w:rFonts w:ascii="Times New Roman" w:hAnsi="Times New Roman" w:cs="Times New Roman"/>
                <w:sz w:val="22"/>
                <w:szCs w:val="22"/>
              </w:rPr>
            </w:pPr>
            <w:r w:rsidRPr="00C91EA2">
              <w:rPr>
                <w:rFonts w:ascii="Times New Roman" w:hAnsi="Times New Roman" w:cs="Times New Roman"/>
                <w:sz w:val="22"/>
                <w:szCs w:val="22"/>
              </w:rPr>
              <w:t>Tourism</w:t>
            </w:r>
          </w:p>
        </w:tc>
        <w:tc>
          <w:tcPr>
            <w:tcW w:w="0" w:type="auto"/>
          </w:tcPr>
          <w:p w14:paraId="106D6DF9"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51209AC2"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Restaurants/Hotels: 1.2% of consumption basket</w:t>
            </w:r>
            <w:r w:rsidRPr="00C91EA2">
              <w:rPr>
                <w:rStyle w:val="FootnoteReference"/>
                <w:rFonts w:ascii="Times New Roman" w:hAnsi="Times New Roman" w:cs="Times New Roman"/>
                <w:sz w:val="22"/>
                <w:szCs w:val="22"/>
              </w:rPr>
              <w:footnoteReference w:id="332"/>
            </w:r>
          </w:p>
        </w:tc>
        <w:tc>
          <w:tcPr>
            <w:tcW w:w="0" w:type="auto"/>
          </w:tcPr>
          <w:p w14:paraId="6ADDF23F"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75,000</w:t>
            </w:r>
            <w:r w:rsidRPr="00C91EA2">
              <w:rPr>
                <w:rStyle w:val="FootnoteReference"/>
                <w:rFonts w:ascii="Times New Roman" w:hAnsi="Times New Roman" w:cs="Times New Roman"/>
                <w:sz w:val="22"/>
                <w:szCs w:val="22"/>
              </w:rPr>
              <w:footnoteReference w:id="333"/>
            </w:r>
          </w:p>
        </w:tc>
        <w:tc>
          <w:tcPr>
            <w:tcW w:w="0" w:type="auto"/>
          </w:tcPr>
          <w:p w14:paraId="5FA338B2"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Low.</w:t>
            </w:r>
          </w:p>
        </w:tc>
        <w:tc>
          <w:tcPr>
            <w:tcW w:w="0" w:type="auto"/>
          </w:tcPr>
          <w:p w14:paraId="13C2EE64"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3840311E"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7328E5" w:rsidRPr="00C91EA2" w14:paraId="3AE2B633" w14:textId="77777777" w:rsidTr="002C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C71C" w14:textId="77777777" w:rsidR="007328E5" w:rsidRPr="000C03DE" w:rsidRDefault="007328E5" w:rsidP="0070643F">
            <w:pPr>
              <w:rPr>
                <w:rFonts w:ascii="Times New Roman" w:hAnsi="Times New Roman" w:cs="Times New Roman"/>
                <w:sz w:val="22"/>
                <w:szCs w:val="22"/>
              </w:rPr>
            </w:pPr>
            <w:r w:rsidRPr="000C03DE">
              <w:rPr>
                <w:rFonts w:ascii="Times New Roman" w:hAnsi="Times New Roman" w:cs="Times New Roman"/>
                <w:sz w:val="22"/>
                <w:szCs w:val="22"/>
              </w:rPr>
              <w:t>Energy</w:t>
            </w:r>
          </w:p>
        </w:tc>
        <w:tc>
          <w:tcPr>
            <w:tcW w:w="0" w:type="auto"/>
          </w:tcPr>
          <w:p w14:paraId="4FC4373E" w14:textId="77777777" w:rsidR="007328E5" w:rsidRPr="000C03DE"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35881699" w14:textId="77777777" w:rsidR="007328E5" w:rsidRPr="007575D7"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lang w:val="fr-FR"/>
              </w:rPr>
            </w:pPr>
            <w:r w:rsidRPr="007575D7">
              <w:rPr>
                <w:rFonts w:ascii="Times New Roman" w:hAnsi="Times New Roman" w:cs="Times New Roman"/>
                <w:bCs/>
                <w:sz w:val="22"/>
                <w:szCs w:val="22"/>
                <w:lang w:val="fr-FR"/>
              </w:rPr>
              <w:t>“Logement, eau, électricité, gaz et autres combustibles</w:t>
            </w:r>
            <w:proofErr w:type="gramStart"/>
            <w:r w:rsidRPr="007575D7">
              <w:rPr>
                <w:rFonts w:ascii="Times New Roman" w:hAnsi="Times New Roman" w:cs="Times New Roman"/>
                <w:bCs/>
                <w:sz w:val="22"/>
                <w:szCs w:val="22"/>
                <w:lang w:val="fr-FR"/>
              </w:rPr>
              <w:t>”:</w:t>
            </w:r>
            <w:proofErr w:type="gramEnd"/>
            <w:r w:rsidRPr="007575D7">
              <w:rPr>
                <w:rFonts w:ascii="Times New Roman" w:hAnsi="Times New Roman" w:cs="Times New Roman"/>
                <w:bCs/>
                <w:sz w:val="22"/>
                <w:szCs w:val="22"/>
                <w:lang w:val="fr-FR"/>
              </w:rPr>
              <w:t xml:space="preserve"> 18.35%</w:t>
            </w:r>
            <w:r w:rsidRPr="00C91EA2">
              <w:rPr>
                <w:rStyle w:val="FootnoteReference"/>
                <w:rFonts w:ascii="Times New Roman" w:hAnsi="Times New Roman" w:cs="Times New Roman"/>
                <w:bCs/>
                <w:sz w:val="22"/>
                <w:szCs w:val="22"/>
                <w:lang w:val="en-GB"/>
              </w:rPr>
              <w:footnoteReference w:id="334"/>
            </w:r>
          </w:p>
        </w:tc>
        <w:tc>
          <w:tcPr>
            <w:tcW w:w="0" w:type="auto"/>
          </w:tcPr>
          <w:p w14:paraId="40D7B397" w14:textId="77777777" w:rsidR="007328E5" w:rsidRPr="007575D7"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fr-FR"/>
              </w:rPr>
            </w:pPr>
          </w:p>
        </w:tc>
        <w:tc>
          <w:tcPr>
            <w:tcW w:w="0" w:type="auto"/>
          </w:tcPr>
          <w:p w14:paraId="2E1170B0"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High. Ranked 162</w:t>
            </w:r>
            <w:r w:rsidRPr="00C91EA2">
              <w:rPr>
                <w:rFonts w:ascii="Times New Roman" w:hAnsi="Times New Roman" w:cs="Times New Roman"/>
                <w:sz w:val="22"/>
                <w:szCs w:val="22"/>
                <w:vertAlign w:val="superscript"/>
              </w:rPr>
              <w:t>nd</w:t>
            </w:r>
            <w:r w:rsidRPr="00C91EA2">
              <w:rPr>
                <w:rFonts w:ascii="Times New Roman" w:hAnsi="Times New Roman" w:cs="Times New Roman"/>
                <w:sz w:val="22"/>
                <w:szCs w:val="22"/>
              </w:rPr>
              <w:t xml:space="preserve"> of 190 in Doing Business.</w:t>
            </w:r>
          </w:p>
        </w:tc>
        <w:tc>
          <w:tcPr>
            <w:tcW w:w="0" w:type="auto"/>
          </w:tcPr>
          <w:p w14:paraId="6E1CD8B1"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N/A</w:t>
            </w:r>
          </w:p>
        </w:tc>
        <w:tc>
          <w:tcPr>
            <w:tcW w:w="0" w:type="auto"/>
          </w:tcPr>
          <w:p w14:paraId="63B1E673" w14:textId="77777777" w:rsidR="007328E5" w:rsidRPr="00C91EA2" w:rsidRDefault="007328E5" w:rsidP="00706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Priority in Plan Senegal Emergent</w:t>
            </w:r>
          </w:p>
        </w:tc>
      </w:tr>
      <w:tr w:rsidR="007328E5" w:rsidRPr="00C91EA2" w14:paraId="21C20DC0" w14:textId="77777777" w:rsidTr="002C7C77">
        <w:tc>
          <w:tcPr>
            <w:cnfStyle w:val="001000000000" w:firstRow="0" w:lastRow="0" w:firstColumn="1" w:lastColumn="0" w:oddVBand="0" w:evenVBand="0" w:oddHBand="0" w:evenHBand="0" w:firstRowFirstColumn="0" w:firstRowLastColumn="0" w:lastRowFirstColumn="0" w:lastRowLastColumn="0"/>
            <w:tcW w:w="0" w:type="auto"/>
          </w:tcPr>
          <w:p w14:paraId="26749600" w14:textId="77777777" w:rsidR="007328E5" w:rsidRPr="000C03DE" w:rsidRDefault="007328E5" w:rsidP="0070643F">
            <w:pPr>
              <w:rPr>
                <w:rFonts w:ascii="Times New Roman" w:hAnsi="Times New Roman" w:cs="Times New Roman"/>
                <w:sz w:val="22"/>
                <w:szCs w:val="22"/>
              </w:rPr>
            </w:pPr>
            <w:r w:rsidRPr="000C03DE">
              <w:rPr>
                <w:rFonts w:ascii="Times New Roman" w:hAnsi="Times New Roman" w:cs="Times New Roman"/>
                <w:sz w:val="22"/>
                <w:szCs w:val="22"/>
              </w:rPr>
              <w:t>Telecoms</w:t>
            </w:r>
          </w:p>
        </w:tc>
        <w:tc>
          <w:tcPr>
            <w:tcW w:w="0" w:type="auto"/>
          </w:tcPr>
          <w:p w14:paraId="61AB3ED0" w14:textId="77777777" w:rsidR="007328E5" w:rsidRPr="000C03DE" w:rsidRDefault="000C03DE"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C03DE">
              <w:rPr>
                <w:rFonts w:ascii="Times New Roman" w:hAnsi="Times New Roman" w:cs="Times New Roman"/>
                <w:sz w:val="22"/>
                <w:szCs w:val="22"/>
              </w:rPr>
              <w:t xml:space="preserve">6.3 </w:t>
            </w:r>
            <w:r w:rsidR="007328E5" w:rsidRPr="000C03DE">
              <w:rPr>
                <w:rFonts w:ascii="Times New Roman" w:hAnsi="Times New Roman" w:cs="Times New Roman"/>
                <w:sz w:val="22"/>
                <w:szCs w:val="22"/>
              </w:rPr>
              <w:t>% contribution to GDP in 2014.</w:t>
            </w:r>
            <w:r w:rsidR="007328E5" w:rsidRPr="000C03DE">
              <w:rPr>
                <w:rStyle w:val="FootnoteReference"/>
                <w:rFonts w:ascii="Times New Roman" w:hAnsi="Times New Roman" w:cs="Times New Roman"/>
                <w:sz w:val="22"/>
                <w:szCs w:val="22"/>
              </w:rPr>
              <w:footnoteReference w:id="335"/>
            </w:r>
          </w:p>
        </w:tc>
        <w:tc>
          <w:tcPr>
            <w:tcW w:w="0" w:type="auto"/>
          </w:tcPr>
          <w:p w14:paraId="01958FFA"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Communication: 1.76%</w:t>
            </w:r>
            <w:r w:rsidRPr="00C91EA2">
              <w:rPr>
                <w:rStyle w:val="FootnoteReference"/>
                <w:rFonts w:ascii="Times New Roman" w:hAnsi="Times New Roman" w:cs="Times New Roman"/>
                <w:sz w:val="22"/>
                <w:szCs w:val="22"/>
              </w:rPr>
              <w:footnoteReference w:id="336"/>
            </w:r>
          </w:p>
          <w:p w14:paraId="61C11833"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Telecoms: 4.5%</w:t>
            </w:r>
            <w:r w:rsidRPr="00C91EA2">
              <w:rPr>
                <w:rStyle w:val="FootnoteReference"/>
                <w:rFonts w:ascii="Times New Roman" w:hAnsi="Times New Roman" w:cs="Times New Roman"/>
                <w:sz w:val="22"/>
                <w:szCs w:val="22"/>
              </w:rPr>
              <w:footnoteReference w:id="337"/>
            </w:r>
          </w:p>
        </w:tc>
        <w:tc>
          <w:tcPr>
            <w:tcW w:w="0" w:type="auto"/>
          </w:tcPr>
          <w:p w14:paraId="47CA4714"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19,000 in direct formal employment.</w:t>
            </w:r>
            <w:r w:rsidRPr="00C91EA2">
              <w:rPr>
                <w:rStyle w:val="FootnoteReference"/>
                <w:rFonts w:ascii="Times New Roman" w:hAnsi="Times New Roman" w:cs="Times New Roman"/>
                <w:sz w:val="22"/>
                <w:szCs w:val="22"/>
              </w:rPr>
              <w:footnoteReference w:id="338"/>
            </w:r>
          </w:p>
        </w:tc>
        <w:tc>
          <w:tcPr>
            <w:tcW w:w="0" w:type="auto"/>
          </w:tcPr>
          <w:p w14:paraId="36159472"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 xml:space="preserve">High. Senegal had the highest </w:t>
            </w:r>
            <w:proofErr w:type="spellStart"/>
            <w:r w:rsidRPr="00C91EA2">
              <w:rPr>
                <w:rFonts w:ascii="Times New Roman" w:hAnsi="Times New Roman" w:cs="Times New Roman"/>
                <w:sz w:val="22"/>
                <w:szCs w:val="22"/>
              </w:rPr>
              <w:t>iGDP</w:t>
            </w:r>
            <w:proofErr w:type="spellEnd"/>
            <w:r w:rsidRPr="00C91EA2">
              <w:rPr>
                <w:rFonts w:ascii="Times New Roman" w:hAnsi="Times New Roman" w:cs="Times New Roman"/>
                <w:sz w:val="22"/>
                <w:szCs w:val="22"/>
              </w:rPr>
              <w:t xml:space="preserve"> in Africa in 2012.</w:t>
            </w:r>
            <w:r w:rsidRPr="00C91EA2">
              <w:rPr>
                <w:rStyle w:val="FootnoteReference"/>
                <w:rFonts w:ascii="Times New Roman" w:hAnsi="Times New Roman" w:cs="Times New Roman"/>
                <w:sz w:val="22"/>
                <w:szCs w:val="22"/>
              </w:rPr>
              <w:footnoteReference w:id="339"/>
            </w:r>
          </w:p>
        </w:tc>
        <w:tc>
          <w:tcPr>
            <w:tcW w:w="0" w:type="auto"/>
          </w:tcPr>
          <w:p w14:paraId="74ECAC82"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91EA2">
              <w:rPr>
                <w:rFonts w:ascii="Times New Roman" w:hAnsi="Times New Roman" w:cs="Times New Roman"/>
                <w:sz w:val="22"/>
                <w:szCs w:val="22"/>
              </w:rPr>
              <w:t>N/A</w:t>
            </w:r>
          </w:p>
        </w:tc>
        <w:tc>
          <w:tcPr>
            <w:tcW w:w="0" w:type="auto"/>
          </w:tcPr>
          <w:p w14:paraId="36A2E1ED" w14:textId="77777777" w:rsidR="007328E5" w:rsidRPr="00C91EA2" w:rsidRDefault="007328E5" w:rsidP="00706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C91EA2">
              <w:rPr>
                <w:rFonts w:ascii="Times New Roman" w:hAnsi="Times New Roman" w:cs="Times New Roman"/>
                <w:sz w:val="22"/>
                <w:szCs w:val="22"/>
              </w:rPr>
              <w:t>Strategie</w:t>
            </w:r>
            <w:proofErr w:type="spellEnd"/>
            <w:r w:rsidRPr="00C91EA2">
              <w:rPr>
                <w:rFonts w:ascii="Times New Roman" w:hAnsi="Times New Roman" w:cs="Times New Roman"/>
                <w:sz w:val="22"/>
                <w:szCs w:val="22"/>
              </w:rPr>
              <w:t xml:space="preserve"> Senegal </w:t>
            </w:r>
            <w:proofErr w:type="spellStart"/>
            <w:r w:rsidRPr="00C91EA2">
              <w:rPr>
                <w:rFonts w:ascii="Times New Roman" w:hAnsi="Times New Roman" w:cs="Times New Roman"/>
                <w:sz w:val="22"/>
                <w:szCs w:val="22"/>
              </w:rPr>
              <w:t>Numerique</w:t>
            </w:r>
            <w:proofErr w:type="spellEnd"/>
          </w:p>
        </w:tc>
      </w:tr>
    </w:tbl>
    <w:p w14:paraId="2C96519F" w14:textId="77777777" w:rsidR="002C7C77" w:rsidRPr="00C91EA2" w:rsidRDefault="002C7C77" w:rsidP="007328E5">
      <w:pPr>
        <w:widowControl w:val="0"/>
        <w:autoSpaceDE w:val="0"/>
        <w:autoSpaceDN w:val="0"/>
        <w:adjustRightInd w:val="0"/>
        <w:spacing w:after="240"/>
        <w:rPr>
          <w:rFonts w:ascii="Times New Roman" w:hAnsi="Times New Roman" w:cs="Times New Roman"/>
          <w:color w:val="000000"/>
        </w:rPr>
        <w:sectPr w:rsidR="002C7C77" w:rsidRPr="00C91EA2" w:rsidSect="00B41724">
          <w:pgSz w:w="15840" w:h="12240" w:orient="landscape" w:code="1"/>
          <w:pgMar w:top="1800" w:right="1440" w:bottom="1800" w:left="1440" w:header="720" w:footer="720" w:gutter="0"/>
          <w:cols w:space="720"/>
          <w:noEndnote/>
          <w:docGrid w:linePitch="326"/>
        </w:sectPr>
      </w:pPr>
    </w:p>
    <w:p w14:paraId="1DC6168F" w14:textId="77777777" w:rsidR="008256BA" w:rsidRPr="00C91EA2" w:rsidRDefault="00B37FE4" w:rsidP="008256BA">
      <w:pPr>
        <w:pStyle w:val="Heading2"/>
        <w:rPr>
          <w:rFonts w:ascii="Times New Roman" w:hAnsi="Times New Roman" w:cs="Times New Roman"/>
        </w:rPr>
      </w:pPr>
      <w:bookmarkStart w:id="368" w:name="_Toc520724130"/>
      <w:r>
        <w:rPr>
          <w:rFonts w:ascii="Times New Roman" w:hAnsi="Times New Roman" w:cs="Times New Roman"/>
        </w:rPr>
        <w:t>Annex</w:t>
      </w:r>
      <w:r w:rsidR="008256BA" w:rsidRPr="00C91EA2">
        <w:rPr>
          <w:rFonts w:ascii="Times New Roman" w:hAnsi="Times New Roman" w:cs="Times New Roman"/>
        </w:rPr>
        <w:t xml:space="preserve"> </w:t>
      </w:r>
      <w:r w:rsidR="00726079" w:rsidRPr="00C91EA2">
        <w:rPr>
          <w:rFonts w:ascii="Times New Roman" w:hAnsi="Times New Roman" w:cs="Times New Roman"/>
        </w:rPr>
        <w:t>5</w:t>
      </w:r>
      <w:r w:rsidR="008256BA" w:rsidRPr="00C91EA2">
        <w:rPr>
          <w:rFonts w:ascii="Times New Roman" w:hAnsi="Times New Roman" w:cs="Times New Roman"/>
        </w:rPr>
        <w:t>: Calculations for the “middle way” policy reforms</w:t>
      </w:r>
      <w:bookmarkEnd w:id="368"/>
    </w:p>
    <w:p w14:paraId="535C1E9A" w14:textId="77777777" w:rsidR="008256BA" w:rsidRPr="00C91EA2" w:rsidRDefault="008256BA" w:rsidP="008256BA">
      <w:pPr>
        <w:rPr>
          <w:rFonts w:ascii="Times New Roman" w:hAnsi="Times New Roman" w:cs="Times New Roman"/>
        </w:rPr>
      </w:pPr>
    </w:p>
    <w:p w14:paraId="100ECBB2" w14:textId="77777777" w:rsidR="008256BA" w:rsidRPr="00C91EA2" w:rsidRDefault="00C07779" w:rsidP="00EF29CA">
      <w:pPr>
        <w:pStyle w:val="Heading3"/>
        <w:rPr>
          <w:rFonts w:ascii="Times New Roman" w:hAnsi="Times New Roman" w:cs="Times New Roman"/>
        </w:rPr>
      </w:pPr>
      <w:bookmarkStart w:id="369" w:name="_Toc520724131"/>
      <w:r w:rsidRPr="00C91EA2">
        <w:rPr>
          <w:rFonts w:ascii="Times New Roman" w:hAnsi="Times New Roman" w:cs="Times New Roman"/>
        </w:rPr>
        <w:t>Current policy</w:t>
      </w:r>
      <w:bookmarkEnd w:id="369"/>
    </w:p>
    <w:p w14:paraId="22A925A9" w14:textId="77777777" w:rsidR="00C07779" w:rsidRPr="00C91EA2" w:rsidRDefault="00C07779" w:rsidP="00EF29CA">
      <w:pPr>
        <w:pStyle w:val="Heading4"/>
        <w:rPr>
          <w:rFonts w:ascii="Times New Roman" w:hAnsi="Times New Roman" w:cs="Times New Roman"/>
        </w:rPr>
      </w:pPr>
      <w:r w:rsidRPr="00C91EA2">
        <w:rPr>
          <w:rFonts w:ascii="Times New Roman" w:hAnsi="Times New Roman" w:cs="Times New Roman"/>
        </w:rPr>
        <w:t>Cost of subsidies</w:t>
      </w:r>
    </w:p>
    <w:p w14:paraId="4E168E80" w14:textId="4B91C22B" w:rsidR="00CA13B3" w:rsidRPr="00C91EA2" w:rsidRDefault="00C07779" w:rsidP="00EF29CA">
      <w:pPr>
        <w:jc w:val="both"/>
        <w:rPr>
          <w:rFonts w:ascii="Times New Roman" w:hAnsi="Times New Roman" w:cs="Times New Roman"/>
          <w:b/>
        </w:rPr>
      </w:pPr>
      <w:r w:rsidRPr="00C91EA2">
        <w:rPr>
          <w:rFonts w:ascii="Times New Roman" w:hAnsi="Times New Roman" w:cs="Times New Roman"/>
        </w:rPr>
        <w:t xml:space="preserve">Between the years 2005 and 2015, the </w:t>
      </w:r>
      <w:r w:rsidR="003B24ED">
        <w:rPr>
          <w:rFonts w:ascii="Times New Roman" w:hAnsi="Times New Roman" w:cs="Times New Roman"/>
        </w:rPr>
        <w:t>Government</w:t>
      </w:r>
      <w:r w:rsidRPr="00C91EA2">
        <w:rPr>
          <w:rFonts w:ascii="Times New Roman" w:hAnsi="Times New Roman" w:cs="Times New Roman"/>
        </w:rPr>
        <w:t xml:space="preserve"> spent an average of </w:t>
      </w:r>
      <w:r w:rsidR="001F39DC">
        <w:rPr>
          <w:rFonts w:ascii="Times New Roman" w:hAnsi="Times New Roman" w:cs="Times New Roman"/>
        </w:rPr>
        <w:t>F</w:t>
      </w:r>
      <w:r w:rsidR="006E2261">
        <w:rPr>
          <w:rFonts w:ascii="Times New Roman" w:hAnsi="Times New Roman" w:cs="Times New Roman"/>
        </w:rPr>
        <w:t xml:space="preserve"> </w:t>
      </w:r>
      <w:r w:rsidR="001F39DC" w:rsidRPr="00C91EA2">
        <w:rPr>
          <w:rFonts w:ascii="Times New Roman" w:hAnsi="Times New Roman" w:cs="Times New Roman"/>
        </w:rPr>
        <w:t xml:space="preserve">CFA </w:t>
      </w:r>
      <w:r w:rsidRPr="00C91EA2">
        <w:rPr>
          <w:rFonts w:ascii="Times New Roman" w:hAnsi="Times New Roman" w:cs="Times New Roman"/>
        </w:rPr>
        <w:t>4,573,688,400 subsidizing the purchasing of raw groundnuts for oil processors.</w:t>
      </w:r>
      <w:r w:rsidRPr="00C91EA2">
        <w:rPr>
          <w:rStyle w:val="FootnoteReference"/>
          <w:rFonts w:ascii="Times New Roman" w:hAnsi="Times New Roman" w:cs="Times New Roman"/>
        </w:rPr>
        <w:footnoteReference w:id="340"/>
      </w:r>
      <w:r w:rsidRPr="00C91EA2">
        <w:rPr>
          <w:rFonts w:ascii="Times New Roman" w:hAnsi="Times New Roman" w:cs="Times New Roman"/>
        </w:rPr>
        <w:t xml:space="preserve"> Furthermore, SUNEOR/SONACOS has receive</w:t>
      </w:r>
      <w:r w:rsidR="0051439D">
        <w:rPr>
          <w:rFonts w:ascii="Times New Roman" w:hAnsi="Times New Roman" w:cs="Times New Roman"/>
        </w:rPr>
        <w:t>d</w:t>
      </w:r>
      <w:r w:rsidRPr="00C91EA2">
        <w:rPr>
          <w:rFonts w:ascii="Times New Roman" w:hAnsi="Times New Roman" w:cs="Times New Roman"/>
        </w:rPr>
        <w:t xml:space="preserve"> an average of </w:t>
      </w:r>
      <w:r w:rsidR="001F39DC" w:rsidRPr="00C91EA2">
        <w:rPr>
          <w:rFonts w:ascii="Times New Roman" w:hAnsi="Times New Roman" w:cs="Times New Roman"/>
        </w:rPr>
        <w:t>F</w:t>
      </w:r>
      <w:r w:rsidR="006E2261">
        <w:rPr>
          <w:rFonts w:ascii="Times New Roman" w:hAnsi="Times New Roman" w:cs="Times New Roman"/>
        </w:rPr>
        <w:t xml:space="preserve"> </w:t>
      </w:r>
      <w:r w:rsidR="001F39DC" w:rsidRPr="00C91EA2">
        <w:rPr>
          <w:rFonts w:ascii="Times New Roman" w:hAnsi="Times New Roman" w:cs="Times New Roman"/>
        </w:rPr>
        <w:t xml:space="preserve">CFA </w:t>
      </w:r>
      <w:r w:rsidRPr="00C91EA2">
        <w:rPr>
          <w:rFonts w:ascii="Times New Roman" w:hAnsi="Times New Roman" w:cs="Times New Roman"/>
        </w:rPr>
        <w:t>17 per kg of groundnut</w:t>
      </w:r>
      <w:r w:rsidR="0075677E">
        <w:rPr>
          <w:rFonts w:ascii="Times New Roman" w:hAnsi="Times New Roman" w:cs="Times New Roman"/>
        </w:rPr>
        <w:t>s</w:t>
      </w:r>
      <w:r w:rsidRPr="00C91EA2">
        <w:rPr>
          <w:rFonts w:ascii="Times New Roman" w:hAnsi="Times New Roman" w:cs="Times New Roman"/>
        </w:rPr>
        <w:t xml:space="preserve"> in operational subsidies between the years 2011 and 2015.</w:t>
      </w:r>
      <w:r w:rsidR="009313E2" w:rsidRPr="00C91EA2">
        <w:rPr>
          <w:rStyle w:val="FootnoteReference"/>
          <w:rFonts w:ascii="Times New Roman" w:hAnsi="Times New Roman" w:cs="Times New Roman"/>
        </w:rPr>
        <w:footnoteReference w:id="341"/>
      </w:r>
      <w:r w:rsidRPr="00C91EA2">
        <w:rPr>
          <w:rFonts w:ascii="Times New Roman" w:hAnsi="Times New Roman" w:cs="Times New Roman"/>
        </w:rPr>
        <w:t xml:space="preserve"> Given SONACOS’ purchases of roughly 100,000 tons of groundnut</w:t>
      </w:r>
      <w:r w:rsidR="009A10B2">
        <w:rPr>
          <w:rFonts w:ascii="Times New Roman" w:hAnsi="Times New Roman" w:cs="Times New Roman"/>
        </w:rPr>
        <w:t>s</w:t>
      </w:r>
      <w:r w:rsidR="009313E2" w:rsidRPr="00C91EA2">
        <w:rPr>
          <w:rFonts w:ascii="Times New Roman" w:hAnsi="Times New Roman" w:cs="Times New Roman"/>
        </w:rPr>
        <w:t xml:space="preserve"> in the 2016/17 season</w:t>
      </w:r>
      <w:r w:rsidRPr="00C91EA2">
        <w:rPr>
          <w:rFonts w:ascii="Times New Roman" w:hAnsi="Times New Roman" w:cs="Times New Roman"/>
        </w:rPr>
        <w:t>,</w:t>
      </w:r>
      <w:r w:rsidR="009313E2" w:rsidRPr="00C91EA2">
        <w:rPr>
          <w:rStyle w:val="FootnoteReference"/>
          <w:rFonts w:ascii="Times New Roman" w:hAnsi="Times New Roman" w:cs="Times New Roman"/>
        </w:rPr>
        <w:footnoteReference w:id="342"/>
      </w:r>
      <w:r w:rsidR="002A06A9" w:rsidRPr="00C91EA2">
        <w:rPr>
          <w:rFonts w:ascii="Times New Roman" w:hAnsi="Times New Roman" w:cs="Times New Roman"/>
        </w:rPr>
        <w:t xml:space="preserve"> operational subsidies add up to </w:t>
      </w:r>
      <w:r w:rsidR="001F39DC" w:rsidRPr="00C91EA2">
        <w:rPr>
          <w:rFonts w:ascii="Times New Roman" w:hAnsi="Times New Roman" w:cs="Times New Roman"/>
        </w:rPr>
        <w:t xml:space="preserve">F CFA </w:t>
      </w:r>
      <w:r w:rsidR="002A06A9" w:rsidRPr="00C91EA2">
        <w:rPr>
          <w:rFonts w:ascii="Times New Roman" w:hAnsi="Times New Roman" w:cs="Times New Roman"/>
        </w:rPr>
        <w:t>1.7 bn.</w:t>
      </w:r>
      <w:r w:rsidR="00EF29CA" w:rsidRPr="00C91EA2">
        <w:rPr>
          <w:rFonts w:ascii="Times New Roman" w:hAnsi="Times New Roman" w:cs="Times New Roman"/>
        </w:rPr>
        <w:t xml:space="preserve"> </w:t>
      </w:r>
      <w:r w:rsidR="00CA13B3" w:rsidRPr="00C91EA2">
        <w:rPr>
          <w:rFonts w:ascii="Times New Roman" w:hAnsi="Times New Roman" w:cs="Times New Roman"/>
          <w:b/>
        </w:rPr>
        <w:t xml:space="preserve">The total subsidy costs therefore amount to </w:t>
      </w:r>
      <w:r w:rsidR="001F39DC" w:rsidRPr="00C91EA2">
        <w:rPr>
          <w:rFonts w:ascii="Times New Roman" w:hAnsi="Times New Roman" w:cs="Times New Roman"/>
          <w:b/>
        </w:rPr>
        <w:t xml:space="preserve">F CFA </w:t>
      </w:r>
      <w:r w:rsidR="00CA13B3" w:rsidRPr="00C91EA2">
        <w:rPr>
          <w:rFonts w:ascii="Times New Roman" w:hAnsi="Times New Roman" w:cs="Times New Roman"/>
          <w:b/>
        </w:rPr>
        <w:t>6,273,688,400</w:t>
      </w:r>
      <w:r w:rsidR="00C41B96">
        <w:rPr>
          <w:rFonts w:ascii="Times New Roman" w:hAnsi="Times New Roman" w:cs="Times New Roman"/>
          <w:b/>
        </w:rPr>
        <w:t xml:space="preserve"> (~USD 10,561,764)</w:t>
      </w:r>
      <w:r w:rsidR="00EF29CA" w:rsidRPr="00C91EA2">
        <w:rPr>
          <w:rFonts w:ascii="Times New Roman" w:hAnsi="Times New Roman" w:cs="Times New Roman"/>
          <w:b/>
        </w:rPr>
        <w:t>.</w:t>
      </w:r>
    </w:p>
    <w:p w14:paraId="526590A0" w14:textId="77777777" w:rsidR="002A06A9" w:rsidRPr="00C91EA2" w:rsidRDefault="002A06A9" w:rsidP="00EF29CA">
      <w:pPr>
        <w:jc w:val="both"/>
        <w:rPr>
          <w:rFonts w:ascii="Times New Roman" w:hAnsi="Times New Roman" w:cs="Times New Roman"/>
        </w:rPr>
      </w:pPr>
    </w:p>
    <w:p w14:paraId="1D6A38F2" w14:textId="31D2CAC8" w:rsidR="002A06A9" w:rsidRPr="00C91EA2" w:rsidRDefault="003B24ED" w:rsidP="00EF29CA">
      <w:pPr>
        <w:pStyle w:val="Heading4"/>
        <w:rPr>
          <w:rFonts w:ascii="Times New Roman" w:hAnsi="Times New Roman" w:cs="Times New Roman"/>
        </w:rPr>
      </w:pPr>
      <w:r>
        <w:rPr>
          <w:rFonts w:ascii="Times New Roman" w:hAnsi="Times New Roman" w:cs="Times New Roman"/>
        </w:rPr>
        <w:t>Government</w:t>
      </w:r>
      <w:r w:rsidR="00E26E6D" w:rsidRPr="00C91EA2">
        <w:rPr>
          <w:rFonts w:ascii="Times New Roman" w:hAnsi="Times New Roman" w:cs="Times New Roman"/>
        </w:rPr>
        <w:t xml:space="preserve"> </w:t>
      </w:r>
      <w:r w:rsidR="002A06A9" w:rsidRPr="00C91EA2">
        <w:rPr>
          <w:rFonts w:ascii="Times New Roman" w:hAnsi="Times New Roman" w:cs="Times New Roman"/>
        </w:rPr>
        <w:t>Revenues</w:t>
      </w:r>
    </w:p>
    <w:p w14:paraId="0F176832" w14:textId="6B35B93B" w:rsidR="002A06A9" w:rsidRPr="00C91EA2" w:rsidRDefault="002A06A9" w:rsidP="00EF29CA">
      <w:pPr>
        <w:jc w:val="both"/>
        <w:rPr>
          <w:rFonts w:ascii="Times New Roman" w:hAnsi="Times New Roman" w:cs="Times New Roman"/>
        </w:rPr>
      </w:pPr>
      <w:r w:rsidRPr="00C91EA2">
        <w:rPr>
          <w:rFonts w:ascii="Times New Roman" w:hAnsi="Times New Roman" w:cs="Times New Roman"/>
        </w:rPr>
        <w:t>In 2015, Senegal imported $119,987,000 worth of vegetable oils.</w:t>
      </w:r>
      <w:r w:rsidRPr="00C91EA2">
        <w:rPr>
          <w:rStyle w:val="FootnoteReference"/>
          <w:rFonts w:ascii="Times New Roman" w:hAnsi="Times New Roman" w:cs="Times New Roman"/>
        </w:rPr>
        <w:footnoteReference w:id="343"/>
      </w:r>
      <w:r w:rsidR="00874FE3" w:rsidRPr="00C91EA2">
        <w:rPr>
          <w:rFonts w:ascii="Times New Roman" w:hAnsi="Times New Roman" w:cs="Times New Roman"/>
        </w:rPr>
        <w:t xml:space="preserve"> Since the source of the data does not specify whether the imports are crude or refined, it will be assumed that all imports were refined. Since taxes on refined oil imports are higher than on crude oil imports, this likely leads to an overestimation of the revenues generated from imports. The maximum tariff rate applicable to all refined vegetable oils is 20%,</w:t>
      </w:r>
      <w:r w:rsidR="00874FE3" w:rsidRPr="00C91EA2">
        <w:rPr>
          <w:rStyle w:val="FootnoteReference"/>
          <w:rFonts w:ascii="Times New Roman" w:hAnsi="Times New Roman" w:cs="Times New Roman"/>
        </w:rPr>
        <w:footnoteReference w:id="344"/>
      </w:r>
      <w:r w:rsidR="00874FE3" w:rsidRPr="00C91EA2">
        <w:rPr>
          <w:rFonts w:ascii="Times New Roman" w:hAnsi="Times New Roman" w:cs="Times New Roman"/>
        </w:rPr>
        <w:t xml:space="preserve"> in which case the </w:t>
      </w:r>
      <w:r w:rsidR="00874FE3" w:rsidRPr="00C91EA2">
        <w:rPr>
          <w:rFonts w:ascii="Times New Roman" w:hAnsi="Times New Roman" w:cs="Times New Roman"/>
          <w:b/>
        </w:rPr>
        <w:t xml:space="preserve">earnings from import taxes add up to </w:t>
      </w:r>
      <w:r w:rsidR="006E2261">
        <w:rPr>
          <w:rFonts w:ascii="Times New Roman" w:hAnsi="Times New Roman" w:cs="Times New Roman"/>
          <w:b/>
        </w:rPr>
        <w:t>US</w:t>
      </w:r>
      <w:r w:rsidR="00874FE3" w:rsidRPr="00C91EA2">
        <w:rPr>
          <w:rFonts w:ascii="Times New Roman" w:hAnsi="Times New Roman" w:cs="Times New Roman"/>
          <w:b/>
        </w:rPr>
        <w:t xml:space="preserve">$23,997,400 or </w:t>
      </w:r>
      <w:r w:rsidR="006E2261" w:rsidRPr="00C91EA2">
        <w:rPr>
          <w:rFonts w:ascii="Times New Roman" w:hAnsi="Times New Roman" w:cs="Times New Roman"/>
          <w:b/>
        </w:rPr>
        <w:t>F CFA</w:t>
      </w:r>
      <w:r w:rsidR="006E2261" w:rsidRPr="00C91EA2">
        <w:rPr>
          <w:rFonts w:ascii="Times New Roman" w:hAnsi="Times New Roman" w:cs="Times New Roman"/>
        </w:rPr>
        <w:t xml:space="preserve"> </w:t>
      </w:r>
      <w:r w:rsidR="00874FE3" w:rsidRPr="00C91EA2">
        <w:rPr>
          <w:rFonts w:ascii="Times New Roman" w:hAnsi="Times New Roman" w:cs="Times New Roman"/>
          <w:b/>
        </w:rPr>
        <w:t xml:space="preserve">14,254,455,600 </w:t>
      </w:r>
      <w:r w:rsidR="00874FE3" w:rsidRPr="00C91EA2">
        <w:rPr>
          <w:rFonts w:ascii="Times New Roman" w:hAnsi="Times New Roman" w:cs="Times New Roman"/>
        </w:rPr>
        <w:t>(using an average 2015 exchange rate of 594 F CFA/$). However, since the actual adjusted tax rate for vegetable oil imports is higher (47% for palm oil in 2013</w:t>
      </w:r>
      <w:r w:rsidR="00874FE3" w:rsidRPr="00C91EA2">
        <w:rPr>
          <w:rStyle w:val="FootnoteReference"/>
          <w:rFonts w:ascii="Times New Roman" w:hAnsi="Times New Roman" w:cs="Times New Roman"/>
        </w:rPr>
        <w:footnoteReference w:id="345"/>
      </w:r>
      <w:r w:rsidR="00874FE3" w:rsidRPr="00C91EA2">
        <w:rPr>
          <w:rFonts w:ascii="Times New Roman" w:hAnsi="Times New Roman" w:cs="Times New Roman"/>
        </w:rPr>
        <w:t xml:space="preserve">) </w:t>
      </w:r>
      <w:r w:rsidR="00A317CA" w:rsidRPr="00C91EA2">
        <w:rPr>
          <w:rFonts w:ascii="Times New Roman" w:hAnsi="Times New Roman" w:cs="Times New Roman"/>
        </w:rPr>
        <w:t xml:space="preserve">this likely understates the generated income. </w:t>
      </w:r>
      <w:r w:rsidR="00A317CA" w:rsidRPr="00C91EA2">
        <w:rPr>
          <w:rFonts w:ascii="Times New Roman" w:hAnsi="Times New Roman" w:cs="Times New Roman"/>
          <w:b/>
        </w:rPr>
        <w:t xml:space="preserve">Using the 47% higher bound, the revenue generated from import taxes amounts to </w:t>
      </w:r>
      <w:r w:rsidR="006E2261">
        <w:rPr>
          <w:rFonts w:ascii="Times New Roman" w:hAnsi="Times New Roman" w:cs="Times New Roman"/>
          <w:b/>
        </w:rPr>
        <w:t>US</w:t>
      </w:r>
      <w:r w:rsidR="00DD512F">
        <w:rPr>
          <w:rFonts w:ascii="Times New Roman" w:hAnsi="Times New Roman" w:cs="Times New Roman"/>
          <w:b/>
        </w:rPr>
        <w:t xml:space="preserve">D </w:t>
      </w:r>
      <w:r w:rsidR="00A317CA" w:rsidRPr="00C91EA2">
        <w:rPr>
          <w:rFonts w:ascii="Times New Roman" w:hAnsi="Times New Roman" w:cs="Times New Roman"/>
          <w:b/>
        </w:rPr>
        <w:t xml:space="preserve">56,393,890 or </w:t>
      </w:r>
      <w:r w:rsidR="006E2261" w:rsidRPr="00C91EA2">
        <w:rPr>
          <w:rFonts w:ascii="Times New Roman" w:hAnsi="Times New Roman" w:cs="Times New Roman"/>
          <w:b/>
        </w:rPr>
        <w:t xml:space="preserve">F CFA </w:t>
      </w:r>
      <w:r w:rsidR="00A317CA" w:rsidRPr="00C91EA2">
        <w:rPr>
          <w:rFonts w:ascii="Times New Roman" w:hAnsi="Times New Roman" w:cs="Times New Roman"/>
          <w:b/>
        </w:rPr>
        <w:t>33,497,970,660</w:t>
      </w:r>
      <w:r w:rsidR="00A317CA" w:rsidRPr="00C91EA2">
        <w:rPr>
          <w:rFonts w:ascii="Times New Roman" w:hAnsi="Times New Roman" w:cs="Times New Roman"/>
        </w:rPr>
        <w:t>.</w:t>
      </w:r>
    </w:p>
    <w:p w14:paraId="1004F632" w14:textId="77777777" w:rsidR="00DE07CC" w:rsidRPr="00C91EA2" w:rsidRDefault="00DE07CC" w:rsidP="00EF29CA">
      <w:pPr>
        <w:jc w:val="both"/>
        <w:rPr>
          <w:rFonts w:ascii="Times New Roman" w:hAnsi="Times New Roman" w:cs="Times New Roman"/>
        </w:rPr>
      </w:pPr>
    </w:p>
    <w:p w14:paraId="2965A033" w14:textId="6D859F7E" w:rsidR="0051439D" w:rsidRDefault="00CA13B3" w:rsidP="00EF29CA">
      <w:pPr>
        <w:jc w:val="both"/>
        <w:rPr>
          <w:rFonts w:ascii="Times New Roman" w:hAnsi="Times New Roman" w:cs="Times New Roman"/>
        </w:rPr>
      </w:pPr>
      <w:r w:rsidRPr="00C91EA2">
        <w:rPr>
          <w:rFonts w:ascii="Times New Roman" w:hAnsi="Times New Roman" w:cs="Times New Roman"/>
        </w:rPr>
        <w:t xml:space="preserve">In addition to revenue from imports, the </w:t>
      </w:r>
      <w:r w:rsidR="00E64376">
        <w:rPr>
          <w:rFonts w:ascii="Times New Roman" w:hAnsi="Times New Roman" w:cs="Times New Roman"/>
        </w:rPr>
        <w:t>recently abolished</w:t>
      </w:r>
      <w:r w:rsidRPr="00C91EA2">
        <w:rPr>
          <w:rFonts w:ascii="Times New Roman" w:hAnsi="Times New Roman" w:cs="Times New Roman"/>
        </w:rPr>
        <w:t xml:space="preserve"> export tax of 15 F CFA on nuts in shell and 40 F CFA on kernel generate</w:t>
      </w:r>
      <w:r w:rsidR="00E64376">
        <w:rPr>
          <w:rFonts w:ascii="Times New Roman" w:hAnsi="Times New Roman" w:cs="Times New Roman"/>
        </w:rPr>
        <w:t>d</w:t>
      </w:r>
      <w:r w:rsidRPr="00C91EA2">
        <w:rPr>
          <w:rFonts w:ascii="Times New Roman" w:hAnsi="Times New Roman" w:cs="Times New Roman"/>
        </w:rPr>
        <w:t xml:space="preserve"> revenue for the </w:t>
      </w:r>
      <w:r w:rsidR="003B24ED">
        <w:rPr>
          <w:rFonts w:ascii="Times New Roman" w:hAnsi="Times New Roman" w:cs="Times New Roman"/>
        </w:rPr>
        <w:t>Government</w:t>
      </w:r>
      <w:r w:rsidRPr="00C91EA2">
        <w:rPr>
          <w:rFonts w:ascii="Times New Roman" w:hAnsi="Times New Roman" w:cs="Times New Roman"/>
        </w:rPr>
        <w:t xml:space="preserve">. In the absence of a break-down of exports of nuts in shell versus kernel, it will be assumed that all exports were carried out in kernel </w:t>
      </w:r>
      <w:proofErr w:type="gramStart"/>
      <w:r w:rsidRPr="00C91EA2">
        <w:rPr>
          <w:rFonts w:ascii="Times New Roman" w:hAnsi="Times New Roman" w:cs="Times New Roman"/>
        </w:rPr>
        <w:t>in order to</w:t>
      </w:r>
      <w:proofErr w:type="gramEnd"/>
      <w:r w:rsidRPr="00C91EA2">
        <w:rPr>
          <w:rFonts w:ascii="Times New Roman" w:hAnsi="Times New Roman" w:cs="Times New Roman"/>
        </w:rPr>
        <w:t xml:space="preserve"> err on the side of a higher revenue. In the 2016/17 season, 123,175,694 kg of kernel had been exported by the second to last week of the season.</w:t>
      </w:r>
      <w:r w:rsidRPr="00C91EA2">
        <w:rPr>
          <w:rStyle w:val="FootnoteReference"/>
          <w:rFonts w:ascii="Times New Roman" w:hAnsi="Times New Roman" w:cs="Times New Roman"/>
        </w:rPr>
        <w:footnoteReference w:id="346"/>
      </w:r>
      <w:r w:rsidR="00385528" w:rsidRPr="00C91EA2">
        <w:rPr>
          <w:rFonts w:ascii="Times New Roman" w:hAnsi="Times New Roman" w:cs="Times New Roman"/>
        </w:rPr>
        <w:t xml:space="preserve"> Given the 40 F CFA/kg tax, this adds up to </w:t>
      </w:r>
      <w:r w:rsidR="00385528" w:rsidRPr="00C91EA2">
        <w:rPr>
          <w:rFonts w:ascii="Times New Roman" w:hAnsi="Times New Roman" w:cs="Times New Roman"/>
          <w:b/>
        </w:rPr>
        <w:t xml:space="preserve">export tax revenue of </w:t>
      </w:r>
      <w:r w:rsidR="006E2261" w:rsidRPr="00C91EA2">
        <w:rPr>
          <w:rFonts w:ascii="Times New Roman" w:hAnsi="Times New Roman" w:cs="Times New Roman"/>
          <w:b/>
        </w:rPr>
        <w:t>F CFA</w:t>
      </w:r>
      <w:r w:rsidR="006E2261">
        <w:rPr>
          <w:rFonts w:ascii="Times New Roman" w:hAnsi="Times New Roman" w:cs="Times New Roman"/>
          <w:b/>
        </w:rPr>
        <w:t xml:space="preserve"> </w:t>
      </w:r>
      <w:r w:rsidR="00385528" w:rsidRPr="00C91EA2">
        <w:rPr>
          <w:rFonts w:ascii="Times New Roman" w:hAnsi="Times New Roman" w:cs="Times New Roman"/>
          <w:b/>
        </w:rPr>
        <w:t xml:space="preserve">4,927,027,760 </w:t>
      </w:r>
      <w:r w:rsidR="00C41B96">
        <w:rPr>
          <w:rFonts w:ascii="Times New Roman" w:hAnsi="Times New Roman" w:cs="Times New Roman"/>
          <w:b/>
        </w:rPr>
        <w:t xml:space="preserve">or USD 8,294,660 </w:t>
      </w:r>
      <w:r w:rsidR="00E64376">
        <w:rPr>
          <w:rFonts w:ascii="Times New Roman" w:hAnsi="Times New Roman" w:cs="Times New Roman"/>
          <w:b/>
        </w:rPr>
        <w:t>prior to the suspension of the tax</w:t>
      </w:r>
      <w:r w:rsidR="00385528" w:rsidRPr="00C91EA2">
        <w:rPr>
          <w:rFonts w:ascii="Times New Roman" w:hAnsi="Times New Roman" w:cs="Times New Roman"/>
        </w:rPr>
        <w:t>.</w:t>
      </w:r>
    </w:p>
    <w:p w14:paraId="3ABF9BAB" w14:textId="77777777" w:rsidR="0051439D" w:rsidRDefault="0051439D" w:rsidP="00EF29CA">
      <w:pPr>
        <w:jc w:val="both"/>
        <w:rPr>
          <w:rFonts w:ascii="Times New Roman" w:hAnsi="Times New Roman" w:cs="Times New Roman"/>
        </w:rPr>
      </w:pPr>
    </w:p>
    <w:p w14:paraId="63C3D279" w14:textId="736DB9E0" w:rsidR="007D5935" w:rsidRPr="007575D7" w:rsidRDefault="00E26E6D" w:rsidP="00EF29CA">
      <w:pPr>
        <w:jc w:val="both"/>
        <w:rPr>
          <w:rFonts w:ascii="Times New Roman" w:eastAsia="Times New Roman" w:hAnsi="Times New Roman" w:cs="Times New Roman"/>
          <w:b/>
          <w:color w:val="000000"/>
        </w:rPr>
      </w:pPr>
      <w:r w:rsidRPr="00C91EA2">
        <w:rPr>
          <w:rFonts w:ascii="Times New Roman" w:hAnsi="Times New Roman" w:cs="Times New Roman"/>
          <w:b/>
        </w:rPr>
        <w:t xml:space="preserve">Revenue from import and export </w:t>
      </w:r>
      <w:r w:rsidRPr="007D5935">
        <w:rPr>
          <w:rFonts w:ascii="Times New Roman" w:hAnsi="Times New Roman" w:cs="Times New Roman"/>
          <w:b/>
        </w:rPr>
        <w:t>taxes therefore lie</w:t>
      </w:r>
      <w:r w:rsidR="00297955">
        <w:rPr>
          <w:rFonts w:ascii="Times New Roman" w:hAnsi="Times New Roman" w:cs="Times New Roman"/>
          <w:b/>
        </w:rPr>
        <w:t>d</w:t>
      </w:r>
      <w:r w:rsidRPr="007D5935">
        <w:rPr>
          <w:rFonts w:ascii="Times New Roman" w:hAnsi="Times New Roman" w:cs="Times New Roman"/>
          <w:b/>
        </w:rPr>
        <w:t xml:space="preserve"> between 19,181,433,360 F CFA and </w:t>
      </w:r>
      <w:r w:rsidR="006E2261" w:rsidRPr="007D5935">
        <w:rPr>
          <w:rFonts w:ascii="Times New Roman" w:hAnsi="Times New Roman" w:cs="Times New Roman"/>
          <w:b/>
        </w:rPr>
        <w:t xml:space="preserve">F CFA </w:t>
      </w:r>
      <w:r w:rsidRPr="007D5935">
        <w:rPr>
          <w:rFonts w:ascii="Times New Roman" w:hAnsi="Times New Roman" w:cs="Times New Roman"/>
          <w:b/>
        </w:rPr>
        <w:t xml:space="preserve">38,424,998,420 per </w:t>
      </w:r>
      <w:r w:rsidRPr="00B43A9C">
        <w:rPr>
          <w:rFonts w:ascii="Times New Roman" w:hAnsi="Times New Roman" w:cs="Times New Roman"/>
          <w:b/>
        </w:rPr>
        <w:t>year</w:t>
      </w:r>
      <w:r w:rsidR="00C41B96" w:rsidRPr="00B43A9C">
        <w:rPr>
          <w:rFonts w:ascii="Times New Roman" w:hAnsi="Times New Roman" w:cs="Times New Roman"/>
          <w:b/>
        </w:rPr>
        <w:t xml:space="preserve"> (USD </w:t>
      </w:r>
      <w:r w:rsidR="00B43A9C">
        <w:rPr>
          <w:rFonts w:ascii="Times New Roman" w:eastAsia="Times New Roman" w:hAnsi="Times New Roman" w:cs="Times New Roman"/>
          <w:b/>
          <w:color w:val="000000"/>
        </w:rPr>
        <w:t>32,291,975</w:t>
      </w:r>
      <w:r w:rsidR="00C41B96" w:rsidRPr="007575D7">
        <w:rPr>
          <w:rFonts w:ascii="Times New Roman" w:eastAsia="Times New Roman" w:hAnsi="Times New Roman" w:cs="Times New Roman"/>
          <w:b/>
          <w:color w:val="000000"/>
        </w:rPr>
        <w:t xml:space="preserve"> to</w:t>
      </w:r>
      <w:r w:rsidR="00B43A9C">
        <w:rPr>
          <w:rFonts w:ascii="Times New Roman" w:eastAsia="Times New Roman" w:hAnsi="Times New Roman" w:cs="Times New Roman"/>
          <w:b/>
          <w:color w:val="000000"/>
        </w:rPr>
        <w:t xml:space="preserve"> USD</w:t>
      </w:r>
      <w:r w:rsidR="00C41B96" w:rsidRPr="007575D7">
        <w:rPr>
          <w:rFonts w:ascii="Times New Roman" w:eastAsia="Times New Roman" w:hAnsi="Times New Roman" w:cs="Times New Roman"/>
          <w:b/>
          <w:color w:val="000000"/>
        </w:rPr>
        <w:t xml:space="preserve"> </w:t>
      </w:r>
      <w:r w:rsidR="00B43A9C">
        <w:rPr>
          <w:rFonts w:ascii="Times New Roman" w:eastAsia="Times New Roman" w:hAnsi="Times New Roman" w:cs="Times New Roman"/>
          <w:b/>
          <w:color w:val="000000"/>
        </w:rPr>
        <w:t>64,688,550</w:t>
      </w:r>
      <w:r w:rsidR="00C41B96" w:rsidRPr="007575D7">
        <w:rPr>
          <w:rFonts w:ascii="Times New Roman" w:eastAsia="Times New Roman" w:hAnsi="Times New Roman" w:cs="Times New Roman"/>
          <w:b/>
          <w:color w:val="000000"/>
        </w:rPr>
        <w:t>)</w:t>
      </w:r>
      <w:r w:rsidR="00EF29CA" w:rsidRPr="00B43A9C">
        <w:rPr>
          <w:rFonts w:ascii="Times New Roman" w:hAnsi="Times New Roman" w:cs="Times New Roman"/>
          <w:b/>
        </w:rPr>
        <w:t>.</w:t>
      </w:r>
      <w:r w:rsidR="001B401D" w:rsidRPr="00B43A9C">
        <w:rPr>
          <w:rFonts w:ascii="Times New Roman" w:hAnsi="Times New Roman" w:cs="Times New Roman"/>
          <w:b/>
        </w:rPr>
        <w:t xml:space="preserve"> Subsidies</w:t>
      </w:r>
      <w:r w:rsidR="001B401D" w:rsidRPr="007D5935">
        <w:rPr>
          <w:rFonts w:ascii="Times New Roman" w:hAnsi="Times New Roman" w:cs="Times New Roman"/>
          <w:b/>
        </w:rPr>
        <w:t xml:space="preserve"> cost the </w:t>
      </w:r>
      <w:r w:rsidR="003B24ED">
        <w:rPr>
          <w:rFonts w:ascii="Times New Roman" w:hAnsi="Times New Roman" w:cs="Times New Roman"/>
          <w:b/>
        </w:rPr>
        <w:t>Government</w:t>
      </w:r>
      <w:r w:rsidR="001B401D" w:rsidRPr="007D5935">
        <w:rPr>
          <w:rFonts w:ascii="Times New Roman" w:hAnsi="Times New Roman" w:cs="Times New Roman"/>
          <w:b/>
        </w:rPr>
        <w:t xml:space="preserve"> </w:t>
      </w:r>
      <w:r w:rsidR="00872EF6">
        <w:rPr>
          <w:rFonts w:ascii="Times New Roman" w:hAnsi="Times New Roman" w:cs="Times New Roman"/>
          <w:b/>
        </w:rPr>
        <w:t xml:space="preserve">F CFA </w:t>
      </w:r>
      <w:r w:rsidR="001B401D" w:rsidRPr="007D5935">
        <w:rPr>
          <w:rFonts w:ascii="Times New Roman" w:hAnsi="Times New Roman" w:cs="Times New Roman"/>
          <w:b/>
        </w:rPr>
        <w:t>6,273,688,400</w:t>
      </w:r>
      <w:r w:rsidR="00C41B96">
        <w:rPr>
          <w:rFonts w:ascii="Times New Roman" w:hAnsi="Times New Roman" w:cs="Times New Roman"/>
          <w:b/>
        </w:rPr>
        <w:t xml:space="preserve"> (ca. </w:t>
      </w:r>
      <w:r w:rsidR="00C41B96" w:rsidRPr="00DD512F">
        <w:rPr>
          <w:rFonts w:ascii="Times New Roman" w:hAnsi="Times New Roman" w:cs="Times New Roman"/>
          <w:b/>
        </w:rPr>
        <w:t xml:space="preserve">USD </w:t>
      </w:r>
      <w:r w:rsidR="00C41B96" w:rsidRPr="007575D7">
        <w:rPr>
          <w:rFonts w:ascii="Times New Roman" w:eastAsia="Times New Roman" w:hAnsi="Times New Roman" w:cs="Times New Roman"/>
          <w:b/>
          <w:color w:val="000000"/>
        </w:rPr>
        <w:t>10,561,764.98)</w:t>
      </w:r>
      <w:r w:rsidR="00297955" w:rsidRPr="00DD512F">
        <w:rPr>
          <w:rFonts w:ascii="Times New Roman" w:hAnsi="Times New Roman" w:cs="Times New Roman"/>
          <w:b/>
        </w:rPr>
        <w:t>.</w:t>
      </w:r>
    </w:p>
    <w:p w14:paraId="6A6E669D" w14:textId="77777777" w:rsidR="007D5935" w:rsidRDefault="007D5935" w:rsidP="00EF29CA">
      <w:pPr>
        <w:jc w:val="both"/>
        <w:rPr>
          <w:rFonts w:ascii="Times New Roman" w:hAnsi="Times New Roman" w:cs="Times New Roman"/>
          <w:b/>
        </w:rPr>
      </w:pPr>
    </w:p>
    <w:p w14:paraId="28637C23" w14:textId="4C02F05D" w:rsidR="00E26E6D" w:rsidRPr="007575D7" w:rsidRDefault="00E26E6D" w:rsidP="00EF29CA">
      <w:pPr>
        <w:jc w:val="both"/>
        <w:rPr>
          <w:rFonts w:ascii="Calibri" w:eastAsia="Times New Roman" w:hAnsi="Calibri" w:cs="Calibri"/>
          <w:color w:val="000000"/>
          <w:sz w:val="22"/>
          <w:szCs w:val="22"/>
        </w:rPr>
      </w:pPr>
      <w:r w:rsidRPr="007D5935">
        <w:rPr>
          <w:rFonts w:ascii="Times New Roman" w:hAnsi="Times New Roman" w:cs="Times New Roman"/>
        </w:rPr>
        <w:sym w:font="Wingdings" w:char="F0E0"/>
      </w:r>
      <w:r w:rsidRPr="007D5935">
        <w:rPr>
          <w:rFonts w:ascii="Times New Roman" w:hAnsi="Times New Roman" w:cs="Times New Roman"/>
        </w:rPr>
        <w:t xml:space="preserve"> Overall, therefore</w:t>
      </w:r>
      <w:r w:rsidR="00EF29CA" w:rsidRPr="007D5935">
        <w:rPr>
          <w:rFonts w:ascii="Times New Roman" w:hAnsi="Times New Roman" w:cs="Times New Roman"/>
        </w:rPr>
        <w:t>,</w:t>
      </w:r>
      <w:r w:rsidRPr="007D5935">
        <w:rPr>
          <w:rFonts w:ascii="Times New Roman" w:hAnsi="Times New Roman" w:cs="Times New Roman"/>
        </w:rPr>
        <w:t xml:space="preserve"> </w:t>
      </w:r>
      <w:r w:rsidRPr="007D5935">
        <w:rPr>
          <w:rFonts w:ascii="Times New Roman" w:hAnsi="Times New Roman" w:cs="Times New Roman"/>
          <w:b/>
        </w:rPr>
        <w:t xml:space="preserve">the policy </w:t>
      </w:r>
      <w:r w:rsidR="00297955">
        <w:rPr>
          <w:rFonts w:ascii="Times New Roman" w:hAnsi="Times New Roman" w:cs="Times New Roman"/>
          <w:b/>
        </w:rPr>
        <w:t xml:space="preserve">prior to the abolishment of purchasing subsidies and the suspension of the export tax </w:t>
      </w:r>
      <w:r w:rsidRPr="007D5935">
        <w:rPr>
          <w:rFonts w:ascii="Times New Roman" w:hAnsi="Times New Roman" w:cs="Times New Roman"/>
          <w:b/>
        </w:rPr>
        <w:t>generate</w:t>
      </w:r>
      <w:r w:rsidR="00297955">
        <w:rPr>
          <w:rFonts w:ascii="Times New Roman" w:hAnsi="Times New Roman" w:cs="Times New Roman"/>
          <w:b/>
        </w:rPr>
        <w:t>d</w:t>
      </w:r>
      <w:r w:rsidRPr="00C91EA2">
        <w:rPr>
          <w:rFonts w:ascii="Times New Roman" w:hAnsi="Times New Roman" w:cs="Times New Roman"/>
          <w:b/>
        </w:rPr>
        <w:t xml:space="preserve"> revenues for the </w:t>
      </w:r>
      <w:r w:rsidR="003B24ED">
        <w:rPr>
          <w:rFonts w:ascii="Times New Roman" w:hAnsi="Times New Roman" w:cs="Times New Roman"/>
          <w:b/>
        </w:rPr>
        <w:t>Government</w:t>
      </w:r>
      <w:r w:rsidRPr="00C91EA2">
        <w:rPr>
          <w:rFonts w:ascii="Times New Roman" w:hAnsi="Times New Roman" w:cs="Times New Roman"/>
          <w:b/>
        </w:rPr>
        <w:t xml:space="preserve"> between </w:t>
      </w:r>
      <w:r w:rsidR="00A35035" w:rsidRPr="00C91EA2">
        <w:rPr>
          <w:rFonts w:ascii="Times New Roman" w:hAnsi="Times New Roman" w:cs="Times New Roman"/>
          <w:b/>
        </w:rPr>
        <w:t xml:space="preserve">F CFA </w:t>
      </w:r>
      <w:r w:rsidRPr="00C91EA2">
        <w:rPr>
          <w:rFonts w:ascii="Times New Roman" w:hAnsi="Times New Roman" w:cs="Times New Roman"/>
          <w:b/>
        </w:rPr>
        <w:t xml:space="preserve">12,907,794,960 and </w:t>
      </w:r>
      <w:r w:rsidR="00A35035" w:rsidRPr="00C91EA2">
        <w:rPr>
          <w:rFonts w:ascii="Times New Roman" w:hAnsi="Times New Roman" w:cs="Times New Roman"/>
          <w:b/>
        </w:rPr>
        <w:t xml:space="preserve">F CFA </w:t>
      </w:r>
      <w:r w:rsidRPr="00C91EA2">
        <w:rPr>
          <w:rFonts w:ascii="Times New Roman" w:hAnsi="Times New Roman" w:cs="Times New Roman"/>
          <w:b/>
        </w:rPr>
        <w:t>32,151,310,</w:t>
      </w:r>
      <w:r w:rsidRPr="00B43A9C">
        <w:rPr>
          <w:rFonts w:ascii="Times New Roman" w:hAnsi="Times New Roman" w:cs="Times New Roman"/>
          <w:b/>
        </w:rPr>
        <w:t>020</w:t>
      </w:r>
      <w:r w:rsidR="00C41B96" w:rsidRPr="00B43A9C">
        <w:rPr>
          <w:rFonts w:ascii="Times New Roman" w:hAnsi="Times New Roman" w:cs="Times New Roman"/>
          <w:b/>
        </w:rPr>
        <w:t xml:space="preserve"> (</w:t>
      </w:r>
      <w:r w:rsidR="00B43A9C">
        <w:rPr>
          <w:rFonts w:ascii="Times New Roman" w:hAnsi="Times New Roman" w:cs="Times New Roman"/>
          <w:b/>
        </w:rPr>
        <w:t xml:space="preserve">between USD </w:t>
      </w:r>
      <w:r w:rsidR="00B43A9C">
        <w:rPr>
          <w:rFonts w:ascii="Times New Roman" w:eastAsia="Times New Roman" w:hAnsi="Times New Roman" w:cs="Times New Roman"/>
          <w:b/>
          <w:color w:val="000000"/>
        </w:rPr>
        <w:t>21,730,295</w:t>
      </w:r>
      <w:r w:rsidR="00C41B96" w:rsidRPr="007575D7">
        <w:rPr>
          <w:rFonts w:ascii="Times New Roman" w:eastAsia="Times New Roman" w:hAnsi="Times New Roman" w:cs="Times New Roman"/>
          <w:b/>
          <w:color w:val="000000"/>
        </w:rPr>
        <w:t xml:space="preserve"> </w:t>
      </w:r>
      <w:r w:rsidR="00B43A9C">
        <w:rPr>
          <w:rFonts w:ascii="Times New Roman" w:eastAsia="Times New Roman" w:hAnsi="Times New Roman" w:cs="Times New Roman"/>
          <w:b/>
          <w:color w:val="000000"/>
        </w:rPr>
        <w:t>and USD 54,126,785</w:t>
      </w:r>
      <w:r w:rsidR="00C41B96" w:rsidRPr="007575D7">
        <w:rPr>
          <w:rFonts w:ascii="Times New Roman" w:eastAsia="Times New Roman" w:hAnsi="Times New Roman" w:cs="Times New Roman"/>
          <w:b/>
          <w:color w:val="000000"/>
        </w:rPr>
        <w:t>)</w:t>
      </w:r>
      <w:r w:rsidRPr="00B43A9C">
        <w:rPr>
          <w:rFonts w:ascii="Times New Roman" w:hAnsi="Times New Roman" w:cs="Times New Roman"/>
          <w:b/>
        </w:rPr>
        <w:t>.</w:t>
      </w:r>
    </w:p>
    <w:p w14:paraId="0B9E2229" w14:textId="77777777" w:rsidR="00E26E6D" w:rsidRPr="00C91EA2" w:rsidRDefault="00E26E6D" w:rsidP="00EF29CA">
      <w:pPr>
        <w:jc w:val="both"/>
        <w:rPr>
          <w:rFonts w:ascii="Times New Roman" w:hAnsi="Times New Roman" w:cs="Times New Roman"/>
        </w:rPr>
      </w:pPr>
    </w:p>
    <w:p w14:paraId="4C913165" w14:textId="77777777" w:rsidR="00E26E6D" w:rsidRPr="00C91EA2" w:rsidRDefault="00E26E6D" w:rsidP="00EF29CA">
      <w:pPr>
        <w:pStyle w:val="Heading4"/>
        <w:rPr>
          <w:rFonts w:ascii="Times New Roman" w:hAnsi="Times New Roman" w:cs="Times New Roman"/>
        </w:rPr>
      </w:pPr>
      <w:r w:rsidRPr="00C91EA2">
        <w:rPr>
          <w:rFonts w:ascii="Times New Roman" w:hAnsi="Times New Roman" w:cs="Times New Roman"/>
        </w:rPr>
        <w:t>Oil processor losses</w:t>
      </w:r>
    </w:p>
    <w:p w14:paraId="7920D9DD" w14:textId="561A8D78" w:rsidR="00E26E6D" w:rsidRPr="007575D7" w:rsidRDefault="00E26E6D" w:rsidP="00EF29CA">
      <w:pPr>
        <w:jc w:val="both"/>
        <w:rPr>
          <w:rFonts w:ascii="Calibri" w:eastAsia="Times New Roman" w:hAnsi="Calibri" w:cs="Calibri"/>
          <w:color w:val="000000"/>
          <w:sz w:val="22"/>
          <w:szCs w:val="22"/>
        </w:rPr>
      </w:pPr>
      <w:r w:rsidRPr="00C91EA2">
        <w:rPr>
          <w:rFonts w:ascii="Times New Roman" w:hAnsi="Times New Roman" w:cs="Times New Roman"/>
        </w:rPr>
        <w:t>SONACOS has made lo</w:t>
      </w:r>
      <w:r w:rsidR="00391A6D" w:rsidRPr="00C91EA2">
        <w:rPr>
          <w:rFonts w:ascii="Times New Roman" w:hAnsi="Times New Roman" w:cs="Times New Roman"/>
        </w:rPr>
        <w:t xml:space="preserve">sses in the past 3 years. In 2014, the loss amounted to </w:t>
      </w:r>
      <w:r w:rsidR="00A35035" w:rsidRPr="00C91EA2">
        <w:rPr>
          <w:rFonts w:ascii="Times New Roman" w:hAnsi="Times New Roman" w:cs="Times New Roman"/>
        </w:rPr>
        <w:t xml:space="preserve">F CFA </w:t>
      </w:r>
      <w:r w:rsidR="00391A6D" w:rsidRPr="00C91EA2">
        <w:rPr>
          <w:rFonts w:ascii="Times New Roman" w:hAnsi="Times New Roman" w:cs="Times New Roman"/>
        </w:rPr>
        <w:t>35 per kg of nuts in shell. This was taken as reference as it precedes the influx of Chinese exporters challenging the processors’ ability to purchase throughput, because it is the smallest loss in these past 3 years between 2014 and 2016 and because 2014 was a year where throughput was similar to that of the on-going year (106,084 tons in 2014 compared to roughly 100,000 in 2017).</w:t>
      </w:r>
      <w:r w:rsidR="00391A6D" w:rsidRPr="00C91EA2">
        <w:rPr>
          <w:rStyle w:val="FootnoteReference"/>
          <w:rFonts w:ascii="Times New Roman" w:hAnsi="Times New Roman" w:cs="Times New Roman"/>
        </w:rPr>
        <w:footnoteReference w:id="347"/>
      </w:r>
      <w:r w:rsidR="00010A40" w:rsidRPr="00C91EA2">
        <w:rPr>
          <w:rFonts w:ascii="Times New Roman" w:hAnsi="Times New Roman" w:cs="Times New Roman"/>
        </w:rPr>
        <w:t xml:space="preserve"> Assuming similar profit margins for all oil processors and total purchased quantities of 160,000 tons of raw nuts,</w:t>
      </w:r>
      <w:r w:rsidR="00010A40" w:rsidRPr="00C91EA2">
        <w:rPr>
          <w:rStyle w:val="FootnoteReference"/>
          <w:rFonts w:ascii="Times New Roman" w:hAnsi="Times New Roman" w:cs="Times New Roman"/>
        </w:rPr>
        <w:footnoteReference w:id="348"/>
      </w:r>
      <w:r w:rsidR="00010A40" w:rsidRPr="00C91EA2">
        <w:rPr>
          <w:rFonts w:ascii="Times New Roman" w:hAnsi="Times New Roman" w:cs="Times New Roman"/>
        </w:rPr>
        <w:t xml:space="preserve"> the </w:t>
      </w:r>
      <w:r w:rsidR="00010A40" w:rsidRPr="00C91EA2">
        <w:rPr>
          <w:rFonts w:ascii="Times New Roman" w:hAnsi="Times New Roman" w:cs="Times New Roman"/>
          <w:b/>
        </w:rPr>
        <w:t xml:space="preserve">oil processors’ losses for this season </w:t>
      </w:r>
      <w:r w:rsidR="004500BA" w:rsidRPr="00C91EA2">
        <w:rPr>
          <w:rFonts w:ascii="Times New Roman" w:hAnsi="Times New Roman" w:cs="Times New Roman"/>
          <w:b/>
        </w:rPr>
        <w:t xml:space="preserve">amount to </w:t>
      </w:r>
      <w:r w:rsidR="00A35035" w:rsidRPr="00C91EA2">
        <w:rPr>
          <w:rFonts w:ascii="Times New Roman" w:hAnsi="Times New Roman" w:cs="Times New Roman"/>
          <w:b/>
        </w:rPr>
        <w:t xml:space="preserve">F CFA </w:t>
      </w:r>
      <w:r w:rsidR="004500BA" w:rsidRPr="00C91EA2">
        <w:rPr>
          <w:rFonts w:ascii="Times New Roman" w:hAnsi="Times New Roman" w:cs="Times New Roman"/>
          <w:b/>
        </w:rPr>
        <w:t xml:space="preserve">5.6 </w:t>
      </w:r>
      <w:proofErr w:type="spellStart"/>
      <w:r w:rsidR="004500BA" w:rsidRPr="00C91EA2">
        <w:rPr>
          <w:rFonts w:ascii="Times New Roman" w:hAnsi="Times New Roman" w:cs="Times New Roman"/>
          <w:b/>
        </w:rPr>
        <w:t>bn</w:t>
      </w:r>
      <w:proofErr w:type="spellEnd"/>
      <w:r w:rsidR="00C41B96">
        <w:rPr>
          <w:rFonts w:ascii="Times New Roman" w:hAnsi="Times New Roman" w:cs="Times New Roman"/>
          <w:b/>
        </w:rPr>
        <w:t xml:space="preserve"> (</w:t>
      </w:r>
      <w:r w:rsidR="00B43A9C">
        <w:rPr>
          <w:rFonts w:ascii="Times New Roman" w:hAnsi="Times New Roman" w:cs="Times New Roman"/>
          <w:b/>
        </w:rPr>
        <w:t xml:space="preserve">ca. USD </w:t>
      </w:r>
      <w:r w:rsidR="00C41B96" w:rsidRPr="007575D7">
        <w:rPr>
          <w:rFonts w:ascii="Times New Roman" w:eastAsia="Times New Roman" w:hAnsi="Times New Roman" w:cs="Times New Roman"/>
          <w:b/>
          <w:color w:val="000000"/>
        </w:rPr>
        <w:t>9,427,609.43</w:t>
      </w:r>
      <w:r w:rsidR="00C41B96" w:rsidRPr="00B43A9C">
        <w:rPr>
          <w:rFonts w:ascii="Times New Roman" w:hAnsi="Times New Roman" w:cs="Times New Roman"/>
          <w:b/>
        </w:rPr>
        <w:t>)</w:t>
      </w:r>
      <w:r w:rsidR="0015275F" w:rsidRPr="007575D7">
        <w:rPr>
          <w:rFonts w:ascii="Times New Roman" w:hAnsi="Times New Roman" w:cs="Times New Roman"/>
          <w:b/>
        </w:rPr>
        <w:t>.</w:t>
      </w:r>
    </w:p>
    <w:p w14:paraId="7C52DBE2" w14:textId="77777777" w:rsidR="0015275F" w:rsidRPr="00C91EA2" w:rsidRDefault="0015275F" w:rsidP="00EF29CA">
      <w:pPr>
        <w:jc w:val="both"/>
        <w:rPr>
          <w:rFonts w:ascii="Times New Roman" w:hAnsi="Times New Roman" w:cs="Times New Roman"/>
        </w:rPr>
      </w:pPr>
    </w:p>
    <w:p w14:paraId="11CA5CD3" w14:textId="77777777" w:rsidR="0015275F" w:rsidRPr="00C91EA2" w:rsidRDefault="0015275F" w:rsidP="00EF29CA">
      <w:pPr>
        <w:pStyle w:val="Heading4"/>
        <w:rPr>
          <w:rFonts w:ascii="Times New Roman" w:hAnsi="Times New Roman" w:cs="Times New Roman"/>
        </w:rPr>
      </w:pPr>
      <w:r w:rsidRPr="00C91EA2">
        <w:rPr>
          <w:rFonts w:ascii="Times New Roman" w:hAnsi="Times New Roman" w:cs="Times New Roman"/>
        </w:rPr>
        <w:t>Overall value chain profits</w:t>
      </w:r>
    </w:p>
    <w:p w14:paraId="1B57B789" w14:textId="141DF160" w:rsidR="0015275F" w:rsidRPr="007575D7" w:rsidRDefault="0015275F" w:rsidP="00EF29CA">
      <w:pPr>
        <w:jc w:val="both"/>
        <w:rPr>
          <w:rFonts w:ascii="Calibri" w:eastAsia="Times New Roman" w:hAnsi="Calibri" w:cs="Calibri"/>
          <w:color w:val="000000"/>
          <w:sz w:val="22"/>
          <w:szCs w:val="22"/>
        </w:rPr>
      </w:pPr>
      <w:r w:rsidRPr="00C91EA2">
        <w:rPr>
          <w:rFonts w:ascii="Times New Roman" w:hAnsi="Times New Roman" w:cs="Times New Roman"/>
        </w:rPr>
        <w:t xml:space="preserve">Combining the </w:t>
      </w:r>
      <w:r w:rsidR="003B24ED">
        <w:rPr>
          <w:rFonts w:ascii="Times New Roman" w:hAnsi="Times New Roman" w:cs="Times New Roman"/>
        </w:rPr>
        <w:t>Government</w:t>
      </w:r>
      <w:r w:rsidRPr="00C91EA2">
        <w:rPr>
          <w:rFonts w:ascii="Times New Roman" w:hAnsi="Times New Roman" w:cs="Times New Roman"/>
        </w:rPr>
        <w:t xml:space="preserve">’s revenue and the processors’ losses means </w:t>
      </w:r>
      <w:r w:rsidRPr="00C91EA2">
        <w:rPr>
          <w:rFonts w:ascii="Times New Roman" w:hAnsi="Times New Roman" w:cs="Times New Roman"/>
          <w:b/>
        </w:rPr>
        <w:t xml:space="preserve">that the value chain creates total profits between </w:t>
      </w:r>
      <w:r w:rsidR="00A35035" w:rsidRPr="00C91EA2">
        <w:rPr>
          <w:rFonts w:ascii="Times New Roman" w:hAnsi="Times New Roman" w:cs="Times New Roman"/>
          <w:b/>
        </w:rPr>
        <w:t xml:space="preserve">F CFA </w:t>
      </w:r>
      <w:r w:rsidRPr="00C91EA2">
        <w:rPr>
          <w:rFonts w:ascii="Times New Roman" w:hAnsi="Times New Roman" w:cs="Times New Roman"/>
          <w:b/>
        </w:rPr>
        <w:t>7,307,794,960</w:t>
      </w:r>
      <w:r w:rsidR="00C41B96">
        <w:rPr>
          <w:rFonts w:ascii="Times New Roman" w:hAnsi="Times New Roman" w:cs="Times New Roman"/>
          <w:b/>
        </w:rPr>
        <w:t xml:space="preserve"> (</w:t>
      </w:r>
      <w:r w:rsidR="00B43A9C">
        <w:rPr>
          <w:rFonts w:ascii="Times New Roman" w:hAnsi="Times New Roman" w:cs="Times New Roman"/>
          <w:b/>
        </w:rPr>
        <w:t xml:space="preserve">USD </w:t>
      </w:r>
      <w:r w:rsidR="00C41B96" w:rsidRPr="007575D7">
        <w:rPr>
          <w:rFonts w:ascii="Times New Roman" w:eastAsia="Times New Roman" w:hAnsi="Times New Roman" w:cs="Times New Roman"/>
          <w:b/>
          <w:color w:val="000000"/>
        </w:rPr>
        <w:t>12,302,685.12</w:t>
      </w:r>
      <w:r w:rsidR="00C41B96" w:rsidRPr="00B43A9C">
        <w:rPr>
          <w:rFonts w:ascii="Times New Roman" w:hAnsi="Times New Roman" w:cs="Times New Roman"/>
          <w:b/>
        </w:rPr>
        <w:t>)</w:t>
      </w:r>
      <w:r w:rsidRPr="00B43A9C">
        <w:rPr>
          <w:rFonts w:ascii="Times New Roman" w:hAnsi="Times New Roman" w:cs="Times New Roman"/>
          <w:b/>
        </w:rPr>
        <w:t xml:space="preserve"> </w:t>
      </w:r>
      <w:r w:rsidRPr="00C91EA2">
        <w:rPr>
          <w:rFonts w:ascii="Times New Roman" w:hAnsi="Times New Roman" w:cs="Times New Roman"/>
          <w:b/>
        </w:rPr>
        <w:t xml:space="preserve">and </w:t>
      </w:r>
      <w:r w:rsidR="00A35035" w:rsidRPr="00C91EA2">
        <w:rPr>
          <w:rFonts w:ascii="Times New Roman" w:hAnsi="Times New Roman" w:cs="Times New Roman"/>
          <w:b/>
        </w:rPr>
        <w:t xml:space="preserve">F CFA </w:t>
      </w:r>
      <w:r w:rsidRPr="00C91EA2">
        <w:rPr>
          <w:rFonts w:ascii="Times New Roman" w:hAnsi="Times New Roman" w:cs="Times New Roman"/>
          <w:b/>
        </w:rPr>
        <w:t>26,551,310,020</w:t>
      </w:r>
      <w:r w:rsidR="00C41B96">
        <w:rPr>
          <w:rFonts w:ascii="Times New Roman" w:hAnsi="Times New Roman" w:cs="Times New Roman"/>
          <w:b/>
        </w:rPr>
        <w:t xml:space="preserve"> (</w:t>
      </w:r>
      <w:r w:rsidR="00442577">
        <w:rPr>
          <w:rFonts w:ascii="Times New Roman" w:hAnsi="Times New Roman" w:cs="Times New Roman"/>
          <w:b/>
        </w:rPr>
        <w:t xml:space="preserve">ca. </w:t>
      </w:r>
      <w:r w:rsidR="00B43A9C">
        <w:rPr>
          <w:rFonts w:ascii="Times New Roman" w:hAnsi="Times New Roman" w:cs="Times New Roman"/>
          <w:b/>
        </w:rPr>
        <w:t xml:space="preserve">USD </w:t>
      </w:r>
      <w:r w:rsidR="00C41B96" w:rsidRPr="007575D7">
        <w:rPr>
          <w:rFonts w:ascii="Times New Roman" w:eastAsia="Times New Roman" w:hAnsi="Times New Roman" w:cs="Times New Roman"/>
          <w:b/>
          <w:color w:val="000000"/>
        </w:rPr>
        <w:t>44,699,175.12)</w:t>
      </w:r>
      <w:r w:rsidRPr="007575D7">
        <w:rPr>
          <w:rFonts w:ascii="Times New Roman" w:hAnsi="Times New Roman" w:cs="Times New Roman"/>
          <w:b/>
        </w:rPr>
        <w:t>.</w:t>
      </w:r>
    </w:p>
    <w:p w14:paraId="0F28D50B" w14:textId="77777777" w:rsidR="000D490B" w:rsidRPr="00C91EA2" w:rsidRDefault="000D490B" w:rsidP="00EF29CA">
      <w:pPr>
        <w:jc w:val="both"/>
        <w:rPr>
          <w:rFonts w:ascii="Times New Roman" w:hAnsi="Times New Roman" w:cs="Times New Roman"/>
        </w:rPr>
      </w:pPr>
    </w:p>
    <w:p w14:paraId="2C81CB68" w14:textId="77777777" w:rsidR="000D490B" w:rsidRPr="00C91EA2" w:rsidRDefault="000D490B" w:rsidP="00EF29CA">
      <w:pPr>
        <w:pStyle w:val="Heading3"/>
        <w:rPr>
          <w:rFonts w:ascii="Times New Roman" w:hAnsi="Times New Roman" w:cs="Times New Roman"/>
        </w:rPr>
      </w:pPr>
      <w:bookmarkStart w:id="370" w:name="_Toc520724132"/>
      <w:r w:rsidRPr="00C91EA2">
        <w:rPr>
          <w:rFonts w:ascii="Times New Roman" w:hAnsi="Times New Roman" w:cs="Times New Roman"/>
        </w:rPr>
        <w:t>Reform scenario “middle way”</w:t>
      </w:r>
      <w:bookmarkEnd w:id="370"/>
    </w:p>
    <w:p w14:paraId="0A652868" w14:textId="77777777" w:rsidR="0074089B" w:rsidRPr="00C91EA2" w:rsidRDefault="0074089B" w:rsidP="00EF29CA">
      <w:pPr>
        <w:pStyle w:val="Heading4"/>
        <w:rPr>
          <w:rFonts w:ascii="Times New Roman" w:hAnsi="Times New Roman" w:cs="Times New Roman"/>
        </w:rPr>
      </w:pPr>
      <w:r w:rsidRPr="00C91EA2">
        <w:rPr>
          <w:rFonts w:ascii="Times New Roman" w:hAnsi="Times New Roman" w:cs="Times New Roman"/>
        </w:rPr>
        <w:t>Fiscal implications</w:t>
      </w:r>
    </w:p>
    <w:p w14:paraId="65CBC62A" w14:textId="31FA3EF5" w:rsidR="0074089B" w:rsidRPr="007575D7" w:rsidRDefault="0074089B" w:rsidP="00EF29CA">
      <w:pPr>
        <w:jc w:val="both"/>
        <w:rPr>
          <w:rFonts w:ascii="Calibri" w:eastAsia="Times New Roman" w:hAnsi="Calibri" w:cs="Calibri"/>
          <w:color w:val="000000"/>
          <w:sz w:val="22"/>
          <w:szCs w:val="22"/>
        </w:rPr>
      </w:pPr>
      <w:r w:rsidRPr="00C91EA2">
        <w:rPr>
          <w:rFonts w:ascii="Times New Roman" w:hAnsi="Times New Roman" w:cs="Times New Roman"/>
        </w:rPr>
        <w:t xml:space="preserve">Given the suggested phasing out of export taxes on kernel and </w:t>
      </w:r>
      <w:r w:rsidR="00FC3503" w:rsidRPr="00C91EA2">
        <w:rPr>
          <w:rFonts w:ascii="Times New Roman" w:hAnsi="Times New Roman" w:cs="Times New Roman"/>
        </w:rPr>
        <w:t xml:space="preserve">maintaining the abolition of </w:t>
      </w:r>
      <w:r w:rsidRPr="00C91EA2">
        <w:rPr>
          <w:rFonts w:ascii="Times New Roman" w:hAnsi="Times New Roman" w:cs="Times New Roman"/>
        </w:rPr>
        <w:t>the various subsidies</w:t>
      </w:r>
      <w:r w:rsidR="00FC3503" w:rsidRPr="00C91EA2">
        <w:rPr>
          <w:rFonts w:ascii="Times New Roman" w:hAnsi="Times New Roman" w:cs="Times New Roman"/>
        </w:rPr>
        <w:t xml:space="preserve">, </w:t>
      </w:r>
      <w:r w:rsidR="00FC3503" w:rsidRPr="00C91EA2">
        <w:rPr>
          <w:rFonts w:ascii="Times New Roman" w:hAnsi="Times New Roman" w:cs="Times New Roman"/>
          <w:b/>
        </w:rPr>
        <w:t xml:space="preserve">the </w:t>
      </w:r>
      <w:r w:rsidR="003B24ED">
        <w:rPr>
          <w:rFonts w:ascii="Times New Roman" w:hAnsi="Times New Roman" w:cs="Times New Roman"/>
          <w:b/>
        </w:rPr>
        <w:t>Government</w:t>
      </w:r>
      <w:r w:rsidR="00FC3503" w:rsidRPr="00C91EA2">
        <w:rPr>
          <w:rFonts w:ascii="Times New Roman" w:hAnsi="Times New Roman" w:cs="Times New Roman"/>
          <w:b/>
        </w:rPr>
        <w:t xml:space="preserve"> would stand to lose its revenue of between </w:t>
      </w:r>
      <w:r w:rsidR="001A549E" w:rsidRPr="00C91EA2">
        <w:rPr>
          <w:rFonts w:ascii="Times New Roman" w:hAnsi="Times New Roman" w:cs="Times New Roman"/>
          <w:b/>
        </w:rPr>
        <w:t xml:space="preserve">F CFA </w:t>
      </w:r>
      <w:r w:rsidR="00FC3503" w:rsidRPr="00C91EA2">
        <w:rPr>
          <w:rFonts w:ascii="Times New Roman" w:hAnsi="Times New Roman" w:cs="Times New Roman"/>
          <w:b/>
        </w:rPr>
        <w:t>13 and 32 billion</w:t>
      </w:r>
      <w:r w:rsidR="00DD512F">
        <w:rPr>
          <w:rFonts w:ascii="Times New Roman" w:hAnsi="Times New Roman" w:cs="Times New Roman"/>
          <w:b/>
        </w:rPr>
        <w:t xml:space="preserve"> (</w:t>
      </w:r>
      <w:r w:rsidR="00A35CEB" w:rsidRPr="00A35CEB">
        <w:rPr>
          <w:rFonts w:ascii="Times New Roman" w:hAnsi="Times New Roman" w:cs="Times New Roman"/>
          <w:b/>
        </w:rPr>
        <w:t xml:space="preserve">USD </w:t>
      </w:r>
      <w:r w:rsidR="00A35CEB" w:rsidRPr="007575D7">
        <w:rPr>
          <w:rFonts w:ascii="Times New Roman" w:eastAsia="Times New Roman" w:hAnsi="Times New Roman" w:cs="Times New Roman"/>
          <w:b/>
          <w:color w:val="000000"/>
          <w:sz w:val="22"/>
          <w:szCs w:val="22"/>
        </w:rPr>
        <w:t xml:space="preserve">21,885,522 to USD </w:t>
      </w:r>
      <w:r w:rsidR="00DD512F" w:rsidRPr="007575D7">
        <w:rPr>
          <w:rFonts w:ascii="Times New Roman" w:eastAsia="Times New Roman" w:hAnsi="Times New Roman" w:cs="Times New Roman"/>
          <w:b/>
          <w:color w:val="000000"/>
          <w:sz w:val="22"/>
          <w:szCs w:val="22"/>
        </w:rPr>
        <w:t>53,872,05</w:t>
      </w:r>
      <w:r w:rsidR="00A35CEB" w:rsidRPr="007575D7">
        <w:rPr>
          <w:rFonts w:ascii="Times New Roman" w:eastAsia="Times New Roman" w:hAnsi="Times New Roman" w:cs="Times New Roman"/>
          <w:b/>
          <w:color w:val="000000"/>
          <w:sz w:val="22"/>
          <w:szCs w:val="22"/>
        </w:rPr>
        <w:t>4</w:t>
      </w:r>
      <w:r w:rsidR="00DD512F" w:rsidRPr="00A35CEB">
        <w:rPr>
          <w:rFonts w:ascii="Times New Roman" w:hAnsi="Times New Roman" w:cs="Times New Roman"/>
          <w:b/>
        </w:rPr>
        <w:t>)</w:t>
      </w:r>
      <w:r w:rsidR="00BD10E5" w:rsidRPr="00C91EA2">
        <w:rPr>
          <w:rFonts w:ascii="Times New Roman" w:hAnsi="Times New Roman" w:cs="Times New Roman"/>
          <w:b/>
        </w:rPr>
        <w:t>.</w:t>
      </w:r>
    </w:p>
    <w:p w14:paraId="557E35CA" w14:textId="77777777" w:rsidR="00FC3503" w:rsidRPr="00C91EA2" w:rsidRDefault="00FC3503" w:rsidP="00EF29CA">
      <w:pPr>
        <w:jc w:val="both"/>
        <w:rPr>
          <w:rFonts w:ascii="Times New Roman" w:hAnsi="Times New Roman" w:cs="Times New Roman"/>
        </w:rPr>
      </w:pPr>
    </w:p>
    <w:p w14:paraId="65E25BE0" w14:textId="77777777" w:rsidR="00FC3503" w:rsidRPr="00C91EA2" w:rsidRDefault="00FC3503" w:rsidP="00EF29CA">
      <w:pPr>
        <w:pStyle w:val="Heading4"/>
        <w:rPr>
          <w:rFonts w:ascii="Times New Roman" w:hAnsi="Times New Roman" w:cs="Times New Roman"/>
        </w:rPr>
      </w:pPr>
      <w:r w:rsidRPr="00C91EA2">
        <w:rPr>
          <w:rFonts w:ascii="Times New Roman" w:hAnsi="Times New Roman" w:cs="Times New Roman"/>
        </w:rPr>
        <w:t>Export revenue</w:t>
      </w:r>
    </w:p>
    <w:p w14:paraId="37EB83E1" w14:textId="4E6AF7F3" w:rsidR="001B401D" w:rsidRDefault="00287C82" w:rsidP="00BD10E5">
      <w:pPr>
        <w:jc w:val="both"/>
        <w:rPr>
          <w:rFonts w:ascii="Times New Roman" w:hAnsi="Times New Roman" w:cs="Times New Roman"/>
        </w:rPr>
      </w:pPr>
      <w:r>
        <w:rPr>
          <w:rFonts w:ascii="Times New Roman" w:hAnsi="Times New Roman" w:cs="Times New Roman"/>
        </w:rPr>
        <w:t>The following assumes that the current price differential between the minimum price set by the CNIA (i.e. the price typically paid in practice by OPS) and the price paid by exporters is almost wholly explained by greater seller power held by farmers relative to exporters than relative to OPS who tend to operate under collective decisions made at the CNIA, coupled with a greater willingness to pay from exporters due to favorable whole groundnut pries on international markets compared to the price local processors would be willing to pay g</w:t>
      </w:r>
      <w:r w:rsidR="00297955">
        <w:rPr>
          <w:rFonts w:ascii="Times New Roman" w:hAnsi="Times New Roman" w:cs="Times New Roman"/>
        </w:rPr>
        <w:t>i</w:t>
      </w:r>
      <w:r>
        <w:rPr>
          <w:rFonts w:ascii="Times New Roman" w:hAnsi="Times New Roman" w:cs="Times New Roman"/>
        </w:rPr>
        <w:t>ven the prices of groundnut oil and local processing costs.</w:t>
      </w:r>
      <w:r w:rsidRPr="00C91EA2">
        <w:rPr>
          <w:rFonts w:ascii="Times New Roman" w:hAnsi="Times New Roman" w:cs="Times New Roman"/>
        </w:rPr>
        <w:t xml:space="preserve"> </w:t>
      </w:r>
      <w:r>
        <w:rPr>
          <w:rFonts w:ascii="Times New Roman" w:hAnsi="Times New Roman" w:cs="Times New Roman"/>
        </w:rPr>
        <w:t>Under this assumption, if</w:t>
      </w:r>
      <w:r w:rsidRPr="00C91EA2">
        <w:rPr>
          <w:rFonts w:ascii="Times New Roman" w:hAnsi="Times New Roman" w:cs="Times New Roman"/>
        </w:rPr>
        <w:t xml:space="preserve"> the </w:t>
      </w:r>
      <w:r w:rsidR="00FC3503" w:rsidRPr="00C91EA2">
        <w:rPr>
          <w:rFonts w:ascii="Times New Roman" w:hAnsi="Times New Roman" w:cs="Times New Roman"/>
        </w:rPr>
        <w:t>proposed market reforms take place, farmers should be able to sell more to exporters at higher prices. In recent years Senegal has produced a total of around 1m tons of groundnuts.</w:t>
      </w:r>
      <w:r w:rsidR="00FC3503" w:rsidRPr="00C91EA2">
        <w:rPr>
          <w:rStyle w:val="FootnoteReference"/>
          <w:rFonts w:ascii="Times New Roman" w:hAnsi="Times New Roman" w:cs="Times New Roman"/>
        </w:rPr>
        <w:footnoteReference w:id="349"/>
      </w:r>
      <w:r w:rsidR="00FC3503" w:rsidRPr="00C91EA2">
        <w:rPr>
          <w:rFonts w:ascii="Times New Roman" w:hAnsi="Times New Roman" w:cs="Times New Roman"/>
        </w:rPr>
        <w:t xml:space="preserve"> Assuming that 350,000 tons continue to be consumed locally and another 150,000 are lost due to challenges in post-harvest handling,</w:t>
      </w:r>
      <w:r w:rsidR="00FC3503" w:rsidRPr="00C91EA2">
        <w:rPr>
          <w:rStyle w:val="FootnoteReference"/>
          <w:rFonts w:ascii="Times New Roman" w:hAnsi="Times New Roman" w:cs="Times New Roman"/>
        </w:rPr>
        <w:footnoteReference w:id="350"/>
      </w:r>
      <w:r w:rsidR="00115F76" w:rsidRPr="00C91EA2">
        <w:rPr>
          <w:rFonts w:ascii="Times New Roman" w:hAnsi="Times New Roman" w:cs="Times New Roman"/>
        </w:rPr>
        <w:t xml:space="preserve"> roughly 500,000 tons of groundnut</w:t>
      </w:r>
      <w:r w:rsidR="005139A0">
        <w:rPr>
          <w:rFonts w:ascii="Times New Roman" w:hAnsi="Times New Roman" w:cs="Times New Roman"/>
        </w:rPr>
        <w:t>s</w:t>
      </w:r>
      <w:r w:rsidR="00115F76" w:rsidRPr="00C91EA2">
        <w:rPr>
          <w:rFonts w:ascii="Times New Roman" w:hAnsi="Times New Roman" w:cs="Times New Roman"/>
        </w:rPr>
        <w:t xml:space="preserve"> would be available for export</w:t>
      </w:r>
      <w:r w:rsidR="00BB65A8" w:rsidRPr="00C91EA2">
        <w:rPr>
          <w:rFonts w:ascii="Times New Roman" w:hAnsi="Times New Roman" w:cs="Times New Roman"/>
        </w:rPr>
        <w:t>. Using a conversion rate between nuts in shell and kernel of 57.228%,</w:t>
      </w:r>
      <w:r w:rsidR="00BB65A8" w:rsidRPr="00C91EA2">
        <w:rPr>
          <w:rStyle w:val="FootnoteReference"/>
          <w:rFonts w:ascii="Times New Roman" w:hAnsi="Times New Roman" w:cs="Times New Roman"/>
        </w:rPr>
        <w:footnoteReference w:id="351"/>
      </w:r>
      <w:r w:rsidR="00BB65A8" w:rsidRPr="00C91EA2">
        <w:rPr>
          <w:rFonts w:ascii="Times New Roman" w:hAnsi="Times New Roman" w:cs="Times New Roman"/>
        </w:rPr>
        <w:t xml:space="preserve"> this yields</w:t>
      </w:r>
      <w:r w:rsidR="00A65FFF" w:rsidRPr="00C91EA2">
        <w:rPr>
          <w:rFonts w:ascii="Times New Roman" w:hAnsi="Times New Roman" w:cs="Times New Roman"/>
        </w:rPr>
        <w:t xml:space="preserve"> 286,140 tons of kernel available for export. </w:t>
      </w:r>
      <w:r w:rsidR="001F393F" w:rsidRPr="00C91EA2">
        <w:rPr>
          <w:rFonts w:ascii="Times New Roman" w:hAnsi="Times New Roman" w:cs="Times New Roman"/>
        </w:rPr>
        <w:t>Given that global exports of groundnuts in recent years have exceeded 3 million tons and have almost reached 4 million in 2016/17,</w:t>
      </w:r>
      <w:r w:rsidR="001F393F" w:rsidRPr="00C91EA2">
        <w:rPr>
          <w:rStyle w:val="FootnoteReference"/>
          <w:rFonts w:ascii="Times New Roman" w:hAnsi="Times New Roman" w:cs="Times New Roman"/>
        </w:rPr>
        <w:footnoteReference w:id="352"/>
      </w:r>
      <w:r w:rsidR="001F393F" w:rsidRPr="00C91EA2">
        <w:rPr>
          <w:rFonts w:ascii="Times New Roman" w:hAnsi="Times New Roman" w:cs="Times New Roman"/>
        </w:rPr>
        <w:t xml:space="preserve"> it is assumed that the global market could absorb Senegalese exports. At a current price of </w:t>
      </w:r>
      <w:r w:rsidR="002E3D23">
        <w:rPr>
          <w:rFonts w:ascii="Times New Roman" w:hAnsi="Times New Roman" w:cs="Times New Roman"/>
        </w:rPr>
        <w:t>US</w:t>
      </w:r>
      <w:r w:rsidR="001A549E">
        <w:rPr>
          <w:rFonts w:ascii="Times New Roman" w:hAnsi="Times New Roman" w:cs="Times New Roman"/>
        </w:rPr>
        <w:t>D</w:t>
      </w:r>
      <w:r w:rsidR="001F393F" w:rsidRPr="00C91EA2">
        <w:rPr>
          <w:rFonts w:ascii="Times New Roman" w:hAnsi="Times New Roman" w:cs="Times New Roman"/>
        </w:rPr>
        <w:t xml:space="preserve">1.89 per kg of groundnut kernel, the Senegalese </w:t>
      </w:r>
      <w:r w:rsidR="00A72B4A" w:rsidRPr="00C91EA2">
        <w:rPr>
          <w:rFonts w:ascii="Times New Roman" w:hAnsi="Times New Roman" w:cs="Times New Roman"/>
        </w:rPr>
        <w:t xml:space="preserve">groundnut market would generate net revenue of </w:t>
      </w:r>
      <w:r w:rsidR="002E3D23">
        <w:rPr>
          <w:rFonts w:ascii="Times New Roman" w:hAnsi="Times New Roman" w:cs="Times New Roman"/>
        </w:rPr>
        <w:t>US</w:t>
      </w:r>
      <w:r w:rsidR="001A549E">
        <w:rPr>
          <w:rFonts w:ascii="Times New Roman" w:hAnsi="Times New Roman" w:cs="Times New Roman"/>
        </w:rPr>
        <w:t>D</w:t>
      </w:r>
      <w:r w:rsidR="00A72B4A" w:rsidRPr="00C91EA2">
        <w:rPr>
          <w:rFonts w:ascii="Times New Roman" w:hAnsi="Times New Roman" w:cs="Times New Roman"/>
        </w:rPr>
        <w:t>540,804,600 or</w:t>
      </w:r>
      <w:r w:rsidR="00BD10E5" w:rsidRPr="00C91EA2">
        <w:rPr>
          <w:rFonts w:ascii="Times New Roman" w:hAnsi="Times New Roman" w:cs="Times New Roman"/>
        </w:rPr>
        <w:t xml:space="preserve"> </w:t>
      </w:r>
      <w:r w:rsidR="00A35035" w:rsidRPr="00C91EA2">
        <w:rPr>
          <w:rFonts w:ascii="Times New Roman" w:hAnsi="Times New Roman" w:cs="Times New Roman"/>
        </w:rPr>
        <w:t xml:space="preserve">F CFA </w:t>
      </w:r>
      <w:r w:rsidR="00BD10E5" w:rsidRPr="00C91EA2">
        <w:rPr>
          <w:rFonts w:ascii="Times New Roman" w:hAnsi="Times New Roman" w:cs="Times New Roman"/>
        </w:rPr>
        <w:t xml:space="preserve">302,850,576,000 (using an </w:t>
      </w:r>
      <w:r w:rsidR="00A72B4A" w:rsidRPr="00C91EA2">
        <w:rPr>
          <w:rFonts w:ascii="Times New Roman" w:hAnsi="Times New Roman" w:cs="Times New Roman"/>
        </w:rPr>
        <w:t>exchange rate of 560 F CFA/</w:t>
      </w:r>
      <w:r w:rsidR="001A549E">
        <w:rPr>
          <w:rFonts w:ascii="Times New Roman" w:hAnsi="Times New Roman" w:cs="Times New Roman"/>
        </w:rPr>
        <w:t>USD</w:t>
      </w:r>
      <w:r w:rsidR="00A72B4A" w:rsidRPr="00C91EA2">
        <w:rPr>
          <w:rFonts w:ascii="Times New Roman" w:hAnsi="Times New Roman" w:cs="Times New Roman"/>
        </w:rPr>
        <w:t xml:space="preserve">). Taking the farmgate prices paid by exporters in the 2015/16 season for raw groundnuts of between 250 and 300 F CFA per kg as the production cost, this yields net profits for the Senegalese value chain of between </w:t>
      </w:r>
      <w:r w:rsidR="00A35035" w:rsidRPr="00C91EA2">
        <w:rPr>
          <w:rFonts w:ascii="Times New Roman" w:hAnsi="Times New Roman" w:cs="Times New Roman"/>
        </w:rPr>
        <w:t xml:space="preserve">F CFA </w:t>
      </w:r>
      <w:r w:rsidR="00A72B4A" w:rsidRPr="00C91EA2">
        <w:rPr>
          <w:rFonts w:ascii="Times New Roman" w:hAnsi="Times New Roman" w:cs="Times New Roman"/>
        </w:rPr>
        <w:t xml:space="preserve">152,850,576,000 and </w:t>
      </w:r>
      <w:r w:rsidR="00A35035" w:rsidRPr="00C91EA2">
        <w:rPr>
          <w:rFonts w:ascii="Times New Roman" w:hAnsi="Times New Roman" w:cs="Times New Roman"/>
        </w:rPr>
        <w:t xml:space="preserve">F CFA </w:t>
      </w:r>
      <w:r w:rsidR="00A72B4A" w:rsidRPr="00C91EA2">
        <w:rPr>
          <w:rFonts w:ascii="Times New Roman" w:hAnsi="Times New Roman" w:cs="Times New Roman"/>
        </w:rPr>
        <w:t>177,850,576,000.</w:t>
      </w:r>
    </w:p>
    <w:p w14:paraId="612F30F8" w14:textId="77777777" w:rsidR="001B401D" w:rsidRDefault="001B401D" w:rsidP="00BD10E5">
      <w:pPr>
        <w:jc w:val="both"/>
        <w:rPr>
          <w:rFonts w:ascii="Times New Roman" w:hAnsi="Times New Roman" w:cs="Times New Roman"/>
        </w:rPr>
      </w:pPr>
    </w:p>
    <w:p w14:paraId="6A7678F3" w14:textId="78B709FA" w:rsidR="00A72B4A" w:rsidRPr="007575D7" w:rsidRDefault="00BD10E5" w:rsidP="00BD10E5">
      <w:pPr>
        <w:jc w:val="both"/>
        <w:rPr>
          <w:rFonts w:ascii="Times New Roman" w:eastAsia="Times New Roman" w:hAnsi="Times New Roman" w:cs="Times New Roman"/>
          <w:b/>
          <w:color w:val="000000"/>
        </w:rPr>
      </w:pPr>
      <w:r w:rsidRPr="00C91EA2">
        <w:rPr>
          <w:rFonts w:ascii="Times New Roman" w:hAnsi="Times New Roman" w:cs="Times New Roman"/>
        </w:rPr>
        <w:t xml:space="preserve">In summary, </w:t>
      </w:r>
      <w:r w:rsidRPr="00C91EA2">
        <w:rPr>
          <w:rFonts w:ascii="Times New Roman" w:hAnsi="Times New Roman" w:cs="Times New Roman"/>
          <w:b/>
        </w:rPr>
        <w:t>b</w:t>
      </w:r>
      <w:r w:rsidR="00A72B4A" w:rsidRPr="00C91EA2">
        <w:rPr>
          <w:rFonts w:ascii="Times New Roman" w:hAnsi="Times New Roman" w:cs="Times New Roman"/>
          <w:b/>
        </w:rPr>
        <w:t xml:space="preserve">y switching to producing for whole nut exports as opposed to domestic groundnut oil production, the Senegalese groundnut market stands to generate profits between </w:t>
      </w:r>
      <w:r w:rsidR="00A35035" w:rsidRPr="00C91EA2">
        <w:rPr>
          <w:rFonts w:ascii="Times New Roman" w:hAnsi="Times New Roman" w:cs="Times New Roman"/>
          <w:b/>
        </w:rPr>
        <w:t xml:space="preserve">F CFA </w:t>
      </w:r>
      <w:r w:rsidR="00A72B4A" w:rsidRPr="00C91EA2">
        <w:rPr>
          <w:rFonts w:ascii="Times New Roman" w:hAnsi="Times New Roman" w:cs="Times New Roman"/>
          <w:b/>
        </w:rPr>
        <w:t>153 and 178 billion</w:t>
      </w:r>
      <w:r w:rsidR="00DD512F">
        <w:rPr>
          <w:rFonts w:ascii="Times New Roman" w:hAnsi="Times New Roman" w:cs="Times New Roman"/>
          <w:b/>
        </w:rPr>
        <w:t xml:space="preserve"> (</w:t>
      </w:r>
      <w:r w:rsidR="00A35CEB">
        <w:rPr>
          <w:rFonts w:ascii="Times New Roman" w:hAnsi="Times New Roman" w:cs="Times New Roman"/>
          <w:b/>
        </w:rPr>
        <w:t xml:space="preserve">between USD </w:t>
      </w:r>
      <w:r w:rsidR="00A35CEB">
        <w:rPr>
          <w:rFonts w:ascii="Times New Roman" w:eastAsia="Times New Roman" w:hAnsi="Times New Roman" w:cs="Times New Roman"/>
          <w:b/>
          <w:color w:val="000000"/>
        </w:rPr>
        <w:t>257,575,758</w:t>
      </w:r>
      <w:r w:rsidR="00DD512F" w:rsidRPr="007575D7">
        <w:rPr>
          <w:rFonts w:ascii="Times New Roman" w:eastAsia="Times New Roman" w:hAnsi="Times New Roman" w:cs="Times New Roman"/>
          <w:b/>
          <w:color w:val="000000"/>
        </w:rPr>
        <w:t xml:space="preserve"> and 299,663,</w:t>
      </w:r>
      <w:r w:rsidR="00A35CEB">
        <w:rPr>
          <w:rFonts w:ascii="Times New Roman" w:eastAsia="Times New Roman" w:hAnsi="Times New Roman" w:cs="Times New Roman"/>
          <w:b/>
          <w:color w:val="000000"/>
        </w:rPr>
        <w:t>300</w:t>
      </w:r>
      <w:r w:rsidR="00DD512F" w:rsidRPr="007575D7">
        <w:rPr>
          <w:rFonts w:ascii="Times New Roman" w:eastAsia="Times New Roman" w:hAnsi="Times New Roman" w:cs="Times New Roman"/>
          <w:b/>
          <w:color w:val="000000"/>
        </w:rPr>
        <w:t>)</w:t>
      </w:r>
      <w:r w:rsidR="00A72B4A" w:rsidRPr="007575D7">
        <w:rPr>
          <w:rFonts w:ascii="Times New Roman" w:hAnsi="Times New Roman" w:cs="Times New Roman"/>
          <w:b/>
        </w:rPr>
        <w:t>.</w:t>
      </w:r>
    </w:p>
    <w:p w14:paraId="5E0B00D4" w14:textId="77777777" w:rsidR="004448DD" w:rsidRPr="00C91EA2" w:rsidRDefault="004448DD" w:rsidP="00EF29CA">
      <w:pPr>
        <w:jc w:val="both"/>
        <w:rPr>
          <w:rFonts w:ascii="Times New Roman" w:hAnsi="Times New Roman" w:cs="Times New Roman"/>
        </w:rPr>
      </w:pPr>
    </w:p>
    <w:p w14:paraId="672BBD33" w14:textId="77777777" w:rsidR="004448DD" w:rsidRPr="00C91EA2" w:rsidRDefault="00557665" w:rsidP="00EF29CA">
      <w:pPr>
        <w:pStyle w:val="Heading4"/>
        <w:rPr>
          <w:rFonts w:ascii="Times New Roman" w:hAnsi="Times New Roman" w:cs="Times New Roman"/>
        </w:rPr>
      </w:pPr>
      <w:r w:rsidRPr="00C91EA2">
        <w:rPr>
          <w:rFonts w:ascii="Times New Roman" w:hAnsi="Times New Roman" w:cs="Times New Roman"/>
        </w:rPr>
        <w:t>Processors’ profits</w:t>
      </w:r>
    </w:p>
    <w:p w14:paraId="140634DB" w14:textId="3505F475" w:rsidR="008A7F24" w:rsidRPr="008A7F24" w:rsidRDefault="00557665" w:rsidP="008A7F24">
      <w:pPr>
        <w:jc w:val="both"/>
        <w:rPr>
          <w:rFonts w:ascii="Calibri" w:eastAsia="Times New Roman" w:hAnsi="Calibri" w:cs="Calibri"/>
          <w:color w:val="000000"/>
          <w:sz w:val="22"/>
          <w:szCs w:val="22"/>
        </w:rPr>
      </w:pPr>
      <w:r w:rsidRPr="00C91EA2">
        <w:rPr>
          <w:rFonts w:ascii="Times New Roman" w:hAnsi="Times New Roman" w:cs="Times New Roman"/>
        </w:rPr>
        <w:t>To make up for foregone revenue from groundnut oil production, domestic oil producers could focus on the refining of imported crude palm oil. Domestic demand for groundnut oil has averaged 12,000 tons in between 2010 and 2016.</w:t>
      </w:r>
      <w:r w:rsidRPr="00C91EA2">
        <w:rPr>
          <w:rStyle w:val="FootnoteReference"/>
          <w:rFonts w:ascii="Times New Roman" w:hAnsi="Times New Roman" w:cs="Times New Roman"/>
        </w:rPr>
        <w:footnoteReference w:id="353"/>
      </w:r>
      <w:r w:rsidRPr="00C91EA2">
        <w:rPr>
          <w:rFonts w:ascii="Times New Roman" w:hAnsi="Times New Roman" w:cs="Times New Roman"/>
        </w:rPr>
        <w:t xml:space="preserve"> This demand</w:t>
      </w:r>
      <w:r w:rsidR="00F23696" w:rsidRPr="00C91EA2">
        <w:rPr>
          <w:rFonts w:ascii="Times New Roman" w:hAnsi="Times New Roman" w:cs="Times New Roman"/>
        </w:rPr>
        <w:t>, equivalent to 13,143,768 liters,</w:t>
      </w:r>
      <w:r w:rsidR="00F23696" w:rsidRPr="00C91EA2">
        <w:rPr>
          <w:rStyle w:val="FootnoteReference"/>
          <w:rFonts w:ascii="Times New Roman" w:hAnsi="Times New Roman" w:cs="Times New Roman"/>
        </w:rPr>
        <w:footnoteReference w:id="354"/>
      </w:r>
      <w:r w:rsidRPr="00C91EA2">
        <w:rPr>
          <w:rFonts w:ascii="Times New Roman" w:hAnsi="Times New Roman" w:cs="Times New Roman"/>
        </w:rPr>
        <w:t xml:space="preserve"> would have to be covered by imported </w:t>
      </w:r>
      <w:r w:rsidR="00F23696" w:rsidRPr="00C91EA2">
        <w:rPr>
          <w:rFonts w:ascii="Times New Roman" w:hAnsi="Times New Roman" w:cs="Times New Roman"/>
        </w:rPr>
        <w:t>palm oils.</w:t>
      </w:r>
      <w:r w:rsidRPr="00C91EA2">
        <w:rPr>
          <w:rFonts w:ascii="Times New Roman" w:hAnsi="Times New Roman" w:cs="Times New Roman"/>
        </w:rPr>
        <w:t xml:space="preserve"> </w:t>
      </w:r>
      <w:r w:rsidR="00F23696" w:rsidRPr="00C91EA2">
        <w:rPr>
          <w:rFonts w:ascii="Times New Roman" w:hAnsi="Times New Roman" w:cs="Times New Roman"/>
        </w:rPr>
        <w:t xml:space="preserve">Given an international palm oil price of </w:t>
      </w:r>
      <w:r w:rsidR="002E3D23">
        <w:rPr>
          <w:rFonts w:ascii="Times New Roman" w:hAnsi="Times New Roman" w:cs="Times New Roman"/>
        </w:rPr>
        <w:t>US</w:t>
      </w:r>
      <w:r w:rsidR="00F23696" w:rsidRPr="00C91EA2">
        <w:rPr>
          <w:rFonts w:ascii="Times New Roman" w:hAnsi="Times New Roman" w:cs="Times New Roman"/>
        </w:rPr>
        <w:t>$0.55 or 306.76 F CFA per liter and a conversion rate of 0.95 between crude and refined palm oil,</w:t>
      </w:r>
      <w:r w:rsidR="00F23696" w:rsidRPr="00C91EA2">
        <w:rPr>
          <w:rStyle w:val="FootnoteReference"/>
          <w:rFonts w:ascii="Times New Roman" w:hAnsi="Times New Roman" w:cs="Times New Roman"/>
        </w:rPr>
        <w:footnoteReference w:id="355"/>
      </w:r>
      <w:r w:rsidR="00F23696" w:rsidRPr="00C91EA2">
        <w:rPr>
          <w:rFonts w:ascii="Times New Roman" w:hAnsi="Times New Roman" w:cs="Times New Roman"/>
        </w:rPr>
        <w:t xml:space="preserve"> Senegalese refiners would have to purchase 13,835,545.26 liters of crude palm oil at a cost of </w:t>
      </w:r>
      <w:r w:rsidR="00A35035" w:rsidRPr="00C91EA2">
        <w:rPr>
          <w:rFonts w:ascii="Times New Roman" w:hAnsi="Times New Roman" w:cs="Times New Roman"/>
        </w:rPr>
        <w:t xml:space="preserve">F CFA </w:t>
      </w:r>
      <w:r w:rsidR="00F23696" w:rsidRPr="00C91EA2">
        <w:rPr>
          <w:rFonts w:ascii="Times New Roman" w:hAnsi="Times New Roman" w:cs="Times New Roman"/>
        </w:rPr>
        <w:t xml:space="preserve">4,244,210,526.32. At current prices of </w:t>
      </w:r>
      <w:r w:rsidR="00CA6EAF" w:rsidRPr="00C91EA2">
        <w:rPr>
          <w:rFonts w:ascii="Times New Roman" w:hAnsi="Times New Roman" w:cs="Times New Roman"/>
        </w:rPr>
        <w:t xml:space="preserve">F CFA </w:t>
      </w:r>
      <w:r w:rsidR="00F23696" w:rsidRPr="00C91EA2">
        <w:rPr>
          <w:rFonts w:ascii="Times New Roman" w:hAnsi="Times New Roman" w:cs="Times New Roman"/>
        </w:rPr>
        <w:t xml:space="preserve">1,500 to 2,000 per liter of refined palm oil in Senegalese stores, the revenue should lie somewhere between </w:t>
      </w:r>
      <w:r w:rsidR="00CA6EAF" w:rsidRPr="00C91EA2">
        <w:rPr>
          <w:rFonts w:ascii="Times New Roman" w:hAnsi="Times New Roman" w:cs="Times New Roman"/>
        </w:rPr>
        <w:t xml:space="preserve">F CFA </w:t>
      </w:r>
      <w:r w:rsidR="00F23696" w:rsidRPr="00C91EA2">
        <w:rPr>
          <w:rFonts w:ascii="Times New Roman" w:hAnsi="Times New Roman" w:cs="Times New Roman"/>
        </w:rPr>
        <w:t xml:space="preserve">19,715,652,000 and </w:t>
      </w:r>
      <w:r w:rsidR="00CA6EAF" w:rsidRPr="00C91EA2">
        <w:rPr>
          <w:rFonts w:ascii="Times New Roman" w:hAnsi="Times New Roman" w:cs="Times New Roman"/>
        </w:rPr>
        <w:t xml:space="preserve">F CFA </w:t>
      </w:r>
      <w:r w:rsidR="00F23696" w:rsidRPr="00C91EA2">
        <w:rPr>
          <w:rFonts w:ascii="Times New Roman" w:hAnsi="Times New Roman" w:cs="Times New Roman"/>
        </w:rPr>
        <w:t>26,287,536,000.</w:t>
      </w:r>
      <w:r w:rsidR="00324B00">
        <w:rPr>
          <w:rFonts w:ascii="Times New Roman" w:hAnsi="Times New Roman" w:cs="Times New Roman"/>
        </w:rPr>
        <w:t xml:space="preserve"> Assuming production costs equivalent to those of groundnut oil, which averaged 29 percent of revenue of for SONACOS between the years 201 and 2016, </w:t>
      </w:r>
      <w:r w:rsidR="00324B00" w:rsidRPr="00A84D53">
        <w:rPr>
          <w:rFonts w:ascii="Times New Roman" w:hAnsi="Times New Roman" w:cs="Times New Roman"/>
          <w:b/>
        </w:rPr>
        <w:t xml:space="preserve">the profits would lie between </w:t>
      </w:r>
      <w:r w:rsidR="00CA6EAF" w:rsidRPr="00A84D53">
        <w:rPr>
          <w:rFonts w:ascii="Times New Roman" w:hAnsi="Times New Roman" w:cs="Times New Roman"/>
          <w:b/>
        </w:rPr>
        <w:t xml:space="preserve">F CFA </w:t>
      </w:r>
      <w:r w:rsidR="00B04E2B" w:rsidRPr="00A84D53">
        <w:rPr>
          <w:rFonts w:ascii="Times New Roman" w:hAnsi="Times New Roman" w:cs="Times New Roman"/>
          <w:b/>
        </w:rPr>
        <w:t>9,753,902,393</w:t>
      </w:r>
      <w:r w:rsidR="00A84D53" w:rsidRPr="00A84D53">
        <w:rPr>
          <w:rFonts w:ascii="Times New Roman" w:hAnsi="Times New Roman" w:cs="Times New Roman"/>
          <w:b/>
        </w:rPr>
        <w:t xml:space="preserve">.68 and </w:t>
      </w:r>
      <w:r w:rsidR="00CA6EAF" w:rsidRPr="00A84D53">
        <w:rPr>
          <w:rFonts w:ascii="Times New Roman" w:hAnsi="Times New Roman" w:cs="Times New Roman"/>
          <w:b/>
        </w:rPr>
        <w:t xml:space="preserve">F CFA </w:t>
      </w:r>
      <w:r w:rsidR="00A84D53" w:rsidRPr="00A84D53">
        <w:rPr>
          <w:rFonts w:ascii="Times New Roman" w:hAnsi="Times New Roman" w:cs="Times New Roman"/>
          <w:b/>
        </w:rPr>
        <w:t>14,419,940,033.68</w:t>
      </w:r>
      <w:r w:rsidR="008A7F24">
        <w:rPr>
          <w:rFonts w:ascii="Times New Roman" w:hAnsi="Times New Roman" w:cs="Times New Roman"/>
          <w:b/>
        </w:rPr>
        <w:t xml:space="preserve"> (between </w:t>
      </w:r>
      <w:r w:rsidR="008A7F24" w:rsidRPr="008A7F24">
        <w:rPr>
          <w:rFonts w:ascii="Times New Roman" w:hAnsi="Times New Roman" w:cs="Times New Roman"/>
          <w:b/>
        </w:rPr>
        <w:t xml:space="preserve">USD </w:t>
      </w:r>
      <w:r w:rsidR="008A7F24" w:rsidRPr="007575D7">
        <w:rPr>
          <w:rFonts w:ascii="Times New Roman" w:eastAsia="Times New Roman" w:hAnsi="Times New Roman" w:cs="Times New Roman"/>
          <w:b/>
          <w:color w:val="000000"/>
        </w:rPr>
        <w:t>16,420,711.10 and USD 24,275,993.32).</w:t>
      </w:r>
    </w:p>
    <w:p w14:paraId="4D267B8B" w14:textId="40800E96" w:rsidR="00F8781A" w:rsidRPr="007575D7" w:rsidRDefault="00A84D53" w:rsidP="00EF29CA">
      <w:pPr>
        <w:jc w:val="both"/>
        <w:rPr>
          <w:rFonts w:ascii="Calibri" w:eastAsia="Times New Roman" w:hAnsi="Calibri" w:cs="Calibri"/>
          <w:color w:val="000000"/>
          <w:sz w:val="22"/>
          <w:szCs w:val="22"/>
        </w:rPr>
      </w:pPr>
      <w:r w:rsidRPr="00A84D53">
        <w:rPr>
          <w:rFonts w:ascii="Times New Roman" w:hAnsi="Times New Roman" w:cs="Times New Roman"/>
          <w:b/>
        </w:rPr>
        <w:t>.</w:t>
      </w:r>
    </w:p>
    <w:p w14:paraId="585E4FFF" w14:textId="77777777" w:rsidR="00726079" w:rsidRPr="00C91EA2" w:rsidRDefault="00726079">
      <w:pPr>
        <w:rPr>
          <w:rFonts w:ascii="Times New Roman" w:hAnsi="Times New Roman" w:cs="Times New Roman"/>
        </w:rPr>
      </w:pPr>
      <w:r w:rsidRPr="00C91EA2">
        <w:rPr>
          <w:rFonts w:ascii="Times New Roman" w:hAnsi="Times New Roman" w:cs="Times New Roman"/>
        </w:rPr>
        <w:br w:type="page"/>
      </w:r>
    </w:p>
    <w:p w14:paraId="352FD4EF" w14:textId="77777777" w:rsidR="007328E5" w:rsidRPr="00C91EA2" w:rsidRDefault="00B37FE4" w:rsidP="007328E5">
      <w:pPr>
        <w:pStyle w:val="Heading2"/>
        <w:rPr>
          <w:rFonts w:ascii="Times New Roman" w:hAnsi="Times New Roman" w:cs="Times New Roman"/>
        </w:rPr>
      </w:pPr>
      <w:bookmarkStart w:id="371" w:name="_Toc520724133"/>
      <w:r>
        <w:rPr>
          <w:rFonts w:ascii="Times New Roman" w:hAnsi="Times New Roman" w:cs="Times New Roman"/>
        </w:rPr>
        <w:t>Annex</w:t>
      </w:r>
      <w:r w:rsidR="00726079" w:rsidRPr="00C91EA2">
        <w:rPr>
          <w:rFonts w:ascii="Times New Roman" w:hAnsi="Times New Roman" w:cs="Times New Roman"/>
        </w:rPr>
        <w:t xml:space="preserve"> 6</w:t>
      </w:r>
      <w:r w:rsidR="007328E5" w:rsidRPr="00C91EA2">
        <w:rPr>
          <w:rFonts w:ascii="Times New Roman" w:hAnsi="Times New Roman" w:cs="Times New Roman"/>
        </w:rPr>
        <w:t>: Telecommunications</w:t>
      </w:r>
      <w:bookmarkEnd w:id="371"/>
    </w:p>
    <w:p w14:paraId="0708B2DD" w14:textId="77777777" w:rsidR="007328E5" w:rsidRPr="00C91EA2" w:rsidRDefault="007328E5" w:rsidP="007328E5">
      <w:pPr>
        <w:rPr>
          <w:rFonts w:ascii="Times New Roman" w:hAnsi="Times New Roman" w:cs="Times New Roman"/>
          <w:color w:val="000000"/>
        </w:rPr>
      </w:pPr>
    </w:p>
    <w:tbl>
      <w:tblPr>
        <w:tblStyle w:val="TableGrid"/>
        <w:tblW w:w="0" w:type="auto"/>
        <w:tblLook w:val="04A0" w:firstRow="1" w:lastRow="0" w:firstColumn="1" w:lastColumn="0" w:noHBand="0" w:noVBand="1"/>
      </w:tblPr>
      <w:tblGrid>
        <w:gridCol w:w="8630"/>
      </w:tblGrid>
      <w:tr w:rsidR="007328E5" w:rsidRPr="00C91EA2" w14:paraId="06D65C3B" w14:textId="77777777" w:rsidTr="0070643F">
        <w:tc>
          <w:tcPr>
            <w:tcW w:w="8630" w:type="dxa"/>
            <w:tcBorders>
              <w:top w:val="single" w:sz="4" w:space="0" w:color="auto"/>
              <w:left w:val="single" w:sz="4" w:space="0" w:color="auto"/>
              <w:bottom w:val="single" w:sz="4" w:space="0" w:color="auto"/>
              <w:right w:val="single" w:sz="4" w:space="0" w:color="auto"/>
            </w:tcBorders>
            <w:hideMark/>
          </w:tcPr>
          <w:p w14:paraId="73C27A2F" w14:textId="14A896BE" w:rsidR="007328E5" w:rsidRPr="00C91EA2" w:rsidRDefault="007328E5" w:rsidP="0070643F">
            <w:pPr>
              <w:pStyle w:val="Caption"/>
              <w:keepNext/>
              <w:rPr>
                <w:rFonts w:ascii="Times New Roman" w:hAnsi="Times New Roman"/>
              </w:rPr>
            </w:pPr>
            <w:bookmarkStart w:id="372" w:name="_Ref497299778"/>
            <w:bookmarkStart w:id="373" w:name="_Ref497299772"/>
            <w:bookmarkStart w:id="374" w:name="_Toc520725707"/>
            <w:r w:rsidRPr="00C91EA2">
              <w:rPr>
                <w:rFonts w:ascii="Times New Roman" w:hAnsi="Times New Roman"/>
              </w:rPr>
              <w:t xml:space="preserve">Table </w:t>
            </w:r>
            <w:r w:rsidRPr="00C91EA2">
              <w:rPr>
                <w:rFonts w:ascii="Times New Roman" w:hAnsi="Times New Roman"/>
              </w:rPr>
              <w:fldChar w:fldCharType="begin"/>
            </w:r>
            <w:r w:rsidRPr="00C91EA2">
              <w:rPr>
                <w:rFonts w:ascii="Times New Roman" w:hAnsi="Times New Roman"/>
              </w:rPr>
              <w:instrText xml:space="preserve"> SEQ Table \* ARABIC </w:instrText>
            </w:r>
            <w:r w:rsidRPr="00C91EA2">
              <w:rPr>
                <w:rFonts w:ascii="Times New Roman" w:hAnsi="Times New Roman"/>
              </w:rPr>
              <w:fldChar w:fldCharType="separate"/>
            </w:r>
            <w:r w:rsidR="008261B2">
              <w:rPr>
                <w:rFonts w:ascii="Times New Roman" w:hAnsi="Times New Roman"/>
                <w:noProof/>
              </w:rPr>
              <w:t>20</w:t>
            </w:r>
            <w:r w:rsidRPr="00C91EA2">
              <w:rPr>
                <w:rFonts w:ascii="Times New Roman" w:hAnsi="Times New Roman"/>
              </w:rPr>
              <w:fldChar w:fldCharType="end"/>
            </w:r>
            <w:bookmarkEnd w:id="372"/>
            <w:r w:rsidRPr="00C91EA2">
              <w:rPr>
                <w:rFonts w:ascii="Times New Roman" w:hAnsi="Times New Roman"/>
              </w:rPr>
              <w:t>: Price Comparison by Mobile Basket (OECD Mobile Basket Definition</w:t>
            </w:r>
            <w:r w:rsidR="004564C8">
              <w:rPr>
                <w:rFonts w:ascii="Times New Roman" w:hAnsi="Times New Roman"/>
              </w:rPr>
              <w:t xml:space="preserve">, </w:t>
            </w:r>
            <w:r w:rsidRPr="00C91EA2">
              <w:rPr>
                <w:rFonts w:ascii="Times New Roman" w:hAnsi="Times New Roman"/>
              </w:rPr>
              <w:t>2010: Monthly Call Distribution, Minutes and SMS) (in US$)</w:t>
            </w:r>
            <w:bookmarkEnd w:id="373"/>
            <w:bookmarkEnd w:id="374"/>
          </w:p>
        </w:tc>
      </w:tr>
      <w:tr w:rsidR="007328E5" w:rsidRPr="00C91EA2" w14:paraId="2BA13FB7" w14:textId="77777777" w:rsidTr="0070643F">
        <w:tc>
          <w:tcPr>
            <w:tcW w:w="8630" w:type="dxa"/>
            <w:tcBorders>
              <w:top w:val="single" w:sz="4" w:space="0" w:color="auto"/>
              <w:left w:val="single" w:sz="4" w:space="0" w:color="auto"/>
              <w:bottom w:val="single" w:sz="4" w:space="0" w:color="auto"/>
              <w:right w:val="single" w:sz="4" w:space="0" w:color="auto"/>
            </w:tcBorders>
            <w:hideMark/>
          </w:tcPr>
          <w:tbl>
            <w:tblPr>
              <w:tblStyle w:val="GridTable4-Accent5"/>
              <w:tblW w:w="0" w:type="auto"/>
              <w:tblLook w:val="04A0" w:firstRow="1" w:lastRow="0" w:firstColumn="1" w:lastColumn="0" w:noHBand="0" w:noVBand="1"/>
            </w:tblPr>
            <w:tblGrid>
              <w:gridCol w:w="1011"/>
              <w:gridCol w:w="2159"/>
              <w:gridCol w:w="889"/>
              <w:gridCol w:w="869"/>
              <w:gridCol w:w="869"/>
              <w:gridCol w:w="869"/>
              <w:gridCol w:w="869"/>
              <w:gridCol w:w="869"/>
            </w:tblGrid>
            <w:tr w:rsidR="00AB5852" w:rsidRPr="00871767" w14:paraId="34D0BFA3" w14:textId="77777777" w:rsidTr="00D03BC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689D0059" w14:textId="77777777" w:rsidR="00AB5852" w:rsidRPr="00AB5852" w:rsidRDefault="00AB5852" w:rsidP="00AB5852">
                  <w:pPr>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Ranking</w:t>
                  </w:r>
                </w:p>
              </w:tc>
              <w:tc>
                <w:tcPr>
                  <w:tcW w:w="2317" w:type="dxa"/>
                  <w:noWrap/>
                  <w:hideMark/>
                </w:tcPr>
                <w:p w14:paraId="6A234A05" w14:textId="77777777" w:rsidR="00AB5852" w:rsidRPr="00AB5852" w:rsidRDefault="00AB5852" w:rsidP="00AB58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Country</w:t>
                  </w:r>
                </w:p>
              </w:tc>
              <w:tc>
                <w:tcPr>
                  <w:tcW w:w="0" w:type="auto"/>
                  <w:noWrap/>
                  <w:hideMark/>
                </w:tcPr>
                <w:p w14:paraId="66DB8D09" w14:textId="77777777" w:rsidR="00AB5852" w:rsidRPr="00AB5852" w:rsidRDefault="00AB5852" w:rsidP="00AB58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Q1 2016</w:t>
                  </w:r>
                </w:p>
              </w:tc>
              <w:tc>
                <w:tcPr>
                  <w:tcW w:w="0" w:type="auto"/>
                  <w:noWrap/>
                  <w:hideMark/>
                </w:tcPr>
                <w:p w14:paraId="0FBE8FB4" w14:textId="77777777" w:rsidR="00AB5852" w:rsidRPr="00AB5852" w:rsidRDefault="00AB5852" w:rsidP="00AB58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Q2 2016</w:t>
                  </w:r>
                </w:p>
              </w:tc>
              <w:tc>
                <w:tcPr>
                  <w:tcW w:w="0" w:type="auto"/>
                  <w:noWrap/>
                  <w:hideMark/>
                </w:tcPr>
                <w:p w14:paraId="1C9BA26B" w14:textId="77777777" w:rsidR="00AB5852" w:rsidRPr="00AB5852" w:rsidRDefault="00AB5852" w:rsidP="00AB58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Q3 2016</w:t>
                  </w:r>
                </w:p>
              </w:tc>
              <w:tc>
                <w:tcPr>
                  <w:tcW w:w="0" w:type="auto"/>
                  <w:noWrap/>
                  <w:hideMark/>
                </w:tcPr>
                <w:p w14:paraId="19B294ED" w14:textId="77777777" w:rsidR="00AB5852" w:rsidRPr="00AB5852" w:rsidRDefault="00AB5852" w:rsidP="00AB58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Q4 2016</w:t>
                  </w:r>
                </w:p>
              </w:tc>
              <w:tc>
                <w:tcPr>
                  <w:tcW w:w="0" w:type="auto"/>
                  <w:noWrap/>
                  <w:hideMark/>
                </w:tcPr>
                <w:p w14:paraId="73080875" w14:textId="77777777" w:rsidR="00AB5852" w:rsidRPr="00AB5852" w:rsidRDefault="00AB5852" w:rsidP="00AB58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Q1 2017</w:t>
                  </w:r>
                </w:p>
              </w:tc>
              <w:tc>
                <w:tcPr>
                  <w:tcW w:w="0" w:type="auto"/>
                  <w:noWrap/>
                  <w:hideMark/>
                </w:tcPr>
                <w:p w14:paraId="163971D5" w14:textId="77777777" w:rsidR="00AB5852" w:rsidRPr="00AB5852" w:rsidRDefault="00AB5852" w:rsidP="00AB58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Q2 2017</w:t>
                  </w:r>
                </w:p>
              </w:tc>
            </w:tr>
            <w:tr w:rsidR="00AB5852" w:rsidRPr="00871767" w14:paraId="68F8C499"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754A017"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w:t>
                  </w:r>
                </w:p>
              </w:tc>
              <w:tc>
                <w:tcPr>
                  <w:tcW w:w="2317" w:type="dxa"/>
                  <w:noWrap/>
                  <w:hideMark/>
                </w:tcPr>
                <w:p w14:paraId="148E5DF6"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Egypt</w:t>
                  </w:r>
                </w:p>
              </w:tc>
              <w:tc>
                <w:tcPr>
                  <w:tcW w:w="0" w:type="auto"/>
                  <w:noWrap/>
                  <w:hideMark/>
                </w:tcPr>
                <w:p w14:paraId="34B76469"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2,64</w:t>
                  </w:r>
                </w:p>
              </w:tc>
              <w:tc>
                <w:tcPr>
                  <w:tcW w:w="0" w:type="auto"/>
                  <w:noWrap/>
                  <w:hideMark/>
                </w:tcPr>
                <w:p w14:paraId="7A93D2E7"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2,38</w:t>
                  </w:r>
                </w:p>
              </w:tc>
              <w:tc>
                <w:tcPr>
                  <w:tcW w:w="0" w:type="auto"/>
                  <w:noWrap/>
                  <w:hideMark/>
                </w:tcPr>
                <w:p w14:paraId="140EE20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2,38</w:t>
                  </w:r>
                </w:p>
              </w:tc>
              <w:tc>
                <w:tcPr>
                  <w:tcW w:w="0" w:type="auto"/>
                  <w:noWrap/>
                  <w:hideMark/>
                </w:tcPr>
                <w:p w14:paraId="1A02E99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1,47</w:t>
                  </w:r>
                </w:p>
              </w:tc>
              <w:tc>
                <w:tcPr>
                  <w:tcW w:w="0" w:type="auto"/>
                  <w:noWrap/>
                  <w:hideMark/>
                </w:tcPr>
                <w:p w14:paraId="7CC6EEC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1,19</w:t>
                  </w:r>
                </w:p>
              </w:tc>
              <w:tc>
                <w:tcPr>
                  <w:tcW w:w="0" w:type="auto"/>
                  <w:noWrap/>
                  <w:hideMark/>
                </w:tcPr>
                <w:p w14:paraId="76C46F8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1,17</w:t>
                  </w:r>
                </w:p>
              </w:tc>
            </w:tr>
            <w:tr w:rsidR="00AB5852" w:rsidRPr="00871767" w14:paraId="769F2A7A"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A9B00F8"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w:t>
                  </w:r>
                </w:p>
              </w:tc>
              <w:tc>
                <w:tcPr>
                  <w:tcW w:w="2317" w:type="dxa"/>
                  <w:noWrap/>
                  <w:hideMark/>
                </w:tcPr>
                <w:p w14:paraId="1780E657"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Tunisia</w:t>
                  </w:r>
                </w:p>
              </w:tc>
              <w:tc>
                <w:tcPr>
                  <w:tcW w:w="0" w:type="auto"/>
                  <w:noWrap/>
                  <w:hideMark/>
                </w:tcPr>
                <w:p w14:paraId="47114C9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2,01</w:t>
                  </w:r>
                </w:p>
              </w:tc>
              <w:tc>
                <w:tcPr>
                  <w:tcW w:w="0" w:type="auto"/>
                  <w:noWrap/>
                  <w:hideMark/>
                </w:tcPr>
                <w:p w14:paraId="7DB3B3B6"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1,97</w:t>
                  </w:r>
                </w:p>
              </w:tc>
              <w:tc>
                <w:tcPr>
                  <w:tcW w:w="0" w:type="auto"/>
                  <w:noWrap/>
                  <w:hideMark/>
                </w:tcPr>
                <w:p w14:paraId="7202472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1,85</w:t>
                  </w:r>
                </w:p>
              </w:tc>
              <w:tc>
                <w:tcPr>
                  <w:tcW w:w="0" w:type="auto"/>
                  <w:noWrap/>
                  <w:hideMark/>
                </w:tcPr>
                <w:p w14:paraId="5C715F2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1,79</w:t>
                  </w:r>
                </w:p>
              </w:tc>
              <w:tc>
                <w:tcPr>
                  <w:tcW w:w="0" w:type="auto"/>
                  <w:noWrap/>
                  <w:hideMark/>
                </w:tcPr>
                <w:p w14:paraId="045BC12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1,78</w:t>
                  </w:r>
                </w:p>
              </w:tc>
              <w:tc>
                <w:tcPr>
                  <w:tcW w:w="0" w:type="auto"/>
                  <w:noWrap/>
                  <w:hideMark/>
                </w:tcPr>
                <w:p w14:paraId="4F0E6756"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1,66</w:t>
                  </w:r>
                </w:p>
              </w:tc>
            </w:tr>
            <w:tr w:rsidR="00AB5852" w:rsidRPr="00871767" w14:paraId="27821F82"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532D7B29"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w:t>
                  </w:r>
                </w:p>
              </w:tc>
              <w:tc>
                <w:tcPr>
                  <w:tcW w:w="2317" w:type="dxa"/>
                  <w:noWrap/>
                  <w:hideMark/>
                </w:tcPr>
                <w:p w14:paraId="12DAC304"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Ghana</w:t>
                  </w:r>
                </w:p>
              </w:tc>
              <w:tc>
                <w:tcPr>
                  <w:tcW w:w="0" w:type="auto"/>
                  <w:noWrap/>
                  <w:hideMark/>
                </w:tcPr>
                <w:p w14:paraId="6D78323D"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1,67</w:t>
                  </w:r>
                </w:p>
              </w:tc>
              <w:tc>
                <w:tcPr>
                  <w:tcW w:w="0" w:type="auto"/>
                  <w:noWrap/>
                  <w:hideMark/>
                </w:tcPr>
                <w:p w14:paraId="372C3A6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2,16</w:t>
                  </w:r>
                </w:p>
              </w:tc>
              <w:tc>
                <w:tcPr>
                  <w:tcW w:w="0" w:type="auto"/>
                  <w:noWrap/>
                  <w:hideMark/>
                </w:tcPr>
                <w:p w14:paraId="36CA79E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2,10</w:t>
                  </w:r>
                </w:p>
              </w:tc>
              <w:tc>
                <w:tcPr>
                  <w:tcW w:w="0" w:type="auto"/>
                  <w:noWrap/>
                  <w:hideMark/>
                </w:tcPr>
                <w:p w14:paraId="10B495DA"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2,04</w:t>
                  </w:r>
                </w:p>
              </w:tc>
              <w:tc>
                <w:tcPr>
                  <w:tcW w:w="0" w:type="auto"/>
                  <w:noWrap/>
                  <w:hideMark/>
                </w:tcPr>
                <w:p w14:paraId="7AE57F5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2,17</w:t>
                  </w:r>
                </w:p>
              </w:tc>
              <w:tc>
                <w:tcPr>
                  <w:tcW w:w="0" w:type="auto"/>
                  <w:noWrap/>
                  <w:hideMark/>
                </w:tcPr>
                <w:p w14:paraId="51543BAC"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2,24</w:t>
                  </w:r>
                </w:p>
              </w:tc>
            </w:tr>
            <w:tr w:rsidR="00AB5852" w:rsidRPr="00871767" w14:paraId="14FE9EE5"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5FF98E4"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w:t>
                  </w:r>
                </w:p>
              </w:tc>
              <w:tc>
                <w:tcPr>
                  <w:tcW w:w="2317" w:type="dxa"/>
                  <w:noWrap/>
                  <w:hideMark/>
                </w:tcPr>
                <w:p w14:paraId="7999346C"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Nigeria</w:t>
                  </w:r>
                </w:p>
              </w:tc>
              <w:tc>
                <w:tcPr>
                  <w:tcW w:w="0" w:type="auto"/>
                  <w:noWrap/>
                  <w:hideMark/>
                </w:tcPr>
                <w:p w14:paraId="057D0C06"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3,62</w:t>
                  </w:r>
                </w:p>
              </w:tc>
              <w:tc>
                <w:tcPr>
                  <w:tcW w:w="0" w:type="auto"/>
                  <w:noWrap/>
                  <w:hideMark/>
                </w:tcPr>
                <w:p w14:paraId="2942EE2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3,46</w:t>
                  </w:r>
                </w:p>
              </w:tc>
              <w:tc>
                <w:tcPr>
                  <w:tcW w:w="0" w:type="auto"/>
                  <w:noWrap/>
                  <w:hideMark/>
                </w:tcPr>
                <w:p w14:paraId="07B78CA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2,32</w:t>
                  </w:r>
                </w:p>
              </w:tc>
              <w:tc>
                <w:tcPr>
                  <w:tcW w:w="0" w:type="auto"/>
                  <w:noWrap/>
                  <w:hideMark/>
                </w:tcPr>
                <w:p w14:paraId="279B18B7"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2,29</w:t>
                  </w:r>
                </w:p>
              </w:tc>
              <w:tc>
                <w:tcPr>
                  <w:tcW w:w="0" w:type="auto"/>
                  <w:noWrap/>
                  <w:hideMark/>
                </w:tcPr>
                <w:p w14:paraId="040FF39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2,29</w:t>
                  </w:r>
                </w:p>
              </w:tc>
              <w:tc>
                <w:tcPr>
                  <w:tcW w:w="0" w:type="auto"/>
                  <w:noWrap/>
                  <w:hideMark/>
                </w:tcPr>
                <w:p w14:paraId="730153F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2,25</w:t>
                  </w:r>
                </w:p>
              </w:tc>
            </w:tr>
            <w:tr w:rsidR="00AB5852" w:rsidRPr="00871767" w14:paraId="17BF2A6E"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0722765C"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5</w:t>
                  </w:r>
                </w:p>
              </w:tc>
              <w:tc>
                <w:tcPr>
                  <w:tcW w:w="2317" w:type="dxa"/>
                  <w:noWrap/>
                  <w:hideMark/>
                </w:tcPr>
                <w:p w14:paraId="50235F9E"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Kenya</w:t>
                  </w:r>
                </w:p>
              </w:tc>
              <w:tc>
                <w:tcPr>
                  <w:tcW w:w="0" w:type="auto"/>
                  <w:noWrap/>
                  <w:hideMark/>
                </w:tcPr>
                <w:p w14:paraId="78181313"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2,34</w:t>
                  </w:r>
                </w:p>
              </w:tc>
              <w:tc>
                <w:tcPr>
                  <w:tcW w:w="0" w:type="auto"/>
                  <w:noWrap/>
                  <w:hideMark/>
                </w:tcPr>
                <w:p w14:paraId="4EA0C89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2,36</w:t>
                  </w:r>
                </w:p>
              </w:tc>
              <w:tc>
                <w:tcPr>
                  <w:tcW w:w="0" w:type="auto"/>
                  <w:noWrap/>
                  <w:hideMark/>
                </w:tcPr>
                <w:p w14:paraId="093B6ED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2,35</w:t>
                  </w:r>
                </w:p>
              </w:tc>
              <w:tc>
                <w:tcPr>
                  <w:tcW w:w="0" w:type="auto"/>
                  <w:noWrap/>
                  <w:hideMark/>
                </w:tcPr>
                <w:p w14:paraId="48190EB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2,35</w:t>
                  </w:r>
                </w:p>
              </w:tc>
              <w:tc>
                <w:tcPr>
                  <w:tcW w:w="0" w:type="auto"/>
                  <w:noWrap/>
                  <w:hideMark/>
                </w:tcPr>
                <w:p w14:paraId="04567B0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2,31</w:t>
                  </w:r>
                </w:p>
              </w:tc>
              <w:tc>
                <w:tcPr>
                  <w:tcW w:w="0" w:type="auto"/>
                  <w:noWrap/>
                  <w:hideMark/>
                </w:tcPr>
                <w:p w14:paraId="04BB127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2,30</w:t>
                  </w:r>
                </w:p>
              </w:tc>
            </w:tr>
            <w:tr w:rsidR="00AB5852" w:rsidRPr="00871767" w14:paraId="3AE9DD5C"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BCB8C57"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6</w:t>
                  </w:r>
                </w:p>
              </w:tc>
              <w:tc>
                <w:tcPr>
                  <w:tcW w:w="2317" w:type="dxa"/>
                  <w:noWrap/>
                  <w:hideMark/>
                </w:tcPr>
                <w:p w14:paraId="6AD398EE"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Tanzania</w:t>
                  </w:r>
                </w:p>
              </w:tc>
              <w:tc>
                <w:tcPr>
                  <w:tcW w:w="0" w:type="auto"/>
                  <w:noWrap/>
                  <w:hideMark/>
                </w:tcPr>
                <w:p w14:paraId="529ECC8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3,73</w:t>
                  </w:r>
                </w:p>
              </w:tc>
              <w:tc>
                <w:tcPr>
                  <w:tcW w:w="0" w:type="auto"/>
                  <w:noWrap/>
                  <w:hideMark/>
                </w:tcPr>
                <w:p w14:paraId="311A6B95"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3,72</w:t>
                  </w:r>
                </w:p>
              </w:tc>
              <w:tc>
                <w:tcPr>
                  <w:tcW w:w="0" w:type="auto"/>
                  <w:noWrap/>
                  <w:hideMark/>
                </w:tcPr>
                <w:p w14:paraId="5D9E009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3,73</w:t>
                  </w:r>
                </w:p>
              </w:tc>
              <w:tc>
                <w:tcPr>
                  <w:tcW w:w="0" w:type="auto"/>
                  <w:noWrap/>
                  <w:hideMark/>
                </w:tcPr>
                <w:p w14:paraId="118A0D1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3,74</w:t>
                  </w:r>
                </w:p>
              </w:tc>
              <w:tc>
                <w:tcPr>
                  <w:tcW w:w="0" w:type="auto"/>
                  <w:noWrap/>
                  <w:hideMark/>
                </w:tcPr>
                <w:p w14:paraId="782593A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2,36</w:t>
                  </w:r>
                </w:p>
              </w:tc>
              <w:tc>
                <w:tcPr>
                  <w:tcW w:w="0" w:type="auto"/>
                  <w:noWrap/>
                  <w:hideMark/>
                </w:tcPr>
                <w:p w14:paraId="549D8AFD"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2,34</w:t>
                  </w:r>
                </w:p>
              </w:tc>
            </w:tr>
            <w:tr w:rsidR="00AB5852" w:rsidRPr="00871767" w14:paraId="11D40E2F"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38DDD6E8"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7</w:t>
                  </w:r>
                </w:p>
              </w:tc>
              <w:tc>
                <w:tcPr>
                  <w:tcW w:w="2317" w:type="dxa"/>
                  <w:noWrap/>
                  <w:hideMark/>
                </w:tcPr>
                <w:p w14:paraId="318A5CDF"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Ethiopia</w:t>
                  </w:r>
                </w:p>
              </w:tc>
              <w:tc>
                <w:tcPr>
                  <w:tcW w:w="0" w:type="auto"/>
                  <w:noWrap/>
                  <w:hideMark/>
                </w:tcPr>
                <w:p w14:paraId="2419A1A4"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3,26</w:t>
                  </w:r>
                </w:p>
              </w:tc>
              <w:tc>
                <w:tcPr>
                  <w:tcW w:w="0" w:type="auto"/>
                  <w:noWrap/>
                  <w:hideMark/>
                </w:tcPr>
                <w:p w14:paraId="065AE72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3,21</w:t>
                  </w:r>
                </w:p>
              </w:tc>
              <w:tc>
                <w:tcPr>
                  <w:tcW w:w="0" w:type="auto"/>
                  <w:noWrap/>
                  <w:hideMark/>
                </w:tcPr>
                <w:p w14:paraId="6861623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3,15</w:t>
                  </w:r>
                </w:p>
              </w:tc>
              <w:tc>
                <w:tcPr>
                  <w:tcW w:w="0" w:type="auto"/>
                  <w:noWrap/>
                  <w:hideMark/>
                </w:tcPr>
                <w:p w14:paraId="7B0266B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4,16</w:t>
                  </w:r>
                </w:p>
              </w:tc>
              <w:tc>
                <w:tcPr>
                  <w:tcW w:w="0" w:type="auto"/>
                  <w:noWrap/>
                  <w:hideMark/>
                </w:tcPr>
                <w:p w14:paraId="262A9EC5"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3,07</w:t>
                  </w:r>
                </w:p>
              </w:tc>
              <w:tc>
                <w:tcPr>
                  <w:tcW w:w="0" w:type="auto"/>
                  <w:noWrap/>
                  <w:hideMark/>
                </w:tcPr>
                <w:p w14:paraId="4C19B8D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3,03</w:t>
                  </w:r>
                </w:p>
              </w:tc>
            </w:tr>
            <w:tr w:rsidR="00AB5852" w:rsidRPr="00871767" w14:paraId="5DA49176"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0F30D5E7"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8</w:t>
                  </w:r>
                </w:p>
              </w:tc>
              <w:tc>
                <w:tcPr>
                  <w:tcW w:w="2317" w:type="dxa"/>
                  <w:noWrap/>
                  <w:hideMark/>
                </w:tcPr>
                <w:p w14:paraId="5F8AB491"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Rwanda</w:t>
                  </w:r>
                </w:p>
              </w:tc>
              <w:tc>
                <w:tcPr>
                  <w:tcW w:w="0" w:type="auto"/>
                  <w:noWrap/>
                  <w:hideMark/>
                </w:tcPr>
                <w:p w14:paraId="673DFA9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3,84</w:t>
                  </w:r>
                </w:p>
              </w:tc>
              <w:tc>
                <w:tcPr>
                  <w:tcW w:w="0" w:type="auto"/>
                  <w:noWrap/>
                  <w:hideMark/>
                </w:tcPr>
                <w:p w14:paraId="4FC42E0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4,18</w:t>
                  </w:r>
                </w:p>
              </w:tc>
              <w:tc>
                <w:tcPr>
                  <w:tcW w:w="0" w:type="auto"/>
                  <w:noWrap/>
                  <w:hideMark/>
                </w:tcPr>
                <w:p w14:paraId="3425B57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4,06</w:t>
                  </w:r>
                </w:p>
              </w:tc>
              <w:tc>
                <w:tcPr>
                  <w:tcW w:w="0" w:type="auto"/>
                  <w:noWrap/>
                  <w:hideMark/>
                </w:tcPr>
                <w:p w14:paraId="25AEFBD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4,12</w:t>
                  </w:r>
                </w:p>
              </w:tc>
              <w:tc>
                <w:tcPr>
                  <w:tcW w:w="0" w:type="auto"/>
                  <w:noWrap/>
                  <w:hideMark/>
                </w:tcPr>
                <w:p w14:paraId="4500DCC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3,06</w:t>
                  </w:r>
                </w:p>
              </w:tc>
              <w:tc>
                <w:tcPr>
                  <w:tcW w:w="0" w:type="auto"/>
                  <w:noWrap/>
                  <w:hideMark/>
                </w:tcPr>
                <w:p w14:paraId="4D234896"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3,04</w:t>
                  </w:r>
                </w:p>
              </w:tc>
            </w:tr>
            <w:tr w:rsidR="00AB5852" w:rsidRPr="00871767" w14:paraId="15C7C040"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0D6D3616"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9</w:t>
                  </w:r>
                </w:p>
              </w:tc>
              <w:tc>
                <w:tcPr>
                  <w:tcW w:w="2317" w:type="dxa"/>
                  <w:noWrap/>
                  <w:hideMark/>
                </w:tcPr>
                <w:p w14:paraId="31C091C8"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Sudan</w:t>
                  </w:r>
                </w:p>
              </w:tc>
              <w:tc>
                <w:tcPr>
                  <w:tcW w:w="0" w:type="auto"/>
                  <w:noWrap/>
                  <w:hideMark/>
                </w:tcPr>
                <w:p w14:paraId="43A56A7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2,84</w:t>
                  </w:r>
                </w:p>
              </w:tc>
              <w:tc>
                <w:tcPr>
                  <w:tcW w:w="0" w:type="auto"/>
                  <w:noWrap/>
                  <w:hideMark/>
                </w:tcPr>
                <w:p w14:paraId="3BF1412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2,18</w:t>
                  </w:r>
                </w:p>
              </w:tc>
              <w:tc>
                <w:tcPr>
                  <w:tcW w:w="0" w:type="auto"/>
                  <w:noWrap/>
                  <w:hideMark/>
                </w:tcPr>
                <w:p w14:paraId="315D2F5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3,19</w:t>
                  </w:r>
                </w:p>
              </w:tc>
              <w:tc>
                <w:tcPr>
                  <w:tcW w:w="0" w:type="auto"/>
                  <w:noWrap/>
                  <w:hideMark/>
                </w:tcPr>
                <w:p w14:paraId="5EECE81A"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3,04</w:t>
                  </w:r>
                </w:p>
              </w:tc>
              <w:tc>
                <w:tcPr>
                  <w:tcW w:w="0" w:type="auto"/>
                  <w:noWrap/>
                  <w:hideMark/>
                </w:tcPr>
                <w:p w14:paraId="419117B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2,99</w:t>
                  </w:r>
                </w:p>
              </w:tc>
              <w:tc>
                <w:tcPr>
                  <w:tcW w:w="0" w:type="auto"/>
                  <w:noWrap/>
                  <w:hideMark/>
                </w:tcPr>
                <w:p w14:paraId="7646D0D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3,18</w:t>
                  </w:r>
                </w:p>
              </w:tc>
            </w:tr>
            <w:tr w:rsidR="00AB5852" w:rsidRPr="00871767" w14:paraId="44D40C63"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B27046F"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10</w:t>
                  </w:r>
                </w:p>
              </w:tc>
              <w:tc>
                <w:tcPr>
                  <w:tcW w:w="2317" w:type="dxa"/>
                  <w:noWrap/>
                  <w:hideMark/>
                </w:tcPr>
                <w:p w14:paraId="12E1DE1C"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Mauritius</w:t>
                  </w:r>
                </w:p>
              </w:tc>
              <w:tc>
                <w:tcPr>
                  <w:tcW w:w="0" w:type="auto"/>
                  <w:noWrap/>
                  <w:hideMark/>
                </w:tcPr>
                <w:p w14:paraId="7E128C18"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3,12</w:t>
                  </w:r>
                </w:p>
              </w:tc>
              <w:tc>
                <w:tcPr>
                  <w:tcW w:w="0" w:type="auto"/>
                  <w:noWrap/>
                  <w:hideMark/>
                </w:tcPr>
                <w:p w14:paraId="2895703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3,18</w:t>
                  </w:r>
                </w:p>
              </w:tc>
              <w:tc>
                <w:tcPr>
                  <w:tcW w:w="0" w:type="auto"/>
                  <w:noWrap/>
                  <w:hideMark/>
                </w:tcPr>
                <w:p w14:paraId="07FE3B8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3,17</w:t>
                  </w:r>
                </w:p>
              </w:tc>
              <w:tc>
                <w:tcPr>
                  <w:tcW w:w="0" w:type="auto"/>
                  <w:noWrap/>
                  <w:hideMark/>
                </w:tcPr>
                <w:p w14:paraId="3F3F870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3,13</w:t>
                  </w:r>
                </w:p>
              </w:tc>
              <w:tc>
                <w:tcPr>
                  <w:tcW w:w="0" w:type="auto"/>
                  <w:noWrap/>
                  <w:hideMark/>
                </w:tcPr>
                <w:p w14:paraId="032D2770"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3,15</w:t>
                  </w:r>
                </w:p>
              </w:tc>
              <w:tc>
                <w:tcPr>
                  <w:tcW w:w="0" w:type="auto"/>
                  <w:noWrap/>
                  <w:hideMark/>
                </w:tcPr>
                <w:p w14:paraId="764EB71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3,23</w:t>
                  </w:r>
                </w:p>
              </w:tc>
            </w:tr>
            <w:tr w:rsidR="00AB5852" w:rsidRPr="00871767" w14:paraId="27A35B4E"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5EC0091"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11</w:t>
                  </w:r>
                </w:p>
              </w:tc>
              <w:tc>
                <w:tcPr>
                  <w:tcW w:w="2317" w:type="dxa"/>
                  <w:noWrap/>
                  <w:hideMark/>
                </w:tcPr>
                <w:p w14:paraId="19DE82E9"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Sierra Leone</w:t>
                  </w:r>
                </w:p>
              </w:tc>
              <w:tc>
                <w:tcPr>
                  <w:tcW w:w="0" w:type="auto"/>
                  <w:noWrap/>
                  <w:hideMark/>
                </w:tcPr>
                <w:p w14:paraId="0850DC05"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14,75</w:t>
                  </w:r>
                </w:p>
              </w:tc>
              <w:tc>
                <w:tcPr>
                  <w:tcW w:w="0" w:type="auto"/>
                  <w:noWrap/>
                  <w:hideMark/>
                </w:tcPr>
                <w:p w14:paraId="2115683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6,29</w:t>
                  </w:r>
                </w:p>
              </w:tc>
              <w:tc>
                <w:tcPr>
                  <w:tcW w:w="0" w:type="auto"/>
                  <w:noWrap/>
                  <w:hideMark/>
                </w:tcPr>
                <w:p w14:paraId="4D4BA287"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4,55</w:t>
                  </w:r>
                </w:p>
              </w:tc>
              <w:tc>
                <w:tcPr>
                  <w:tcW w:w="0" w:type="auto"/>
                  <w:noWrap/>
                  <w:hideMark/>
                </w:tcPr>
                <w:p w14:paraId="69A6F6B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4,50</w:t>
                  </w:r>
                </w:p>
              </w:tc>
              <w:tc>
                <w:tcPr>
                  <w:tcW w:w="0" w:type="auto"/>
                  <w:noWrap/>
                  <w:hideMark/>
                </w:tcPr>
                <w:p w14:paraId="4554F83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3,47</w:t>
                  </w:r>
                </w:p>
              </w:tc>
              <w:tc>
                <w:tcPr>
                  <w:tcW w:w="0" w:type="auto"/>
                  <w:noWrap/>
                  <w:hideMark/>
                </w:tcPr>
                <w:p w14:paraId="67C264D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3,38</w:t>
                  </w:r>
                </w:p>
              </w:tc>
            </w:tr>
            <w:tr w:rsidR="00AB5852" w:rsidRPr="00871767" w14:paraId="62696054"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0F298F3"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12</w:t>
                  </w:r>
                </w:p>
              </w:tc>
              <w:tc>
                <w:tcPr>
                  <w:tcW w:w="2317" w:type="dxa"/>
                  <w:noWrap/>
                  <w:hideMark/>
                </w:tcPr>
                <w:p w14:paraId="35E28569"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Guinea</w:t>
                  </w:r>
                </w:p>
              </w:tc>
              <w:tc>
                <w:tcPr>
                  <w:tcW w:w="0" w:type="auto"/>
                  <w:noWrap/>
                  <w:hideMark/>
                </w:tcPr>
                <w:p w14:paraId="4E24CC89"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3,57</w:t>
                  </w:r>
                </w:p>
              </w:tc>
              <w:tc>
                <w:tcPr>
                  <w:tcW w:w="0" w:type="auto"/>
                  <w:noWrap/>
                  <w:hideMark/>
                </w:tcPr>
                <w:p w14:paraId="74C770D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3,62</w:t>
                  </w:r>
                </w:p>
              </w:tc>
              <w:tc>
                <w:tcPr>
                  <w:tcW w:w="0" w:type="auto"/>
                  <w:noWrap/>
                  <w:hideMark/>
                </w:tcPr>
                <w:p w14:paraId="2241F155"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3,81</w:t>
                  </w:r>
                </w:p>
              </w:tc>
              <w:tc>
                <w:tcPr>
                  <w:tcW w:w="0" w:type="auto"/>
                  <w:noWrap/>
                  <w:hideMark/>
                </w:tcPr>
                <w:p w14:paraId="56D406F2"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3,76</w:t>
                  </w:r>
                </w:p>
              </w:tc>
              <w:tc>
                <w:tcPr>
                  <w:tcW w:w="0" w:type="auto"/>
                  <w:noWrap/>
                  <w:hideMark/>
                </w:tcPr>
                <w:p w14:paraId="1F1B4D2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3,69</w:t>
                  </w:r>
                </w:p>
              </w:tc>
              <w:tc>
                <w:tcPr>
                  <w:tcW w:w="0" w:type="auto"/>
                  <w:noWrap/>
                  <w:hideMark/>
                </w:tcPr>
                <w:p w14:paraId="756C9A5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3,76</w:t>
                  </w:r>
                </w:p>
              </w:tc>
            </w:tr>
            <w:tr w:rsidR="00AB5852" w:rsidRPr="00871767" w14:paraId="0583957E"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7FA17238"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13</w:t>
                  </w:r>
                </w:p>
              </w:tc>
              <w:tc>
                <w:tcPr>
                  <w:tcW w:w="2317" w:type="dxa"/>
                  <w:noWrap/>
                  <w:hideMark/>
                </w:tcPr>
                <w:p w14:paraId="6FA7CA46"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South Africa</w:t>
                  </w:r>
                </w:p>
              </w:tc>
              <w:tc>
                <w:tcPr>
                  <w:tcW w:w="0" w:type="auto"/>
                  <w:noWrap/>
                  <w:hideMark/>
                </w:tcPr>
                <w:p w14:paraId="1307CA0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3,74</w:t>
                  </w:r>
                </w:p>
              </w:tc>
              <w:tc>
                <w:tcPr>
                  <w:tcW w:w="0" w:type="auto"/>
                  <w:noWrap/>
                  <w:hideMark/>
                </w:tcPr>
                <w:p w14:paraId="2CDF40D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3,33</w:t>
                  </w:r>
                </w:p>
              </w:tc>
              <w:tc>
                <w:tcPr>
                  <w:tcW w:w="0" w:type="auto"/>
                  <w:noWrap/>
                  <w:hideMark/>
                </w:tcPr>
                <w:p w14:paraId="0BC77C6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3,55</w:t>
                  </w:r>
                </w:p>
              </w:tc>
              <w:tc>
                <w:tcPr>
                  <w:tcW w:w="0" w:type="auto"/>
                  <w:noWrap/>
                  <w:hideMark/>
                </w:tcPr>
                <w:p w14:paraId="7EFD594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3,59</w:t>
                  </w:r>
                </w:p>
              </w:tc>
              <w:tc>
                <w:tcPr>
                  <w:tcW w:w="0" w:type="auto"/>
                  <w:noWrap/>
                  <w:hideMark/>
                </w:tcPr>
                <w:p w14:paraId="585615E3"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3,78</w:t>
                  </w:r>
                </w:p>
              </w:tc>
              <w:tc>
                <w:tcPr>
                  <w:tcW w:w="0" w:type="auto"/>
                  <w:noWrap/>
                  <w:hideMark/>
                </w:tcPr>
                <w:p w14:paraId="7992884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3,88</w:t>
                  </w:r>
                </w:p>
              </w:tc>
            </w:tr>
            <w:tr w:rsidR="00AB5852" w:rsidRPr="00871767" w14:paraId="31AEF009"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40ABA26"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14</w:t>
                  </w:r>
                </w:p>
              </w:tc>
              <w:tc>
                <w:tcPr>
                  <w:tcW w:w="2317" w:type="dxa"/>
                  <w:noWrap/>
                  <w:hideMark/>
                </w:tcPr>
                <w:p w14:paraId="4A940032"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Gambia</w:t>
                  </w:r>
                </w:p>
              </w:tc>
              <w:tc>
                <w:tcPr>
                  <w:tcW w:w="0" w:type="auto"/>
                  <w:noWrap/>
                  <w:hideMark/>
                </w:tcPr>
                <w:p w14:paraId="2AD8677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4,83</w:t>
                  </w:r>
                </w:p>
              </w:tc>
              <w:tc>
                <w:tcPr>
                  <w:tcW w:w="0" w:type="auto"/>
                  <w:noWrap/>
                  <w:hideMark/>
                </w:tcPr>
                <w:p w14:paraId="4B051565"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4,43</w:t>
                  </w:r>
                </w:p>
              </w:tc>
              <w:tc>
                <w:tcPr>
                  <w:tcW w:w="0" w:type="auto"/>
                  <w:noWrap/>
                  <w:hideMark/>
                </w:tcPr>
                <w:p w14:paraId="1D12982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4,44</w:t>
                  </w:r>
                </w:p>
              </w:tc>
              <w:tc>
                <w:tcPr>
                  <w:tcW w:w="0" w:type="auto"/>
                  <w:noWrap/>
                  <w:hideMark/>
                </w:tcPr>
                <w:p w14:paraId="6D63456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5,92</w:t>
                  </w:r>
                </w:p>
              </w:tc>
              <w:tc>
                <w:tcPr>
                  <w:tcW w:w="0" w:type="auto"/>
                  <w:noWrap/>
                  <w:hideMark/>
                </w:tcPr>
                <w:p w14:paraId="1469DC88"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4,30</w:t>
                  </w:r>
                </w:p>
              </w:tc>
              <w:tc>
                <w:tcPr>
                  <w:tcW w:w="0" w:type="auto"/>
                  <w:noWrap/>
                  <w:hideMark/>
                </w:tcPr>
                <w:p w14:paraId="3C3E00B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4,19</w:t>
                  </w:r>
                </w:p>
              </w:tc>
            </w:tr>
            <w:tr w:rsidR="00AB5852" w:rsidRPr="00871767" w14:paraId="32B45B64"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F3B448A"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15</w:t>
                  </w:r>
                </w:p>
              </w:tc>
              <w:tc>
                <w:tcPr>
                  <w:tcW w:w="2317" w:type="dxa"/>
                  <w:noWrap/>
                  <w:hideMark/>
                </w:tcPr>
                <w:p w14:paraId="3FC12F9C"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Uganda</w:t>
                  </w:r>
                </w:p>
              </w:tc>
              <w:tc>
                <w:tcPr>
                  <w:tcW w:w="0" w:type="auto"/>
                  <w:noWrap/>
                  <w:hideMark/>
                </w:tcPr>
                <w:p w14:paraId="714C4677"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1,48</w:t>
                  </w:r>
                </w:p>
              </w:tc>
              <w:tc>
                <w:tcPr>
                  <w:tcW w:w="0" w:type="auto"/>
                  <w:noWrap/>
                  <w:hideMark/>
                </w:tcPr>
                <w:p w14:paraId="1638386C"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1,51</w:t>
                  </w:r>
                </w:p>
              </w:tc>
              <w:tc>
                <w:tcPr>
                  <w:tcW w:w="0" w:type="auto"/>
                  <w:noWrap/>
                  <w:hideMark/>
                </w:tcPr>
                <w:p w14:paraId="05D93E03"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1,50</w:t>
                  </w:r>
                </w:p>
              </w:tc>
              <w:tc>
                <w:tcPr>
                  <w:tcW w:w="0" w:type="auto"/>
                  <w:noWrap/>
                  <w:hideMark/>
                </w:tcPr>
                <w:p w14:paraId="7A2CA41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1,43</w:t>
                  </w:r>
                </w:p>
              </w:tc>
              <w:tc>
                <w:tcPr>
                  <w:tcW w:w="0" w:type="auto"/>
                  <w:noWrap/>
                  <w:hideMark/>
                </w:tcPr>
                <w:p w14:paraId="1DA036F7"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1,41</w:t>
                  </w:r>
                </w:p>
              </w:tc>
              <w:tc>
                <w:tcPr>
                  <w:tcW w:w="0" w:type="auto"/>
                  <w:noWrap/>
                  <w:hideMark/>
                </w:tcPr>
                <w:p w14:paraId="26695A27"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4,23</w:t>
                  </w:r>
                </w:p>
              </w:tc>
            </w:tr>
            <w:tr w:rsidR="00AB5852" w:rsidRPr="00871767" w14:paraId="77D3C1E2"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C22E145"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16</w:t>
                  </w:r>
                </w:p>
              </w:tc>
              <w:tc>
                <w:tcPr>
                  <w:tcW w:w="2317" w:type="dxa"/>
                  <w:noWrap/>
                  <w:hideMark/>
                </w:tcPr>
                <w:p w14:paraId="7128FB04"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Namibia</w:t>
                  </w:r>
                </w:p>
              </w:tc>
              <w:tc>
                <w:tcPr>
                  <w:tcW w:w="0" w:type="auto"/>
                  <w:noWrap/>
                  <w:hideMark/>
                </w:tcPr>
                <w:p w14:paraId="4C32B852"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3,49</w:t>
                  </w:r>
                </w:p>
              </w:tc>
              <w:tc>
                <w:tcPr>
                  <w:tcW w:w="0" w:type="auto"/>
                  <w:noWrap/>
                  <w:hideMark/>
                </w:tcPr>
                <w:p w14:paraId="50D602F8"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3,68</w:t>
                  </w:r>
                </w:p>
              </w:tc>
              <w:tc>
                <w:tcPr>
                  <w:tcW w:w="0" w:type="auto"/>
                  <w:noWrap/>
                  <w:hideMark/>
                </w:tcPr>
                <w:p w14:paraId="3D3CD47D"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3,92</w:t>
                  </w:r>
                </w:p>
              </w:tc>
              <w:tc>
                <w:tcPr>
                  <w:tcW w:w="0" w:type="auto"/>
                  <w:noWrap/>
                  <w:hideMark/>
                </w:tcPr>
                <w:p w14:paraId="61B0849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3,97</w:t>
                  </w:r>
                </w:p>
              </w:tc>
              <w:tc>
                <w:tcPr>
                  <w:tcW w:w="0" w:type="auto"/>
                  <w:noWrap/>
                  <w:hideMark/>
                </w:tcPr>
                <w:p w14:paraId="4BDAA19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4,18</w:t>
                  </w:r>
                </w:p>
              </w:tc>
              <w:tc>
                <w:tcPr>
                  <w:tcW w:w="0" w:type="auto"/>
                  <w:noWrap/>
                  <w:hideMark/>
                </w:tcPr>
                <w:p w14:paraId="1D76F64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4,64</w:t>
                  </w:r>
                </w:p>
              </w:tc>
            </w:tr>
            <w:tr w:rsidR="00AB5852" w:rsidRPr="00871767" w14:paraId="5A72F0A3"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1C1FA1C"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17</w:t>
                  </w:r>
                </w:p>
              </w:tc>
              <w:tc>
                <w:tcPr>
                  <w:tcW w:w="2317" w:type="dxa"/>
                  <w:noWrap/>
                  <w:hideMark/>
                </w:tcPr>
                <w:p w14:paraId="59A4B327"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Madagascar</w:t>
                  </w:r>
                </w:p>
              </w:tc>
              <w:tc>
                <w:tcPr>
                  <w:tcW w:w="0" w:type="auto"/>
                  <w:noWrap/>
                  <w:hideMark/>
                </w:tcPr>
                <w:p w14:paraId="1E79B4BD"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4,75</w:t>
                  </w:r>
                </w:p>
              </w:tc>
              <w:tc>
                <w:tcPr>
                  <w:tcW w:w="0" w:type="auto"/>
                  <w:noWrap/>
                  <w:hideMark/>
                </w:tcPr>
                <w:p w14:paraId="3E177AC5"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4,74</w:t>
                  </w:r>
                </w:p>
              </w:tc>
              <w:tc>
                <w:tcPr>
                  <w:tcW w:w="0" w:type="auto"/>
                  <w:noWrap/>
                  <w:hideMark/>
                </w:tcPr>
                <w:p w14:paraId="25CDB5A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4,98</w:t>
                  </w:r>
                </w:p>
              </w:tc>
              <w:tc>
                <w:tcPr>
                  <w:tcW w:w="0" w:type="auto"/>
                  <w:noWrap/>
                  <w:hideMark/>
                </w:tcPr>
                <w:p w14:paraId="5FBF8D14"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4,67</w:t>
                  </w:r>
                </w:p>
              </w:tc>
              <w:tc>
                <w:tcPr>
                  <w:tcW w:w="0" w:type="auto"/>
                  <w:noWrap/>
                  <w:hideMark/>
                </w:tcPr>
                <w:p w14:paraId="5294334C"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4,75</w:t>
                  </w:r>
                </w:p>
              </w:tc>
              <w:tc>
                <w:tcPr>
                  <w:tcW w:w="0" w:type="auto"/>
                  <w:noWrap/>
                  <w:hideMark/>
                </w:tcPr>
                <w:p w14:paraId="1A80CE3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4,86</w:t>
                  </w:r>
                </w:p>
              </w:tc>
            </w:tr>
            <w:tr w:rsidR="00AB5852" w:rsidRPr="00871767" w14:paraId="5E8DE1C2"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068677F5"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18</w:t>
                  </w:r>
                </w:p>
              </w:tc>
              <w:tc>
                <w:tcPr>
                  <w:tcW w:w="2317" w:type="dxa"/>
                  <w:noWrap/>
                  <w:hideMark/>
                </w:tcPr>
                <w:p w14:paraId="6FB4A434"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Cape Verde</w:t>
                  </w:r>
                </w:p>
              </w:tc>
              <w:tc>
                <w:tcPr>
                  <w:tcW w:w="0" w:type="auto"/>
                  <w:noWrap/>
                  <w:hideMark/>
                </w:tcPr>
                <w:p w14:paraId="000C538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5,01</w:t>
                  </w:r>
                </w:p>
              </w:tc>
              <w:tc>
                <w:tcPr>
                  <w:tcW w:w="0" w:type="auto"/>
                  <w:noWrap/>
                  <w:hideMark/>
                </w:tcPr>
                <w:p w14:paraId="73EE416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5,14</w:t>
                  </w:r>
                </w:p>
              </w:tc>
              <w:tc>
                <w:tcPr>
                  <w:tcW w:w="0" w:type="auto"/>
                  <w:noWrap/>
                  <w:hideMark/>
                </w:tcPr>
                <w:p w14:paraId="164F1B6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5,07</w:t>
                  </w:r>
                </w:p>
              </w:tc>
              <w:tc>
                <w:tcPr>
                  <w:tcW w:w="0" w:type="auto"/>
                  <w:noWrap/>
                  <w:hideMark/>
                </w:tcPr>
                <w:p w14:paraId="73DC0F8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4,90</w:t>
                  </w:r>
                </w:p>
              </w:tc>
              <w:tc>
                <w:tcPr>
                  <w:tcW w:w="0" w:type="auto"/>
                  <w:noWrap/>
                  <w:hideMark/>
                </w:tcPr>
                <w:p w14:paraId="5C4C42D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4,83</w:t>
                  </w:r>
                </w:p>
              </w:tc>
              <w:tc>
                <w:tcPr>
                  <w:tcW w:w="0" w:type="auto"/>
                  <w:noWrap/>
                  <w:hideMark/>
                </w:tcPr>
                <w:p w14:paraId="74AE5208"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4,98</w:t>
                  </w:r>
                </w:p>
              </w:tc>
            </w:tr>
            <w:tr w:rsidR="00AB5852" w:rsidRPr="00871767" w14:paraId="2946CD6C"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041ABC34"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19</w:t>
                  </w:r>
                </w:p>
              </w:tc>
              <w:tc>
                <w:tcPr>
                  <w:tcW w:w="2317" w:type="dxa"/>
                  <w:noWrap/>
                  <w:hideMark/>
                </w:tcPr>
                <w:p w14:paraId="10B2B983"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Liberia</w:t>
                  </w:r>
                </w:p>
              </w:tc>
              <w:tc>
                <w:tcPr>
                  <w:tcW w:w="0" w:type="auto"/>
                  <w:noWrap/>
                  <w:hideMark/>
                </w:tcPr>
                <w:p w14:paraId="338386E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10,55</w:t>
                  </w:r>
                </w:p>
              </w:tc>
              <w:tc>
                <w:tcPr>
                  <w:tcW w:w="0" w:type="auto"/>
                  <w:noWrap/>
                  <w:hideMark/>
                </w:tcPr>
                <w:p w14:paraId="57DBC547"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5,00</w:t>
                  </w:r>
                </w:p>
              </w:tc>
              <w:tc>
                <w:tcPr>
                  <w:tcW w:w="0" w:type="auto"/>
                  <w:noWrap/>
                  <w:hideMark/>
                </w:tcPr>
                <w:p w14:paraId="252C21D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5,00</w:t>
                  </w:r>
                </w:p>
              </w:tc>
              <w:tc>
                <w:tcPr>
                  <w:tcW w:w="0" w:type="auto"/>
                  <w:noWrap/>
                  <w:hideMark/>
                </w:tcPr>
                <w:p w14:paraId="291A0D6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5,00</w:t>
                  </w:r>
                </w:p>
              </w:tc>
              <w:tc>
                <w:tcPr>
                  <w:tcW w:w="0" w:type="auto"/>
                  <w:noWrap/>
                  <w:hideMark/>
                </w:tcPr>
                <w:p w14:paraId="67818814"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5,00</w:t>
                  </w:r>
                </w:p>
              </w:tc>
              <w:tc>
                <w:tcPr>
                  <w:tcW w:w="0" w:type="auto"/>
                  <w:noWrap/>
                  <w:hideMark/>
                </w:tcPr>
                <w:p w14:paraId="6F4E48A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5,00</w:t>
                  </w:r>
                </w:p>
              </w:tc>
            </w:tr>
            <w:tr w:rsidR="00AB5852" w:rsidRPr="00871767" w14:paraId="502FA354"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C43611C"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20</w:t>
                  </w:r>
                </w:p>
              </w:tc>
              <w:tc>
                <w:tcPr>
                  <w:tcW w:w="2317" w:type="dxa"/>
                  <w:noWrap/>
                  <w:hideMark/>
                </w:tcPr>
                <w:p w14:paraId="5FF11D7A"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Malawi</w:t>
                  </w:r>
                </w:p>
              </w:tc>
              <w:tc>
                <w:tcPr>
                  <w:tcW w:w="0" w:type="auto"/>
                  <w:noWrap/>
                  <w:hideMark/>
                </w:tcPr>
                <w:p w14:paraId="4004B4E6"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7,27</w:t>
                  </w:r>
                </w:p>
              </w:tc>
              <w:tc>
                <w:tcPr>
                  <w:tcW w:w="0" w:type="auto"/>
                  <w:noWrap/>
                  <w:hideMark/>
                </w:tcPr>
                <w:p w14:paraId="0F9CC4C2"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7,59</w:t>
                  </w:r>
                </w:p>
              </w:tc>
              <w:tc>
                <w:tcPr>
                  <w:tcW w:w="0" w:type="auto"/>
                  <w:noWrap/>
                  <w:hideMark/>
                </w:tcPr>
                <w:p w14:paraId="0C34FADB"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5,75</w:t>
                  </w:r>
                </w:p>
              </w:tc>
              <w:tc>
                <w:tcPr>
                  <w:tcW w:w="0" w:type="auto"/>
                  <w:noWrap/>
                  <w:hideMark/>
                </w:tcPr>
                <w:p w14:paraId="678855C2"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5,73</w:t>
                  </w:r>
                </w:p>
              </w:tc>
              <w:tc>
                <w:tcPr>
                  <w:tcW w:w="0" w:type="auto"/>
                  <w:noWrap/>
                  <w:hideMark/>
                </w:tcPr>
                <w:p w14:paraId="744EE82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5,70</w:t>
                  </w:r>
                </w:p>
              </w:tc>
              <w:tc>
                <w:tcPr>
                  <w:tcW w:w="0" w:type="auto"/>
                  <w:noWrap/>
                  <w:hideMark/>
                </w:tcPr>
                <w:p w14:paraId="122C7FCD"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5,69</w:t>
                  </w:r>
                </w:p>
              </w:tc>
            </w:tr>
            <w:tr w:rsidR="00AB5852" w:rsidRPr="00871767" w14:paraId="2171AAA4"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E99AEC6"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21</w:t>
                  </w:r>
                </w:p>
              </w:tc>
              <w:tc>
                <w:tcPr>
                  <w:tcW w:w="2317" w:type="dxa"/>
                  <w:noWrap/>
                  <w:hideMark/>
                </w:tcPr>
                <w:p w14:paraId="78D2B2ED"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Mali</w:t>
                  </w:r>
                </w:p>
              </w:tc>
              <w:tc>
                <w:tcPr>
                  <w:tcW w:w="0" w:type="auto"/>
                  <w:noWrap/>
                  <w:hideMark/>
                </w:tcPr>
                <w:p w14:paraId="4627158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10,52</w:t>
                  </w:r>
                </w:p>
              </w:tc>
              <w:tc>
                <w:tcPr>
                  <w:tcW w:w="0" w:type="auto"/>
                  <w:noWrap/>
                  <w:hideMark/>
                </w:tcPr>
                <w:p w14:paraId="64709C73"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6,25</w:t>
                  </w:r>
                </w:p>
              </w:tc>
              <w:tc>
                <w:tcPr>
                  <w:tcW w:w="0" w:type="auto"/>
                  <w:noWrap/>
                  <w:hideMark/>
                </w:tcPr>
                <w:p w14:paraId="4F2ED685"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6,17</w:t>
                  </w:r>
                </w:p>
              </w:tc>
              <w:tc>
                <w:tcPr>
                  <w:tcW w:w="0" w:type="auto"/>
                  <w:noWrap/>
                  <w:hideMark/>
                </w:tcPr>
                <w:p w14:paraId="52E897FD"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5,97</w:t>
                  </w:r>
                </w:p>
              </w:tc>
              <w:tc>
                <w:tcPr>
                  <w:tcW w:w="0" w:type="auto"/>
                  <w:noWrap/>
                  <w:hideMark/>
                </w:tcPr>
                <w:p w14:paraId="401B9F6D"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5,90</w:t>
                  </w:r>
                </w:p>
              </w:tc>
              <w:tc>
                <w:tcPr>
                  <w:tcW w:w="0" w:type="auto"/>
                  <w:noWrap/>
                  <w:hideMark/>
                </w:tcPr>
                <w:p w14:paraId="7EBFDC4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6,21</w:t>
                  </w:r>
                </w:p>
              </w:tc>
            </w:tr>
            <w:tr w:rsidR="00AB5852" w:rsidRPr="00871767" w14:paraId="48E5C055"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0AC2754"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22</w:t>
                  </w:r>
                </w:p>
              </w:tc>
              <w:tc>
                <w:tcPr>
                  <w:tcW w:w="2317" w:type="dxa"/>
                  <w:noWrap/>
                  <w:hideMark/>
                </w:tcPr>
                <w:p w14:paraId="076D7B84"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Botswana</w:t>
                  </w:r>
                </w:p>
              </w:tc>
              <w:tc>
                <w:tcPr>
                  <w:tcW w:w="0" w:type="auto"/>
                  <w:noWrap/>
                  <w:hideMark/>
                </w:tcPr>
                <w:p w14:paraId="0E281AB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5,24</w:t>
                  </w:r>
                </w:p>
              </w:tc>
              <w:tc>
                <w:tcPr>
                  <w:tcW w:w="0" w:type="auto"/>
                  <w:noWrap/>
                  <w:hideMark/>
                </w:tcPr>
                <w:p w14:paraId="3394EACB"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5,93</w:t>
                  </w:r>
                </w:p>
              </w:tc>
              <w:tc>
                <w:tcPr>
                  <w:tcW w:w="0" w:type="auto"/>
                  <w:noWrap/>
                  <w:hideMark/>
                </w:tcPr>
                <w:p w14:paraId="7300363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6,10</w:t>
                  </w:r>
                </w:p>
              </w:tc>
              <w:tc>
                <w:tcPr>
                  <w:tcW w:w="0" w:type="auto"/>
                  <w:noWrap/>
                  <w:hideMark/>
                </w:tcPr>
                <w:p w14:paraId="6A2C352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6,14</w:t>
                  </w:r>
                </w:p>
              </w:tc>
              <w:tc>
                <w:tcPr>
                  <w:tcW w:w="0" w:type="auto"/>
                  <w:noWrap/>
                  <w:hideMark/>
                </w:tcPr>
                <w:p w14:paraId="3D00892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6,19</w:t>
                  </w:r>
                </w:p>
              </w:tc>
              <w:tc>
                <w:tcPr>
                  <w:tcW w:w="0" w:type="auto"/>
                  <w:noWrap/>
                  <w:hideMark/>
                </w:tcPr>
                <w:p w14:paraId="589AE23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6,25</w:t>
                  </w:r>
                </w:p>
              </w:tc>
            </w:tr>
            <w:tr w:rsidR="00AB5852" w:rsidRPr="00871767" w14:paraId="0A2B8873"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311060FC"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23</w:t>
                  </w:r>
                </w:p>
              </w:tc>
              <w:tc>
                <w:tcPr>
                  <w:tcW w:w="2317" w:type="dxa"/>
                  <w:noWrap/>
                  <w:hideMark/>
                </w:tcPr>
                <w:p w14:paraId="5C6570CC"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Burundi</w:t>
                  </w:r>
                </w:p>
              </w:tc>
              <w:tc>
                <w:tcPr>
                  <w:tcW w:w="0" w:type="auto"/>
                  <w:noWrap/>
                  <w:hideMark/>
                </w:tcPr>
                <w:p w14:paraId="3AA5265D"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6,22</w:t>
                  </w:r>
                </w:p>
              </w:tc>
              <w:tc>
                <w:tcPr>
                  <w:tcW w:w="0" w:type="auto"/>
                  <w:noWrap/>
                  <w:hideMark/>
                </w:tcPr>
                <w:p w14:paraId="6CBD98F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6,17</w:t>
                  </w:r>
                </w:p>
              </w:tc>
              <w:tc>
                <w:tcPr>
                  <w:tcW w:w="0" w:type="auto"/>
                  <w:noWrap/>
                  <w:hideMark/>
                </w:tcPr>
                <w:p w14:paraId="40A2647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5,81</w:t>
                  </w:r>
                </w:p>
              </w:tc>
              <w:tc>
                <w:tcPr>
                  <w:tcW w:w="0" w:type="auto"/>
                  <w:noWrap/>
                  <w:hideMark/>
                </w:tcPr>
                <w:p w14:paraId="30F52B8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5,79</w:t>
                  </w:r>
                </w:p>
              </w:tc>
              <w:tc>
                <w:tcPr>
                  <w:tcW w:w="0" w:type="auto"/>
                  <w:noWrap/>
                  <w:hideMark/>
                </w:tcPr>
                <w:p w14:paraId="4893D56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6,01</w:t>
                  </w:r>
                </w:p>
              </w:tc>
              <w:tc>
                <w:tcPr>
                  <w:tcW w:w="0" w:type="auto"/>
                  <w:noWrap/>
                  <w:hideMark/>
                </w:tcPr>
                <w:p w14:paraId="6A6D9CF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6,40</w:t>
                  </w:r>
                </w:p>
              </w:tc>
            </w:tr>
            <w:tr w:rsidR="00AB5852" w:rsidRPr="00871767" w14:paraId="465A78BD"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31E59A7"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24</w:t>
                  </w:r>
                </w:p>
              </w:tc>
              <w:tc>
                <w:tcPr>
                  <w:tcW w:w="2317" w:type="dxa"/>
                  <w:noWrap/>
                  <w:hideMark/>
                </w:tcPr>
                <w:p w14:paraId="7E622625"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Libya</w:t>
                  </w:r>
                </w:p>
              </w:tc>
              <w:tc>
                <w:tcPr>
                  <w:tcW w:w="0" w:type="auto"/>
                  <w:noWrap/>
                  <w:hideMark/>
                </w:tcPr>
                <w:p w14:paraId="165E486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6,67</w:t>
                  </w:r>
                </w:p>
              </w:tc>
              <w:tc>
                <w:tcPr>
                  <w:tcW w:w="0" w:type="auto"/>
                  <w:noWrap/>
                  <w:hideMark/>
                </w:tcPr>
                <w:p w14:paraId="3A0CBE6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6,86</w:t>
                  </w:r>
                </w:p>
              </w:tc>
              <w:tc>
                <w:tcPr>
                  <w:tcW w:w="0" w:type="auto"/>
                  <w:noWrap/>
                  <w:hideMark/>
                </w:tcPr>
                <w:p w14:paraId="15F27D72"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6,65</w:t>
                  </w:r>
                </w:p>
              </w:tc>
              <w:tc>
                <w:tcPr>
                  <w:tcW w:w="0" w:type="auto"/>
                  <w:noWrap/>
                  <w:hideMark/>
                </w:tcPr>
                <w:p w14:paraId="12C33F15"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6,51</w:t>
                  </w:r>
                </w:p>
              </w:tc>
              <w:tc>
                <w:tcPr>
                  <w:tcW w:w="0" w:type="auto"/>
                  <w:noWrap/>
                  <w:hideMark/>
                </w:tcPr>
                <w:p w14:paraId="6757B2BD"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6,45</w:t>
                  </w:r>
                </w:p>
              </w:tc>
              <w:tc>
                <w:tcPr>
                  <w:tcW w:w="0" w:type="auto"/>
                  <w:noWrap/>
                  <w:hideMark/>
                </w:tcPr>
                <w:p w14:paraId="2A70D9A6"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6,60</w:t>
                  </w:r>
                </w:p>
              </w:tc>
            </w:tr>
            <w:tr w:rsidR="00AB5852" w:rsidRPr="00871767" w14:paraId="2AF35F99"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7D6D6C9"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25</w:t>
                  </w:r>
                </w:p>
              </w:tc>
              <w:tc>
                <w:tcPr>
                  <w:tcW w:w="2317" w:type="dxa"/>
                  <w:noWrap/>
                  <w:hideMark/>
                </w:tcPr>
                <w:p w14:paraId="27FA949E"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Cameroon</w:t>
                  </w:r>
                </w:p>
              </w:tc>
              <w:tc>
                <w:tcPr>
                  <w:tcW w:w="0" w:type="auto"/>
                  <w:noWrap/>
                  <w:hideMark/>
                </w:tcPr>
                <w:p w14:paraId="532442B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2,95</w:t>
                  </w:r>
                </w:p>
              </w:tc>
              <w:tc>
                <w:tcPr>
                  <w:tcW w:w="0" w:type="auto"/>
                  <w:noWrap/>
                  <w:hideMark/>
                </w:tcPr>
                <w:p w14:paraId="311F8394"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3,02</w:t>
                  </w:r>
                </w:p>
              </w:tc>
              <w:tc>
                <w:tcPr>
                  <w:tcW w:w="0" w:type="auto"/>
                  <w:noWrap/>
                  <w:hideMark/>
                </w:tcPr>
                <w:p w14:paraId="2107813C"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6,84</w:t>
                  </w:r>
                </w:p>
              </w:tc>
              <w:tc>
                <w:tcPr>
                  <w:tcW w:w="0" w:type="auto"/>
                  <w:noWrap/>
                  <w:hideMark/>
                </w:tcPr>
                <w:p w14:paraId="37F5A4AD"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8,83</w:t>
                  </w:r>
                </w:p>
              </w:tc>
              <w:tc>
                <w:tcPr>
                  <w:tcW w:w="0" w:type="auto"/>
                  <w:noWrap/>
                  <w:hideMark/>
                </w:tcPr>
                <w:p w14:paraId="65BB5E6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6,53</w:t>
                  </w:r>
                </w:p>
              </w:tc>
              <w:tc>
                <w:tcPr>
                  <w:tcW w:w="0" w:type="auto"/>
                  <w:noWrap/>
                  <w:hideMark/>
                </w:tcPr>
                <w:p w14:paraId="60229D24"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6,73</w:t>
                  </w:r>
                </w:p>
              </w:tc>
            </w:tr>
            <w:tr w:rsidR="00AB5852" w:rsidRPr="00871767" w14:paraId="374560A7"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55A72B2D"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26</w:t>
                  </w:r>
                </w:p>
              </w:tc>
              <w:tc>
                <w:tcPr>
                  <w:tcW w:w="2317" w:type="dxa"/>
                  <w:noWrap/>
                  <w:hideMark/>
                </w:tcPr>
                <w:p w14:paraId="093038D7"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Burkina Faso</w:t>
                  </w:r>
                </w:p>
              </w:tc>
              <w:tc>
                <w:tcPr>
                  <w:tcW w:w="0" w:type="auto"/>
                  <w:noWrap/>
                  <w:hideMark/>
                </w:tcPr>
                <w:p w14:paraId="1A013B4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9,32</w:t>
                  </w:r>
                </w:p>
              </w:tc>
              <w:tc>
                <w:tcPr>
                  <w:tcW w:w="0" w:type="auto"/>
                  <w:noWrap/>
                  <w:hideMark/>
                </w:tcPr>
                <w:p w14:paraId="3C4B6B28"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9,54</w:t>
                  </w:r>
                </w:p>
              </w:tc>
              <w:tc>
                <w:tcPr>
                  <w:tcW w:w="0" w:type="auto"/>
                  <w:noWrap/>
                  <w:hideMark/>
                </w:tcPr>
                <w:p w14:paraId="345AB400"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9,42</w:t>
                  </w:r>
                </w:p>
              </w:tc>
              <w:tc>
                <w:tcPr>
                  <w:tcW w:w="0" w:type="auto"/>
                  <w:noWrap/>
                  <w:hideMark/>
                </w:tcPr>
                <w:p w14:paraId="16B82F02"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6,91</w:t>
                  </w:r>
                </w:p>
              </w:tc>
              <w:tc>
                <w:tcPr>
                  <w:tcW w:w="0" w:type="auto"/>
                  <w:noWrap/>
                  <w:hideMark/>
                </w:tcPr>
                <w:p w14:paraId="32F00C6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6,83</w:t>
                  </w:r>
                </w:p>
              </w:tc>
              <w:tc>
                <w:tcPr>
                  <w:tcW w:w="0" w:type="auto"/>
                  <w:noWrap/>
                  <w:hideMark/>
                </w:tcPr>
                <w:p w14:paraId="3E17EF55"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7,20</w:t>
                  </w:r>
                </w:p>
              </w:tc>
            </w:tr>
            <w:tr w:rsidR="00AB5852" w:rsidRPr="00871767" w14:paraId="3BCC8DFF"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7B99B929"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27</w:t>
                  </w:r>
                </w:p>
              </w:tc>
              <w:tc>
                <w:tcPr>
                  <w:tcW w:w="2317" w:type="dxa"/>
                  <w:noWrap/>
                  <w:hideMark/>
                </w:tcPr>
                <w:p w14:paraId="53615992"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Zambia</w:t>
                  </w:r>
                </w:p>
              </w:tc>
              <w:tc>
                <w:tcPr>
                  <w:tcW w:w="0" w:type="auto"/>
                  <w:noWrap/>
                  <w:hideMark/>
                </w:tcPr>
                <w:p w14:paraId="58B623A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6,39</w:t>
                  </w:r>
                </w:p>
              </w:tc>
              <w:tc>
                <w:tcPr>
                  <w:tcW w:w="0" w:type="auto"/>
                  <w:noWrap/>
                  <w:hideMark/>
                </w:tcPr>
                <w:p w14:paraId="5E82DA44"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7,07</w:t>
                  </w:r>
                </w:p>
              </w:tc>
              <w:tc>
                <w:tcPr>
                  <w:tcW w:w="0" w:type="auto"/>
                  <w:noWrap/>
                  <w:hideMark/>
                </w:tcPr>
                <w:p w14:paraId="5CFC54A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6,93</w:t>
                  </w:r>
                </w:p>
              </w:tc>
              <w:tc>
                <w:tcPr>
                  <w:tcW w:w="0" w:type="auto"/>
                  <w:noWrap/>
                  <w:hideMark/>
                </w:tcPr>
                <w:p w14:paraId="5749088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6,11</w:t>
                  </w:r>
                </w:p>
              </w:tc>
              <w:tc>
                <w:tcPr>
                  <w:tcW w:w="0" w:type="auto"/>
                  <w:noWrap/>
                  <w:hideMark/>
                </w:tcPr>
                <w:p w14:paraId="27D8E5C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6,17</w:t>
                  </w:r>
                </w:p>
              </w:tc>
              <w:tc>
                <w:tcPr>
                  <w:tcW w:w="0" w:type="auto"/>
                  <w:noWrap/>
                  <w:hideMark/>
                </w:tcPr>
                <w:p w14:paraId="46F4E39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7,64</w:t>
                  </w:r>
                </w:p>
              </w:tc>
            </w:tr>
            <w:tr w:rsidR="00AB5852" w:rsidRPr="00871767" w14:paraId="735F304B"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31703D90"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28</w:t>
                  </w:r>
                </w:p>
              </w:tc>
              <w:tc>
                <w:tcPr>
                  <w:tcW w:w="2317" w:type="dxa"/>
                  <w:noWrap/>
                  <w:hideMark/>
                </w:tcPr>
                <w:p w14:paraId="39F6938E"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Mozambique</w:t>
                  </w:r>
                </w:p>
              </w:tc>
              <w:tc>
                <w:tcPr>
                  <w:tcW w:w="0" w:type="auto"/>
                  <w:noWrap/>
                  <w:hideMark/>
                </w:tcPr>
                <w:p w14:paraId="43878B0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6,80</w:t>
                  </w:r>
                </w:p>
              </w:tc>
              <w:tc>
                <w:tcPr>
                  <w:tcW w:w="0" w:type="auto"/>
                  <w:noWrap/>
                  <w:hideMark/>
                </w:tcPr>
                <w:p w14:paraId="41EE2AB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5,80</w:t>
                  </w:r>
                </w:p>
              </w:tc>
              <w:tc>
                <w:tcPr>
                  <w:tcW w:w="0" w:type="auto"/>
                  <w:noWrap/>
                  <w:hideMark/>
                </w:tcPr>
                <w:p w14:paraId="68EA9DA0"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4,59</w:t>
                  </w:r>
                </w:p>
              </w:tc>
              <w:tc>
                <w:tcPr>
                  <w:tcW w:w="0" w:type="auto"/>
                  <w:noWrap/>
                  <w:hideMark/>
                </w:tcPr>
                <w:p w14:paraId="0BAE04D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5,79</w:t>
                  </w:r>
                </w:p>
              </w:tc>
              <w:tc>
                <w:tcPr>
                  <w:tcW w:w="0" w:type="auto"/>
                  <w:noWrap/>
                  <w:hideMark/>
                </w:tcPr>
                <w:p w14:paraId="2DFBFC9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6,64</w:t>
                  </w:r>
                </w:p>
              </w:tc>
              <w:tc>
                <w:tcPr>
                  <w:tcW w:w="0" w:type="auto"/>
                  <w:noWrap/>
                  <w:hideMark/>
                </w:tcPr>
                <w:p w14:paraId="371673A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7,91</w:t>
                  </w:r>
                </w:p>
              </w:tc>
            </w:tr>
            <w:tr w:rsidR="00AB5852" w:rsidRPr="00871767" w14:paraId="0F575B46"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5CCA5A8"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29</w:t>
                  </w:r>
                </w:p>
              </w:tc>
              <w:tc>
                <w:tcPr>
                  <w:tcW w:w="2317" w:type="dxa"/>
                  <w:noWrap/>
                  <w:hideMark/>
                </w:tcPr>
                <w:p w14:paraId="36FBF3FA"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Benin</w:t>
                  </w:r>
                </w:p>
              </w:tc>
              <w:tc>
                <w:tcPr>
                  <w:tcW w:w="0" w:type="auto"/>
                  <w:noWrap/>
                  <w:hideMark/>
                </w:tcPr>
                <w:p w14:paraId="7ACB7E6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8,02</w:t>
                  </w:r>
                </w:p>
              </w:tc>
              <w:tc>
                <w:tcPr>
                  <w:tcW w:w="0" w:type="auto"/>
                  <w:noWrap/>
                  <w:hideMark/>
                </w:tcPr>
                <w:p w14:paraId="6BBD4BA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6,94</w:t>
                  </w:r>
                </w:p>
              </w:tc>
              <w:tc>
                <w:tcPr>
                  <w:tcW w:w="0" w:type="auto"/>
                  <w:noWrap/>
                  <w:hideMark/>
                </w:tcPr>
                <w:p w14:paraId="580C007C"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6,85</w:t>
                  </w:r>
                </w:p>
              </w:tc>
              <w:tc>
                <w:tcPr>
                  <w:tcW w:w="0" w:type="auto"/>
                  <w:noWrap/>
                  <w:hideMark/>
                </w:tcPr>
                <w:p w14:paraId="5F7B8583"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6,49</w:t>
                  </w:r>
                </w:p>
              </w:tc>
              <w:tc>
                <w:tcPr>
                  <w:tcW w:w="0" w:type="auto"/>
                  <w:noWrap/>
                  <w:hideMark/>
                </w:tcPr>
                <w:p w14:paraId="20BDE515"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6,55</w:t>
                  </w:r>
                </w:p>
              </w:tc>
              <w:tc>
                <w:tcPr>
                  <w:tcW w:w="0" w:type="auto"/>
                  <w:noWrap/>
                  <w:hideMark/>
                </w:tcPr>
                <w:p w14:paraId="300A1F1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8,08</w:t>
                  </w:r>
                </w:p>
              </w:tc>
            </w:tr>
            <w:tr w:rsidR="00AB5852" w:rsidRPr="00871767" w14:paraId="52CC195E"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5553C76"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30</w:t>
                  </w:r>
                </w:p>
              </w:tc>
              <w:tc>
                <w:tcPr>
                  <w:tcW w:w="2317" w:type="dxa"/>
                  <w:noWrap/>
                  <w:hideMark/>
                </w:tcPr>
                <w:p w14:paraId="51FD3EE7"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Algeria</w:t>
                  </w:r>
                </w:p>
              </w:tc>
              <w:tc>
                <w:tcPr>
                  <w:tcW w:w="0" w:type="auto"/>
                  <w:noWrap/>
                  <w:hideMark/>
                </w:tcPr>
                <w:p w14:paraId="7B62FB0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7,48</w:t>
                  </w:r>
                </w:p>
              </w:tc>
              <w:tc>
                <w:tcPr>
                  <w:tcW w:w="0" w:type="auto"/>
                  <w:noWrap/>
                  <w:hideMark/>
                </w:tcPr>
                <w:p w14:paraId="1F4651C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7,36</w:t>
                  </w:r>
                </w:p>
              </w:tc>
              <w:tc>
                <w:tcPr>
                  <w:tcW w:w="0" w:type="auto"/>
                  <w:noWrap/>
                  <w:hideMark/>
                </w:tcPr>
                <w:p w14:paraId="67BD2047"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6,87</w:t>
                  </w:r>
                </w:p>
              </w:tc>
              <w:tc>
                <w:tcPr>
                  <w:tcW w:w="0" w:type="auto"/>
                  <w:noWrap/>
                  <w:hideMark/>
                </w:tcPr>
                <w:p w14:paraId="5D8C38D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10,97</w:t>
                  </w:r>
                </w:p>
              </w:tc>
              <w:tc>
                <w:tcPr>
                  <w:tcW w:w="0" w:type="auto"/>
                  <w:noWrap/>
                  <w:hideMark/>
                </w:tcPr>
                <w:p w14:paraId="676D129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8,25</w:t>
                  </w:r>
                </w:p>
              </w:tc>
              <w:tc>
                <w:tcPr>
                  <w:tcW w:w="0" w:type="auto"/>
                  <w:noWrap/>
                  <w:hideMark/>
                </w:tcPr>
                <w:p w14:paraId="5E6E916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8,31</w:t>
                  </w:r>
                </w:p>
              </w:tc>
            </w:tr>
            <w:tr w:rsidR="00AB5852" w:rsidRPr="00871767" w14:paraId="5607E97D"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7AF610E6"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31</w:t>
                  </w:r>
                </w:p>
              </w:tc>
              <w:tc>
                <w:tcPr>
                  <w:tcW w:w="2317" w:type="dxa"/>
                  <w:noWrap/>
                  <w:hideMark/>
                </w:tcPr>
                <w:p w14:paraId="4CF33B05"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Morocco</w:t>
                  </w:r>
                </w:p>
              </w:tc>
              <w:tc>
                <w:tcPr>
                  <w:tcW w:w="0" w:type="auto"/>
                  <w:noWrap/>
                  <w:hideMark/>
                </w:tcPr>
                <w:p w14:paraId="2A2C053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10,28</w:t>
                  </w:r>
                </w:p>
              </w:tc>
              <w:tc>
                <w:tcPr>
                  <w:tcW w:w="0" w:type="auto"/>
                  <w:noWrap/>
                  <w:hideMark/>
                </w:tcPr>
                <w:p w14:paraId="75D0ACA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10,40</w:t>
                  </w:r>
                </w:p>
              </w:tc>
              <w:tc>
                <w:tcPr>
                  <w:tcW w:w="0" w:type="auto"/>
                  <w:noWrap/>
                  <w:hideMark/>
                </w:tcPr>
                <w:p w14:paraId="617C59C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8,26</w:t>
                  </w:r>
                </w:p>
              </w:tc>
              <w:tc>
                <w:tcPr>
                  <w:tcW w:w="0" w:type="auto"/>
                  <w:noWrap/>
                  <w:hideMark/>
                </w:tcPr>
                <w:p w14:paraId="7A8E3DA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8,09</w:t>
                  </w:r>
                </w:p>
              </w:tc>
              <w:tc>
                <w:tcPr>
                  <w:tcW w:w="0" w:type="auto"/>
                  <w:noWrap/>
                  <w:hideMark/>
                </w:tcPr>
                <w:p w14:paraId="3DDF24C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8,05</w:t>
                  </w:r>
                </w:p>
              </w:tc>
              <w:tc>
                <w:tcPr>
                  <w:tcW w:w="0" w:type="auto"/>
                  <w:noWrap/>
                  <w:hideMark/>
                </w:tcPr>
                <w:p w14:paraId="3491BCE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8,32</w:t>
                  </w:r>
                </w:p>
              </w:tc>
            </w:tr>
            <w:tr w:rsidR="00AB5852" w:rsidRPr="00871767" w14:paraId="1FC3F8A4"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089553E1" w14:textId="77777777" w:rsidR="00AB5852" w:rsidRPr="00AB5852" w:rsidRDefault="00AB5852" w:rsidP="00AB5852">
                  <w:pPr>
                    <w:jc w:val="right"/>
                    <w:rPr>
                      <w:rFonts w:ascii="Times New Roman" w:eastAsia="Times New Roman" w:hAnsi="Times New Roman" w:cs="Times New Roman"/>
                      <w:color w:val="FF0000"/>
                      <w:sz w:val="20"/>
                      <w:szCs w:val="20"/>
                      <w:lang w:eastAsia="en-GB"/>
                    </w:rPr>
                  </w:pPr>
                  <w:r w:rsidRPr="00AB5852">
                    <w:rPr>
                      <w:rFonts w:ascii="Times New Roman" w:eastAsia="Times New Roman" w:hAnsi="Times New Roman" w:cs="Times New Roman"/>
                      <w:color w:val="FF0000"/>
                      <w:sz w:val="20"/>
                      <w:szCs w:val="20"/>
                      <w:lang w:eastAsia="en-GB"/>
                    </w:rPr>
                    <w:t>32</w:t>
                  </w:r>
                </w:p>
              </w:tc>
              <w:tc>
                <w:tcPr>
                  <w:tcW w:w="2317" w:type="dxa"/>
                  <w:noWrap/>
                  <w:hideMark/>
                </w:tcPr>
                <w:p w14:paraId="63BF8EB1"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szCs w:val="20"/>
                      <w:lang w:eastAsia="en-GB"/>
                    </w:rPr>
                  </w:pPr>
                  <w:r w:rsidRPr="00AB5852">
                    <w:rPr>
                      <w:rFonts w:ascii="Times New Roman" w:eastAsia="Times New Roman" w:hAnsi="Times New Roman" w:cs="Times New Roman"/>
                      <w:b/>
                      <w:bCs/>
                      <w:color w:val="FF0000"/>
                      <w:sz w:val="20"/>
                      <w:szCs w:val="20"/>
                      <w:lang w:eastAsia="en-GB"/>
                    </w:rPr>
                    <w:t>Senegal</w:t>
                  </w:r>
                </w:p>
              </w:tc>
              <w:tc>
                <w:tcPr>
                  <w:tcW w:w="0" w:type="auto"/>
                  <w:noWrap/>
                  <w:hideMark/>
                </w:tcPr>
                <w:p w14:paraId="46D1FFBB"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szCs w:val="20"/>
                      <w:lang w:eastAsia="en-GB"/>
                    </w:rPr>
                  </w:pPr>
                  <w:r w:rsidRPr="00AB5852">
                    <w:rPr>
                      <w:rFonts w:ascii="Times New Roman" w:eastAsia="Times New Roman" w:hAnsi="Times New Roman" w:cs="Times New Roman"/>
                      <w:b/>
                      <w:bCs/>
                      <w:color w:val="FF0000"/>
                      <w:sz w:val="20"/>
                      <w:szCs w:val="20"/>
                      <w:lang w:eastAsia="en-GB"/>
                    </w:rPr>
                    <w:t>8,24</w:t>
                  </w:r>
                </w:p>
              </w:tc>
              <w:tc>
                <w:tcPr>
                  <w:tcW w:w="0" w:type="auto"/>
                  <w:noWrap/>
                  <w:hideMark/>
                </w:tcPr>
                <w:p w14:paraId="014C843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szCs w:val="20"/>
                      <w:lang w:eastAsia="en-GB"/>
                    </w:rPr>
                  </w:pPr>
                  <w:r w:rsidRPr="00AB5852">
                    <w:rPr>
                      <w:rFonts w:ascii="Times New Roman" w:eastAsia="Times New Roman" w:hAnsi="Times New Roman" w:cs="Times New Roman"/>
                      <w:b/>
                      <w:bCs/>
                      <w:color w:val="FF0000"/>
                      <w:sz w:val="20"/>
                      <w:szCs w:val="20"/>
                      <w:lang w:eastAsia="en-GB"/>
                    </w:rPr>
                    <w:t>8,44</w:t>
                  </w:r>
                </w:p>
              </w:tc>
              <w:tc>
                <w:tcPr>
                  <w:tcW w:w="0" w:type="auto"/>
                  <w:noWrap/>
                  <w:hideMark/>
                </w:tcPr>
                <w:p w14:paraId="6F78552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szCs w:val="20"/>
                      <w:lang w:eastAsia="en-GB"/>
                    </w:rPr>
                  </w:pPr>
                  <w:r w:rsidRPr="00AB5852">
                    <w:rPr>
                      <w:rFonts w:ascii="Times New Roman" w:eastAsia="Times New Roman" w:hAnsi="Times New Roman" w:cs="Times New Roman"/>
                      <w:b/>
                      <w:bCs/>
                      <w:color w:val="FF0000"/>
                      <w:sz w:val="20"/>
                      <w:szCs w:val="20"/>
                      <w:lang w:eastAsia="en-GB"/>
                    </w:rPr>
                    <w:t>8,33</w:t>
                  </w:r>
                </w:p>
              </w:tc>
              <w:tc>
                <w:tcPr>
                  <w:tcW w:w="0" w:type="auto"/>
                  <w:noWrap/>
                  <w:hideMark/>
                </w:tcPr>
                <w:p w14:paraId="7667444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szCs w:val="20"/>
                      <w:lang w:eastAsia="en-GB"/>
                    </w:rPr>
                  </w:pPr>
                  <w:r w:rsidRPr="00AB5852">
                    <w:rPr>
                      <w:rFonts w:ascii="Times New Roman" w:eastAsia="Times New Roman" w:hAnsi="Times New Roman" w:cs="Times New Roman"/>
                      <w:b/>
                      <w:bCs/>
                      <w:color w:val="FF0000"/>
                      <w:sz w:val="20"/>
                      <w:szCs w:val="20"/>
                      <w:lang w:eastAsia="en-GB"/>
                    </w:rPr>
                    <w:t>8,07</w:t>
                  </w:r>
                </w:p>
              </w:tc>
              <w:tc>
                <w:tcPr>
                  <w:tcW w:w="0" w:type="auto"/>
                  <w:noWrap/>
                  <w:hideMark/>
                </w:tcPr>
                <w:p w14:paraId="72B278DB"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szCs w:val="20"/>
                      <w:lang w:eastAsia="en-GB"/>
                    </w:rPr>
                  </w:pPr>
                  <w:r w:rsidRPr="00AB5852">
                    <w:rPr>
                      <w:rFonts w:ascii="Times New Roman" w:eastAsia="Times New Roman" w:hAnsi="Times New Roman" w:cs="Times New Roman"/>
                      <w:b/>
                      <w:bCs/>
                      <w:color w:val="FF0000"/>
                      <w:sz w:val="20"/>
                      <w:szCs w:val="20"/>
                      <w:lang w:eastAsia="en-GB"/>
                    </w:rPr>
                    <w:t>7,97</w:t>
                  </w:r>
                </w:p>
              </w:tc>
              <w:tc>
                <w:tcPr>
                  <w:tcW w:w="0" w:type="auto"/>
                  <w:noWrap/>
                  <w:hideMark/>
                </w:tcPr>
                <w:p w14:paraId="43D36484"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szCs w:val="20"/>
                      <w:lang w:eastAsia="en-GB"/>
                    </w:rPr>
                  </w:pPr>
                  <w:r w:rsidRPr="00AB5852">
                    <w:rPr>
                      <w:rFonts w:ascii="Times New Roman" w:eastAsia="Times New Roman" w:hAnsi="Times New Roman" w:cs="Times New Roman"/>
                      <w:b/>
                      <w:bCs/>
                      <w:color w:val="FF0000"/>
                      <w:sz w:val="20"/>
                      <w:szCs w:val="20"/>
                      <w:lang w:eastAsia="en-GB"/>
                    </w:rPr>
                    <w:t>8,40</w:t>
                  </w:r>
                </w:p>
              </w:tc>
            </w:tr>
            <w:tr w:rsidR="00AB5852" w:rsidRPr="00871767" w14:paraId="78573AEF"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3C267981"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33</w:t>
                  </w:r>
                </w:p>
              </w:tc>
              <w:tc>
                <w:tcPr>
                  <w:tcW w:w="2317" w:type="dxa"/>
                  <w:noWrap/>
                  <w:hideMark/>
                </w:tcPr>
                <w:p w14:paraId="2B10201B"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Lesotho</w:t>
                  </w:r>
                </w:p>
              </w:tc>
              <w:tc>
                <w:tcPr>
                  <w:tcW w:w="0" w:type="auto"/>
                  <w:noWrap/>
                  <w:hideMark/>
                </w:tcPr>
                <w:p w14:paraId="24AC884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7,00</w:t>
                  </w:r>
                </w:p>
              </w:tc>
              <w:tc>
                <w:tcPr>
                  <w:tcW w:w="0" w:type="auto"/>
                  <w:noWrap/>
                  <w:hideMark/>
                </w:tcPr>
                <w:p w14:paraId="09F49E74"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7,37</w:t>
                  </w:r>
                </w:p>
              </w:tc>
              <w:tc>
                <w:tcPr>
                  <w:tcW w:w="0" w:type="auto"/>
                  <w:noWrap/>
                  <w:hideMark/>
                </w:tcPr>
                <w:p w14:paraId="086F8463"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7,86</w:t>
                  </w:r>
                </w:p>
              </w:tc>
              <w:tc>
                <w:tcPr>
                  <w:tcW w:w="0" w:type="auto"/>
                  <w:noWrap/>
                  <w:hideMark/>
                </w:tcPr>
                <w:p w14:paraId="39367EF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7,95</w:t>
                  </w:r>
                </w:p>
              </w:tc>
              <w:tc>
                <w:tcPr>
                  <w:tcW w:w="0" w:type="auto"/>
                  <w:noWrap/>
                  <w:hideMark/>
                </w:tcPr>
                <w:p w14:paraId="7AB0A72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8,37</w:t>
                  </w:r>
                </w:p>
              </w:tc>
              <w:tc>
                <w:tcPr>
                  <w:tcW w:w="0" w:type="auto"/>
                  <w:noWrap/>
                  <w:hideMark/>
                </w:tcPr>
                <w:p w14:paraId="6608BD6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8,57</w:t>
                  </w:r>
                </w:p>
              </w:tc>
            </w:tr>
            <w:tr w:rsidR="00AB5852" w:rsidRPr="00871767" w14:paraId="3B94940D"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57CE234"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34</w:t>
                  </w:r>
                </w:p>
              </w:tc>
              <w:tc>
                <w:tcPr>
                  <w:tcW w:w="2317" w:type="dxa"/>
                  <w:noWrap/>
                  <w:hideMark/>
                </w:tcPr>
                <w:p w14:paraId="62FEB6A3"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Niger</w:t>
                  </w:r>
                </w:p>
              </w:tc>
              <w:tc>
                <w:tcPr>
                  <w:tcW w:w="0" w:type="auto"/>
                  <w:noWrap/>
                  <w:hideMark/>
                </w:tcPr>
                <w:p w14:paraId="60B16B92"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9,06</w:t>
                  </w:r>
                </w:p>
              </w:tc>
              <w:tc>
                <w:tcPr>
                  <w:tcW w:w="0" w:type="auto"/>
                  <w:noWrap/>
                  <w:hideMark/>
                </w:tcPr>
                <w:p w14:paraId="1178B082"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5,17</w:t>
                  </w:r>
                </w:p>
              </w:tc>
              <w:tc>
                <w:tcPr>
                  <w:tcW w:w="0" w:type="auto"/>
                  <w:noWrap/>
                  <w:hideMark/>
                </w:tcPr>
                <w:p w14:paraId="5E18375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5,10</w:t>
                  </w:r>
                </w:p>
              </w:tc>
              <w:tc>
                <w:tcPr>
                  <w:tcW w:w="0" w:type="auto"/>
                  <w:noWrap/>
                  <w:hideMark/>
                </w:tcPr>
                <w:p w14:paraId="6210668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8,23</w:t>
                  </w:r>
                </w:p>
              </w:tc>
              <w:tc>
                <w:tcPr>
                  <w:tcW w:w="0" w:type="auto"/>
                  <w:noWrap/>
                  <w:hideMark/>
                </w:tcPr>
                <w:p w14:paraId="2A39A23B"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8,13</w:t>
                  </w:r>
                </w:p>
              </w:tc>
              <w:tc>
                <w:tcPr>
                  <w:tcW w:w="0" w:type="auto"/>
                  <w:noWrap/>
                  <w:hideMark/>
                </w:tcPr>
                <w:p w14:paraId="001187D5"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8,57</w:t>
                  </w:r>
                </w:p>
              </w:tc>
            </w:tr>
            <w:tr w:rsidR="00AB5852" w:rsidRPr="00871767" w14:paraId="1883CE46"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E008DDD"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35</w:t>
                  </w:r>
                </w:p>
              </w:tc>
              <w:tc>
                <w:tcPr>
                  <w:tcW w:w="2317" w:type="dxa"/>
                  <w:noWrap/>
                  <w:hideMark/>
                </w:tcPr>
                <w:p w14:paraId="064F4848"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Togo</w:t>
                  </w:r>
                </w:p>
              </w:tc>
              <w:tc>
                <w:tcPr>
                  <w:tcW w:w="0" w:type="auto"/>
                  <w:noWrap/>
                  <w:hideMark/>
                </w:tcPr>
                <w:p w14:paraId="2A94A25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12,25</w:t>
                  </w:r>
                </w:p>
              </w:tc>
              <w:tc>
                <w:tcPr>
                  <w:tcW w:w="0" w:type="auto"/>
                  <w:noWrap/>
                  <w:hideMark/>
                </w:tcPr>
                <w:p w14:paraId="23248F37"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12,55</w:t>
                  </w:r>
                </w:p>
              </w:tc>
              <w:tc>
                <w:tcPr>
                  <w:tcW w:w="0" w:type="auto"/>
                  <w:noWrap/>
                  <w:hideMark/>
                </w:tcPr>
                <w:p w14:paraId="4C96FFE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8,70</w:t>
                  </w:r>
                </w:p>
              </w:tc>
              <w:tc>
                <w:tcPr>
                  <w:tcW w:w="0" w:type="auto"/>
                  <w:noWrap/>
                  <w:hideMark/>
                </w:tcPr>
                <w:p w14:paraId="57E33ED7"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8,42</w:t>
                  </w:r>
                </w:p>
              </w:tc>
              <w:tc>
                <w:tcPr>
                  <w:tcW w:w="0" w:type="auto"/>
                  <w:noWrap/>
                  <w:hideMark/>
                </w:tcPr>
                <w:p w14:paraId="43EEB1B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8,32</w:t>
                  </w:r>
                </w:p>
              </w:tc>
              <w:tc>
                <w:tcPr>
                  <w:tcW w:w="0" w:type="auto"/>
                  <w:noWrap/>
                  <w:hideMark/>
                </w:tcPr>
                <w:p w14:paraId="3724C419"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8,77</w:t>
                  </w:r>
                </w:p>
              </w:tc>
            </w:tr>
            <w:tr w:rsidR="00AB5852" w:rsidRPr="00871767" w14:paraId="7F5EBBD6"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38D0915"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36</w:t>
                  </w:r>
                </w:p>
              </w:tc>
              <w:tc>
                <w:tcPr>
                  <w:tcW w:w="2317" w:type="dxa"/>
                  <w:noWrap/>
                  <w:hideMark/>
                </w:tcPr>
                <w:p w14:paraId="24A22034"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D.R Congo</w:t>
                  </w:r>
                </w:p>
              </w:tc>
              <w:tc>
                <w:tcPr>
                  <w:tcW w:w="0" w:type="auto"/>
                  <w:noWrap/>
                  <w:hideMark/>
                </w:tcPr>
                <w:p w14:paraId="7ABA3FDB"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8,29</w:t>
                  </w:r>
                </w:p>
              </w:tc>
              <w:tc>
                <w:tcPr>
                  <w:tcW w:w="0" w:type="auto"/>
                  <w:noWrap/>
                  <w:hideMark/>
                </w:tcPr>
                <w:p w14:paraId="5630B40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8,29</w:t>
                  </w:r>
                </w:p>
              </w:tc>
              <w:tc>
                <w:tcPr>
                  <w:tcW w:w="0" w:type="auto"/>
                  <w:noWrap/>
                  <w:hideMark/>
                </w:tcPr>
                <w:p w14:paraId="2576AFE2"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8,29</w:t>
                  </w:r>
                </w:p>
              </w:tc>
              <w:tc>
                <w:tcPr>
                  <w:tcW w:w="0" w:type="auto"/>
                  <w:noWrap/>
                  <w:hideMark/>
                </w:tcPr>
                <w:p w14:paraId="55462DF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8,29</w:t>
                  </w:r>
                </w:p>
              </w:tc>
              <w:tc>
                <w:tcPr>
                  <w:tcW w:w="0" w:type="auto"/>
                  <w:noWrap/>
                  <w:hideMark/>
                </w:tcPr>
                <w:p w14:paraId="005D6347"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8,80</w:t>
                  </w:r>
                </w:p>
              </w:tc>
              <w:tc>
                <w:tcPr>
                  <w:tcW w:w="0" w:type="auto"/>
                  <w:noWrap/>
                  <w:hideMark/>
                </w:tcPr>
                <w:p w14:paraId="19B63D6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8,80</w:t>
                  </w:r>
                </w:p>
              </w:tc>
            </w:tr>
            <w:tr w:rsidR="00AB5852" w:rsidRPr="00871767" w14:paraId="050921CD"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7058EF04"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37</w:t>
                  </w:r>
                </w:p>
              </w:tc>
              <w:tc>
                <w:tcPr>
                  <w:tcW w:w="2317" w:type="dxa"/>
                  <w:noWrap/>
                  <w:hideMark/>
                </w:tcPr>
                <w:p w14:paraId="1ED65CA0"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Zimbabwe</w:t>
                  </w:r>
                </w:p>
              </w:tc>
              <w:tc>
                <w:tcPr>
                  <w:tcW w:w="0" w:type="auto"/>
                  <w:noWrap/>
                  <w:hideMark/>
                </w:tcPr>
                <w:p w14:paraId="20AC1675"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12,91</w:t>
                  </w:r>
                </w:p>
              </w:tc>
              <w:tc>
                <w:tcPr>
                  <w:tcW w:w="0" w:type="auto"/>
                  <w:noWrap/>
                  <w:hideMark/>
                </w:tcPr>
                <w:p w14:paraId="04E6400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8,95</w:t>
                  </w:r>
                </w:p>
              </w:tc>
              <w:tc>
                <w:tcPr>
                  <w:tcW w:w="0" w:type="auto"/>
                  <w:noWrap/>
                  <w:hideMark/>
                </w:tcPr>
                <w:p w14:paraId="1033F96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8,95</w:t>
                  </w:r>
                </w:p>
              </w:tc>
              <w:tc>
                <w:tcPr>
                  <w:tcW w:w="0" w:type="auto"/>
                  <w:noWrap/>
                  <w:hideMark/>
                </w:tcPr>
                <w:p w14:paraId="34F2E31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8,95</w:t>
                  </w:r>
                </w:p>
              </w:tc>
              <w:tc>
                <w:tcPr>
                  <w:tcW w:w="0" w:type="auto"/>
                  <w:noWrap/>
                  <w:hideMark/>
                </w:tcPr>
                <w:p w14:paraId="64FED5ED"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8,95</w:t>
                  </w:r>
                </w:p>
              </w:tc>
              <w:tc>
                <w:tcPr>
                  <w:tcW w:w="0" w:type="auto"/>
                  <w:noWrap/>
                  <w:hideMark/>
                </w:tcPr>
                <w:p w14:paraId="1F61C68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8,95</w:t>
                  </w:r>
                </w:p>
              </w:tc>
            </w:tr>
            <w:tr w:rsidR="00AB5852" w:rsidRPr="00871767" w14:paraId="7053294C"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A626E45"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38</w:t>
                  </w:r>
                </w:p>
              </w:tc>
              <w:tc>
                <w:tcPr>
                  <w:tcW w:w="2317" w:type="dxa"/>
                  <w:noWrap/>
                  <w:hideMark/>
                </w:tcPr>
                <w:p w14:paraId="3D2D1AC4"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Gabon</w:t>
                  </w:r>
                </w:p>
              </w:tc>
              <w:tc>
                <w:tcPr>
                  <w:tcW w:w="0" w:type="auto"/>
                  <w:noWrap/>
                  <w:hideMark/>
                </w:tcPr>
                <w:p w14:paraId="0668B8E8"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11,00</w:t>
                  </w:r>
                </w:p>
              </w:tc>
              <w:tc>
                <w:tcPr>
                  <w:tcW w:w="0" w:type="auto"/>
                  <w:noWrap/>
                  <w:hideMark/>
                </w:tcPr>
                <w:p w14:paraId="7A8A5EBD"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11,26</w:t>
                  </w:r>
                </w:p>
              </w:tc>
              <w:tc>
                <w:tcPr>
                  <w:tcW w:w="0" w:type="auto"/>
                  <w:noWrap/>
                  <w:hideMark/>
                </w:tcPr>
                <w:p w14:paraId="29617D49"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11,55</w:t>
                  </w:r>
                </w:p>
              </w:tc>
              <w:tc>
                <w:tcPr>
                  <w:tcW w:w="0" w:type="auto"/>
                  <w:noWrap/>
                  <w:hideMark/>
                </w:tcPr>
                <w:p w14:paraId="1C10207B"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12,43</w:t>
                  </w:r>
                </w:p>
              </w:tc>
              <w:tc>
                <w:tcPr>
                  <w:tcW w:w="0" w:type="auto"/>
                  <w:noWrap/>
                  <w:hideMark/>
                </w:tcPr>
                <w:p w14:paraId="31BAC2A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9,19</w:t>
                  </w:r>
                </w:p>
              </w:tc>
              <w:tc>
                <w:tcPr>
                  <w:tcW w:w="0" w:type="auto"/>
                  <w:noWrap/>
                  <w:hideMark/>
                </w:tcPr>
                <w:p w14:paraId="64CB8FA9"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9,48</w:t>
                  </w:r>
                </w:p>
              </w:tc>
            </w:tr>
            <w:tr w:rsidR="00AB5852" w:rsidRPr="00871767" w14:paraId="0B65C42A"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1643FD2"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39</w:t>
                  </w:r>
                </w:p>
              </w:tc>
              <w:tc>
                <w:tcPr>
                  <w:tcW w:w="2317" w:type="dxa"/>
                  <w:noWrap/>
                  <w:hideMark/>
                </w:tcPr>
                <w:p w14:paraId="3DF134D4"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Mauritania</w:t>
                  </w:r>
                </w:p>
              </w:tc>
              <w:tc>
                <w:tcPr>
                  <w:tcW w:w="0" w:type="auto"/>
                  <w:noWrap/>
                  <w:hideMark/>
                </w:tcPr>
                <w:p w14:paraId="6984852D"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11,02</w:t>
                  </w:r>
                </w:p>
              </w:tc>
              <w:tc>
                <w:tcPr>
                  <w:tcW w:w="0" w:type="auto"/>
                  <w:noWrap/>
                  <w:hideMark/>
                </w:tcPr>
                <w:p w14:paraId="1BF5F939"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10,26</w:t>
                  </w:r>
                </w:p>
              </w:tc>
              <w:tc>
                <w:tcPr>
                  <w:tcW w:w="0" w:type="auto"/>
                  <w:noWrap/>
                  <w:hideMark/>
                </w:tcPr>
                <w:p w14:paraId="4666CC6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10,08</w:t>
                  </w:r>
                </w:p>
              </w:tc>
              <w:tc>
                <w:tcPr>
                  <w:tcW w:w="0" w:type="auto"/>
                  <w:noWrap/>
                  <w:hideMark/>
                </w:tcPr>
                <w:p w14:paraId="70BD9829"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10,04</w:t>
                  </w:r>
                </w:p>
              </w:tc>
              <w:tc>
                <w:tcPr>
                  <w:tcW w:w="0" w:type="auto"/>
                  <w:noWrap/>
                  <w:hideMark/>
                </w:tcPr>
                <w:p w14:paraId="348354E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8,40</w:t>
                  </w:r>
                </w:p>
              </w:tc>
              <w:tc>
                <w:tcPr>
                  <w:tcW w:w="0" w:type="auto"/>
                  <w:noWrap/>
                  <w:hideMark/>
                </w:tcPr>
                <w:p w14:paraId="2D5E080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9,95</w:t>
                  </w:r>
                </w:p>
              </w:tc>
            </w:tr>
            <w:tr w:rsidR="00AB5852" w:rsidRPr="00871767" w14:paraId="194CB599"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5A2342C4"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40</w:t>
                  </w:r>
                </w:p>
              </w:tc>
              <w:tc>
                <w:tcPr>
                  <w:tcW w:w="2317" w:type="dxa"/>
                  <w:noWrap/>
                  <w:hideMark/>
                </w:tcPr>
                <w:p w14:paraId="15C54C4C"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Comoros</w:t>
                  </w:r>
                </w:p>
              </w:tc>
              <w:tc>
                <w:tcPr>
                  <w:tcW w:w="0" w:type="auto"/>
                  <w:noWrap/>
                  <w:hideMark/>
                </w:tcPr>
                <w:p w14:paraId="4D0CB316"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0" w:type="auto"/>
                  <w:noWrap/>
                  <w:hideMark/>
                </w:tcPr>
                <w:p w14:paraId="7B3F24A9"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406E6726"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6677EB1A"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21833D88"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8,68</w:t>
                  </w:r>
                </w:p>
              </w:tc>
              <w:tc>
                <w:tcPr>
                  <w:tcW w:w="0" w:type="auto"/>
                  <w:noWrap/>
                  <w:hideMark/>
                </w:tcPr>
                <w:p w14:paraId="42DC524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10,09</w:t>
                  </w:r>
                </w:p>
              </w:tc>
            </w:tr>
            <w:tr w:rsidR="00AB5852" w:rsidRPr="00871767" w14:paraId="4A74C434"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EDF7F95"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41</w:t>
                  </w:r>
                </w:p>
              </w:tc>
              <w:tc>
                <w:tcPr>
                  <w:tcW w:w="2317" w:type="dxa"/>
                  <w:noWrap/>
                  <w:hideMark/>
                </w:tcPr>
                <w:p w14:paraId="4F2E382B"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Congo Brazzaville</w:t>
                  </w:r>
                </w:p>
              </w:tc>
              <w:tc>
                <w:tcPr>
                  <w:tcW w:w="0" w:type="auto"/>
                  <w:noWrap/>
                  <w:hideMark/>
                </w:tcPr>
                <w:p w14:paraId="3B2D9693"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8,60</w:t>
                  </w:r>
                </w:p>
              </w:tc>
              <w:tc>
                <w:tcPr>
                  <w:tcW w:w="0" w:type="auto"/>
                  <w:noWrap/>
                  <w:hideMark/>
                </w:tcPr>
                <w:p w14:paraId="5EF64DC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8,09</w:t>
                  </w:r>
                </w:p>
              </w:tc>
              <w:tc>
                <w:tcPr>
                  <w:tcW w:w="0" w:type="auto"/>
                  <w:noWrap/>
                  <w:hideMark/>
                </w:tcPr>
                <w:p w14:paraId="2A12DD54"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7,99</w:t>
                  </w:r>
                </w:p>
              </w:tc>
              <w:tc>
                <w:tcPr>
                  <w:tcW w:w="0" w:type="auto"/>
                  <w:noWrap/>
                  <w:hideMark/>
                </w:tcPr>
                <w:p w14:paraId="30C1BA0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4,25</w:t>
                  </w:r>
                </w:p>
              </w:tc>
              <w:tc>
                <w:tcPr>
                  <w:tcW w:w="0" w:type="auto"/>
                  <w:noWrap/>
                  <w:hideMark/>
                </w:tcPr>
                <w:p w14:paraId="130A889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10,09</w:t>
                  </w:r>
                </w:p>
              </w:tc>
              <w:tc>
                <w:tcPr>
                  <w:tcW w:w="0" w:type="auto"/>
                  <w:noWrap/>
                  <w:hideMark/>
                </w:tcPr>
                <w:p w14:paraId="1625FD58"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10,40</w:t>
                  </w:r>
                </w:p>
              </w:tc>
            </w:tr>
            <w:tr w:rsidR="00AB5852" w:rsidRPr="00871767" w14:paraId="02D46AF1"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7C97D14F"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42</w:t>
                  </w:r>
                </w:p>
              </w:tc>
              <w:tc>
                <w:tcPr>
                  <w:tcW w:w="2317" w:type="dxa"/>
                  <w:noWrap/>
                  <w:hideMark/>
                </w:tcPr>
                <w:p w14:paraId="6745BC68"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Sao Tome and Principe</w:t>
                  </w:r>
                </w:p>
              </w:tc>
              <w:tc>
                <w:tcPr>
                  <w:tcW w:w="0" w:type="auto"/>
                  <w:noWrap/>
                  <w:hideMark/>
                </w:tcPr>
                <w:p w14:paraId="7959D398"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11,88</w:t>
                  </w:r>
                </w:p>
              </w:tc>
              <w:tc>
                <w:tcPr>
                  <w:tcW w:w="0" w:type="auto"/>
                  <w:noWrap/>
                  <w:hideMark/>
                </w:tcPr>
                <w:p w14:paraId="06176B0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10,86</w:t>
                  </w:r>
                </w:p>
              </w:tc>
              <w:tc>
                <w:tcPr>
                  <w:tcW w:w="0" w:type="auto"/>
                  <w:noWrap/>
                  <w:hideMark/>
                </w:tcPr>
                <w:p w14:paraId="4B729CE0"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10,67</w:t>
                  </w:r>
                </w:p>
              </w:tc>
              <w:tc>
                <w:tcPr>
                  <w:tcW w:w="0" w:type="auto"/>
                  <w:noWrap/>
                  <w:hideMark/>
                </w:tcPr>
                <w:p w14:paraId="06F91E56"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10,27</w:t>
                  </w:r>
                </w:p>
              </w:tc>
              <w:tc>
                <w:tcPr>
                  <w:tcW w:w="0" w:type="auto"/>
                  <w:noWrap/>
                  <w:hideMark/>
                </w:tcPr>
                <w:p w14:paraId="1E0D7E5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10,14</w:t>
                  </w:r>
                </w:p>
              </w:tc>
              <w:tc>
                <w:tcPr>
                  <w:tcW w:w="0" w:type="auto"/>
                  <w:noWrap/>
                  <w:hideMark/>
                </w:tcPr>
                <w:p w14:paraId="06B5ADAD"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10,70</w:t>
                  </w:r>
                </w:p>
              </w:tc>
            </w:tr>
            <w:tr w:rsidR="00AB5852" w:rsidRPr="00871767" w14:paraId="1EE8D584"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A174FA8"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43</w:t>
                  </w:r>
                </w:p>
              </w:tc>
              <w:tc>
                <w:tcPr>
                  <w:tcW w:w="2317" w:type="dxa"/>
                  <w:noWrap/>
                  <w:hideMark/>
                </w:tcPr>
                <w:p w14:paraId="5B57AB09"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Cote d'Ivoire</w:t>
                  </w:r>
                </w:p>
              </w:tc>
              <w:tc>
                <w:tcPr>
                  <w:tcW w:w="0" w:type="auto"/>
                  <w:noWrap/>
                  <w:hideMark/>
                </w:tcPr>
                <w:p w14:paraId="4D49624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8,31</w:t>
                  </w:r>
                </w:p>
              </w:tc>
              <w:tc>
                <w:tcPr>
                  <w:tcW w:w="0" w:type="auto"/>
                  <w:noWrap/>
                  <w:hideMark/>
                </w:tcPr>
                <w:p w14:paraId="134CB1EA"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8,51</w:t>
                  </w:r>
                </w:p>
              </w:tc>
              <w:tc>
                <w:tcPr>
                  <w:tcW w:w="0" w:type="auto"/>
                  <w:noWrap/>
                  <w:hideMark/>
                </w:tcPr>
                <w:p w14:paraId="0052093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8,40</w:t>
                  </w:r>
                </w:p>
              </w:tc>
              <w:tc>
                <w:tcPr>
                  <w:tcW w:w="0" w:type="auto"/>
                  <w:noWrap/>
                  <w:hideMark/>
                </w:tcPr>
                <w:p w14:paraId="663961F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8,26</w:t>
                  </w:r>
                </w:p>
              </w:tc>
              <w:tc>
                <w:tcPr>
                  <w:tcW w:w="0" w:type="auto"/>
                  <w:noWrap/>
                  <w:hideMark/>
                </w:tcPr>
                <w:p w14:paraId="426F5343"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8,16</w:t>
                  </w:r>
                </w:p>
              </w:tc>
              <w:tc>
                <w:tcPr>
                  <w:tcW w:w="0" w:type="auto"/>
                  <w:noWrap/>
                  <w:hideMark/>
                </w:tcPr>
                <w:p w14:paraId="43DA0B1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10,78</w:t>
                  </w:r>
                </w:p>
              </w:tc>
            </w:tr>
            <w:tr w:rsidR="00AB5852" w:rsidRPr="00871767" w14:paraId="76119BBC"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6553E019"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44</w:t>
                  </w:r>
                </w:p>
              </w:tc>
              <w:tc>
                <w:tcPr>
                  <w:tcW w:w="2317" w:type="dxa"/>
                  <w:noWrap/>
                  <w:hideMark/>
                </w:tcPr>
                <w:p w14:paraId="5DC9134B"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Chad</w:t>
                  </w:r>
                </w:p>
              </w:tc>
              <w:tc>
                <w:tcPr>
                  <w:tcW w:w="0" w:type="auto"/>
                  <w:noWrap/>
                  <w:hideMark/>
                </w:tcPr>
                <w:p w14:paraId="05F619E3"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11,20</w:t>
                  </w:r>
                </w:p>
              </w:tc>
              <w:tc>
                <w:tcPr>
                  <w:tcW w:w="0" w:type="auto"/>
                  <w:noWrap/>
                  <w:hideMark/>
                </w:tcPr>
                <w:p w14:paraId="4D4BD3A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10,09</w:t>
                  </w:r>
                </w:p>
              </w:tc>
              <w:tc>
                <w:tcPr>
                  <w:tcW w:w="0" w:type="auto"/>
                  <w:noWrap/>
                  <w:hideMark/>
                </w:tcPr>
                <w:p w14:paraId="7104BF95"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9,97</w:t>
                  </w:r>
                </w:p>
              </w:tc>
              <w:tc>
                <w:tcPr>
                  <w:tcW w:w="0" w:type="auto"/>
                  <w:noWrap/>
                  <w:hideMark/>
                </w:tcPr>
                <w:p w14:paraId="5E369D4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10,95</w:t>
                  </w:r>
                </w:p>
              </w:tc>
              <w:tc>
                <w:tcPr>
                  <w:tcW w:w="0" w:type="auto"/>
                  <w:noWrap/>
                  <w:hideMark/>
                </w:tcPr>
                <w:p w14:paraId="703BB6A1"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10,82</w:t>
                  </w:r>
                </w:p>
              </w:tc>
              <w:tc>
                <w:tcPr>
                  <w:tcW w:w="0" w:type="auto"/>
                  <w:noWrap/>
                  <w:hideMark/>
                </w:tcPr>
                <w:p w14:paraId="3DDA2D88"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11,15</w:t>
                  </w:r>
                </w:p>
              </w:tc>
            </w:tr>
            <w:tr w:rsidR="00AB5852" w:rsidRPr="00871767" w14:paraId="0275DEA4"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C9079A1"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45</w:t>
                  </w:r>
                </w:p>
              </w:tc>
              <w:tc>
                <w:tcPr>
                  <w:tcW w:w="2317" w:type="dxa"/>
                  <w:noWrap/>
                  <w:hideMark/>
                </w:tcPr>
                <w:p w14:paraId="6D96D28D"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Central African Republic</w:t>
                  </w:r>
                </w:p>
              </w:tc>
              <w:tc>
                <w:tcPr>
                  <w:tcW w:w="0" w:type="auto"/>
                  <w:noWrap/>
                  <w:hideMark/>
                </w:tcPr>
                <w:p w14:paraId="4E186CD9"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11,40</w:t>
                  </w:r>
                </w:p>
              </w:tc>
              <w:tc>
                <w:tcPr>
                  <w:tcW w:w="0" w:type="auto"/>
                  <w:noWrap/>
                  <w:hideMark/>
                </w:tcPr>
                <w:p w14:paraId="1A14A3F7"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11,67</w:t>
                  </w:r>
                </w:p>
              </w:tc>
              <w:tc>
                <w:tcPr>
                  <w:tcW w:w="0" w:type="auto"/>
                  <w:noWrap/>
                  <w:hideMark/>
                </w:tcPr>
                <w:p w14:paraId="24E2FA1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11,53</w:t>
                  </w:r>
                </w:p>
              </w:tc>
              <w:tc>
                <w:tcPr>
                  <w:tcW w:w="0" w:type="auto"/>
                  <w:noWrap/>
                  <w:hideMark/>
                </w:tcPr>
                <w:p w14:paraId="32A2445D"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11,15</w:t>
                  </w:r>
                </w:p>
              </w:tc>
              <w:tc>
                <w:tcPr>
                  <w:tcW w:w="0" w:type="auto"/>
                  <w:noWrap/>
                  <w:hideMark/>
                </w:tcPr>
                <w:p w14:paraId="16257A1B"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11,01</w:t>
                  </w:r>
                </w:p>
              </w:tc>
              <w:tc>
                <w:tcPr>
                  <w:tcW w:w="0" w:type="auto"/>
                  <w:noWrap/>
                  <w:hideMark/>
                </w:tcPr>
                <w:p w14:paraId="36CA1AE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11,35</w:t>
                  </w:r>
                </w:p>
              </w:tc>
            </w:tr>
            <w:tr w:rsidR="00AB5852" w:rsidRPr="00871767" w14:paraId="4834AD57"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7EEAF631"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46</w:t>
                  </w:r>
                </w:p>
              </w:tc>
              <w:tc>
                <w:tcPr>
                  <w:tcW w:w="2317" w:type="dxa"/>
                  <w:noWrap/>
                  <w:hideMark/>
                </w:tcPr>
                <w:p w14:paraId="16F3B3FC"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Swaziland</w:t>
                  </w:r>
                </w:p>
              </w:tc>
              <w:tc>
                <w:tcPr>
                  <w:tcW w:w="0" w:type="auto"/>
                  <w:noWrap/>
                  <w:hideMark/>
                </w:tcPr>
                <w:p w14:paraId="1E4C909B"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10,14</w:t>
                  </w:r>
                </w:p>
              </w:tc>
              <w:tc>
                <w:tcPr>
                  <w:tcW w:w="0" w:type="auto"/>
                  <w:noWrap/>
                  <w:hideMark/>
                </w:tcPr>
                <w:p w14:paraId="7A545DC7"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10,69</w:t>
                  </w:r>
                </w:p>
              </w:tc>
              <w:tc>
                <w:tcPr>
                  <w:tcW w:w="0" w:type="auto"/>
                  <w:noWrap/>
                  <w:hideMark/>
                </w:tcPr>
                <w:p w14:paraId="119E8279"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11,39</w:t>
                  </w:r>
                </w:p>
              </w:tc>
              <w:tc>
                <w:tcPr>
                  <w:tcW w:w="0" w:type="auto"/>
                  <w:noWrap/>
                  <w:hideMark/>
                </w:tcPr>
                <w:p w14:paraId="09001415"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11,52</w:t>
                  </w:r>
                </w:p>
              </w:tc>
              <w:tc>
                <w:tcPr>
                  <w:tcW w:w="0" w:type="auto"/>
                  <w:noWrap/>
                  <w:hideMark/>
                </w:tcPr>
                <w:p w14:paraId="630F1EF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12,13</w:t>
                  </w:r>
                </w:p>
              </w:tc>
              <w:tc>
                <w:tcPr>
                  <w:tcW w:w="0" w:type="auto"/>
                  <w:noWrap/>
                  <w:hideMark/>
                </w:tcPr>
                <w:p w14:paraId="5624433F"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12,42</w:t>
                  </w:r>
                </w:p>
              </w:tc>
            </w:tr>
            <w:tr w:rsidR="00AB5852" w:rsidRPr="00871767" w14:paraId="56D0CD17"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7EABA33"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47</w:t>
                  </w:r>
                </w:p>
              </w:tc>
              <w:tc>
                <w:tcPr>
                  <w:tcW w:w="2317" w:type="dxa"/>
                  <w:noWrap/>
                  <w:hideMark/>
                </w:tcPr>
                <w:p w14:paraId="72F5F6F7"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Seychelles</w:t>
                  </w:r>
                </w:p>
              </w:tc>
              <w:tc>
                <w:tcPr>
                  <w:tcW w:w="0" w:type="auto"/>
                  <w:noWrap/>
                  <w:hideMark/>
                </w:tcPr>
                <w:p w14:paraId="611043A9"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15,18</w:t>
                  </w:r>
                </w:p>
              </w:tc>
              <w:tc>
                <w:tcPr>
                  <w:tcW w:w="0" w:type="auto"/>
                  <w:noWrap/>
                  <w:hideMark/>
                </w:tcPr>
                <w:p w14:paraId="480093D2"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15,13</w:t>
                  </w:r>
                </w:p>
              </w:tc>
              <w:tc>
                <w:tcPr>
                  <w:tcW w:w="0" w:type="auto"/>
                  <w:noWrap/>
                  <w:hideMark/>
                </w:tcPr>
                <w:p w14:paraId="5933A891"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14,04</w:t>
                  </w:r>
                </w:p>
              </w:tc>
              <w:tc>
                <w:tcPr>
                  <w:tcW w:w="0" w:type="auto"/>
                  <w:noWrap/>
                  <w:hideMark/>
                </w:tcPr>
                <w:p w14:paraId="2DD6B53E"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13,94</w:t>
                  </w:r>
                </w:p>
              </w:tc>
              <w:tc>
                <w:tcPr>
                  <w:tcW w:w="0" w:type="auto"/>
                  <w:noWrap/>
                  <w:hideMark/>
                </w:tcPr>
                <w:p w14:paraId="20F3DAF3"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13,88</w:t>
                  </w:r>
                </w:p>
              </w:tc>
              <w:tc>
                <w:tcPr>
                  <w:tcW w:w="0" w:type="auto"/>
                  <w:noWrap/>
                  <w:hideMark/>
                </w:tcPr>
                <w:p w14:paraId="4623646F"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13,76</w:t>
                  </w:r>
                </w:p>
              </w:tc>
            </w:tr>
            <w:tr w:rsidR="00AB5852" w:rsidRPr="00871767" w14:paraId="3E1379E5"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2358D23C"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48</w:t>
                  </w:r>
                </w:p>
              </w:tc>
              <w:tc>
                <w:tcPr>
                  <w:tcW w:w="2317" w:type="dxa"/>
                  <w:noWrap/>
                  <w:hideMark/>
                </w:tcPr>
                <w:p w14:paraId="21860A56"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Angola</w:t>
                  </w:r>
                </w:p>
              </w:tc>
              <w:tc>
                <w:tcPr>
                  <w:tcW w:w="0" w:type="auto"/>
                  <w:noWrap/>
                  <w:hideMark/>
                </w:tcPr>
                <w:p w14:paraId="2E47441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8,08</w:t>
                  </w:r>
                </w:p>
              </w:tc>
              <w:tc>
                <w:tcPr>
                  <w:tcW w:w="0" w:type="auto"/>
                  <w:noWrap/>
                  <w:hideMark/>
                </w:tcPr>
                <w:p w14:paraId="7F0CA8DB"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7,60</w:t>
                  </w:r>
                </w:p>
              </w:tc>
              <w:tc>
                <w:tcPr>
                  <w:tcW w:w="0" w:type="auto"/>
                  <w:noWrap/>
                  <w:hideMark/>
                </w:tcPr>
                <w:p w14:paraId="23B6CCBA"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7,57</w:t>
                  </w:r>
                </w:p>
              </w:tc>
              <w:tc>
                <w:tcPr>
                  <w:tcW w:w="0" w:type="auto"/>
                  <w:noWrap/>
                  <w:hideMark/>
                </w:tcPr>
                <w:p w14:paraId="36D8B617"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17,97</w:t>
                  </w:r>
                </w:p>
              </w:tc>
              <w:tc>
                <w:tcPr>
                  <w:tcW w:w="0" w:type="auto"/>
                  <w:noWrap/>
                  <w:hideMark/>
                </w:tcPr>
                <w:p w14:paraId="32CE64E0"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17,97</w:t>
                  </w:r>
                </w:p>
              </w:tc>
              <w:tc>
                <w:tcPr>
                  <w:tcW w:w="0" w:type="auto"/>
                  <w:noWrap/>
                  <w:hideMark/>
                </w:tcPr>
                <w:p w14:paraId="3300BB05"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19,29</w:t>
                  </w:r>
                </w:p>
              </w:tc>
            </w:tr>
            <w:tr w:rsidR="00AB5852" w:rsidRPr="00871767" w14:paraId="0E8CAB60"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0C38202F"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49</w:t>
                  </w:r>
                </w:p>
              </w:tc>
              <w:tc>
                <w:tcPr>
                  <w:tcW w:w="3261" w:type="dxa"/>
                  <w:gridSpan w:val="2"/>
                  <w:noWrap/>
                  <w:hideMark/>
                </w:tcPr>
                <w:p w14:paraId="60376451"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South Sudan</w:t>
                  </w:r>
                </w:p>
              </w:tc>
              <w:tc>
                <w:tcPr>
                  <w:tcW w:w="0" w:type="auto"/>
                  <w:noWrap/>
                  <w:hideMark/>
                </w:tcPr>
                <w:p w14:paraId="48106EF0"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3,48</w:t>
                  </w:r>
                </w:p>
              </w:tc>
              <w:tc>
                <w:tcPr>
                  <w:tcW w:w="0" w:type="auto"/>
                  <w:noWrap/>
                  <w:hideMark/>
                </w:tcPr>
                <w:p w14:paraId="397CBC2A"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3,48</w:t>
                  </w:r>
                </w:p>
              </w:tc>
              <w:tc>
                <w:tcPr>
                  <w:tcW w:w="0" w:type="auto"/>
                  <w:noWrap/>
                  <w:hideMark/>
                </w:tcPr>
                <w:p w14:paraId="014B5BF9"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39,36</w:t>
                  </w:r>
                </w:p>
              </w:tc>
              <w:tc>
                <w:tcPr>
                  <w:tcW w:w="0" w:type="auto"/>
                  <w:noWrap/>
                  <w:hideMark/>
                </w:tcPr>
                <w:p w14:paraId="43140239"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38,67</w:t>
                  </w:r>
                </w:p>
              </w:tc>
              <w:tc>
                <w:tcPr>
                  <w:tcW w:w="0" w:type="auto"/>
                  <w:noWrap/>
                  <w:hideMark/>
                </w:tcPr>
                <w:p w14:paraId="71A62956" w14:textId="77777777" w:rsidR="00AB5852" w:rsidRPr="00AB5852" w:rsidRDefault="00AB5852" w:rsidP="00AB58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37,67</w:t>
                  </w:r>
                </w:p>
              </w:tc>
            </w:tr>
            <w:tr w:rsidR="00AB5852" w:rsidRPr="00871767" w14:paraId="7380E1AD" w14:textId="77777777" w:rsidTr="00D03BCD">
              <w:trPr>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5974157"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50</w:t>
                  </w:r>
                </w:p>
              </w:tc>
              <w:tc>
                <w:tcPr>
                  <w:tcW w:w="2317" w:type="dxa"/>
                  <w:noWrap/>
                  <w:hideMark/>
                </w:tcPr>
                <w:p w14:paraId="56B27AAD"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Guinea-Bissau</w:t>
                  </w:r>
                </w:p>
              </w:tc>
              <w:tc>
                <w:tcPr>
                  <w:tcW w:w="0" w:type="auto"/>
                  <w:noWrap/>
                  <w:hideMark/>
                </w:tcPr>
                <w:p w14:paraId="1819110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13,82</w:t>
                  </w:r>
                </w:p>
              </w:tc>
              <w:tc>
                <w:tcPr>
                  <w:tcW w:w="0" w:type="auto"/>
                  <w:noWrap/>
                  <w:hideMark/>
                </w:tcPr>
                <w:p w14:paraId="14AFB6CE"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p>
              </w:tc>
              <w:tc>
                <w:tcPr>
                  <w:tcW w:w="0" w:type="auto"/>
                  <w:noWrap/>
                  <w:hideMark/>
                </w:tcPr>
                <w:p w14:paraId="3404AE37"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329C425B"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2FAA76C0" w14:textId="77777777" w:rsidR="00AB5852" w:rsidRPr="00AB5852" w:rsidRDefault="00AB5852" w:rsidP="00AB58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399A677C" w14:textId="77777777" w:rsidR="00AB5852" w:rsidRPr="00AB5852" w:rsidRDefault="00AB5852" w:rsidP="00AB58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en-GB"/>
                    </w:rPr>
                  </w:pPr>
                  <w:r w:rsidRPr="00AB5852">
                    <w:rPr>
                      <w:rFonts w:ascii="Times New Roman" w:eastAsia="Times New Roman" w:hAnsi="Times New Roman" w:cs="Times New Roman"/>
                      <w:color w:val="333333"/>
                      <w:sz w:val="20"/>
                      <w:szCs w:val="20"/>
                      <w:lang w:eastAsia="en-GB"/>
                    </w:rPr>
                    <w:t>66,43</w:t>
                  </w:r>
                </w:p>
              </w:tc>
            </w:tr>
            <w:tr w:rsidR="00AB5852" w:rsidRPr="00871767" w14:paraId="1F9F71B2" w14:textId="77777777" w:rsidTr="00D03B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5" w:type="dxa"/>
                  <w:noWrap/>
                  <w:hideMark/>
                </w:tcPr>
                <w:p w14:paraId="325E9DB0" w14:textId="77777777" w:rsidR="00AB5852" w:rsidRPr="00AB5852" w:rsidRDefault="00AB5852" w:rsidP="00AB5852">
                  <w:pPr>
                    <w:jc w:val="right"/>
                    <w:rPr>
                      <w:rFonts w:ascii="Times New Roman" w:eastAsia="Times New Roman" w:hAnsi="Times New Roman" w:cs="Times New Roman"/>
                      <w:b w:val="0"/>
                      <w:color w:val="000000"/>
                      <w:sz w:val="20"/>
                      <w:szCs w:val="20"/>
                      <w:lang w:eastAsia="en-GB"/>
                    </w:rPr>
                  </w:pPr>
                  <w:r w:rsidRPr="00AB5852">
                    <w:rPr>
                      <w:rFonts w:ascii="Times New Roman" w:eastAsia="Times New Roman" w:hAnsi="Times New Roman" w:cs="Times New Roman"/>
                      <w:b w:val="0"/>
                      <w:color w:val="000000"/>
                      <w:sz w:val="20"/>
                      <w:szCs w:val="20"/>
                      <w:lang w:eastAsia="en-GB"/>
                    </w:rPr>
                    <w:t>51</w:t>
                  </w:r>
                </w:p>
              </w:tc>
              <w:tc>
                <w:tcPr>
                  <w:tcW w:w="2317" w:type="dxa"/>
                  <w:noWrap/>
                  <w:hideMark/>
                </w:tcPr>
                <w:p w14:paraId="72D43BE1"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AB5852">
                    <w:rPr>
                      <w:rFonts w:ascii="Times New Roman" w:eastAsia="Times New Roman" w:hAnsi="Times New Roman" w:cs="Times New Roman"/>
                      <w:color w:val="000000"/>
                      <w:sz w:val="20"/>
                      <w:szCs w:val="20"/>
                      <w:lang w:eastAsia="en-GB"/>
                    </w:rPr>
                    <w:t>Somalia</w:t>
                  </w:r>
                </w:p>
              </w:tc>
              <w:tc>
                <w:tcPr>
                  <w:tcW w:w="0" w:type="auto"/>
                  <w:noWrap/>
                  <w:hideMark/>
                </w:tcPr>
                <w:p w14:paraId="530A29DD"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0" w:type="auto"/>
                  <w:noWrap/>
                  <w:hideMark/>
                </w:tcPr>
                <w:p w14:paraId="47F4D854"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171BEE94"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259C5200"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7902803F"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0" w:type="auto"/>
                  <w:noWrap/>
                  <w:hideMark/>
                </w:tcPr>
                <w:p w14:paraId="6FFEDE34" w14:textId="77777777" w:rsidR="00AB5852" w:rsidRPr="00AB5852" w:rsidRDefault="00AB5852" w:rsidP="00AB58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bl>
          <w:p w14:paraId="42D9766E" w14:textId="77777777" w:rsidR="007328E5" w:rsidRPr="00C91EA2" w:rsidRDefault="007328E5" w:rsidP="0070643F">
            <w:pPr>
              <w:rPr>
                <w:rFonts w:ascii="Times New Roman" w:hAnsi="Times New Roman" w:cs="Times New Roman"/>
              </w:rPr>
            </w:pPr>
          </w:p>
        </w:tc>
      </w:tr>
      <w:tr w:rsidR="007328E5" w:rsidRPr="001164DA" w14:paraId="3F535672" w14:textId="77777777" w:rsidTr="0070643F">
        <w:tc>
          <w:tcPr>
            <w:tcW w:w="8630" w:type="dxa"/>
            <w:tcBorders>
              <w:top w:val="single" w:sz="4" w:space="0" w:color="auto"/>
              <w:left w:val="single" w:sz="4" w:space="0" w:color="auto"/>
              <w:bottom w:val="single" w:sz="4" w:space="0" w:color="auto"/>
              <w:right w:val="single" w:sz="4" w:space="0" w:color="auto"/>
            </w:tcBorders>
            <w:hideMark/>
          </w:tcPr>
          <w:p w14:paraId="64161C94" w14:textId="77777777" w:rsidR="007328E5" w:rsidRPr="007575D7" w:rsidRDefault="007328E5" w:rsidP="0070643F">
            <w:pPr>
              <w:rPr>
                <w:rFonts w:ascii="Times New Roman" w:hAnsi="Times New Roman" w:cs="Times New Roman"/>
                <w:lang w:val="fr-FR"/>
              </w:rPr>
            </w:pPr>
            <w:proofErr w:type="gramStart"/>
            <w:r w:rsidRPr="007575D7">
              <w:rPr>
                <w:rFonts w:ascii="Times New Roman" w:hAnsi="Times New Roman" w:cs="Times New Roman"/>
                <w:lang w:val="fr-FR"/>
              </w:rPr>
              <w:t>Source:</w:t>
            </w:r>
            <w:proofErr w:type="gramEnd"/>
            <w:r w:rsidRPr="007575D7">
              <w:rPr>
                <w:rFonts w:ascii="Times New Roman" w:hAnsi="Times New Roman" w:cs="Times New Roman"/>
                <w:lang w:val="fr-FR"/>
              </w:rPr>
              <w:t xml:space="preserve"> </w:t>
            </w:r>
            <w:hyperlink r:id="rId133" w:history="1">
              <w:r w:rsidRPr="007575D7">
                <w:rPr>
                  <w:rStyle w:val="Hyperlink"/>
                  <w:rFonts w:ascii="Times New Roman" w:hAnsi="Times New Roman" w:cs="Times New Roman"/>
                  <w:lang w:val="fr-FR"/>
                </w:rPr>
                <w:t>http://www.researchictafrica.net</w:t>
              </w:r>
            </w:hyperlink>
            <w:r w:rsidRPr="007575D7">
              <w:rPr>
                <w:rFonts w:ascii="Times New Roman" w:hAnsi="Times New Roman" w:cs="Times New Roman"/>
                <w:lang w:val="fr-FR"/>
              </w:rPr>
              <w:t>.</w:t>
            </w:r>
          </w:p>
        </w:tc>
      </w:tr>
    </w:tbl>
    <w:p w14:paraId="7B2836D7" w14:textId="77777777" w:rsidR="007328E5" w:rsidRPr="007575D7" w:rsidRDefault="007328E5" w:rsidP="007328E5">
      <w:pPr>
        <w:rPr>
          <w:rFonts w:ascii="Times New Roman" w:hAnsi="Times New Roman" w:cs="Times New Roman"/>
          <w:color w:val="000000"/>
          <w:lang w:val="fr-FR"/>
        </w:rPr>
      </w:pPr>
    </w:p>
    <w:p w14:paraId="50CCD7BB" w14:textId="77777777" w:rsidR="007328E5" w:rsidRPr="007575D7" w:rsidRDefault="007328E5" w:rsidP="007328E5">
      <w:pPr>
        <w:rPr>
          <w:rFonts w:ascii="Times New Roman" w:hAnsi="Times New Roman" w:cs="Times New Roman"/>
          <w:color w:val="000000"/>
          <w:lang w:val="fr-FR"/>
        </w:rPr>
      </w:pPr>
    </w:p>
    <w:tbl>
      <w:tblPr>
        <w:tblStyle w:val="TableGrid"/>
        <w:tblW w:w="0" w:type="auto"/>
        <w:tblLook w:val="04A0" w:firstRow="1" w:lastRow="0" w:firstColumn="1" w:lastColumn="0" w:noHBand="0" w:noVBand="1"/>
      </w:tblPr>
      <w:tblGrid>
        <w:gridCol w:w="8630"/>
      </w:tblGrid>
      <w:tr w:rsidR="007328E5" w:rsidRPr="00C91EA2" w14:paraId="2011BF91" w14:textId="77777777" w:rsidTr="0070643F">
        <w:tc>
          <w:tcPr>
            <w:tcW w:w="8630" w:type="dxa"/>
            <w:tcBorders>
              <w:top w:val="single" w:sz="4" w:space="0" w:color="auto"/>
              <w:left w:val="single" w:sz="4" w:space="0" w:color="auto"/>
              <w:bottom w:val="single" w:sz="4" w:space="0" w:color="auto"/>
              <w:right w:val="single" w:sz="4" w:space="0" w:color="auto"/>
            </w:tcBorders>
            <w:hideMark/>
          </w:tcPr>
          <w:p w14:paraId="5D7D0410" w14:textId="06A51EBA" w:rsidR="007328E5" w:rsidRPr="00C91EA2" w:rsidRDefault="007328E5" w:rsidP="0070643F">
            <w:pPr>
              <w:pStyle w:val="Caption"/>
              <w:keepNext/>
              <w:jc w:val="both"/>
              <w:rPr>
                <w:rFonts w:ascii="Times New Roman" w:hAnsi="Times New Roman"/>
              </w:rPr>
            </w:pPr>
            <w:bookmarkStart w:id="375" w:name="_Ref497310942"/>
            <w:bookmarkStart w:id="376" w:name="_Toc520725636"/>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80</w:t>
            </w:r>
            <w:r w:rsidR="00D91B27">
              <w:rPr>
                <w:rFonts w:ascii="Times New Roman" w:hAnsi="Times New Roman"/>
              </w:rPr>
              <w:fldChar w:fldCharType="end"/>
            </w:r>
            <w:bookmarkEnd w:id="375"/>
            <w:r w:rsidRPr="00C91EA2">
              <w:rPr>
                <w:rFonts w:ascii="Times New Roman" w:hAnsi="Times New Roman"/>
              </w:rPr>
              <w:t>: Evolution of the Deployment of 4G Networks in Africa (2010-2016)</w:t>
            </w:r>
            <w:bookmarkEnd w:id="376"/>
          </w:p>
        </w:tc>
      </w:tr>
      <w:tr w:rsidR="007328E5" w:rsidRPr="00C91EA2" w14:paraId="3DEB061A" w14:textId="77777777" w:rsidTr="0070643F">
        <w:tc>
          <w:tcPr>
            <w:tcW w:w="8630" w:type="dxa"/>
            <w:tcBorders>
              <w:top w:val="single" w:sz="4" w:space="0" w:color="auto"/>
              <w:left w:val="single" w:sz="4" w:space="0" w:color="auto"/>
              <w:bottom w:val="single" w:sz="4" w:space="0" w:color="auto"/>
              <w:right w:val="single" w:sz="4" w:space="0" w:color="auto"/>
            </w:tcBorders>
          </w:tcPr>
          <w:p w14:paraId="63EEEAC6" w14:textId="77777777" w:rsidR="007328E5" w:rsidRPr="00C91EA2" w:rsidRDefault="007328E5" w:rsidP="0070643F">
            <w:pPr>
              <w:jc w:val="both"/>
              <w:rPr>
                <w:rFonts w:ascii="Times New Roman" w:hAnsi="Times New Roman" w:cs="Times New Roman"/>
                <w:noProof/>
              </w:rPr>
            </w:pPr>
          </w:p>
          <w:p w14:paraId="5FB1AA9C" w14:textId="77777777" w:rsidR="007328E5" w:rsidRPr="00C91EA2" w:rsidRDefault="007328E5" w:rsidP="0070643F">
            <w:pPr>
              <w:jc w:val="both"/>
              <w:rPr>
                <w:rFonts w:ascii="Times New Roman" w:hAnsi="Times New Roman" w:cs="Times New Roman"/>
              </w:rPr>
            </w:pPr>
            <w:r w:rsidRPr="00C91EA2">
              <w:rPr>
                <w:rFonts w:ascii="Times New Roman" w:hAnsi="Times New Roman" w:cs="Times New Roman"/>
                <w:noProof/>
              </w:rPr>
              <w:drawing>
                <wp:inline distT="0" distB="0" distL="0" distR="0" wp14:anchorId="57A4064D" wp14:editId="4A92A43E">
                  <wp:extent cx="5334000" cy="2790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
                            <a:extLst>
                              <a:ext uri="{28A0092B-C50C-407E-A947-70E740481C1C}">
                                <a14:useLocalDpi xmlns:a14="http://schemas.microsoft.com/office/drawing/2010/main" val="0"/>
                              </a:ext>
                            </a:extLst>
                          </a:blip>
                          <a:srcRect b="12711"/>
                          <a:stretch>
                            <a:fillRect/>
                          </a:stretch>
                        </pic:blipFill>
                        <pic:spPr bwMode="auto">
                          <a:xfrm>
                            <a:off x="0" y="0"/>
                            <a:ext cx="5334000" cy="2790825"/>
                          </a:xfrm>
                          <a:prstGeom prst="rect">
                            <a:avLst/>
                          </a:prstGeom>
                          <a:noFill/>
                          <a:ln>
                            <a:noFill/>
                          </a:ln>
                        </pic:spPr>
                      </pic:pic>
                    </a:graphicData>
                  </a:graphic>
                </wp:inline>
              </w:drawing>
            </w:r>
          </w:p>
        </w:tc>
      </w:tr>
      <w:tr w:rsidR="007328E5" w:rsidRPr="00C91EA2" w14:paraId="07B378BD" w14:textId="77777777" w:rsidTr="0070643F">
        <w:tc>
          <w:tcPr>
            <w:tcW w:w="8630" w:type="dxa"/>
            <w:tcBorders>
              <w:top w:val="single" w:sz="4" w:space="0" w:color="auto"/>
              <w:left w:val="single" w:sz="4" w:space="0" w:color="auto"/>
              <w:bottom w:val="single" w:sz="4" w:space="0" w:color="auto"/>
              <w:right w:val="single" w:sz="4" w:space="0" w:color="auto"/>
            </w:tcBorders>
            <w:hideMark/>
          </w:tcPr>
          <w:p w14:paraId="7C55EEB4" w14:textId="77777777" w:rsidR="007328E5" w:rsidRPr="00C91EA2" w:rsidRDefault="007328E5" w:rsidP="0070643F">
            <w:pPr>
              <w:rPr>
                <w:rFonts w:ascii="Times New Roman" w:hAnsi="Times New Roman" w:cs="Times New Roman"/>
              </w:rPr>
            </w:pPr>
          </w:p>
        </w:tc>
      </w:tr>
      <w:tr w:rsidR="007328E5" w:rsidRPr="00C91EA2" w14:paraId="2313B9C0" w14:textId="77777777" w:rsidTr="0070643F">
        <w:tc>
          <w:tcPr>
            <w:tcW w:w="8630" w:type="dxa"/>
            <w:tcBorders>
              <w:top w:val="single" w:sz="4" w:space="0" w:color="auto"/>
              <w:left w:val="single" w:sz="4" w:space="0" w:color="auto"/>
              <w:bottom w:val="single" w:sz="4" w:space="0" w:color="auto"/>
              <w:right w:val="single" w:sz="4" w:space="0" w:color="auto"/>
            </w:tcBorders>
            <w:hideMark/>
          </w:tcPr>
          <w:p w14:paraId="0B2B9C31" w14:textId="77777777" w:rsidR="007328E5" w:rsidRPr="00C91EA2" w:rsidRDefault="007328E5" w:rsidP="0070643F">
            <w:pPr>
              <w:rPr>
                <w:rFonts w:ascii="Times New Roman" w:hAnsi="Times New Roman" w:cs="Times New Roman"/>
              </w:rPr>
            </w:pPr>
            <w:r w:rsidRPr="00C91EA2">
              <w:rPr>
                <w:rFonts w:ascii="Times New Roman" w:hAnsi="Times New Roman" w:cs="Times New Roman"/>
              </w:rPr>
              <w:t>Source: GSMA Intelligence</w:t>
            </w:r>
          </w:p>
        </w:tc>
      </w:tr>
    </w:tbl>
    <w:p w14:paraId="46C9CC32" w14:textId="77777777" w:rsidR="007328E5" w:rsidRPr="00C91EA2" w:rsidRDefault="007328E5" w:rsidP="007328E5">
      <w:pPr>
        <w:rPr>
          <w:rFonts w:ascii="Times New Roman" w:hAnsi="Times New Roman" w:cs="Times New Roman"/>
          <w:color w:val="000000"/>
        </w:rPr>
      </w:pPr>
    </w:p>
    <w:tbl>
      <w:tblPr>
        <w:tblStyle w:val="TableGrid"/>
        <w:tblW w:w="0" w:type="auto"/>
        <w:tblLook w:val="04A0" w:firstRow="1" w:lastRow="0" w:firstColumn="1" w:lastColumn="0" w:noHBand="0" w:noVBand="1"/>
      </w:tblPr>
      <w:tblGrid>
        <w:gridCol w:w="8630"/>
      </w:tblGrid>
      <w:tr w:rsidR="007328E5" w:rsidRPr="00C91EA2" w14:paraId="3D1A9EAE" w14:textId="77777777" w:rsidTr="0070643F">
        <w:tc>
          <w:tcPr>
            <w:tcW w:w="8630" w:type="dxa"/>
            <w:tcBorders>
              <w:top w:val="single" w:sz="4" w:space="0" w:color="auto"/>
              <w:left w:val="single" w:sz="4" w:space="0" w:color="auto"/>
              <w:bottom w:val="single" w:sz="4" w:space="0" w:color="auto"/>
              <w:right w:val="single" w:sz="4" w:space="0" w:color="auto"/>
            </w:tcBorders>
            <w:hideMark/>
          </w:tcPr>
          <w:p w14:paraId="46AB8503" w14:textId="14182844" w:rsidR="007328E5" w:rsidRPr="00C91EA2" w:rsidRDefault="007328E5" w:rsidP="0070643F">
            <w:pPr>
              <w:pStyle w:val="Caption"/>
              <w:keepNext/>
              <w:jc w:val="both"/>
              <w:rPr>
                <w:rFonts w:ascii="Times New Roman" w:hAnsi="Times New Roman"/>
              </w:rPr>
            </w:pPr>
            <w:bookmarkStart w:id="377" w:name="_Ref497323220"/>
            <w:bookmarkStart w:id="378" w:name="_Toc520725637"/>
            <w:r w:rsidRPr="00C91EA2">
              <w:rPr>
                <w:rFonts w:ascii="Times New Roman" w:hAnsi="Times New Roman"/>
              </w:rPr>
              <w:t xml:space="preserve">Figure </w:t>
            </w:r>
            <w:r w:rsidR="00D91B27">
              <w:rPr>
                <w:rFonts w:ascii="Times New Roman" w:hAnsi="Times New Roman"/>
              </w:rPr>
              <w:fldChar w:fldCharType="begin"/>
            </w:r>
            <w:r w:rsidR="00D91B27">
              <w:rPr>
                <w:rFonts w:ascii="Times New Roman" w:hAnsi="Times New Roman"/>
              </w:rPr>
              <w:instrText xml:space="preserve"> SEQ Figure \* ARABIC </w:instrText>
            </w:r>
            <w:r w:rsidR="00D91B27">
              <w:rPr>
                <w:rFonts w:ascii="Times New Roman" w:hAnsi="Times New Roman"/>
              </w:rPr>
              <w:fldChar w:fldCharType="separate"/>
            </w:r>
            <w:r w:rsidR="008261B2">
              <w:rPr>
                <w:rFonts w:ascii="Times New Roman" w:hAnsi="Times New Roman"/>
                <w:noProof/>
              </w:rPr>
              <w:t>81</w:t>
            </w:r>
            <w:r w:rsidR="00D91B27">
              <w:rPr>
                <w:rFonts w:ascii="Times New Roman" w:hAnsi="Times New Roman"/>
              </w:rPr>
              <w:fldChar w:fldCharType="end"/>
            </w:r>
            <w:bookmarkEnd w:id="377"/>
            <w:r w:rsidRPr="00C91EA2">
              <w:rPr>
                <w:rFonts w:ascii="Times New Roman" w:hAnsi="Times New Roman"/>
              </w:rPr>
              <w:t>: 2G/3G Coverage Areas by the Different Mobile Operators</w:t>
            </w:r>
            <w:bookmarkEnd w:id="378"/>
            <w:r w:rsidRPr="00C91EA2">
              <w:rPr>
                <w:rFonts w:ascii="Times New Roman" w:hAnsi="Times New Roman"/>
              </w:rPr>
              <w:t xml:space="preserve"> </w:t>
            </w:r>
          </w:p>
        </w:tc>
      </w:tr>
      <w:tr w:rsidR="007328E5" w:rsidRPr="00C91EA2" w14:paraId="3FA565A6" w14:textId="77777777" w:rsidTr="0070643F">
        <w:tc>
          <w:tcPr>
            <w:tcW w:w="8630" w:type="dxa"/>
            <w:tcBorders>
              <w:top w:val="single" w:sz="4" w:space="0" w:color="auto"/>
              <w:left w:val="single" w:sz="4" w:space="0" w:color="auto"/>
              <w:bottom w:val="single" w:sz="4" w:space="0" w:color="auto"/>
              <w:right w:val="single" w:sz="4" w:space="0" w:color="auto"/>
            </w:tcBorders>
            <w:hideMark/>
          </w:tcPr>
          <w:p w14:paraId="414643D7" w14:textId="77777777" w:rsidR="007328E5" w:rsidRPr="00C91EA2" w:rsidRDefault="007328E5" w:rsidP="0070643F">
            <w:pPr>
              <w:jc w:val="both"/>
              <w:rPr>
                <w:rFonts w:ascii="Times New Roman" w:hAnsi="Times New Roman" w:cs="Times New Roman"/>
              </w:rPr>
            </w:pPr>
            <w:r w:rsidRPr="00C91EA2">
              <w:rPr>
                <w:rFonts w:ascii="Times New Roman" w:hAnsi="Times New Roman" w:cs="Times New Roman"/>
                <w:noProof/>
              </w:rPr>
              <w:drawing>
                <wp:inline distT="0" distB="0" distL="0" distR="0" wp14:anchorId="76B3CA6B" wp14:editId="6A695A4A">
                  <wp:extent cx="5305425" cy="5581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05425" cy="5581650"/>
                          </a:xfrm>
                          <a:prstGeom prst="rect">
                            <a:avLst/>
                          </a:prstGeom>
                          <a:noFill/>
                          <a:ln>
                            <a:noFill/>
                          </a:ln>
                        </pic:spPr>
                      </pic:pic>
                    </a:graphicData>
                  </a:graphic>
                </wp:inline>
              </w:drawing>
            </w:r>
          </w:p>
        </w:tc>
      </w:tr>
      <w:tr w:rsidR="007328E5" w:rsidRPr="001164DA" w14:paraId="14BD8F68" w14:textId="77777777" w:rsidTr="0070643F">
        <w:tc>
          <w:tcPr>
            <w:tcW w:w="8630" w:type="dxa"/>
            <w:tcBorders>
              <w:top w:val="single" w:sz="4" w:space="0" w:color="auto"/>
              <w:left w:val="single" w:sz="4" w:space="0" w:color="auto"/>
              <w:bottom w:val="single" w:sz="4" w:space="0" w:color="auto"/>
              <w:right w:val="single" w:sz="4" w:space="0" w:color="auto"/>
            </w:tcBorders>
            <w:hideMark/>
          </w:tcPr>
          <w:p w14:paraId="47396347" w14:textId="77777777" w:rsidR="007328E5" w:rsidRPr="00C91EA2" w:rsidRDefault="007328E5" w:rsidP="0070643F">
            <w:pPr>
              <w:rPr>
                <w:rFonts w:ascii="Times New Roman" w:hAnsi="Times New Roman" w:cs="Times New Roman"/>
                <w:sz w:val="20"/>
              </w:rPr>
            </w:pPr>
            <w:r w:rsidRPr="00C91EA2">
              <w:rPr>
                <w:rFonts w:ascii="Times New Roman" w:hAnsi="Times New Roman" w:cs="Times New Roman"/>
                <w:sz w:val="20"/>
              </w:rPr>
              <w:t>NB: For Expresso, 3G coverage is only identified in green</w:t>
            </w:r>
          </w:p>
          <w:p w14:paraId="7FA269B0" w14:textId="77777777" w:rsidR="007328E5" w:rsidRPr="007575D7" w:rsidRDefault="007328E5" w:rsidP="0070643F">
            <w:pPr>
              <w:rPr>
                <w:rFonts w:ascii="Times New Roman" w:hAnsi="Times New Roman" w:cs="Times New Roman"/>
                <w:lang w:val="fr-FR"/>
              </w:rPr>
            </w:pPr>
            <w:proofErr w:type="gramStart"/>
            <w:r w:rsidRPr="007575D7">
              <w:rPr>
                <w:rFonts w:ascii="Times New Roman" w:hAnsi="Times New Roman" w:cs="Times New Roman"/>
                <w:sz w:val="20"/>
                <w:lang w:val="fr-FR"/>
              </w:rPr>
              <w:t>Source:</w:t>
            </w:r>
            <w:proofErr w:type="gramEnd"/>
            <w:r w:rsidRPr="007575D7">
              <w:rPr>
                <w:rFonts w:ascii="Times New Roman" w:hAnsi="Times New Roman" w:cs="Times New Roman"/>
                <w:sz w:val="20"/>
                <w:lang w:val="fr-FR"/>
              </w:rPr>
              <w:t xml:space="preserve"> Stratégie Sénégal Numérique 2025, pp. 11-12.</w:t>
            </w:r>
          </w:p>
        </w:tc>
      </w:tr>
    </w:tbl>
    <w:p w14:paraId="47335608" w14:textId="77777777" w:rsidR="007328E5" w:rsidRPr="007575D7" w:rsidRDefault="007328E5" w:rsidP="007328E5">
      <w:pPr>
        <w:rPr>
          <w:rFonts w:ascii="Times New Roman" w:hAnsi="Times New Roman" w:cs="Times New Roman"/>
          <w:color w:val="000000"/>
          <w:lang w:val="fr-FR"/>
        </w:rPr>
      </w:pPr>
    </w:p>
    <w:p w14:paraId="1778552A" w14:textId="77777777" w:rsidR="00726079" w:rsidRPr="007575D7" w:rsidRDefault="00726079" w:rsidP="007328E5">
      <w:pPr>
        <w:rPr>
          <w:rFonts w:ascii="Times New Roman" w:hAnsi="Times New Roman" w:cs="Times New Roman"/>
          <w:color w:val="000000"/>
          <w:lang w:val="fr-FR"/>
        </w:rPr>
      </w:pPr>
    </w:p>
    <w:p w14:paraId="2BDEBA73" w14:textId="77777777" w:rsidR="008B5EA1" w:rsidRPr="00C91EA2" w:rsidRDefault="00B37FE4" w:rsidP="008B5EA1">
      <w:pPr>
        <w:pStyle w:val="Heading2"/>
        <w:rPr>
          <w:rFonts w:ascii="Times New Roman" w:hAnsi="Times New Roman" w:cs="Times New Roman"/>
        </w:rPr>
      </w:pPr>
      <w:bookmarkStart w:id="379" w:name="_Toc520724134"/>
      <w:r>
        <w:rPr>
          <w:rFonts w:ascii="Times New Roman" w:hAnsi="Times New Roman" w:cs="Times New Roman"/>
        </w:rPr>
        <w:t>Annex</w:t>
      </w:r>
      <w:r w:rsidR="008B5EA1" w:rsidRPr="00C91EA2">
        <w:rPr>
          <w:rFonts w:ascii="Times New Roman" w:hAnsi="Times New Roman" w:cs="Times New Roman"/>
        </w:rPr>
        <w:t xml:space="preserve"> 7: Review of the ECOWAS and WAEMU competition law frameworks</w:t>
      </w:r>
      <w:bookmarkEnd w:id="379"/>
    </w:p>
    <w:p w14:paraId="1AA38CDF" w14:textId="77777777" w:rsidR="008B5EA1" w:rsidRPr="00C91EA2" w:rsidRDefault="008B5EA1" w:rsidP="008B5EA1">
      <w:pPr>
        <w:pStyle w:val="Heading3"/>
        <w:rPr>
          <w:rFonts w:ascii="Times New Roman" w:hAnsi="Times New Roman" w:cs="Times New Roman"/>
        </w:rPr>
      </w:pPr>
      <w:bookmarkStart w:id="380" w:name="_Toc520724135"/>
      <w:r w:rsidRPr="00C91EA2">
        <w:rPr>
          <w:rFonts w:ascii="Times New Roman" w:hAnsi="Times New Roman" w:cs="Times New Roman"/>
        </w:rPr>
        <w:t>ECOWAS competition law framework</w:t>
      </w:r>
      <w:bookmarkEnd w:id="380"/>
    </w:p>
    <w:p w14:paraId="0F5FF83E" w14:textId="77777777" w:rsidR="008B5EA1" w:rsidRPr="00C91EA2" w:rsidRDefault="008B5EA1" w:rsidP="008B5EA1">
      <w:pPr>
        <w:jc w:val="both"/>
        <w:rPr>
          <w:rFonts w:ascii="Times New Roman" w:hAnsi="Times New Roman" w:cs="Times New Roman"/>
        </w:rPr>
      </w:pPr>
    </w:p>
    <w:p w14:paraId="6FC322F6"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ECOWAS was established in Lagos on 28 May 1975 (amended by the Cotonou Treaty from 24 July 1993) with the mission of integrating West African States’ economies and societies to boost development and welfare</w:t>
      </w:r>
      <w:r w:rsidRPr="00C91EA2">
        <w:rPr>
          <w:rFonts w:ascii="Times New Roman" w:hAnsi="Times New Roman" w:cs="Times New Roman"/>
        </w:rPr>
        <w:t>. Although there is no explicit reference to it in the Treaty, the development of a regional competition policy and competition law can be understood as stemming from the ECOWAS Treaty objective of establishing a common market. ECOWAS core competition law framework was adopted in 2008 and consists of: (i) the Supplementary Act A/SA.1/06/08,</w:t>
      </w:r>
      <w:r w:rsidRPr="00C91EA2">
        <w:rPr>
          <w:rStyle w:val="FootnoteReference"/>
          <w:rFonts w:ascii="Times New Roman" w:hAnsi="Times New Roman" w:cs="Times New Roman"/>
          <w:b/>
        </w:rPr>
        <w:footnoteReference w:id="356"/>
      </w:r>
      <w:r w:rsidRPr="00C91EA2">
        <w:rPr>
          <w:rFonts w:ascii="Times New Roman" w:hAnsi="Times New Roman" w:cs="Times New Roman"/>
        </w:rPr>
        <w:t xml:space="preserve"> adopting substantive competition law rules; and (ii) the Supplementary Act A/SA.2/06/08 establishing a regional competition authority for ECOWAS, that should cooperate with national and regional competition authorities, especially in the West African and Monetary Union (WAEMU).</w:t>
      </w:r>
      <w:r w:rsidRPr="00C91EA2">
        <w:rPr>
          <w:rStyle w:val="FootnoteReference"/>
          <w:rFonts w:ascii="Times New Roman" w:hAnsi="Times New Roman" w:cs="Times New Roman"/>
        </w:rPr>
        <w:footnoteReference w:id="357"/>
      </w:r>
      <w:r w:rsidRPr="00C91EA2">
        <w:rPr>
          <w:rFonts w:ascii="Times New Roman" w:hAnsi="Times New Roman" w:cs="Times New Roman"/>
        </w:rPr>
        <w:t xml:space="preserve"> </w:t>
      </w:r>
    </w:p>
    <w:p w14:paraId="2C21194D" w14:textId="77777777" w:rsidR="008B5EA1" w:rsidRPr="00C91EA2" w:rsidRDefault="008B5EA1" w:rsidP="008B5EA1">
      <w:pPr>
        <w:jc w:val="both"/>
        <w:rPr>
          <w:rFonts w:ascii="Times New Roman" w:hAnsi="Times New Roman" w:cs="Times New Roman"/>
        </w:rPr>
      </w:pPr>
    </w:p>
    <w:p w14:paraId="0CD46209" w14:textId="77777777" w:rsidR="008B5EA1" w:rsidRPr="00C91EA2" w:rsidRDefault="008B5EA1" w:rsidP="008B5EA1">
      <w:pPr>
        <w:jc w:val="both"/>
        <w:rPr>
          <w:rFonts w:ascii="Times New Roman" w:hAnsi="Times New Roman" w:cs="Times New Roman"/>
          <w:b/>
        </w:rPr>
      </w:pPr>
      <w:r w:rsidRPr="00C91EA2">
        <w:rPr>
          <w:rFonts w:ascii="Times New Roman" w:hAnsi="Times New Roman" w:cs="Times New Roman"/>
          <w:b/>
        </w:rPr>
        <w:t>ECOWAS competition rules are to be enforced by the Regional Competition Authority, which is yet to be established.</w:t>
      </w:r>
      <w:r w:rsidRPr="00C91EA2">
        <w:rPr>
          <w:rStyle w:val="FootnoteReference"/>
          <w:rFonts w:ascii="Times New Roman" w:hAnsi="Times New Roman" w:cs="Times New Roman"/>
          <w:b/>
        </w:rPr>
        <w:footnoteReference w:id="358"/>
      </w:r>
      <w:r w:rsidRPr="00C91EA2">
        <w:rPr>
          <w:rFonts w:ascii="Times New Roman" w:hAnsi="Times New Roman" w:cs="Times New Roman"/>
        </w:rPr>
        <w:t xml:space="preserve"> A Consultative Committee is established to work closely with the Regional Authority and that will be formed by two representatives from each Member State who are experts in the field of competition</w:t>
      </w:r>
      <w:r w:rsidRPr="00C91EA2">
        <w:rPr>
          <w:rStyle w:val="FootnoteReference"/>
          <w:rFonts w:ascii="Times New Roman" w:hAnsi="Times New Roman" w:cs="Times New Roman"/>
        </w:rPr>
        <w:footnoteReference w:id="359"/>
      </w:r>
      <w:r w:rsidRPr="00C91EA2">
        <w:rPr>
          <w:rFonts w:ascii="Times New Roman" w:hAnsi="Times New Roman" w:cs="Times New Roman"/>
        </w:rPr>
        <w:t xml:space="preserve"> and an additional representative from a sector-specific regulator or of a professional association whenever the issue dealt by the authority is economically important to that sector (Article 13(5)).</w:t>
      </w:r>
      <w:r w:rsidRPr="00C91EA2">
        <w:rPr>
          <w:rStyle w:val="FootnoteReference"/>
          <w:rFonts w:ascii="Times New Roman" w:hAnsi="Times New Roman" w:cs="Times New Roman"/>
        </w:rPr>
        <w:footnoteReference w:id="360"/>
      </w:r>
      <w:r w:rsidRPr="00C91EA2">
        <w:rPr>
          <w:rFonts w:ascii="Times New Roman" w:hAnsi="Times New Roman" w:cs="Times New Roman"/>
        </w:rPr>
        <w:t xml:space="preserve"> A mechanism of consultation between ECOWAS and WAEMU’s regional authorities is also foresaw in the ECOWAS Treaty, in order to address potential jurisdictional conflicts and to develop capacity building programs at both national and regional levels.</w:t>
      </w:r>
      <w:r w:rsidRPr="00C91EA2">
        <w:rPr>
          <w:rStyle w:val="FootnoteReference"/>
          <w:rFonts w:ascii="Times New Roman" w:hAnsi="Times New Roman" w:cs="Times New Roman"/>
        </w:rPr>
        <w:footnoteReference w:id="361"/>
      </w:r>
    </w:p>
    <w:p w14:paraId="4AC1BC8D" w14:textId="77777777" w:rsidR="008B5EA1" w:rsidRPr="00C91EA2" w:rsidRDefault="008B5EA1" w:rsidP="008B5EA1">
      <w:pPr>
        <w:jc w:val="both"/>
        <w:rPr>
          <w:rFonts w:ascii="Times New Roman" w:hAnsi="Times New Roman" w:cs="Times New Roman"/>
        </w:rPr>
      </w:pPr>
    </w:p>
    <w:p w14:paraId="056B396E"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Under ECOWAS law, Member States may adopt and enforce their own national rules provided they are not inconsistent with ECOWAS competition rules</w:t>
      </w:r>
      <w:r w:rsidRPr="00C91EA2">
        <w:rPr>
          <w:rStyle w:val="FootnoteReference"/>
          <w:rFonts w:ascii="Times New Roman" w:hAnsi="Times New Roman" w:cs="Times New Roman"/>
          <w:b/>
        </w:rPr>
        <w:footnoteReference w:id="362"/>
      </w:r>
      <w:r w:rsidRPr="00C91EA2">
        <w:rPr>
          <w:rFonts w:ascii="Times New Roman" w:hAnsi="Times New Roman" w:cs="Times New Roman"/>
          <w:b/>
        </w:rPr>
        <w:t xml:space="preserve"> and that all inconsistencies are eliminated within the shortest time possible.</w:t>
      </w:r>
      <w:r w:rsidRPr="00C91EA2">
        <w:rPr>
          <w:rStyle w:val="FootnoteReference"/>
          <w:rFonts w:ascii="Times New Roman" w:hAnsi="Times New Roman" w:cs="Times New Roman"/>
          <w:b/>
        </w:rPr>
        <w:footnoteReference w:id="363"/>
      </w:r>
      <w:r w:rsidRPr="00C91EA2">
        <w:rPr>
          <w:rFonts w:ascii="Times New Roman" w:hAnsi="Times New Roman" w:cs="Times New Roman"/>
        </w:rPr>
        <w:t xml:space="preserve"> Hence, ECOWAS’ Member States remain free to enforce their national competition rules in relation to anticompetitive practices without an effect on the ECOWAS regional market: in effect, pursuant to ECOWAS’ Supplementary Act A/SA.1/06/08, the regional competition rules only apply to </w:t>
      </w:r>
      <w:r w:rsidRPr="00C91EA2">
        <w:rPr>
          <w:rFonts w:ascii="Times New Roman" w:hAnsi="Times New Roman" w:cs="Times New Roman"/>
          <w:i/>
        </w:rPr>
        <w:t>“agreements, practices, mergers and distortions caused by Member States which are likely to have an effect on trade within ECOWAS.”</w:t>
      </w:r>
      <w:r w:rsidRPr="00C91EA2">
        <w:rPr>
          <w:rStyle w:val="FootnoteReference"/>
          <w:rFonts w:ascii="Times New Roman" w:hAnsi="Times New Roman" w:cs="Times New Roman"/>
          <w:i/>
        </w:rPr>
        <w:footnoteReference w:id="364"/>
      </w:r>
      <w:r w:rsidRPr="00C91EA2">
        <w:rPr>
          <w:rFonts w:ascii="Times New Roman" w:hAnsi="Times New Roman" w:cs="Times New Roman"/>
        </w:rPr>
        <w:t xml:space="preserve"> </w:t>
      </w:r>
    </w:p>
    <w:p w14:paraId="7D86DA05" w14:textId="77777777" w:rsidR="008B5EA1" w:rsidRPr="00C91EA2" w:rsidRDefault="008B5EA1" w:rsidP="008B5EA1">
      <w:pPr>
        <w:jc w:val="both"/>
        <w:rPr>
          <w:rFonts w:ascii="Times New Roman" w:hAnsi="Times New Roman" w:cs="Times New Roman"/>
          <w:b/>
        </w:rPr>
      </w:pPr>
    </w:p>
    <w:p w14:paraId="3966E056"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In terms of scope of application, Supplementary Act A/SA.1/06/08 establishes that the rules on competition shall also be applicable to SOEs.</w:t>
      </w:r>
      <w:r w:rsidRPr="00C91EA2">
        <w:rPr>
          <w:rStyle w:val="FootnoteReference"/>
          <w:rFonts w:ascii="Times New Roman" w:hAnsi="Times New Roman" w:cs="Times New Roman"/>
        </w:rPr>
        <w:footnoteReference w:id="365"/>
      </w:r>
      <w:r w:rsidRPr="00C91EA2">
        <w:rPr>
          <w:rFonts w:ascii="Times New Roman" w:hAnsi="Times New Roman" w:cs="Times New Roman"/>
        </w:rPr>
        <w:t xml:space="preserve"> On the other hand, the following activities may be excluded from the scope of the Supplementary Act: (i) labor-related matters, including collective bargaining agreements; (ii) activities excluded by treaty or international agreement; (iii) professional associations’ activities that develop professional standards necessary to protect the public; and (iv) any other activity excluded by the Council of Ministers after consultation with the ECOWAS Competition Authority.</w:t>
      </w:r>
      <w:r w:rsidRPr="00C91EA2">
        <w:rPr>
          <w:rStyle w:val="FootnoteReference"/>
          <w:rFonts w:ascii="Times New Roman" w:hAnsi="Times New Roman" w:cs="Times New Roman"/>
        </w:rPr>
        <w:footnoteReference w:id="366"/>
      </w:r>
    </w:p>
    <w:p w14:paraId="3AB91A16" w14:textId="77777777" w:rsidR="008B5EA1" w:rsidRPr="00C91EA2" w:rsidRDefault="008B5EA1" w:rsidP="008B5EA1">
      <w:pPr>
        <w:jc w:val="both"/>
        <w:rPr>
          <w:rFonts w:ascii="Times New Roman" w:hAnsi="Times New Roman" w:cs="Times New Roman"/>
          <w:b/>
        </w:rPr>
      </w:pPr>
    </w:p>
    <w:p w14:paraId="6A2A8579" w14:textId="77777777" w:rsidR="008B5EA1" w:rsidRPr="00C91EA2" w:rsidRDefault="008B5EA1" w:rsidP="008B5EA1">
      <w:pPr>
        <w:spacing w:line="23" w:lineRule="atLeast"/>
        <w:jc w:val="both"/>
        <w:rPr>
          <w:rFonts w:ascii="Times New Roman" w:hAnsi="Times New Roman" w:cs="Times New Roman"/>
        </w:rPr>
      </w:pPr>
      <w:r w:rsidRPr="00C91EA2">
        <w:rPr>
          <w:rFonts w:ascii="Times New Roman" w:hAnsi="Times New Roman" w:cs="Times New Roman"/>
          <w:b/>
        </w:rPr>
        <w:t>ECOWAS competition law includes a prohibition of anticompetitive agreements and of abuse of a dominant position.</w:t>
      </w:r>
      <w:r w:rsidRPr="00C91EA2">
        <w:rPr>
          <w:rFonts w:ascii="Times New Roman" w:hAnsi="Times New Roman" w:cs="Times New Roman"/>
        </w:rPr>
        <w:t xml:space="preserve"> Article 5 prohibits </w:t>
      </w:r>
      <w:r w:rsidRPr="00C91EA2">
        <w:rPr>
          <w:rFonts w:ascii="Times New Roman" w:hAnsi="Times New Roman" w:cs="Times New Roman"/>
          <w:i/>
        </w:rPr>
        <w:t xml:space="preserve">“all agreements between enterprises, decisions by associations of enterprises and concerted practices which may affect trade between ECOWAS Member States and the object or effect of which are or may be the prevention, restriction, distortion or elimination of competition within the Common Market.” </w:t>
      </w:r>
      <w:r w:rsidRPr="00C91EA2">
        <w:rPr>
          <w:rFonts w:ascii="Times New Roman" w:hAnsi="Times New Roman" w:cs="Times New Roman"/>
        </w:rPr>
        <w:t>Conduct that infringes Article 5(1) is null and void in the Member States of ECOWAS.</w:t>
      </w:r>
      <w:r w:rsidRPr="00C91EA2">
        <w:rPr>
          <w:rStyle w:val="FootnoteReference"/>
          <w:rFonts w:ascii="Times New Roman" w:hAnsi="Times New Roman" w:cs="Times New Roman"/>
        </w:rPr>
        <w:footnoteReference w:id="367"/>
      </w:r>
      <w:r w:rsidRPr="00C91EA2">
        <w:rPr>
          <w:rFonts w:ascii="Times New Roman" w:hAnsi="Times New Roman" w:cs="Times New Roman"/>
        </w:rPr>
        <w:t xml:space="preserve"> This includes agreements, decisions by associations of enterprises and concerted practices that:</w:t>
      </w:r>
    </w:p>
    <w:p w14:paraId="7C4F57BB"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directly or indirectly fix purchase or selling prices, terms of sale, or any other, trading conditions;</w:t>
      </w:r>
    </w:p>
    <w:p w14:paraId="0AE5ACE7"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limit or control production, markets, technical development, or investment;</w:t>
      </w:r>
    </w:p>
    <w:p w14:paraId="2826D916"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share markets, customers, or sources of supply;</w:t>
      </w:r>
    </w:p>
    <w:p w14:paraId="7562D92F"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apply dissimilar conditions to equivalent transactions with other trading parties; thereby placing them at a competitive disadvantage; or</w:t>
      </w:r>
    </w:p>
    <w:p w14:paraId="6C32E91E" w14:textId="77777777" w:rsidR="008B5EA1" w:rsidRPr="00C91EA2" w:rsidRDefault="008B5EA1" w:rsidP="008B5EA1">
      <w:pPr>
        <w:pStyle w:val="ListParagraph"/>
        <w:numPr>
          <w:ilvl w:val="0"/>
          <w:numId w:val="43"/>
        </w:numPr>
        <w:jc w:val="both"/>
        <w:rPr>
          <w:rFonts w:ascii="Times New Roman" w:hAnsi="Times New Roman" w:cs="Times New Roman"/>
        </w:rPr>
      </w:pPr>
      <w:r w:rsidRPr="00C91EA2">
        <w:rPr>
          <w:rFonts w:ascii="Times New Roman" w:hAnsi="Times New Roman" w:cs="Times New Roman"/>
        </w:rPr>
        <w:t>make the conclusion of contracts subject to acceptance by the other parties of supplementary obligations which, by their nature or according to commercial usage, have no connection with the subject of such contracts.</w:t>
      </w:r>
      <w:r w:rsidRPr="00C91EA2">
        <w:rPr>
          <w:rStyle w:val="FootnoteReference"/>
          <w:rFonts w:ascii="Times New Roman" w:hAnsi="Times New Roman" w:cs="Times New Roman"/>
        </w:rPr>
        <w:footnoteReference w:id="368"/>
      </w:r>
    </w:p>
    <w:p w14:paraId="78260647" w14:textId="77777777" w:rsidR="008B5EA1" w:rsidRPr="00C91EA2" w:rsidRDefault="008B5EA1" w:rsidP="008B5EA1">
      <w:pPr>
        <w:jc w:val="both"/>
        <w:rPr>
          <w:rFonts w:ascii="Times New Roman" w:hAnsi="Times New Roman" w:cs="Times New Roman"/>
          <w:b/>
        </w:rPr>
      </w:pPr>
    </w:p>
    <w:p w14:paraId="65CBBEA9" w14:textId="77777777" w:rsidR="008B5EA1" w:rsidRPr="00C91EA2" w:rsidRDefault="008B5EA1" w:rsidP="008B5EA1">
      <w:pPr>
        <w:spacing w:line="23" w:lineRule="atLeast"/>
        <w:jc w:val="both"/>
        <w:rPr>
          <w:rFonts w:ascii="Times New Roman" w:hAnsi="Times New Roman" w:cs="Times New Roman"/>
        </w:rPr>
      </w:pPr>
      <w:r w:rsidRPr="00C91EA2">
        <w:rPr>
          <w:rFonts w:ascii="Times New Roman" w:hAnsi="Times New Roman" w:cs="Times New Roman"/>
          <w:b/>
        </w:rPr>
        <w:t xml:space="preserve">The ECOWAS regional authority can exempt from the Article 5(1) prohibition those agreements, decisions by associations of enterprises and concerted practices that contribute </w:t>
      </w:r>
      <w:r w:rsidRPr="00C91EA2">
        <w:rPr>
          <w:rFonts w:ascii="Times New Roman" w:hAnsi="Times New Roman" w:cs="Times New Roman"/>
          <w:b/>
          <w:i/>
        </w:rPr>
        <w:t>“to improving the production or distribution of goods or to promoting technical or economic progress, while allowing consumers a fair share of the resulting benefit”.</w:t>
      </w:r>
      <w:r w:rsidRPr="00C91EA2">
        <w:rPr>
          <w:rFonts w:ascii="Times New Roman" w:hAnsi="Times New Roman" w:cs="Times New Roman"/>
          <w:i/>
        </w:rPr>
        <w:t xml:space="preserve"> </w:t>
      </w:r>
      <w:r w:rsidRPr="00C91EA2">
        <w:rPr>
          <w:rFonts w:ascii="Times New Roman" w:hAnsi="Times New Roman" w:cs="Times New Roman"/>
        </w:rPr>
        <w:t>Exemptions can be granted</w:t>
      </w:r>
      <w:r w:rsidRPr="00C91EA2">
        <w:rPr>
          <w:rFonts w:ascii="Times New Roman" w:hAnsi="Times New Roman" w:cs="Times New Roman"/>
          <w:i/>
        </w:rPr>
        <w:t xml:space="preserve"> </w:t>
      </w:r>
      <w:r w:rsidRPr="00C91EA2">
        <w:rPr>
          <w:rFonts w:ascii="Times New Roman" w:hAnsi="Times New Roman" w:cs="Times New Roman"/>
        </w:rPr>
        <w:t>insofar as they do not: (i) impose on the concerned enterprises, restrictions which are not indispensable to the attainment of these objectives; and (ii) afford such enterprises the possibility of eliminating competition in respect of a substantial part of the products in question. The regional authority may also authorize any person to engage in the practices prohibited by the Supplementary Act in accordance with the conditions to be defined in a subsequent (and not yet approved) Supplementary Act.</w:t>
      </w:r>
      <w:r w:rsidRPr="00C91EA2">
        <w:rPr>
          <w:rStyle w:val="FootnoteReference"/>
          <w:rFonts w:ascii="Times New Roman" w:hAnsi="Times New Roman" w:cs="Times New Roman"/>
        </w:rPr>
        <w:footnoteReference w:id="369"/>
      </w:r>
    </w:p>
    <w:p w14:paraId="545E56C0" w14:textId="77777777" w:rsidR="008B5EA1" w:rsidRPr="00C91EA2" w:rsidRDefault="008B5EA1" w:rsidP="008B5EA1">
      <w:pPr>
        <w:jc w:val="both"/>
        <w:rPr>
          <w:rFonts w:ascii="Times New Roman" w:hAnsi="Times New Roman" w:cs="Times New Roman"/>
          <w:b/>
        </w:rPr>
      </w:pPr>
    </w:p>
    <w:p w14:paraId="4232D92B" w14:textId="77777777" w:rsidR="008B5EA1" w:rsidRPr="00C91EA2" w:rsidRDefault="008B5EA1" w:rsidP="008B5EA1">
      <w:pPr>
        <w:spacing w:line="23" w:lineRule="atLeast"/>
        <w:jc w:val="both"/>
        <w:rPr>
          <w:rFonts w:ascii="Times New Roman" w:hAnsi="Times New Roman" w:cs="Times New Roman"/>
        </w:rPr>
      </w:pPr>
      <w:r w:rsidRPr="00C91EA2">
        <w:rPr>
          <w:rFonts w:ascii="Times New Roman" w:hAnsi="Times New Roman" w:cs="Times New Roman"/>
          <w:b/>
        </w:rPr>
        <w:t>Both the acquisition and abuse of a dominant position are prohibited under Article 6 of Supplementary Act A/SA.1/06/08</w:t>
      </w:r>
      <w:r w:rsidRPr="00C91EA2">
        <w:rPr>
          <w:rFonts w:ascii="Times New Roman" w:hAnsi="Times New Roman" w:cs="Times New Roman"/>
        </w:rPr>
        <w:t xml:space="preserve">. The following constitute a non-exhaustive list of </w:t>
      </w:r>
      <w:proofErr w:type="spellStart"/>
      <w:r w:rsidRPr="00C91EA2">
        <w:rPr>
          <w:rFonts w:ascii="Times New Roman" w:hAnsi="Times New Roman" w:cs="Times New Roman"/>
        </w:rPr>
        <w:t>behaviours</w:t>
      </w:r>
      <w:proofErr w:type="spellEnd"/>
      <w:r w:rsidRPr="00C91EA2">
        <w:rPr>
          <w:rFonts w:ascii="Times New Roman" w:hAnsi="Times New Roman" w:cs="Times New Roman"/>
        </w:rPr>
        <w:t xml:space="preserve"> which constitute an abuse of dominance:</w:t>
      </w:r>
    </w:p>
    <w:p w14:paraId="33C22329"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limiting access to a relevant market or otherwise unduly restraining competition;</w:t>
      </w:r>
    </w:p>
    <w:p w14:paraId="39CB9BE2"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directly or indirectly imposing unfair purchase or selling prices or other unfair trading conditions;</w:t>
      </w:r>
    </w:p>
    <w:p w14:paraId="53280B96"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limiting production, markets or technical development to the prejudice of consumers;</w:t>
      </w:r>
    </w:p>
    <w:p w14:paraId="42515534"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applying dissimilar conditions to equivalent transactions with other trading parties, thereby placing them at a competitive disadvantage;</w:t>
      </w:r>
    </w:p>
    <w:p w14:paraId="453E9251"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making the conclusion of contracts subject to acceptance by the other parties of supplementary obligations which, by their nature or according to commercial usage, have no connection with the subject of such contracts.</w:t>
      </w:r>
    </w:p>
    <w:p w14:paraId="0C8012E2" w14:textId="77777777" w:rsidR="008B5EA1" w:rsidRPr="00C91EA2" w:rsidRDefault="008B5EA1" w:rsidP="008B5EA1">
      <w:pPr>
        <w:jc w:val="both"/>
        <w:rPr>
          <w:rFonts w:ascii="Times New Roman" w:hAnsi="Times New Roman" w:cs="Times New Roman"/>
          <w:b/>
        </w:rPr>
      </w:pPr>
    </w:p>
    <w:p w14:paraId="28611955"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The Supplementary Act A/SA.1/06/08 determines that mergers, takeovers, joint ventures, acquisitions and other business combinations shall be prohibited when the resulting market share leads to an abuse of dominance resulting in a substantial reduction of competition in the ECOWAS Common Market.</w:t>
      </w:r>
      <w:r w:rsidRPr="00C91EA2">
        <w:rPr>
          <w:rStyle w:val="FootnoteReference"/>
          <w:rFonts w:ascii="Times New Roman" w:hAnsi="Times New Roman" w:cs="Times New Roman"/>
          <w:b/>
        </w:rPr>
        <w:footnoteReference w:id="370"/>
      </w:r>
      <w:r w:rsidRPr="00C91EA2">
        <w:rPr>
          <w:rFonts w:ascii="Times New Roman" w:hAnsi="Times New Roman" w:cs="Times New Roman"/>
        </w:rPr>
        <w:t xml:space="preserve"> However, ECOWAS competition rules do not yet establish any mechanism of review of mergers in the Common Market, meaning they are only subject to control under national competition law merger regimes.</w:t>
      </w:r>
    </w:p>
    <w:p w14:paraId="30159252" w14:textId="77777777" w:rsidR="008B5EA1" w:rsidRPr="00C91EA2" w:rsidRDefault="008B5EA1" w:rsidP="008B5EA1">
      <w:pPr>
        <w:jc w:val="both"/>
        <w:rPr>
          <w:rFonts w:ascii="Times New Roman" w:hAnsi="Times New Roman" w:cs="Times New Roman"/>
          <w:b/>
        </w:rPr>
      </w:pPr>
    </w:p>
    <w:p w14:paraId="469B0F5B" w14:textId="77777777" w:rsidR="008B5EA1" w:rsidRPr="00C91EA2" w:rsidRDefault="008B5EA1" w:rsidP="008B5EA1">
      <w:pPr>
        <w:spacing w:line="23" w:lineRule="atLeast"/>
        <w:jc w:val="both"/>
        <w:rPr>
          <w:rFonts w:ascii="Times New Roman" w:hAnsi="Times New Roman" w:cs="Times New Roman"/>
        </w:rPr>
      </w:pPr>
      <w:r w:rsidRPr="00C91EA2">
        <w:rPr>
          <w:rFonts w:ascii="Times New Roman" w:hAnsi="Times New Roman" w:cs="Times New Roman"/>
          <w:b/>
        </w:rPr>
        <w:t xml:space="preserve">Supplementary Act A/SA.2/06/08 provides further details on how to </w:t>
      </w:r>
      <w:proofErr w:type="spellStart"/>
      <w:r w:rsidRPr="00C91EA2">
        <w:rPr>
          <w:rFonts w:ascii="Times New Roman" w:hAnsi="Times New Roman" w:cs="Times New Roman"/>
          <w:b/>
        </w:rPr>
        <w:t>analyse</w:t>
      </w:r>
      <w:proofErr w:type="spellEnd"/>
      <w:r w:rsidRPr="00C91EA2">
        <w:rPr>
          <w:rFonts w:ascii="Times New Roman" w:hAnsi="Times New Roman" w:cs="Times New Roman"/>
          <w:b/>
        </w:rPr>
        <w:t xml:space="preserve"> the effects of a merger in ECOWAS, determining that the Regional Competition Authority shall analyze </w:t>
      </w:r>
      <w:r w:rsidRPr="00C91EA2">
        <w:rPr>
          <w:rFonts w:ascii="Times New Roman" w:hAnsi="Times New Roman" w:cs="Times New Roman"/>
          <w:b/>
          <w:i/>
        </w:rPr>
        <w:t>“any potential for technical and economic progress created by the proposed transaction, which may be in the interest of the consumer and may not constitute a hindrance to competition.”</w:t>
      </w:r>
      <w:r w:rsidRPr="00C91EA2">
        <w:rPr>
          <w:rStyle w:val="FootnoteReference"/>
          <w:rFonts w:ascii="Times New Roman" w:hAnsi="Times New Roman" w:cs="Times New Roman"/>
          <w:b/>
        </w:rPr>
        <w:footnoteReference w:id="371"/>
      </w:r>
      <w:r w:rsidRPr="00C91EA2">
        <w:rPr>
          <w:rFonts w:ascii="Times New Roman" w:hAnsi="Times New Roman" w:cs="Times New Roman"/>
          <w:i/>
        </w:rPr>
        <w:t xml:space="preserve"> </w:t>
      </w:r>
      <w:r w:rsidRPr="00C91EA2">
        <w:rPr>
          <w:rFonts w:ascii="Times New Roman" w:hAnsi="Times New Roman" w:cs="Times New Roman"/>
        </w:rPr>
        <w:t xml:space="preserve">Mergers can, however, be </w:t>
      </w:r>
      <w:proofErr w:type="spellStart"/>
      <w:r w:rsidRPr="00C91EA2">
        <w:rPr>
          <w:rFonts w:ascii="Times New Roman" w:hAnsi="Times New Roman" w:cs="Times New Roman"/>
        </w:rPr>
        <w:t>authorised</w:t>
      </w:r>
      <w:proofErr w:type="spellEnd"/>
      <w:r w:rsidRPr="00C91EA2">
        <w:rPr>
          <w:rFonts w:ascii="Times New Roman" w:hAnsi="Times New Roman" w:cs="Times New Roman"/>
        </w:rPr>
        <w:t xml:space="preserve"> or exempted if the transaction is in the public interest.</w:t>
      </w:r>
      <w:r w:rsidRPr="00C91EA2">
        <w:rPr>
          <w:rStyle w:val="FootnoteReference"/>
          <w:rFonts w:ascii="Times New Roman" w:hAnsi="Times New Roman" w:cs="Times New Roman"/>
        </w:rPr>
        <w:footnoteReference w:id="372"/>
      </w:r>
      <w:r w:rsidRPr="00C91EA2">
        <w:rPr>
          <w:rFonts w:ascii="Times New Roman" w:hAnsi="Times New Roman" w:cs="Times New Roman"/>
        </w:rPr>
        <w:t xml:space="preserve"> Although this concept is not defined, Supplementary Act A/SA.2/06/08 determines that the following elements should be taken into account when authorizing a merger:</w:t>
      </w:r>
    </w:p>
    <w:p w14:paraId="45A8FF68"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the vulnerability of the sectors concerned;</w:t>
      </w:r>
    </w:p>
    <w:p w14:paraId="7F5B2174"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the impact that the said agreement or practices will have on the capacity of small and medium enterprises to effectively compete;</w:t>
      </w:r>
    </w:p>
    <w:p w14:paraId="661F55D3"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the promotion of socio-economic development within the Community; and</w:t>
      </w:r>
    </w:p>
    <w:p w14:paraId="5B2C7510"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any other relevant consideration.</w:t>
      </w:r>
      <w:r w:rsidRPr="00C91EA2">
        <w:rPr>
          <w:rStyle w:val="FootnoteReference"/>
          <w:rFonts w:ascii="Times New Roman" w:hAnsi="Times New Roman" w:cs="Times New Roman"/>
        </w:rPr>
        <w:footnoteReference w:id="373"/>
      </w:r>
    </w:p>
    <w:p w14:paraId="5393D8DA" w14:textId="77777777" w:rsidR="008B5EA1" w:rsidRPr="00C91EA2" w:rsidRDefault="008B5EA1" w:rsidP="008B5EA1">
      <w:pPr>
        <w:jc w:val="both"/>
        <w:rPr>
          <w:rFonts w:ascii="Times New Roman" w:hAnsi="Times New Roman" w:cs="Times New Roman"/>
          <w:b/>
        </w:rPr>
      </w:pPr>
    </w:p>
    <w:p w14:paraId="69F30E91" w14:textId="77777777" w:rsidR="008B5EA1" w:rsidRPr="00C91EA2" w:rsidRDefault="008B5EA1" w:rsidP="008B5EA1">
      <w:pPr>
        <w:spacing w:line="23" w:lineRule="atLeast"/>
        <w:jc w:val="both"/>
        <w:rPr>
          <w:rFonts w:ascii="Times New Roman" w:hAnsi="Times New Roman" w:cs="Times New Roman"/>
        </w:rPr>
      </w:pPr>
      <w:r w:rsidRPr="00C91EA2">
        <w:rPr>
          <w:rFonts w:ascii="Times New Roman" w:hAnsi="Times New Roman" w:cs="Times New Roman"/>
          <w:b/>
        </w:rPr>
        <w:t>Supplementary Act A/SA.1/06/08 also has a set of competitive neutrality rules regulating the activity of the State in the market.</w:t>
      </w:r>
      <w:r w:rsidRPr="00C91EA2">
        <w:rPr>
          <w:rFonts w:ascii="Times New Roman" w:hAnsi="Times New Roman" w:cs="Times New Roman"/>
        </w:rPr>
        <w:t xml:space="preserve"> Pursuant to Article 8 of the Supplementary Act, </w:t>
      </w:r>
      <w:r w:rsidRPr="00C91EA2">
        <w:rPr>
          <w:rFonts w:ascii="Times New Roman" w:hAnsi="Times New Roman" w:cs="Times New Roman"/>
          <w:i/>
        </w:rPr>
        <w:t xml:space="preserve">“any aid granted by a Member State or through State resources in any form whatsoever which distorts or threatens to distort competition by favoring certain enterprises or the production of certain goods shall, in so far as it affects trade between Member States, be incompatible with the ECOWAS Common Market.” </w:t>
      </w:r>
      <w:r w:rsidRPr="00C91EA2">
        <w:rPr>
          <w:rFonts w:ascii="Times New Roman" w:hAnsi="Times New Roman" w:cs="Times New Roman"/>
        </w:rPr>
        <w:t>According to Article 8(2), the following categories of State aid are compatible with the Common Market: (i) aid having a social character, granted to individual consumers, provided that such aid is granted without discrimination related to the origin of the products concerned; and (ii) aid to remedy the damage caused by natural disasters or exceptional occurrences. Then, under Article 8(3), the following types of aid may be considered as compatible with the Common Market:</w:t>
      </w:r>
    </w:p>
    <w:p w14:paraId="2C82B5AE"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aid to promote the socioeconomic development of areas of the Community where the standard of living is exceptionally low or in which there is serious underemployment;</w:t>
      </w:r>
    </w:p>
    <w:p w14:paraId="2D80A85B"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aid to promote the execution of an important project of Community interest or to remedy a serious disturbance in the economy of a Member State;</w:t>
      </w:r>
    </w:p>
    <w:p w14:paraId="3BC78439"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aid to facilitate the development of certain economic activities or of certain economic areas, where such aid does not adversely affect trading conditions to an extent contrary to the common interest;</w:t>
      </w:r>
    </w:p>
    <w:p w14:paraId="70285E63" w14:textId="77777777" w:rsidR="008B5EA1" w:rsidRPr="00C91EA2" w:rsidRDefault="008B5EA1" w:rsidP="008B5EA1">
      <w:pPr>
        <w:pStyle w:val="ListParagraph"/>
        <w:numPr>
          <w:ilvl w:val="0"/>
          <w:numId w:val="43"/>
        </w:numPr>
        <w:spacing w:line="23" w:lineRule="atLeast"/>
        <w:jc w:val="both"/>
        <w:rPr>
          <w:rFonts w:ascii="Times New Roman" w:hAnsi="Times New Roman" w:cs="Times New Roman"/>
        </w:rPr>
      </w:pPr>
      <w:r w:rsidRPr="00C91EA2">
        <w:rPr>
          <w:rFonts w:ascii="Times New Roman" w:hAnsi="Times New Roman" w:cs="Times New Roman"/>
        </w:rPr>
        <w:t>aid to promote culture and heritage conservation where such aid does not affect trading conditions and competition in the Community to an extent that is contrary to the common interest; and</w:t>
      </w:r>
    </w:p>
    <w:p w14:paraId="57B9FA71" w14:textId="6F8F3243" w:rsidR="008B5EA1" w:rsidRPr="00C91EA2" w:rsidRDefault="008B5EA1" w:rsidP="008B5EA1">
      <w:pPr>
        <w:pStyle w:val="ListParagraph"/>
        <w:numPr>
          <w:ilvl w:val="0"/>
          <w:numId w:val="43"/>
        </w:numPr>
        <w:jc w:val="both"/>
        <w:rPr>
          <w:rFonts w:ascii="Times New Roman" w:hAnsi="Times New Roman" w:cs="Times New Roman"/>
        </w:rPr>
      </w:pPr>
      <w:r w:rsidRPr="00C91EA2">
        <w:rPr>
          <w:rFonts w:ascii="Times New Roman" w:hAnsi="Times New Roman" w:cs="Times New Roman"/>
        </w:rPr>
        <w:t xml:space="preserve">such other categories of aid as may be specified by a decision of the Authority of Heads of State and </w:t>
      </w:r>
      <w:r w:rsidR="003B24ED">
        <w:rPr>
          <w:rFonts w:ascii="Times New Roman" w:hAnsi="Times New Roman" w:cs="Times New Roman"/>
        </w:rPr>
        <w:t>Government</w:t>
      </w:r>
      <w:r w:rsidRPr="00C91EA2">
        <w:rPr>
          <w:rFonts w:ascii="Times New Roman" w:hAnsi="Times New Roman" w:cs="Times New Roman"/>
        </w:rPr>
        <w:t xml:space="preserve"> on the recommendation of the Council of Ministers acting on a proposal from the ECOWAS Competition Authority.</w:t>
      </w:r>
    </w:p>
    <w:p w14:paraId="14C9B245" w14:textId="77777777" w:rsidR="008B5EA1" w:rsidRPr="00C91EA2" w:rsidRDefault="008B5EA1" w:rsidP="008B5EA1">
      <w:pPr>
        <w:jc w:val="both"/>
        <w:rPr>
          <w:rFonts w:ascii="Times New Roman" w:hAnsi="Times New Roman" w:cs="Times New Roman"/>
          <w:b/>
        </w:rPr>
      </w:pPr>
    </w:p>
    <w:p w14:paraId="18C8C627"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Notwithstanding the prohibition to grant State aid incompatible with the internal market, ECOWAS has not yet adopted any rules or Guidelines on State aid.</w:t>
      </w:r>
      <w:r w:rsidRPr="00C91EA2">
        <w:rPr>
          <w:rFonts w:ascii="Times New Roman" w:hAnsi="Times New Roman" w:cs="Times New Roman"/>
        </w:rPr>
        <w:t xml:space="preserve"> Thus, there is no mechanism in place to assess the compatibility of State aid measures or guidance on how to evaluate whether the conditions set forth in Supplementary Act A/SA.1/06/08 are met.</w:t>
      </w:r>
      <w:r w:rsidRPr="00C91EA2">
        <w:rPr>
          <w:rStyle w:val="FootnoteReference"/>
          <w:rFonts w:ascii="Times New Roman" w:hAnsi="Times New Roman" w:cs="Times New Roman"/>
        </w:rPr>
        <w:footnoteReference w:id="374"/>
      </w:r>
    </w:p>
    <w:p w14:paraId="69668BC6" w14:textId="77777777" w:rsidR="008B5EA1" w:rsidRPr="00C91EA2" w:rsidRDefault="008B5EA1" w:rsidP="008B5EA1">
      <w:pPr>
        <w:jc w:val="both"/>
        <w:rPr>
          <w:rFonts w:ascii="Times New Roman" w:hAnsi="Times New Roman" w:cs="Times New Roman"/>
          <w:b/>
        </w:rPr>
      </w:pPr>
    </w:p>
    <w:p w14:paraId="1E0D2152"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In addition to including State aid rules, Supplementary Act A/SA.1/06/08 establishes that Member States should neither enact nor maintain in force measures contrary to the ECOWAS’ competition rules as regards public enterprises and enterprises to which the State grants exclusive and special rights</w:t>
      </w:r>
      <w:r w:rsidRPr="00C91EA2">
        <w:rPr>
          <w:rFonts w:ascii="Times New Roman" w:hAnsi="Times New Roman" w:cs="Times New Roman"/>
        </w:rPr>
        <w:t>.</w:t>
      </w:r>
      <w:r w:rsidRPr="00C91EA2">
        <w:rPr>
          <w:rStyle w:val="FootnoteReference"/>
          <w:rFonts w:ascii="Times New Roman" w:hAnsi="Times New Roman" w:cs="Times New Roman"/>
        </w:rPr>
        <w:footnoteReference w:id="375"/>
      </w:r>
      <w:r w:rsidRPr="00C91EA2">
        <w:rPr>
          <w:rFonts w:ascii="Times New Roman" w:hAnsi="Times New Roman" w:cs="Times New Roman"/>
        </w:rPr>
        <w:t xml:space="preserve"> Competition rules are also applicable to enterprises that are entrusted with operating services of general economic interest or that have the character of a revenue-producing monopoly, insofar as it does not obstruct them from performing their specifically assigned tasks.</w:t>
      </w:r>
      <w:r w:rsidRPr="00C91EA2">
        <w:rPr>
          <w:rStyle w:val="FootnoteReference"/>
          <w:rFonts w:ascii="Times New Roman" w:hAnsi="Times New Roman" w:cs="Times New Roman"/>
        </w:rPr>
        <w:footnoteReference w:id="376"/>
      </w:r>
    </w:p>
    <w:p w14:paraId="78C3F9F6" w14:textId="77777777" w:rsidR="008B5EA1" w:rsidRPr="00C91EA2" w:rsidRDefault="008B5EA1" w:rsidP="008B5EA1">
      <w:pPr>
        <w:jc w:val="both"/>
        <w:rPr>
          <w:rFonts w:ascii="Times New Roman" w:hAnsi="Times New Roman" w:cs="Times New Roman"/>
        </w:rPr>
      </w:pPr>
    </w:p>
    <w:p w14:paraId="115954E5" w14:textId="77777777" w:rsidR="008B5EA1" w:rsidRPr="00C91EA2" w:rsidRDefault="008B5EA1" w:rsidP="008B5EA1">
      <w:pPr>
        <w:pStyle w:val="Heading3"/>
        <w:rPr>
          <w:rFonts w:ascii="Times New Roman" w:hAnsi="Times New Roman" w:cs="Times New Roman"/>
        </w:rPr>
      </w:pPr>
      <w:bookmarkStart w:id="381" w:name="_Toc520724136"/>
      <w:r w:rsidRPr="00C91EA2">
        <w:rPr>
          <w:rFonts w:ascii="Times New Roman" w:hAnsi="Times New Roman" w:cs="Times New Roman"/>
        </w:rPr>
        <w:t>WAEMU competition law framework</w:t>
      </w:r>
      <w:bookmarkEnd w:id="381"/>
    </w:p>
    <w:p w14:paraId="2B1A98DA" w14:textId="77777777" w:rsidR="008B5EA1" w:rsidRPr="00C91EA2" w:rsidRDefault="008B5EA1" w:rsidP="008B5EA1">
      <w:pPr>
        <w:jc w:val="both"/>
        <w:rPr>
          <w:rFonts w:ascii="Times New Roman" w:hAnsi="Times New Roman" w:cs="Times New Roman"/>
        </w:rPr>
      </w:pPr>
    </w:p>
    <w:p w14:paraId="3666BDDC" w14:textId="63881811"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 xml:space="preserve">With the aim of establishing a Common Market, one of the objectives of WAEMU is to introduce </w:t>
      </w:r>
      <w:r w:rsidRPr="00C91EA2">
        <w:rPr>
          <w:rFonts w:ascii="Times New Roman" w:hAnsi="Times New Roman" w:cs="Times New Roman"/>
          <w:b/>
          <w:i/>
        </w:rPr>
        <w:t>“common competition rules that apply to public and private companies and to public subsidies”</w:t>
      </w:r>
      <w:r w:rsidRPr="00C91EA2">
        <w:rPr>
          <w:rFonts w:ascii="Times New Roman" w:hAnsi="Times New Roman" w:cs="Times New Roman"/>
          <w:b/>
        </w:rPr>
        <w:t>.</w:t>
      </w:r>
      <w:r w:rsidRPr="00C91EA2">
        <w:rPr>
          <w:rStyle w:val="FootnoteReference"/>
          <w:rFonts w:ascii="Times New Roman" w:hAnsi="Times New Roman" w:cs="Times New Roman"/>
          <w:b/>
        </w:rPr>
        <w:footnoteReference w:id="377"/>
      </w:r>
      <w:r w:rsidRPr="00C91EA2">
        <w:rPr>
          <w:rFonts w:ascii="Times New Roman" w:hAnsi="Times New Roman" w:cs="Times New Roman"/>
        </w:rPr>
        <w:t xml:space="preserve"> WAEMU was established on 10 January 1994 by the Treaty of Dakar, which was signed by seven West African countries, which share a common external tariff and a single currency, the CFA franc: Benin, Burkina Faso, Côte d’Ivoire, Mali, Niger, Senegal and Togo (joined by Guinea-Bissau on 2 May 1997). The WAEMU’s Treaty Preamble determines that Member States are committed to respect the principles of a market economy that is competitive and favors an optimal allocation of resources. </w:t>
      </w:r>
    </w:p>
    <w:p w14:paraId="1E8E7285" w14:textId="77777777" w:rsidR="008B5EA1" w:rsidRPr="00C91EA2" w:rsidRDefault="008B5EA1" w:rsidP="008B5EA1">
      <w:pPr>
        <w:jc w:val="both"/>
        <w:rPr>
          <w:rFonts w:ascii="Times New Roman" w:hAnsi="Times New Roman" w:cs="Times New Roman"/>
          <w:b/>
        </w:rPr>
      </w:pPr>
    </w:p>
    <w:p w14:paraId="59CC2ABC"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bCs/>
        </w:rPr>
        <w:t xml:space="preserve">WAEMU’s competition law addresses the main forms of anticompetitive conduct, as well as anticompetitive State aid. </w:t>
      </w:r>
      <w:r w:rsidRPr="00C91EA2">
        <w:rPr>
          <w:rFonts w:ascii="Times New Roman" w:hAnsi="Times New Roman" w:cs="Times New Roman"/>
        </w:rPr>
        <w:t>The primary competition rules of WAEMU are set forth in the Treaty.</w:t>
      </w:r>
      <w:r w:rsidRPr="00C91EA2">
        <w:rPr>
          <w:rStyle w:val="FootnoteReference"/>
          <w:rFonts w:ascii="Times New Roman" w:hAnsi="Times New Roman" w:cs="Times New Roman"/>
        </w:rPr>
        <w:footnoteReference w:id="378"/>
      </w:r>
      <w:r w:rsidRPr="00C91EA2">
        <w:rPr>
          <w:rFonts w:ascii="Times New Roman" w:hAnsi="Times New Roman" w:cs="Times New Roman"/>
        </w:rPr>
        <w:t xml:space="preserve"> Article 88 of the Treaty prohibits:</w:t>
      </w:r>
    </w:p>
    <w:p w14:paraId="08906703" w14:textId="77777777" w:rsidR="008B5EA1" w:rsidRPr="00C91EA2" w:rsidRDefault="008B5EA1" w:rsidP="008B5EA1">
      <w:pPr>
        <w:jc w:val="both"/>
        <w:rPr>
          <w:rFonts w:ascii="Times New Roman" w:hAnsi="Times New Roman" w:cs="Times New Roman"/>
          <w:i/>
        </w:rPr>
      </w:pPr>
      <w:r w:rsidRPr="00C91EA2">
        <w:rPr>
          <w:rFonts w:ascii="Times New Roman" w:hAnsi="Times New Roman" w:cs="Times New Roman"/>
          <w:i/>
        </w:rPr>
        <w:t>“(a) Agreements, associations and concerted practices among companies having the aim or effect of restricting or distorting free competition within the Union;</w:t>
      </w:r>
    </w:p>
    <w:p w14:paraId="26CC831B" w14:textId="77777777" w:rsidR="008B5EA1" w:rsidRPr="00C91EA2" w:rsidRDefault="008B5EA1" w:rsidP="008B5EA1">
      <w:pPr>
        <w:jc w:val="both"/>
        <w:rPr>
          <w:rFonts w:ascii="Times New Roman" w:hAnsi="Times New Roman" w:cs="Times New Roman"/>
          <w:i/>
        </w:rPr>
      </w:pPr>
      <w:r w:rsidRPr="00C91EA2">
        <w:rPr>
          <w:rFonts w:ascii="Times New Roman" w:hAnsi="Times New Roman" w:cs="Times New Roman"/>
          <w:i/>
        </w:rPr>
        <w:t>(b) Any practice by one or more companies amounting to an abuse of dominant position in the common market or in a significant part thereof;</w:t>
      </w:r>
    </w:p>
    <w:p w14:paraId="0ECE7250" w14:textId="77103B62" w:rsidR="008B5EA1" w:rsidRPr="00C91EA2" w:rsidRDefault="008B5EA1" w:rsidP="008B5EA1">
      <w:pPr>
        <w:jc w:val="both"/>
        <w:rPr>
          <w:rFonts w:ascii="Times New Roman" w:hAnsi="Times New Roman" w:cs="Times New Roman"/>
        </w:rPr>
      </w:pPr>
      <w:r w:rsidRPr="00C91EA2">
        <w:rPr>
          <w:rFonts w:ascii="Times New Roman" w:hAnsi="Times New Roman" w:cs="Times New Roman"/>
          <w:i/>
        </w:rPr>
        <w:t>(c) State aid liable to distort competition by favoring specific companies or products.”</w:t>
      </w:r>
      <w:r w:rsidRPr="00C91EA2">
        <w:rPr>
          <w:rFonts w:ascii="Times New Roman" w:hAnsi="Times New Roman" w:cs="Times New Roman"/>
        </w:rPr>
        <w:t xml:space="preserve"> </w:t>
      </w:r>
    </w:p>
    <w:p w14:paraId="21040FD3" w14:textId="77777777" w:rsidR="008B5EA1" w:rsidRPr="00C91EA2" w:rsidRDefault="008B5EA1" w:rsidP="008B5EA1">
      <w:pPr>
        <w:jc w:val="both"/>
        <w:rPr>
          <w:rFonts w:ascii="Times New Roman" w:hAnsi="Times New Roman" w:cs="Times New Roman"/>
          <w:b/>
        </w:rPr>
      </w:pPr>
    </w:p>
    <w:p w14:paraId="33DFE44D"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Although the WAEMU Treaty entered into force in 1994, implementing regulations and guidelines on the competition rules were only adopted in 2002</w:t>
      </w:r>
      <w:r w:rsidRPr="00C91EA2">
        <w:rPr>
          <w:rFonts w:ascii="Times New Roman" w:hAnsi="Times New Roman" w:cs="Times New Roman"/>
        </w:rPr>
        <w:t>. According to Article 89 of the WAEMU Treaty, the Council of Ministers may adopt organizational rules for the Commission and implementing regulations on the prohibitions listed in article 88 and the penalties for violating those prohibitions.</w:t>
      </w:r>
      <w:r w:rsidRPr="00C91EA2">
        <w:rPr>
          <w:rStyle w:val="FootnoteReference"/>
          <w:rFonts w:ascii="Times New Roman" w:hAnsi="Times New Roman" w:cs="Times New Roman"/>
        </w:rPr>
        <w:footnoteReference w:id="379"/>
      </w:r>
      <w:r w:rsidRPr="00C91EA2">
        <w:rPr>
          <w:rFonts w:ascii="Times New Roman" w:hAnsi="Times New Roman" w:cs="Times New Roman"/>
        </w:rPr>
        <w:t xml:space="preserve"> The following competition regulations and directives have been adopted pursuant to the WAEMU Treaty:</w:t>
      </w:r>
    </w:p>
    <w:p w14:paraId="2F461EDD" w14:textId="77777777" w:rsidR="008B5EA1" w:rsidRPr="00C91EA2" w:rsidRDefault="008B5EA1" w:rsidP="008B5EA1">
      <w:pPr>
        <w:pStyle w:val="ListParagraph"/>
        <w:numPr>
          <w:ilvl w:val="0"/>
          <w:numId w:val="4"/>
        </w:numPr>
        <w:jc w:val="both"/>
        <w:rPr>
          <w:rFonts w:ascii="Times New Roman" w:hAnsi="Times New Roman" w:cs="Times New Roman"/>
        </w:rPr>
      </w:pPr>
      <w:r w:rsidRPr="00C91EA2">
        <w:rPr>
          <w:rFonts w:ascii="Times New Roman" w:hAnsi="Times New Roman" w:cs="Times New Roman"/>
        </w:rPr>
        <w:t>Regulation No. 02/2002/CM/UEMOA relating to anti-competitive practices within the West African Economic and Monetary Union;</w:t>
      </w:r>
    </w:p>
    <w:p w14:paraId="301AC34D" w14:textId="77777777" w:rsidR="008B5EA1" w:rsidRPr="00C91EA2" w:rsidRDefault="008B5EA1" w:rsidP="008B5EA1">
      <w:pPr>
        <w:pStyle w:val="ListParagraph"/>
        <w:numPr>
          <w:ilvl w:val="0"/>
          <w:numId w:val="4"/>
        </w:numPr>
        <w:jc w:val="both"/>
        <w:rPr>
          <w:rFonts w:ascii="Times New Roman" w:hAnsi="Times New Roman" w:cs="Times New Roman"/>
        </w:rPr>
      </w:pPr>
      <w:r w:rsidRPr="00C91EA2">
        <w:rPr>
          <w:rFonts w:ascii="Times New Roman" w:hAnsi="Times New Roman" w:cs="Times New Roman"/>
        </w:rPr>
        <w:t>Regulation No. 03/2002/CM/UEMOA relating to procedures governing cartels and abuse of dominant position within the West African Economic and Monetary Union;</w:t>
      </w:r>
    </w:p>
    <w:p w14:paraId="0DC33199" w14:textId="77777777" w:rsidR="008B5EA1" w:rsidRPr="00C91EA2" w:rsidRDefault="008B5EA1" w:rsidP="008B5EA1">
      <w:pPr>
        <w:pStyle w:val="ListParagraph"/>
        <w:numPr>
          <w:ilvl w:val="0"/>
          <w:numId w:val="4"/>
        </w:numPr>
        <w:jc w:val="both"/>
        <w:rPr>
          <w:rFonts w:ascii="Times New Roman" w:hAnsi="Times New Roman" w:cs="Times New Roman"/>
        </w:rPr>
      </w:pPr>
      <w:r w:rsidRPr="00C91EA2">
        <w:rPr>
          <w:rFonts w:ascii="Times New Roman" w:hAnsi="Times New Roman" w:cs="Times New Roman"/>
        </w:rPr>
        <w:t>Regulation No. 04/2002/CM/UEMOA relating to State aid within the West African Economic and Monetary Union;</w:t>
      </w:r>
    </w:p>
    <w:p w14:paraId="14527F25" w14:textId="77777777" w:rsidR="008B5EA1" w:rsidRPr="00C91EA2" w:rsidRDefault="008B5EA1" w:rsidP="008B5EA1">
      <w:pPr>
        <w:pStyle w:val="ListParagraph"/>
        <w:numPr>
          <w:ilvl w:val="0"/>
          <w:numId w:val="4"/>
        </w:numPr>
        <w:jc w:val="both"/>
        <w:rPr>
          <w:rFonts w:ascii="Times New Roman" w:hAnsi="Times New Roman" w:cs="Times New Roman"/>
        </w:rPr>
      </w:pPr>
      <w:r w:rsidRPr="00C91EA2">
        <w:rPr>
          <w:rFonts w:ascii="Times New Roman" w:hAnsi="Times New Roman" w:cs="Times New Roman"/>
        </w:rPr>
        <w:t>Directive No. 01/2002/CM/UEMOA relating to transparency in financial relations between member States and public enterprises and between member States and international and foreign organizations; and</w:t>
      </w:r>
    </w:p>
    <w:p w14:paraId="3BE469A3" w14:textId="77777777" w:rsidR="008B5EA1" w:rsidRPr="00C91EA2" w:rsidRDefault="008B5EA1" w:rsidP="008B5EA1">
      <w:pPr>
        <w:pStyle w:val="ListParagraph"/>
        <w:numPr>
          <w:ilvl w:val="0"/>
          <w:numId w:val="4"/>
        </w:numPr>
        <w:jc w:val="both"/>
        <w:rPr>
          <w:rFonts w:ascii="Times New Roman" w:hAnsi="Times New Roman" w:cs="Times New Roman"/>
        </w:rPr>
      </w:pPr>
      <w:r w:rsidRPr="00C91EA2">
        <w:rPr>
          <w:rFonts w:ascii="Times New Roman" w:hAnsi="Times New Roman" w:cs="Times New Roman"/>
        </w:rPr>
        <w:t xml:space="preserve">Directive No. 01/2002/CM/UEMOA relating to cooperation between the Commission and the competition structures of member States for </w:t>
      </w:r>
      <w:proofErr w:type="gramStart"/>
      <w:r w:rsidRPr="00C91EA2">
        <w:rPr>
          <w:rFonts w:ascii="Times New Roman" w:hAnsi="Times New Roman" w:cs="Times New Roman"/>
        </w:rPr>
        <w:t>the  implementation</w:t>
      </w:r>
      <w:proofErr w:type="gramEnd"/>
      <w:r w:rsidRPr="00C91EA2">
        <w:rPr>
          <w:rFonts w:ascii="Times New Roman" w:hAnsi="Times New Roman" w:cs="Times New Roman"/>
        </w:rPr>
        <w:t xml:space="preserve"> of articles 88, 89 and 90 of the constituent Treaty of the West African Economic and Monetary Union.</w:t>
      </w:r>
    </w:p>
    <w:p w14:paraId="44B558B9" w14:textId="77777777" w:rsidR="008B5EA1" w:rsidRPr="00C91EA2" w:rsidRDefault="008B5EA1" w:rsidP="008B5EA1">
      <w:pPr>
        <w:jc w:val="both"/>
        <w:rPr>
          <w:rFonts w:ascii="Times New Roman" w:hAnsi="Times New Roman" w:cs="Times New Roman"/>
          <w:b/>
        </w:rPr>
      </w:pPr>
    </w:p>
    <w:p w14:paraId="7C19881F" w14:textId="44C31E6E" w:rsidR="008B5EA1" w:rsidRPr="00C91EA2" w:rsidRDefault="008B5EA1" w:rsidP="008B5EA1">
      <w:pPr>
        <w:jc w:val="both"/>
        <w:rPr>
          <w:rFonts w:ascii="Times New Roman" w:hAnsi="Times New Roman" w:cs="Times New Roman"/>
        </w:rPr>
      </w:pPr>
      <w:r w:rsidRPr="00C91EA2">
        <w:rPr>
          <w:rFonts w:ascii="Times New Roman" w:hAnsi="Times New Roman" w:cs="Times New Roman"/>
          <w:b/>
          <w:bCs/>
        </w:rPr>
        <w:t xml:space="preserve">Under Regulation </w:t>
      </w:r>
      <w:r w:rsidRPr="00C91EA2">
        <w:rPr>
          <w:rFonts w:ascii="Times New Roman" w:hAnsi="Times New Roman" w:cs="Times New Roman"/>
          <w:b/>
        </w:rPr>
        <w:t>02/2002/CM/UEMOA, anticompetitive practices are prohibited and void without the need for a prior decision</w:t>
      </w:r>
      <w:r w:rsidRPr="00C91EA2">
        <w:rPr>
          <w:rFonts w:ascii="Times New Roman" w:hAnsi="Times New Roman" w:cs="Times New Roman"/>
        </w:rPr>
        <w:t>.</w:t>
      </w:r>
      <w:r w:rsidRPr="00C91EA2">
        <w:rPr>
          <w:rStyle w:val="FootnoteReference"/>
          <w:rFonts w:ascii="Times New Roman" w:hAnsi="Times New Roman" w:cs="Times New Roman"/>
        </w:rPr>
        <w:footnoteReference w:id="380"/>
      </w:r>
      <w:r w:rsidRPr="00C91EA2">
        <w:rPr>
          <w:rFonts w:ascii="Times New Roman" w:hAnsi="Times New Roman" w:cs="Times New Roman"/>
        </w:rPr>
        <w:t xml:space="preserve"> In this regard, the Regulation prohibits all agreements between undertakings, decisions by associations of undertakings and concerted practices which may affect trade between Member States and which have as their object or effect the prevention, restriction or distortion of competition within the internal market. This prohibition covers</w:t>
      </w:r>
      <w:proofErr w:type="gramStart"/>
      <w:r w:rsidRPr="00C91EA2">
        <w:rPr>
          <w:rFonts w:ascii="Times New Roman" w:hAnsi="Times New Roman" w:cs="Times New Roman"/>
        </w:rPr>
        <w:t>, in particular, those</w:t>
      </w:r>
      <w:proofErr w:type="gramEnd"/>
      <w:r w:rsidRPr="00C91EA2">
        <w:rPr>
          <w:rFonts w:ascii="Times New Roman" w:hAnsi="Times New Roman" w:cs="Times New Roman"/>
        </w:rPr>
        <w:t xml:space="preserve"> agreements </w:t>
      </w:r>
      <w:r w:rsidR="003701BD">
        <w:rPr>
          <w:rFonts w:ascii="Times New Roman" w:hAnsi="Times New Roman" w:cs="Times New Roman"/>
        </w:rPr>
        <w:t>that</w:t>
      </w:r>
      <w:r w:rsidRPr="00C91EA2">
        <w:rPr>
          <w:rFonts w:ascii="Times New Roman" w:hAnsi="Times New Roman" w:cs="Times New Roman"/>
        </w:rPr>
        <w:t>:</w:t>
      </w:r>
    </w:p>
    <w:p w14:paraId="7A880212" w14:textId="77777777" w:rsidR="008B5EA1" w:rsidRPr="00C91EA2" w:rsidRDefault="008B5EA1" w:rsidP="008B5EA1">
      <w:pPr>
        <w:pStyle w:val="ListParagraph"/>
        <w:numPr>
          <w:ilvl w:val="0"/>
          <w:numId w:val="4"/>
        </w:numPr>
        <w:jc w:val="both"/>
        <w:rPr>
          <w:rFonts w:ascii="Times New Roman" w:hAnsi="Times New Roman" w:cs="Times New Roman"/>
          <w:b/>
          <w:bCs/>
        </w:rPr>
      </w:pPr>
      <w:r w:rsidRPr="00C91EA2">
        <w:rPr>
          <w:rFonts w:ascii="Times New Roman" w:hAnsi="Times New Roman" w:cs="Times New Roman"/>
        </w:rPr>
        <w:t>Limit access to the market or other companies’ freedom to compete;</w:t>
      </w:r>
    </w:p>
    <w:p w14:paraId="4EC473A2" w14:textId="77777777" w:rsidR="008B5EA1" w:rsidRPr="00C91EA2" w:rsidRDefault="008B5EA1" w:rsidP="008B5EA1">
      <w:pPr>
        <w:pStyle w:val="ListParagraph"/>
        <w:numPr>
          <w:ilvl w:val="0"/>
          <w:numId w:val="4"/>
        </w:numPr>
        <w:jc w:val="both"/>
        <w:rPr>
          <w:rFonts w:ascii="Times New Roman" w:hAnsi="Times New Roman" w:cs="Times New Roman"/>
          <w:b/>
          <w:bCs/>
        </w:rPr>
      </w:pPr>
      <w:r w:rsidRPr="00C91EA2">
        <w:rPr>
          <w:rFonts w:ascii="Times New Roman" w:hAnsi="Times New Roman" w:cs="Times New Roman"/>
        </w:rPr>
        <w:t xml:space="preserve">Directly or indirectly fix prices, selling prices, or that generally hinder the setting of prices by the market and artificially result in a price increase or decrease; </w:t>
      </w:r>
      <w:proofErr w:type="gramStart"/>
      <w:r w:rsidRPr="00C91EA2">
        <w:rPr>
          <w:rFonts w:ascii="Times New Roman" w:hAnsi="Times New Roman" w:cs="Times New Roman"/>
        </w:rPr>
        <w:t>in particular, agreements</w:t>
      </w:r>
      <w:proofErr w:type="gramEnd"/>
      <w:r w:rsidRPr="00C91EA2">
        <w:rPr>
          <w:rFonts w:ascii="Times New Roman" w:hAnsi="Times New Roman" w:cs="Times New Roman"/>
        </w:rPr>
        <w:t xml:space="preserve"> between companies at different vertical stages aimed at establishing resale price;</w:t>
      </w:r>
    </w:p>
    <w:p w14:paraId="6194FADF" w14:textId="77777777" w:rsidR="008B5EA1" w:rsidRPr="00C91EA2" w:rsidRDefault="008B5EA1" w:rsidP="008B5EA1">
      <w:pPr>
        <w:pStyle w:val="ListParagraph"/>
        <w:numPr>
          <w:ilvl w:val="0"/>
          <w:numId w:val="4"/>
        </w:numPr>
        <w:jc w:val="both"/>
        <w:rPr>
          <w:rFonts w:ascii="Times New Roman" w:hAnsi="Times New Roman" w:cs="Times New Roman"/>
          <w:b/>
          <w:bCs/>
        </w:rPr>
      </w:pPr>
      <w:r w:rsidRPr="00C91EA2">
        <w:rPr>
          <w:rFonts w:ascii="Times New Roman" w:hAnsi="Times New Roman" w:cs="Times New Roman"/>
        </w:rPr>
        <w:t>Share markets or sources of supply, especially, agreements between production or distribution companies establishing an absolute territorial protection;</w:t>
      </w:r>
    </w:p>
    <w:p w14:paraId="2B6921DE" w14:textId="77777777" w:rsidR="008B5EA1" w:rsidRPr="00C91EA2" w:rsidRDefault="008B5EA1" w:rsidP="008B5EA1">
      <w:pPr>
        <w:pStyle w:val="ListParagraph"/>
        <w:numPr>
          <w:ilvl w:val="0"/>
          <w:numId w:val="4"/>
        </w:numPr>
        <w:jc w:val="both"/>
        <w:rPr>
          <w:rFonts w:ascii="Times New Roman" w:hAnsi="Times New Roman" w:cs="Times New Roman"/>
          <w:b/>
          <w:bCs/>
        </w:rPr>
      </w:pPr>
      <w:r w:rsidRPr="00C91EA2">
        <w:rPr>
          <w:rFonts w:ascii="Times New Roman" w:hAnsi="Times New Roman" w:cs="Times New Roman"/>
        </w:rPr>
        <w:t>Limit or control production, markets, technical development, or investment;</w:t>
      </w:r>
    </w:p>
    <w:p w14:paraId="7B4507DA" w14:textId="77777777" w:rsidR="008B5EA1" w:rsidRPr="00C91EA2" w:rsidRDefault="008B5EA1" w:rsidP="008B5EA1">
      <w:pPr>
        <w:pStyle w:val="ListParagraph"/>
        <w:jc w:val="both"/>
        <w:rPr>
          <w:rFonts w:ascii="Times New Roman" w:hAnsi="Times New Roman" w:cs="Times New Roman"/>
        </w:rPr>
      </w:pPr>
      <w:r w:rsidRPr="00C91EA2">
        <w:rPr>
          <w:rFonts w:ascii="Times New Roman" w:hAnsi="Times New Roman" w:cs="Times New Roman"/>
        </w:rPr>
        <w:t>Apply dissimilar conditions to equivalent transactions with other trading parties;</w:t>
      </w:r>
    </w:p>
    <w:p w14:paraId="224B3DF8" w14:textId="77777777" w:rsidR="008B5EA1" w:rsidRPr="00C91EA2" w:rsidRDefault="008B5EA1" w:rsidP="008B5EA1">
      <w:pPr>
        <w:pStyle w:val="ListParagraph"/>
        <w:numPr>
          <w:ilvl w:val="0"/>
          <w:numId w:val="4"/>
        </w:numPr>
        <w:jc w:val="both"/>
        <w:rPr>
          <w:rFonts w:ascii="Times New Roman" w:hAnsi="Times New Roman" w:cs="Times New Roman"/>
          <w:b/>
          <w:bCs/>
        </w:rPr>
      </w:pPr>
      <w:r w:rsidRPr="00C91EA2">
        <w:rPr>
          <w:rFonts w:ascii="Times New Roman" w:hAnsi="Times New Roman" w:cs="Times New Roman"/>
        </w:rPr>
        <w:t>Make the conclusion of contracts subject to acceptance by the other parties of supplementary obligations which, by their nature or according to commercial usage, have no connection with the subject of such contracts.</w:t>
      </w:r>
    </w:p>
    <w:p w14:paraId="3B950BAA" w14:textId="77777777" w:rsidR="008B5EA1" w:rsidRPr="00C91EA2" w:rsidRDefault="008B5EA1" w:rsidP="008B5EA1">
      <w:pPr>
        <w:jc w:val="both"/>
        <w:rPr>
          <w:rFonts w:ascii="Times New Roman" w:hAnsi="Times New Roman" w:cs="Times New Roman"/>
          <w:b/>
        </w:rPr>
      </w:pPr>
    </w:p>
    <w:p w14:paraId="5FED57EA"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bCs/>
        </w:rPr>
        <w:t xml:space="preserve">The standard for assessing competition law exemptions in WAEMU is primarily based-upon efficiency. </w:t>
      </w:r>
      <w:r w:rsidRPr="00C91EA2">
        <w:rPr>
          <w:rFonts w:ascii="Times New Roman" w:hAnsi="Times New Roman" w:cs="Times New Roman"/>
        </w:rPr>
        <w:t>Pursuant to Article 89(3) of the WAEMU Treaty, the Commission may declare Article 88(a) of the WAEMU Treaty inapplicable in the case of: any agreement or category of agreements between undertakings, any decision or category of decisions by associations of undertakings, any concerted practice or category of concerted practices, which contributes to improving the production or distribution of goods or to promoting technical or economic progress, while allowing consumers a fair share of the resulting benefit, and which does not: (i) impose on the undertakings concerned restrictions which are not indispensable to the attainment of these objectives; (ii) afford such undertakings the possibility of eliminating competition in respect of a substantial part of the products in question.</w:t>
      </w:r>
      <w:r w:rsidRPr="00C91EA2">
        <w:rPr>
          <w:rStyle w:val="FootnoteReference"/>
          <w:rFonts w:ascii="Times New Roman" w:hAnsi="Times New Roman" w:cs="Times New Roman"/>
        </w:rPr>
        <w:footnoteReference w:id="381"/>
      </w:r>
      <w:r w:rsidRPr="00C91EA2">
        <w:rPr>
          <w:rFonts w:ascii="Times New Roman" w:hAnsi="Times New Roman" w:cs="Times New Roman"/>
        </w:rPr>
        <w:t xml:space="preserve"> In addition to individual exemptions which are given for a limited time period,</w:t>
      </w:r>
      <w:r w:rsidRPr="00C91EA2">
        <w:rPr>
          <w:rStyle w:val="FootnoteReference"/>
          <w:rFonts w:ascii="Times New Roman" w:hAnsi="Times New Roman" w:cs="Times New Roman"/>
        </w:rPr>
        <w:footnoteReference w:id="382"/>
      </w:r>
      <w:r w:rsidRPr="00C91EA2">
        <w:rPr>
          <w:rFonts w:ascii="Times New Roman" w:hAnsi="Times New Roman" w:cs="Times New Roman"/>
        </w:rPr>
        <w:t xml:space="preserve"> Regulation 03/2002/CM/UEMO enables the WAEMU Council to adopt category exemptions to specialization agreements, research &amp; development and technology transfer agreements.</w:t>
      </w:r>
      <w:r w:rsidRPr="00C91EA2">
        <w:rPr>
          <w:rStyle w:val="FootnoteReference"/>
          <w:rFonts w:ascii="Times New Roman" w:hAnsi="Times New Roman" w:cs="Times New Roman"/>
        </w:rPr>
        <w:footnoteReference w:id="383"/>
      </w:r>
    </w:p>
    <w:p w14:paraId="2F52A013" w14:textId="77777777" w:rsidR="008B5EA1" w:rsidRPr="00C91EA2" w:rsidRDefault="008B5EA1" w:rsidP="008B5EA1">
      <w:pPr>
        <w:jc w:val="both"/>
        <w:rPr>
          <w:rFonts w:ascii="Times New Roman" w:hAnsi="Times New Roman" w:cs="Times New Roman"/>
        </w:rPr>
      </w:pPr>
    </w:p>
    <w:p w14:paraId="0FD3BA3E"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bCs/>
        </w:rPr>
        <w:t xml:space="preserve">Pursuant to Regulation </w:t>
      </w:r>
      <w:r w:rsidRPr="00C91EA2">
        <w:rPr>
          <w:rFonts w:ascii="Times New Roman" w:hAnsi="Times New Roman" w:cs="Times New Roman"/>
          <w:b/>
        </w:rPr>
        <w:t>N° 02/2002/CM/UEMOA, any abuse by one or more undertakings of a dominant position within the internal market or in a substantial part of it shall be prohibited as incompatible with the internal market in so far as it may affect trade between Member States.</w:t>
      </w:r>
      <w:r w:rsidRPr="00C91EA2">
        <w:rPr>
          <w:rStyle w:val="FootnoteReference"/>
          <w:rFonts w:ascii="Times New Roman" w:hAnsi="Times New Roman" w:cs="Times New Roman"/>
        </w:rPr>
        <w:footnoteReference w:id="384"/>
      </w:r>
      <w:r w:rsidRPr="00C91EA2">
        <w:rPr>
          <w:rFonts w:ascii="Times New Roman" w:hAnsi="Times New Roman" w:cs="Times New Roman"/>
          <w:b/>
        </w:rPr>
        <w:t xml:space="preserve"> </w:t>
      </w:r>
      <w:r w:rsidRPr="00C91EA2">
        <w:rPr>
          <w:rFonts w:ascii="Times New Roman" w:hAnsi="Times New Roman" w:cs="Times New Roman"/>
        </w:rPr>
        <w:t>Such abuse may consist in:</w:t>
      </w:r>
    </w:p>
    <w:p w14:paraId="489C9EFC" w14:textId="77777777" w:rsidR="008B5EA1" w:rsidRPr="00C91EA2" w:rsidRDefault="008B5EA1" w:rsidP="008B5EA1">
      <w:pPr>
        <w:pStyle w:val="ListParagraph"/>
        <w:numPr>
          <w:ilvl w:val="0"/>
          <w:numId w:val="4"/>
        </w:numPr>
        <w:jc w:val="both"/>
        <w:rPr>
          <w:rFonts w:ascii="Times New Roman" w:hAnsi="Times New Roman" w:cs="Times New Roman"/>
        </w:rPr>
      </w:pPr>
      <w:r w:rsidRPr="00C91EA2">
        <w:rPr>
          <w:rFonts w:ascii="Times New Roman" w:hAnsi="Times New Roman" w:cs="Times New Roman"/>
        </w:rPr>
        <w:t>Directly or indirectly imposing unfair purchase or selling prices or other unfair trading conditions;</w:t>
      </w:r>
    </w:p>
    <w:p w14:paraId="3B8C07CF" w14:textId="77777777" w:rsidR="008B5EA1" w:rsidRPr="00C91EA2" w:rsidRDefault="008B5EA1" w:rsidP="008B5EA1">
      <w:pPr>
        <w:pStyle w:val="ListParagraph"/>
        <w:numPr>
          <w:ilvl w:val="0"/>
          <w:numId w:val="4"/>
        </w:numPr>
        <w:jc w:val="both"/>
        <w:rPr>
          <w:rFonts w:ascii="Times New Roman" w:hAnsi="Times New Roman" w:cs="Times New Roman"/>
        </w:rPr>
      </w:pPr>
      <w:r w:rsidRPr="00C91EA2">
        <w:rPr>
          <w:rFonts w:ascii="Times New Roman" w:hAnsi="Times New Roman" w:cs="Times New Roman"/>
        </w:rPr>
        <w:t>Limiting production, markets or technical development to the prejudice of consumers;</w:t>
      </w:r>
    </w:p>
    <w:p w14:paraId="06145703" w14:textId="77777777" w:rsidR="008B5EA1" w:rsidRPr="00C91EA2" w:rsidRDefault="008B5EA1" w:rsidP="008B5EA1">
      <w:pPr>
        <w:pStyle w:val="ListParagraph"/>
        <w:numPr>
          <w:ilvl w:val="0"/>
          <w:numId w:val="4"/>
        </w:numPr>
        <w:jc w:val="both"/>
        <w:rPr>
          <w:rFonts w:ascii="Times New Roman" w:hAnsi="Times New Roman" w:cs="Times New Roman"/>
        </w:rPr>
      </w:pPr>
      <w:r w:rsidRPr="00C91EA2">
        <w:rPr>
          <w:rFonts w:ascii="Times New Roman" w:hAnsi="Times New Roman" w:cs="Times New Roman"/>
        </w:rPr>
        <w:t>Applying dissimilar conditions to equivalent transactions with other trading parties, thereby placing them at a competitive disadvantage;</w:t>
      </w:r>
    </w:p>
    <w:p w14:paraId="555AB427" w14:textId="77777777" w:rsidR="008B5EA1" w:rsidRPr="00C91EA2" w:rsidRDefault="008B5EA1" w:rsidP="008B5EA1">
      <w:pPr>
        <w:pStyle w:val="ListParagraph"/>
        <w:numPr>
          <w:ilvl w:val="0"/>
          <w:numId w:val="4"/>
        </w:numPr>
        <w:jc w:val="both"/>
        <w:rPr>
          <w:rFonts w:ascii="Times New Roman" w:hAnsi="Times New Roman" w:cs="Times New Roman"/>
        </w:rPr>
      </w:pPr>
      <w:r w:rsidRPr="00C91EA2">
        <w:rPr>
          <w:rFonts w:ascii="Times New Roman" w:hAnsi="Times New Roman" w:cs="Times New Roman"/>
        </w:rPr>
        <w:t>Making the conclusion of contracts subject to acceptance by the other parties of supplementary obligations which, by their nature or according to commercial usage, have no connection with the subject of such contracts.</w:t>
      </w:r>
    </w:p>
    <w:p w14:paraId="13BE2080" w14:textId="77777777" w:rsidR="008B5EA1" w:rsidRPr="00C91EA2" w:rsidRDefault="008B5EA1" w:rsidP="008B5EA1">
      <w:pPr>
        <w:jc w:val="both"/>
        <w:rPr>
          <w:rFonts w:ascii="Times New Roman" w:hAnsi="Times New Roman" w:cs="Times New Roman"/>
        </w:rPr>
      </w:pPr>
    </w:p>
    <w:p w14:paraId="7FF18A4A"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The prohibition of abuse of a dominant position also encompasses mergers that create or reinforce a dominant position, which significantly impede effective competition in the market.</w:t>
      </w:r>
      <w:r w:rsidRPr="00C91EA2">
        <w:rPr>
          <w:rStyle w:val="FootnoteReference"/>
          <w:rFonts w:ascii="Times New Roman" w:hAnsi="Times New Roman" w:cs="Times New Roman"/>
          <w:b/>
        </w:rPr>
        <w:footnoteReference w:id="385"/>
      </w:r>
      <w:r w:rsidRPr="00C91EA2">
        <w:rPr>
          <w:rFonts w:ascii="Times New Roman" w:hAnsi="Times New Roman" w:cs="Times New Roman"/>
          <w:b/>
        </w:rPr>
        <w:t xml:space="preserve"> </w:t>
      </w:r>
      <w:r w:rsidRPr="00C91EA2">
        <w:rPr>
          <w:rFonts w:ascii="Times New Roman" w:hAnsi="Times New Roman" w:cs="Times New Roman"/>
        </w:rPr>
        <w:t>Notwithstanding the existing legal gap, a concentration shall be deemed to arise where a change of control on a lasting basis results from: (i) the merger of two or more previously independent undertakings or parts of undertakings; (ii) the acquisition, by one or more persons already controlling at least one undertaking, or by one or more undertakings, whether by purchase of securities or assets, by contract or by any other means, of direct or indirect control of the whole or parts of one or more other undertakings; or (iii) the creation of a joint venture performing on a lasting basis all the functions of an autonomous economic entity.</w:t>
      </w:r>
      <w:r w:rsidRPr="00C91EA2">
        <w:rPr>
          <w:rStyle w:val="FootnoteReference"/>
          <w:rFonts w:ascii="Times New Roman" w:hAnsi="Times New Roman" w:cs="Times New Roman"/>
        </w:rPr>
        <w:footnoteReference w:id="386"/>
      </w:r>
      <w:r w:rsidRPr="00C91EA2">
        <w:rPr>
          <w:rFonts w:ascii="Times New Roman" w:hAnsi="Times New Roman" w:cs="Times New Roman"/>
        </w:rPr>
        <w:t xml:space="preserve"> However, there is no secondary legislation that establishes a framework for the analysis by the WAEMU Commission of the likely anticompetitive effects of a merger.</w:t>
      </w:r>
    </w:p>
    <w:p w14:paraId="70533722" w14:textId="77777777" w:rsidR="008B5EA1" w:rsidRPr="00C91EA2" w:rsidRDefault="008B5EA1" w:rsidP="008B5EA1">
      <w:pPr>
        <w:jc w:val="both"/>
        <w:rPr>
          <w:rFonts w:ascii="Times New Roman" w:hAnsi="Times New Roman" w:cs="Times New Roman"/>
        </w:rPr>
      </w:pPr>
    </w:p>
    <w:p w14:paraId="4377161A" w14:textId="0C73374F"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The WAEMU Treaty has specific rules on State aid with Article 88(c) determining the incompatibility with the internal market of any aid granted by a Member State or through State resources in any form whatsoever which distorts or threatens to distort competition by favoring certain undertakings or the production of certain goods shall, in so far as it affects trade between Member States</w:t>
      </w:r>
      <w:r w:rsidRPr="00C91EA2">
        <w:rPr>
          <w:rFonts w:ascii="Times New Roman" w:hAnsi="Times New Roman" w:cs="Times New Roman"/>
        </w:rPr>
        <w:t>. The conditions specifying in which circumstances State aid is illegal are specified in Regulation N° 04/2002/CM/UEMOA,</w:t>
      </w:r>
      <w:r w:rsidRPr="00C91EA2">
        <w:rPr>
          <w:rStyle w:val="FootnoteReference"/>
          <w:rFonts w:ascii="Times New Roman" w:hAnsi="Times New Roman" w:cs="Times New Roman"/>
        </w:rPr>
        <w:footnoteReference w:id="387"/>
      </w:r>
      <w:r w:rsidRPr="00C91EA2">
        <w:rPr>
          <w:rFonts w:ascii="Times New Roman" w:hAnsi="Times New Roman" w:cs="Times New Roman"/>
        </w:rPr>
        <w:t xml:space="preserve"> pursuant to which new state aid must be notified to the Commission</w:t>
      </w:r>
      <w:r w:rsidRPr="00C91EA2">
        <w:rPr>
          <w:rStyle w:val="FootnoteReference"/>
          <w:rFonts w:ascii="Times New Roman" w:hAnsi="Times New Roman" w:cs="Times New Roman"/>
        </w:rPr>
        <w:footnoteReference w:id="388"/>
      </w:r>
      <w:r w:rsidRPr="00C91EA2">
        <w:rPr>
          <w:rFonts w:ascii="Times New Roman" w:hAnsi="Times New Roman" w:cs="Times New Roman"/>
        </w:rPr>
        <w:t xml:space="preserve"> and is subject to a standstill effect, i.e., it cannot be adopted before the Commission’s approval.</w:t>
      </w:r>
      <w:r w:rsidRPr="00C91EA2">
        <w:rPr>
          <w:rStyle w:val="FootnoteReference"/>
          <w:rFonts w:ascii="Times New Roman" w:hAnsi="Times New Roman" w:cs="Times New Roman"/>
        </w:rPr>
        <w:footnoteReference w:id="389"/>
      </w:r>
      <w:r w:rsidRPr="00C91EA2">
        <w:rPr>
          <w:rFonts w:ascii="Times New Roman" w:hAnsi="Times New Roman" w:cs="Times New Roman"/>
        </w:rPr>
        <w:t xml:space="preserve"> In assessing the compatibility of State aid, the Commission takes into account the needs of Member States in what concerns their economic and social development.</w:t>
      </w:r>
      <w:r w:rsidRPr="00C91EA2">
        <w:rPr>
          <w:rStyle w:val="FootnoteReference"/>
          <w:rFonts w:ascii="Times New Roman" w:hAnsi="Times New Roman" w:cs="Times New Roman"/>
        </w:rPr>
        <w:footnoteReference w:id="390"/>
      </w:r>
      <w:r w:rsidRPr="00C91EA2">
        <w:rPr>
          <w:rFonts w:ascii="Times New Roman" w:hAnsi="Times New Roman" w:cs="Times New Roman"/>
        </w:rPr>
        <w:t xml:space="preserve"> When aid is declared illegal, the WAEMU Commission may order its recovery by the Member State concerned.</w:t>
      </w:r>
      <w:r w:rsidRPr="00C91EA2">
        <w:rPr>
          <w:rStyle w:val="FootnoteReference"/>
          <w:rFonts w:ascii="Times New Roman" w:hAnsi="Times New Roman" w:cs="Times New Roman"/>
        </w:rPr>
        <w:footnoteReference w:id="391"/>
      </w:r>
      <w:r w:rsidRPr="00C91EA2">
        <w:rPr>
          <w:rFonts w:ascii="Times New Roman" w:hAnsi="Times New Roman" w:cs="Times New Roman"/>
        </w:rPr>
        <w:t xml:space="preserve"> In case of failure to comply, the Commission can issue a press release and proceed with the suspension of financial assistance by the WAEMU to the Member State and the submission of a recommendation to the recommendation to the West African Development Bank to review its operational policy regarding the Member State.</w:t>
      </w:r>
      <w:r w:rsidRPr="00C91EA2">
        <w:rPr>
          <w:rStyle w:val="FootnoteReference"/>
          <w:rFonts w:ascii="Times New Roman" w:hAnsi="Times New Roman" w:cs="Times New Roman"/>
        </w:rPr>
        <w:footnoteReference w:id="392"/>
      </w:r>
    </w:p>
    <w:p w14:paraId="4A97BBEF" w14:textId="77777777" w:rsidR="008B5EA1" w:rsidRPr="00C91EA2" w:rsidRDefault="008B5EA1" w:rsidP="008B5EA1">
      <w:pPr>
        <w:jc w:val="both"/>
        <w:rPr>
          <w:rFonts w:ascii="Times New Roman" w:hAnsi="Times New Roman" w:cs="Times New Roman"/>
        </w:rPr>
      </w:pPr>
    </w:p>
    <w:p w14:paraId="3A11AD85"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As per anticompetitive State action, Articles 4(a), 7 and 76(c) of the WAEMU Treaty set forth that Member States shall neither enact nor maintain in force any measure contrary to the rules contained in the Regulation or secondary legislation</w:t>
      </w:r>
      <w:r w:rsidRPr="00C91EA2">
        <w:rPr>
          <w:rFonts w:ascii="Times New Roman" w:hAnsi="Times New Roman" w:cs="Times New Roman"/>
        </w:rPr>
        <w:t>. In the case of public undertakings and undertakings to which Member States grant special or exclusive rights, they shall neither enact nor maintain in force any measure contrary to the rules contained in Article 88(a) and (b) of the WAEMU Treaty. Member States shall also not enact measures that enable private enterprises to escape the prohibitions of Article 88(a) and (b) of the WAEMU Treaty (anticompetitive agreements and abuse of dominance).</w:t>
      </w:r>
      <w:r w:rsidRPr="00C91EA2">
        <w:rPr>
          <w:rStyle w:val="FootnoteReference"/>
          <w:rFonts w:ascii="Times New Roman" w:hAnsi="Times New Roman" w:cs="Times New Roman"/>
        </w:rPr>
        <w:footnoteReference w:id="393"/>
      </w:r>
      <w:r w:rsidRPr="00C91EA2">
        <w:rPr>
          <w:rFonts w:ascii="Times New Roman" w:hAnsi="Times New Roman" w:cs="Times New Roman"/>
        </w:rPr>
        <w:t xml:space="preserve"> To enforce these provisions, the WAEMU Commission has the right to give recommendations and impose modifications to member countries’ national legislations when the latter are likely to impact negatively on competition within the region.</w:t>
      </w:r>
    </w:p>
    <w:p w14:paraId="533A9E28" w14:textId="77777777" w:rsidR="008B5EA1" w:rsidRPr="00C91EA2" w:rsidRDefault="008B5EA1" w:rsidP="008B5EA1">
      <w:pPr>
        <w:jc w:val="both"/>
        <w:rPr>
          <w:rFonts w:ascii="Times New Roman" w:hAnsi="Times New Roman" w:cs="Times New Roman"/>
        </w:rPr>
      </w:pPr>
    </w:p>
    <w:p w14:paraId="0AD25261" w14:textId="77777777" w:rsidR="008B5EA1" w:rsidRPr="00C91EA2" w:rsidRDefault="008B5EA1" w:rsidP="008B5EA1">
      <w:pPr>
        <w:jc w:val="both"/>
        <w:rPr>
          <w:rFonts w:ascii="Times New Roman" w:hAnsi="Times New Roman" w:cs="Times New Roman"/>
          <w:b/>
          <w:bCs/>
        </w:rPr>
      </w:pPr>
      <w:r w:rsidRPr="00C91EA2">
        <w:rPr>
          <w:rFonts w:ascii="Times New Roman" w:hAnsi="Times New Roman" w:cs="Times New Roman"/>
          <w:b/>
        </w:rPr>
        <w:t xml:space="preserve">Undertakings entrusted with the operation of services of general economic interest or having the character of a revenue-producing monopoly shall be subject to WAEMU Treaty’s rules on competition, in so far as the application of such rules does not obstruct the performance, in law or in fact, of the </w:t>
      </w:r>
      <w:proofErr w:type="gramStart"/>
      <w:r w:rsidRPr="00C91EA2">
        <w:rPr>
          <w:rFonts w:ascii="Times New Roman" w:hAnsi="Times New Roman" w:cs="Times New Roman"/>
          <w:b/>
        </w:rPr>
        <w:t>particular tasks</w:t>
      </w:r>
      <w:proofErr w:type="gramEnd"/>
      <w:r w:rsidRPr="00C91EA2">
        <w:rPr>
          <w:rFonts w:ascii="Times New Roman" w:hAnsi="Times New Roman" w:cs="Times New Roman"/>
          <w:b/>
        </w:rPr>
        <w:t xml:space="preserve"> assigned to them</w:t>
      </w:r>
      <w:r w:rsidRPr="00C91EA2">
        <w:rPr>
          <w:rFonts w:ascii="Times New Roman" w:hAnsi="Times New Roman" w:cs="Times New Roman"/>
        </w:rPr>
        <w:t>. For this purpose, the Commission may give exemptions from Article 88(a) and (b) of the WAEMU Treaty on anticompetitive agreements and abuse of dominance.</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394"/>
      </w:r>
      <w:r w:rsidRPr="00C91EA2">
        <w:rPr>
          <w:rFonts w:ascii="Times New Roman" w:hAnsi="Times New Roman" w:cs="Times New Roman"/>
        </w:rPr>
        <w:t xml:space="preserve"> In case a Member State fails to comply, the Commission may bring an action before the Court of Justice pursuant to the Additional Protocol 1 of the WAEMU Treaty.</w:t>
      </w:r>
    </w:p>
    <w:p w14:paraId="41AF11A7" w14:textId="77777777" w:rsidR="008B5EA1" w:rsidRPr="00C91EA2" w:rsidRDefault="008B5EA1" w:rsidP="008B5EA1">
      <w:pPr>
        <w:jc w:val="both"/>
        <w:rPr>
          <w:rFonts w:ascii="Times New Roman" w:hAnsi="Times New Roman" w:cs="Times New Roman"/>
        </w:rPr>
      </w:pPr>
    </w:p>
    <w:p w14:paraId="74451945"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The WAEMU Commission has exclusive competence to enforce the competition rules,</w:t>
      </w:r>
      <w:r w:rsidRPr="00C91EA2">
        <w:rPr>
          <w:rStyle w:val="FootnoteReference"/>
          <w:rFonts w:ascii="Times New Roman" w:hAnsi="Times New Roman" w:cs="Times New Roman"/>
          <w:b/>
          <w:bCs/>
        </w:rPr>
        <w:footnoteReference w:id="395"/>
      </w:r>
      <w:r w:rsidRPr="00C91EA2">
        <w:rPr>
          <w:rFonts w:ascii="Times New Roman" w:hAnsi="Times New Roman" w:cs="Times New Roman"/>
          <w:b/>
        </w:rPr>
        <w:t xml:space="preserve"> even though National Competition Authorities (NCAs) participate in the Competition Advisory Committee, which issues a non-binding opinion prior to the Commission’s decision.</w:t>
      </w:r>
      <w:r w:rsidRPr="00C91EA2">
        <w:rPr>
          <w:rStyle w:val="FootnoteReference"/>
          <w:rFonts w:ascii="Times New Roman" w:hAnsi="Times New Roman" w:cs="Times New Roman"/>
        </w:rPr>
        <w:footnoteReference w:id="396"/>
      </w:r>
      <w:r w:rsidRPr="00C91EA2">
        <w:rPr>
          <w:rFonts w:ascii="Times New Roman" w:hAnsi="Times New Roman" w:cs="Times New Roman"/>
        </w:rPr>
        <w:t xml:space="preserve"> The WAEMU Commission has exclusive competence to investigate: State aids; anticompetitive State practices; and Anticompetitive practices with a cross border effect.</w:t>
      </w:r>
      <w:r w:rsidRPr="00C91EA2">
        <w:rPr>
          <w:rStyle w:val="FootnoteReference"/>
          <w:rFonts w:ascii="Times New Roman" w:hAnsi="Times New Roman" w:cs="Times New Roman"/>
        </w:rPr>
        <w:footnoteReference w:id="397"/>
      </w:r>
      <w:r w:rsidRPr="00C91EA2">
        <w:rPr>
          <w:rFonts w:ascii="Times New Roman" w:hAnsi="Times New Roman" w:cs="Times New Roman"/>
        </w:rPr>
        <w:t xml:space="preserve"> Before issuing a decision on an anticompetitive practice, the Commission must first obtain a non-binding opinion issued by the Advisory Committee consisting of two members appointed by each Member State.</w:t>
      </w:r>
      <w:r w:rsidRPr="00C91EA2">
        <w:rPr>
          <w:rStyle w:val="FootnoteReference"/>
          <w:rFonts w:ascii="Times New Roman" w:hAnsi="Times New Roman" w:cs="Times New Roman"/>
          <w:b/>
        </w:rPr>
        <w:footnoteReference w:id="398"/>
      </w:r>
      <w:r w:rsidRPr="00C91EA2">
        <w:rPr>
          <w:rFonts w:ascii="Times New Roman" w:hAnsi="Times New Roman" w:cs="Times New Roman"/>
        </w:rPr>
        <w:t xml:space="preserve">  NCAs perform a secondary role in the enforcement of WAEMU competition rules. Their role is limited to a permanent monitoring of the national markets in order to identify failures stemming from anticompetitive practices,</w:t>
      </w:r>
      <w:r w:rsidRPr="00C91EA2">
        <w:rPr>
          <w:rStyle w:val="FootnoteReference"/>
          <w:rFonts w:ascii="Times New Roman" w:hAnsi="Times New Roman" w:cs="Times New Roman"/>
        </w:rPr>
        <w:footnoteReference w:id="399"/>
      </w:r>
      <w:r w:rsidRPr="00C91EA2">
        <w:rPr>
          <w:rFonts w:ascii="Times New Roman" w:hAnsi="Times New Roman" w:cs="Times New Roman"/>
        </w:rPr>
        <w:t xml:space="preserve"> and to cooperate with the WAEMU Commission during the investigation stage.</w:t>
      </w:r>
      <w:r w:rsidRPr="00C91EA2">
        <w:rPr>
          <w:rStyle w:val="FootnoteReference"/>
          <w:rFonts w:ascii="Times New Roman" w:hAnsi="Times New Roman" w:cs="Times New Roman"/>
        </w:rPr>
        <w:footnoteReference w:id="400"/>
      </w:r>
      <w:r w:rsidRPr="00C91EA2">
        <w:rPr>
          <w:rFonts w:ascii="Times New Roman" w:hAnsi="Times New Roman" w:cs="Times New Roman"/>
        </w:rPr>
        <w:t xml:space="preserve"> Whilst the WAEMU Commission is under the obligation to inform NCAs about the investigations carried-out nationally,</w:t>
      </w:r>
      <w:r w:rsidRPr="00C91EA2">
        <w:rPr>
          <w:rStyle w:val="FootnoteReference"/>
          <w:rFonts w:ascii="Times New Roman" w:hAnsi="Times New Roman" w:cs="Times New Roman"/>
        </w:rPr>
        <w:footnoteReference w:id="401"/>
      </w:r>
      <w:r w:rsidRPr="00C91EA2">
        <w:rPr>
          <w:rFonts w:ascii="Times New Roman" w:hAnsi="Times New Roman" w:cs="Times New Roman"/>
        </w:rPr>
        <w:t xml:space="preserve"> the latter are subject to a wide array of obligations vis-à-vis the WAEMU Commission, including: (i) sending the requests for negative certificate; (ii) sending notifications for exemptions and complaints; (iii) sending a quarterly report to the Commission with information on market inquiries; (iv) following the implementation of the decisions establishing a sanction; (v) reporting state aids and sending quarterly report to the Commission; and (vi) issuing an annual report on competition in the country.</w:t>
      </w:r>
      <w:r w:rsidRPr="00C91EA2">
        <w:rPr>
          <w:rStyle w:val="FootnoteReference"/>
          <w:rFonts w:ascii="Times New Roman" w:hAnsi="Times New Roman" w:cs="Times New Roman"/>
        </w:rPr>
        <w:footnoteReference w:id="402"/>
      </w:r>
    </w:p>
    <w:p w14:paraId="19E75199" w14:textId="77777777" w:rsidR="008B5EA1" w:rsidRPr="00C91EA2" w:rsidRDefault="008B5EA1" w:rsidP="008B5EA1">
      <w:pPr>
        <w:jc w:val="both"/>
        <w:rPr>
          <w:rFonts w:ascii="Times New Roman" w:hAnsi="Times New Roman" w:cs="Times New Roman"/>
        </w:rPr>
      </w:pPr>
    </w:p>
    <w:p w14:paraId="5A3212DA" w14:textId="77777777" w:rsidR="008B5EA1" w:rsidRPr="00C91EA2" w:rsidRDefault="008B5EA1" w:rsidP="008B5EA1">
      <w:pPr>
        <w:jc w:val="both"/>
        <w:rPr>
          <w:rFonts w:ascii="Times New Roman" w:hAnsi="Times New Roman" w:cs="Times New Roman"/>
        </w:rPr>
      </w:pPr>
      <w:proofErr w:type="gramStart"/>
      <w:r w:rsidRPr="00C91EA2">
        <w:rPr>
          <w:rFonts w:ascii="Times New Roman" w:hAnsi="Times New Roman" w:cs="Times New Roman"/>
          <w:b/>
        </w:rPr>
        <w:t>Similarly</w:t>
      </w:r>
      <w:proofErr w:type="gramEnd"/>
      <w:r w:rsidRPr="00C91EA2">
        <w:rPr>
          <w:rFonts w:ascii="Times New Roman" w:hAnsi="Times New Roman" w:cs="Times New Roman"/>
          <w:b/>
        </w:rPr>
        <w:t xml:space="preserve"> to the European Commission, the WAEMU Commission is not an agency independent from the executive. </w:t>
      </w:r>
      <w:r w:rsidRPr="00C91EA2">
        <w:rPr>
          <w:rFonts w:ascii="Times New Roman" w:hAnsi="Times New Roman" w:cs="Times New Roman"/>
        </w:rPr>
        <w:t xml:space="preserve">The Commission is formed by eight Commissioners, one of which has specific competences in the field of competition. </w:t>
      </w:r>
      <w:r w:rsidRPr="007575D7">
        <w:rPr>
          <w:rFonts w:ascii="Times New Roman" w:hAnsi="Times New Roman" w:cs="Times New Roman"/>
          <w:lang w:val="fr-FR"/>
        </w:rPr>
        <w:t xml:space="preserve">This </w:t>
      </w:r>
      <w:proofErr w:type="spellStart"/>
      <w:r w:rsidRPr="007575D7">
        <w:rPr>
          <w:rFonts w:ascii="Times New Roman" w:hAnsi="Times New Roman" w:cs="Times New Roman"/>
          <w:lang w:val="fr-FR"/>
        </w:rPr>
        <w:t>Commissioner</w:t>
      </w:r>
      <w:proofErr w:type="spellEnd"/>
      <w:r w:rsidRPr="007575D7">
        <w:rPr>
          <w:rFonts w:ascii="Times New Roman" w:hAnsi="Times New Roman" w:cs="Times New Roman"/>
          <w:lang w:val="fr-FR"/>
        </w:rPr>
        <w:t xml:space="preserve"> </w:t>
      </w:r>
      <w:proofErr w:type="gramStart"/>
      <w:r w:rsidRPr="007575D7">
        <w:rPr>
          <w:rFonts w:ascii="Times New Roman" w:hAnsi="Times New Roman" w:cs="Times New Roman"/>
          <w:lang w:val="fr-FR"/>
        </w:rPr>
        <w:t>supervises</w:t>
      </w:r>
      <w:proofErr w:type="gramEnd"/>
      <w:r w:rsidRPr="007575D7">
        <w:rPr>
          <w:rFonts w:ascii="Times New Roman" w:hAnsi="Times New Roman" w:cs="Times New Roman"/>
          <w:lang w:val="fr-FR"/>
        </w:rPr>
        <w:t xml:space="preserve"> the </w:t>
      </w:r>
      <w:proofErr w:type="spellStart"/>
      <w:r w:rsidRPr="007575D7">
        <w:rPr>
          <w:rFonts w:ascii="Times New Roman" w:hAnsi="Times New Roman" w:cs="Times New Roman"/>
          <w:lang w:val="fr-FR"/>
        </w:rPr>
        <w:t>Directorate</w:t>
      </w:r>
      <w:proofErr w:type="spellEnd"/>
      <w:r w:rsidRPr="007575D7">
        <w:rPr>
          <w:rFonts w:ascii="Times New Roman" w:hAnsi="Times New Roman" w:cs="Times New Roman"/>
          <w:lang w:val="fr-FR"/>
        </w:rPr>
        <w:t xml:space="preserve"> of Competition </w:t>
      </w:r>
      <w:proofErr w:type="spellStart"/>
      <w:r w:rsidRPr="007575D7">
        <w:rPr>
          <w:rFonts w:ascii="Times New Roman" w:hAnsi="Times New Roman" w:cs="Times New Roman"/>
          <w:lang w:val="fr-FR"/>
        </w:rPr>
        <w:t>which</w:t>
      </w:r>
      <w:proofErr w:type="spellEnd"/>
      <w:r w:rsidRPr="007575D7">
        <w:rPr>
          <w:rFonts w:ascii="Times New Roman" w:hAnsi="Times New Roman" w:cs="Times New Roman"/>
          <w:lang w:val="fr-FR"/>
        </w:rPr>
        <w:t xml:space="preserve"> </w:t>
      </w:r>
      <w:proofErr w:type="spellStart"/>
      <w:r w:rsidRPr="007575D7">
        <w:rPr>
          <w:rFonts w:ascii="Times New Roman" w:hAnsi="Times New Roman" w:cs="Times New Roman"/>
          <w:lang w:val="fr-FR"/>
        </w:rPr>
        <w:t>is</w:t>
      </w:r>
      <w:proofErr w:type="spellEnd"/>
      <w:r w:rsidRPr="007575D7">
        <w:rPr>
          <w:rFonts w:ascii="Times New Roman" w:hAnsi="Times New Roman" w:cs="Times New Roman"/>
          <w:lang w:val="fr-FR"/>
        </w:rPr>
        <w:t xml:space="preserve"> part of the Département du Marché Régional, du Commerce, de la Concurrence et de la Coopération (DMRC). </w:t>
      </w:r>
      <w:r w:rsidRPr="00C91EA2">
        <w:rPr>
          <w:rFonts w:ascii="Times New Roman" w:hAnsi="Times New Roman" w:cs="Times New Roman"/>
        </w:rPr>
        <w:t>However, and despite there being secondary legislation on competition law since 2002, the Competition Directorate was only established in 2007.</w:t>
      </w:r>
      <w:r w:rsidRPr="00C91EA2">
        <w:rPr>
          <w:rStyle w:val="FootnoteReference"/>
          <w:rFonts w:ascii="Times New Roman" w:hAnsi="Times New Roman" w:cs="Times New Roman"/>
        </w:rPr>
        <w:footnoteReference w:id="403"/>
      </w:r>
    </w:p>
    <w:p w14:paraId="4E0A1ED8" w14:textId="77777777" w:rsidR="008B5EA1" w:rsidRPr="00C91EA2" w:rsidRDefault="008B5EA1" w:rsidP="008B5EA1">
      <w:pPr>
        <w:jc w:val="both"/>
        <w:rPr>
          <w:rFonts w:ascii="Times New Roman" w:hAnsi="Times New Roman" w:cs="Times New Roman"/>
        </w:rPr>
      </w:pPr>
    </w:p>
    <w:p w14:paraId="754E22A7" w14:textId="3B1D80E8"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Despite having broad powers of investigation, the WAEMU Commission faces bureaucratic constraints that hinder the effectiveness of enforcement</w:t>
      </w:r>
      <w:r w:rsidRPr="00C91EA2">
        <w:rPr>
          <w:rFonts w:ascii="Times New Roman" w:hAnsi="Times New Roman" w:cs="Times New Roman"/>
        </w:rPr>
        <w:t>. The Commission’s powers of investigation are set forth in Regulation No. 03/2002. Pursuant to the Regulation, the Commission</w:t>
      </w:r>
      <w:r w:rsidRPr="00C91EA2">
        <w:rPr>
          <w:rFonts w:ascii="Times New Roman" w:hAnsi="Times New Roman" w:cs="Times New Roman"/>
          <w:b/>
        </w:rPr>
        <w:t xml:space="preserve"> </w:t>
      </w:r>
      <w:r w:rsidRPr="00C91EA2">
        <w:rPr>
          <w:rFonts w:ascii="Times New Roman" w:hAnsi="Times New Roman" w:cs="Times New Roman"/>
        </w:rPr>
        <w:t>has the power to elaborate sector inquiries; issue negative certificate as regards anticompetitive agreements and abuse of dominance;</w:t>
      </w:r>
      <w:r w:rsidRPr="00C91EA2">
        <w:rPr>
          <w:rStyle w:val="FootnoteReference"/>
          <w:rFonts w:ascii="Times New Roman" w:hAnsi="Times New Roman" w:cs="Times New Roman"/>
          <w:b/>
        </w:rPr>
        <w:footnoteReference w:id="404"/>
      </w:r>
      <w:r w:rsidRPr="00C91EA2">
        <w:rPr>
          <w:rFonts w:ascii="Times New Roman" w:hAnsi="Times New Roman" w:cs="Times New Roman"/>
        </w:rPr>
        <w:t xml:space="preserve"> issue injunctions;</w:t>
      </w:r>
      <w:r w:rsidRPr="00C91EA2">
        <w:rPr>
          <w:rStyle w:val="FootnoteReference"/>
          <w:rFonts w:ascii="Times New Roman" w:hAnsi="Times New Roman" w:cs="Times New Roman"/>
          <w:b/>
        </w:rPr>
        <w:t xml:space="preserve"> </w:t>
      </w:r>
      <w:r w:rsidRPr="00C91EA2">
        <w:rPr>
          <w:rStyle w:val="FootnoteReference"/>
          <w:rFonts w:ascii="Times New Roman" w:hAnsi="Times New Roman" w:cs="Times New Roman"/>
          <w:b/>
        </w:rPr>
        <w:footnoteReference w:id="405"/>
      </w:r>
      <w:r w:rsidRPr="00C91EA2">
        <w:rPr>
          <w:rFonts w:ascii="Times New Roman" w:hAnsi="Times New Roman" w:cs="Times New Roman"/>
        </w:rPr>
        <w:t xml:space="preserve"> prohibit, undo or impose remedies once it is informed</w:t>
      </w:r>
      <w:r w:rsidR="000E655F">
        <w:rPr>
          <w:rFonts w:ascii="Times New Roman" w:hAnsi="Times New Roman" w:cs="Times New Roman"/>
        </w:rPr>
        <w:t xml:space="preserve"> of</w:t>
      </w:r>
      <w:r w:rsidRPr="00C91EA2">
        <w:rPr>
          <w:rFonts w:ascii="Times New Roman" w:hAnsi="Times New Roman" w:cs="Times New Roman"/>
        </w:rPr>
        <w:t xml:space="preserve"> an illegal merger,</w:t>
      </w:r>
      <w:r w:rsidRPr="00C91EA2">
        <w:rPr>
          <w:rStyle w:val="FootnoteReference"/>
          <w:rFonts w:ascii="Times New Roman" w:hAnsi="Times New Roman" w:cs="Times New Roman"/>
          <w:b/>
        </w:rPr>
        <w:footnoteReference w:id="406"/>
      </w:r>
      <w:r w:rsidRPr="00C91EA2">
        <w:rPr>
          <w:rFonts w:ascii="Times New Roman" w:hAnsi="Times New Roman" w:cs="Times New Roman"/>
        </w:rPr>
        <w:t xml:space="preserve"> as well as impose interim measures, including sanctions in case of non-compliance</w:t>
      </w:r>
      <w:r w:rsidRPr="00C91EA2">
        <w:rPr>
          <w:rStyle w:val="FootnoteTextChar"/>
          <w:rFonts w:ascii="Times New Roman" w:hAnsi="Times New Roman" w:cs="Times New Roman"/>
          <w:b/>
        </w:rPr>
        <w:t>.</w:t>
      </w:r>
      <w:r w:rsidRPr="00C91EA2">
        <w:rPr>
          <w:rStyle w:val="FootnoteReference"/>
          <w:rFonts w:ascii="Times New Roman" w:hAnsi="Times New Roman" w:cs="Times New Roman"/>
          <w:b/>
        </w:rPr>
        <w:footnoteReference w:id="407"/>
      </w:r>
      <w:r w:rsidRPr="00C91EA2">
        <w:rPr>
          <w:rStyle w:val="FootnoteTextChar"/>
          <w:rFonts w:ascii="Times New Roman" w:hAnsi="Times New Roman" w:cs="Times New Roman"/>
          <w:b/>
        </w:rPr>
        <w:t xml:space="preserve"> </w:t>
      </w:r>
      <w:r w:rsidRPr="00C91EA2">
        <w:rPr>
          <w:rStyle w:val="FootnoteTextChar"/>
          <w:rFonts w:ascii="Times New Roman" w:hAnsi="Times New Roman" w:cs="Times New Roman"/>
        </w:rPr>
        <w:t>To gather evidence on anticompetitive practices,</w:t>
      </w:r>
      <w:r w:rsidRPr="00C91EA2">
        <w:rPr>
          <w:rStyle w:val="FootnoteTextChar"/>
          <w:rFonts w:ascii="Times New Roman" w:hAnsi="Times New Roman" w:cs="Times New Roman"/>
          <w:b/>
        </w:rPr>
        <w:t xml:space="preserve"> </w:t>
      </w:r>
      <w:r w:rsidRPr="00C91EA2">
        <w:rPr>
          <w:rFonts w:ascii="Times New Roman" w:hAnsi="Times New Roman" w:cs="Times New Roman"/>
        </w:rPr>
        <w:t>the WAEMU Commission can take possession and make copies of documents, carry-out on-site Interrogations, perform raids and access all places necessary</w:t>
      </w:r>
      <w:r w:rsidRPr="00C91EA2">
        <w:rPr>
          <w:rFonts w:ascii="Times New Roman" w:hAnsi="Times New Roman" w:cs="Times New Roman"/>
          <w:bCs/>
        </w:rPr>
        <w:t xml:space="preserve"> and </w:t>
      </w:r>
      <w:r w:rsidRPr="00C91EA2">
        <w:rPr>
          <w:rFonts w:ascii="Times New Roman" w:hAnsi="Times New Roman" w:cs="Times New Roman"/>
        </w:rPr>
        <w:t>request cooperation from the Authorities of the Member States.</w:t>
      </w:r>
      <w:r w:rsidRPr="00C91EA2">
        <w:rPr>
          <w:rStyle w:val="FootnoteReference"/>
          <w:rFonts w:ascii="Times New Roman" w:hAnsi="Times New Roman" w:cs="Times New Roman"/>
          <w:b/>
        </w:rPr>
        <w:footnoteReference w:id="408"/>
      </w:r>
      <w:r w:rsidRPr="00C91EA2">
        <w:rPr>
          <w:rFonts w:ascii="Times New Roman" w:hAnsi="Times New Roman" w:cs="Times New Roman"/>
        </w:rPr>
        <w:t xml:space="preserve"> Inspections can be made directly by the Commission or by national authorities at the Commission’s request. The inspection mandate sets out the inspection’s objective, scope and consequences in case of non-compliance. Every action by the Commission, be it an investigation, inquiry or other procedural action (including communications with the parties), requires a previous </w:t>
      </w:r>
      <w:proofErr w:type="spellStart"/>
      <w:r w:rsidRPr="00C91EA2">
        <w:rPr>
          <w:rFonts w:ascii="Times New Roman" w:hAnsi="Times New Roman" w:cs="Times New Roman"/>
        </w:rPr>
        <w:t>authorisation</w:t>
      </w:r>
      <w:proofErr w:type="spellEnd"/>
      <w:r w:rsidRPr="00C91EA2">
        <w:rPr>
          <w:rFonts w:ascii="Times New Roman" w:hAnsi="Times New Roman" w:cs="Times New Roman"/>
        </w:rPr>
        <w:t xml:space="preserve"> by its President following a request by the Competition Directorate. This </w:t>
      </w:r>
      <w:proofErr w:type="spellStart"/>
      <w:r w:rsidRPr="00C91EA2">
        <w:rPr>
          <w:rFonts w:ascii="Times New Roman" w:hAnsi="Times New Roman" w:cs="Times New Roman"/>
        </w:rPr>
        <w:t>centralised</w:t>
      </w:r>
      <w:proofErr w:type="spellEnd"/>
      <w:r w:rsidRPr="00C91EA2">
        <w:rPr>
          <w:rFonts w:ascii="Times New Roman" w:hAnsi="Times New Roman" w:cs="Times New Roman"/>
        </w:rPr>
        <w:t xml:space="preserve"> managerial approach severely curtails the flexibility and reduces its effectiveness overall.</w:t>
      </w:r>
      <w:r w:rsidRPr="00C91EA2">
        <w:rPr>
          <w:rStyle w:val="FootnoteReference"/>
          <w:rFonts w:ascii="Times New Roman" w:hAnsi="Times New Roman" w:cs="Times New Roman"/>
        </w:rPr>
        <w:footnoteReference w:id="409"/>
      </w:r>
    </w:p>
    <w:p w14:paraId="519446DF" w14:textId="77777777" w:rsidR="008B5EA1" w:rsidRPr="00C91EA2" w:rsidRDefault="008B5EA1" w:rsidP="008B5EA1">
      <w:pPr>
        <w:jc w:val="both"/>
        <w:rPr>
          <w:rFonts w:ascii="Times New Roman" w:hAnsi="Times New Roman" w:cs="Times New Roman"/>
        </w:rPr>
      </w:pPr>
    </w:p>
    <w:p w14:paraId="406FA98F" w14:textId="31E521EC"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The WAEMU Commission may impose fines in case of breach of the competition rules but only after it has issued a cease and desist injunction</w:t>
      </w:r>
      <w:r w:rsidRPr="00C91EA2">
        <w:rPr>
          <w:rFonts w:ascii="Times New Roman" w:hAnsi="Times New Roman" w:cs="Times New Roman"/>
        </w:rPr>
        <w:t xml:space="preserve">. The fines may range between </w:t>
      </w:r>
      <w:r w:rsidR="00126E75">
        <w:rPr>
          <w:rFonts w:ascii="Times New Roman" w:hAnsi="Times New Roman" w:cs="Times New Roman"/>
        </w:rPr>
        <w:t xml:space="preserve">F </w:t>
      </w:r>
      <w:r w:rsidR="00126E75" w:rsidRPr="00C91EA2">
        <w:rPr>
          <w:rFonts w:ascii="Times New Roman" w:hAnsi="Times New Roman" w:cs="Times New Roman"/>
        </w:rPr>
        <w:t xml:space="preserve">CFA </w:t>
      </w:r>
      <w:r w:rsidRPr="00C91EA2">
        <w:rPr>
          <w:rFonts w:ascii="Times New Roman" w:hAnsi="Times New Roman" w:cs="Times New Roman"/>
        </w:rPr>
        <w:t>500,000 and 100 million up to 10% of the company’s turnover in the previous financial year or 10 per cent of the company’s assets, depending on the seriousness and duration of the infringement in case of infringement of competition rules.</w:t>
      </w:r>
      <w:r w:rsidRPr="00C91EA2">
        <w:rPr>
          <w:rStyle w:val="FootnoteReference"/>
          <w:rFonts w:ascii="Times New Roman" w:hAnsi="Times New Roman" w:cs="Times New Roman"/>
          <w:b/>
        </w:rPr>
        <w:footnoteReference w:id="410"/>
      </w:r>
      <w:r w:rsidRPr="00C91EA2">
        <w:rPr>
          <w:rFonts w:ascii="Times New Roman" w:hAnsi="Times New Roman" w:cs="Times New Roman"/>
        </w:rPr>
        <w:t xml:space="preserve"> In addition, the Commission can impose a fine up to </w:t>
      </w:r>
      <w:r w:rsidR="00E96CB4">
        <w:rPr>
          <w:rFonts w:ascii="Times New Roman" w:hAnsi="Times New Roman" w:cs="Times New Roman"/>
        </w:rPr>
        <w:t>F</w:t>
      </w:r>
      <w:r w:rsidR="00E96CB4" w:rsidRPr="00C91EA2">
        <w:rPr>
          <w:rFonts w:ascii="Times New Roman" w:hAnsi="Times New Roman" w:cs="Times New Roman"/>
        </w:rPr>
        <w:t xml:space="preserve"> CFA </w:t>
      </w:r>
      <w:r w:rsidRPr="00C91EA2">
        <w:rPr>
          <w:rFonts w:ascii="Times New Roman" w:hAnsi="Times New Roman" w:cs="Times New Roman"/>
        </w:rPr>
        <w:t>500.000 in case companies submit wrong or false information</w:t>
      </w:r>
      <w:r w:rsidRPr="00C91EA2">
        <w:rPr>
          <w:rStyle w:val="FootnoteReference"/>
          <w:rFonts w:ascii="Times New Roman" w:hAnsi="Times New Roman" w:cs="Times New Roman"/>
          <w:b/>
        </w:rPr>
        <w:footnoteReference w:id="411"/>
      </w:r>
      <w:r w:rsidRPr="00C91EA2">
        <w:rPr>
          <w:rFonts w:ascii="Times New Roman" w:hAnsi="Times New Roman" w:cs="Times New Roman"/>
        </w:rPr>
        <w:t xml:space="preserve"> and periodic penalty payments on companies in case of failure to comply with an injunction. In case of vexatious complaint, the Commission can impose a fine between </w:t>
      </w:r>
      <w:r w:rsidR="00E96CB4">
        <w:rPr>
          <w:rFonts w:ascii="Times New Roman" w:hAnsi="Times New Roman" w:cs="Times New Roman"/>
        </w:rPr>
        <w:t>F</w:t>
      </w:r>
      <w:r w:rsidR="00E96CB4" w:rsidRPr="00C91EA2">
        <w:rPr>
          <w:rFonts w:ascii="Times New Roman" w:hAnsi="Times New Roman" w:cs="Times New Roman"/>
        </w:rPr>
        <w:t xml:space="preserve"> CFA </w:t>
      </w:r>
      <w:r w:rsidRPr="00C91EA2">
        <w:rPr>
          <w:rFonts w:ascii="Times New Roman" w:hAnsi="Times New Roman" w:cs="Times New Roman"/>
        </w:rPr>
        <w:t>1.000.000 and 5.000.000.</w:t>
      </w:r>
      <w:r w:rsidRPr="00C91EA2">
        <w:rPr>
          <w:rStyle w:val="FootnoteReference"/>
          <w:rFonts w:ascii="Times New Roman" w:hAnsi="Times New Roman" w:cs="Times New Roman"/>
          <w:b/>
        </w:rPr>
        <w:footnoteReference w:id="412"/>
      </w:r>
      <w:r w:rsidRPr="00C91EA2">
        <w:rPr>
          <w:rFonts w:ascii="Times New Roman" w:hAnsi="Times New Roman" w:cs="Times New Roman"/>
        </w:rPr>
        <w:t xml:space="preserve"> The sanctions imposed by the Commission do not have a criminal nature and are not to the detriment of compensation for the damages suffered by the consumers which can be redressed at the national level.</w:t>
      </w:r>
      <w:r w:rsidRPr="00C91EA2">
        <w:rPr>
          <w:rStyle w:val="FootnoteReference"/>
          <w:rFonts w:ascii="Times New Roman" w:hAnsi="Times New Roman" w:cs="Times New Roman"/>
          <w:b/>
        </w:rPr>
        <w:footnoteReference w:id="413"/>
      </w:r>
      <w:r w:rsidRPr="00C91EA2">
        <w:rPr>
          <w:rFonts w:ascii="Times New Roman" w:hAnsi="Times New Roman" w:cs="Times New Roman"/>
        </w:rPr>
        <w:t xml:space="preserve"> However, Parties can only seek redress of the damages suffered by virtue of anticompetitive practices before the national courts once the WAEMU Commission has issued a decision.</w:t>
      </w:r>
      <w:r w:rsidRPr="00C91EA2">
        <w:rPr>
          <w:rStyle w:val="FootnoteReference"/>
          <w:rFonts w:ascii="Times New Roman" w:hAnsi="Times New Roman" w:cs="Times New Roman"/>
        </w:rPr>
        <w:footnoteReference w:id="414"/>
      </w:r>
    </w:p>
    <w:p w14:paraId="16C8B6E8"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rPr>
        <w:t xml:space="preserve">  </w:t>
      </w:r>
    </w:p>
    <w:p w14:paraId="2D1DA199"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In 2000, the WAEMU Court of Justice issued a landmark Opinion on the issue of the division of competences between Commission and national Member States, which established the exclusive competence of the WAEMU in competition matters to the detriment of its Member States.</w:t>
      </w:r>
      <w:r w:rsidRPr="00C91EA2">
        <w:rPr>
          <w:rFonts w:ascii="Times New Roman" w:hAnsi="Times New Roman" w:cs="Times New Roman"/>
        </w:rPr>
        <w:t xml:space="preserve"> The WAEMU Treaty does not provide a solution to the issue of the division of competences between WAEMU and Member States to legislate and enforce the competition rules.</w:t>
      </w:r>
      <w:r w:rsidRPr="00C91EA2">
        <w:rPr>
          <w:rStyle w:val="FootnoteReference"/>
          <w:rFonts w:ascii="Times New Roman" w:hAnsi="Times New Roman" w:cs="Times New Roman"/>
        </w:rPr>
        <w:footnoteReference w:id="415"/>
      </w:r>
      <w:r w:rsidRPr="00C91EA2">
        <w:rPr>
          <w:rFonts w:ascii="Times New Roman" w:hAnsi="Times New Roman" w:cs="Times New Roman"/>
        </w:rPr>
        <w:t xml:space="preserve"> However, answering to a question placed by the President of the Commission of WAEMU, the Court of Justice determined in its Opinion No. 03/2000, that member States did not have competence to regulate and monitor competition rules, stating that: </w:t>
      </w:r>
      <w:r w:rsidRPr="00C91EA2">
        <w:rPr>
          <w:rFonts w:ascii="Times New Roman" w:hAnsi="Times New Roman" w:cs="Times New Roman"/>
          <w:i/>
        </w:rPr>
        <w:t xml:space="preserve">“The provisions of articles 88, 89 and 90 of the constituent Treaty of the West African Economic and Monetary Union pertain to the exclusive competence of the Union. Consequently, member States cannot exercise any competence in the area of competition covered by the Treaty </w:t>
      </w:r>
      <w:r w:rsidRPr="00C91EA2">
        <w:rPr>
          <w:rFonts w:ascii="Times New Roman" w:hAnsi="Times New Roman" w:cs="Times New Roman"/>
        </w:rPr>
        <w:t>[(does not preclude Member States’ competence in the field of unfair competition, for instance)]</w:t>
      </w:r>
      <w:r w:rsidRPr="00C91EA2">
        <w:rPr>
          <w:rFonts w:ascii="Times New Roman" w:hAnsi="Times New Roman" w:cs="Times New Roman"/>
          <w:i/>
        </w:rPr>
        <w:t>.”</w:t>
      </w:r>
      <w:r w:rsidRPr="00C91EA2">
        <w:rPr>
          <w:rStyle w:val="FootnoteReference"/>
          <w:rFonts w:ascii="Times New Roman" w:hAnsi="Times New Roman" w:cs="Times New Roman"/>
        </w:rPr>
        <w:footnoteReference w:id="416"/>
      </w:r>
      <w:r w:rsidRPr="00C91EA2">
        <w:rPr>
          <w:rFonts w:ascii="Times New Roman" w:hAnsi="Times New Roman" w:cs="Times New Roman"/>
          <w:i/>
        </w:rPr>
        <w:t xml:space="preserve"> </w:t>
      </w:r>
      <w:r w:rsidRPr="00C91EA2">
        <w:rPr>
          <w:rFonts w:ascii="Times New Roman" w:hAnsi="Times New Roman" w:cs="Times New Roman"/>
        </w:rPr>
        <w:t>This Opinion is paramount as it sets the exclusive competence of the WAEMU Community bodies to rule on and enforce competition rules, even though it also requires a close cooperation between the Commission and national institutions.</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417"/>
      </w:r>
      <w:r w:rsidRPr="00C91EA2">
        <w:rPr>
          <w:rFonts w:ascii="Times New Roman" w:hAnsi="Times New Roman" w:cs="Times New Roman"/>
        </w:rPr>
        <w:t xml:space="preserve"> </w:t>
      </w:r>
    </w:p>
    <w:p w14:paraId="64CD30B7" w14:textId="77777777" w:rsidR="008B5EA1" w:rsidRPr="00C91EA2" w:rsidRDefault="008B5EA1" w:rsidP="008B5EA1">
      <w:pPr>
        <w:jc w:val="both"/>
        <w:rPr>
          <w:rFonts w:ascii="Times New Roman" w:hAnsi="Times New Roman" w:cs="Times New Roman"/>
          <w:b/>
        </w:rPr>
      </w:pPr>
    </w:p>
    <w:p w14:paraId="2ED2B6EC" w14:textId="7777777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 xml:space="preserve">To comply with Opinion No. 03/2000, Member States must amend their national competition laws in a way that does not conflict with WAEMU competition law, and to curtail the scope of activity of national competition authorities in accordance with the </w:t>
      </w:r>
      <w:proofErr w:type="spellStart"/>
      <w:r w:rsidRPr="00C91EA2">
        <w:rPr>
          <w:rFonts w:ascii="Times New Roman" w:hAnsi="Times New Roman" w:cs="Times New Roman"/>
          <w:b/>
        </w:rPr>
        <w:t>centralised</w:t>
      </w:r>
      <w:proofErr w:type="spellEnd"/>
      <w:r w:rsidRPr="00C91EA2">
        <w:rPr>
          <w:rFonts w:ascii="Times New Roman" w:hAnsi="Times New Roman" w:cs="Times New Roman"/>
          <w:b/>
        </w:rPr>
        <w:t xml:space="preserve"> model defined by the Court of Justice.</w:t>
      </w:r>
      <w:r w:rsidRPr="00C91EA2">
        <w:rPr>
          <w:rStyle w:val="FootnoteReference"/>
          <w:rFonts w:ascii="Times New Roman" w:hAnsi="Times New Roman" w:cs="Times New Roman"/>
          <w:b/>
        </w:rPr>
        <w:footnoteReference w:id="418"/>
      </w:r>
      <w:r w:rsidRPr="00C91EA2">
        <w:rPr>
          <w:rStyle w:val="FootnoteReference"/>
          <w:rFonts w:ascii="Times New Roman" w:hAnsi="Times New Roman" w:cs="Times New Roman"/>
          <w:b/>
        </w:rPr>
        <w:t xml:space="preserve"> </w:t>
      </w:r>
      <w:r w:rsidRPr="00C91EA2">
        <w:rPr>
          <w:rFonts w:ascii="Times New Roman" w:hAnsi="Times New Roman" w:cs="Times New Roman"/>
        </w:rPr>
        <w:t>Following the issuing of Opinion No. 03/2000, Directive n° 2/2002/CM/UEMOA clearly established that Member States must conform their national laws to WAEMU’s law</w:t>
      </w:r>
      <w:r w:rsidRPr="00C91EA2">
        <w:rPr>
          <w:rStyle w:val="FootnoteReference"/>
          <w:rFonts w:ascii="Times New Roman" w:hAnsi="Times New Roman" w:cs="Times New Roman"/>
        </w:rPr>
        <w:footnoteReference w:id="419"/>
      </w:r>
      <w:r w:rsidRPr="00C91EA2">
        <w:rPr>
          <w:rFonts w:ascii="Times New Roman" w:hAnsi="Times New Roman" w:cs="Times New Roman"/>
        </w:rPr>
        <w:t xml:space="preserve"> and adapt their national competition structures to the missions and competences set forth in the Directive.</w:t>
      </w:r>
      <w:r w:rsidRPr="00C91EA2">
        <w:rPr>
          <w:rStyle w:val="FootnoteReference"/>
          <w:rFonts w:ascii="Times New Roman" w:hAnsi="Times New Roman" w:cs="Times New Roman"/>
        </w:rPr>
        <w:footnoteReference w:id="420"/>
      </w:r>
      <w:r w:rsidRPr="00C91EA2">
        <w:rPr>
          <w:rFonts w:ascii="Times New Roman" w:hAnsi="Times New Roman" w:cs="Times New Roman"/>
        </w:rPr>
        <w:t xml:space="preserve"> Directive n° 2/2002/CM/UEMOA prevails over national law in case of conflict</w:t>
      </w:r>
      <w:r w:rsidRPr="00C91EA2">
        <w:rPr>
          <w:rStyle w:val="FootnoteReference"/>
          <w:rFonts w:ascii="Times New Roman" w:hAnsi="Times New Roman" w:cs="Times New Roman"/>
        </w:rPr>
        <w:footnoteReference w:id="421"/>
      </w:r>
      <w:r w:rsidRPr="00C91EA2">
        <w:rPr>
          <w:rFonts w:ascii="Times New Roman" w:hAnsi="Times New Roman" w:cs="Times New Roman"/>
        </w:rPr>
        <w:t xml:space="preserve"> and can be directly invoked by individuals before national courts.</w:t>
      </w:r>
      <w:r w:rsidRPr="00C91EA2">
        <w:rPr>
          <w:rStyle w:val="FootnoteReference"/>
          <w:rFonts w:ascii="Times New Roman" w:hAnsi="Times New Roman" w:cs="Times New Roman"/>
        </w:rPr>
        <w:footnoteReference w:id="422"/>
      </w:r>
      <w:r w:rsidRPr="00C91EA2">
        <w:rPr>
          <w:rFonts w:ascii="Times New Roman" w:hAnsi="Times New Roman" w:cs="Times New Roman"/>
        </w:rPr>
        <w:t xml:space="preserve"> </w:t>
      </w:r>
    </w:p>
    <w:p w14:paraId="64C0386D" w14:textId="77777777" w:rsidR="008B5EA1" w:rsidRPr="00C91EA2" w:rsidRDefault="008B5EA1" w:rsidP="008B5EA1">
      <w:pPr>
        <w:jc w:val="both"/>
        <w:rPr>
          <w:rFonts w:ascii="Times New Roman" w:hAnsi="Times New Roman" w:cs="Times New Roman"/>
        </w:rPr>
      </w:pPr>
    </w:p>
    <w:p w14:paraId="3D418C62" w14:textId="3E532F6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National Competition Authorities (NCAs) have tried to circumvent the current division of competences by exploring loopholes in the Court of Justice’s Opinion.</w:t>
      </w:r>
      <w:r w:rsidRPr="00C91EA2">
        <w:rPr>
          <w:rFonts w:ascii="Times New Roman" w:hAnsi="Times New Roman" w:cs="Times New Roman"/>
        </w:rPr>
        <w:t xml:space="preserve"> For instance, the </w:t>
      </w:r>
      <w:r w:rsidR="00126E75">
        <w:rPr>
          <w:rFonts w:ascii="Times New Roman" w:hAnsi="Times New Roman" w:cs="Times New Roman"/>
        </w:rPr>
        <w:t xml:space="preserve">reframing </w:t>
      </w:r>
      <w:r w:rsidRPr="00C91EA2">
        <w:rPr>
          <w:rFonts w:ascii="Times New Roman" w:hAnsi="Times New Roman" w:cs="Times New Roman"/>
        </w:rPr>
        <w:t xml:space="preserve">of facts as an abuse of economic dependence which pertains to the field of unfair competition law, allows national authorities to prosecute conduct that would otherwise fall into the category of abuse of dominance. Although legally incorrect, this forced tailoring of the facts under the umbrella of unfair competition </w:t>
      </w:r>
      <w:proofErr w:type="gramStart"/>
      <w:r w:rsidRPr="00C91EA2">
        <w:rPr>
          <w:rFonts w:ascii="Times New Roman" w:hAnsi="Times New Roman" w:cs="Times New Roman"/>
        </w:rPr>
        <w:t>actually enables</w:t>
      </w:r>
      <w:proofErr w:type="gramEnd"/>
      <w:r w:rsidRPr="00C91EA2">
        <w:rPr>
          <w:rFonts w:ascii="Times New Roman" w:hAnsi="Times New Roman" w:cs="Times New Roman"/>
        </w:rPr>
        <w:t xml:space="preserve"> Member States to challenge anticompetitive conduct that would otherwise remain unchallenged by the WAEMU Commission.</w:t>
      </w:r>
      <w:r w:rsidRPr="00C91EA2">
        <w:rPr>
          <w:rStyle w:val="FootnoteReference"/>
          <w:rFonts w:ascii="Times New Roman" w:hAnsi="Times New Roman" w:cs="Times New Roman"/>
        </w:rPr>
        <w:footnoteReference w:id="423"/>
      </w:r>
    </w:p>
    <w:p w14:paraId="16B35CD4" w14:textId="77777777" w:rsidR="008B5EA1" w:rsidRPr="00C91EA2" w:rsidRDefault="008B5EA1" w:rsidP="008B5EA1">
      <w:pPr>
        <w:jc w:val="both"/>
        <w:rPr>
          <w:rFonts w:ascii="Times New Roman" w:hAnsi="Times New Roman" w:cs="Times New Roman"/>
        </w:rPr>
      </w:pPr>
    </w:p>
    <w:p w14:paraId="79FCE098" w14:textId="12ABD0D7" w:rsidR="008B5EA1" w:rsidRPr="00C91EA2" w:rsidRDefault="008B5EA1" w:rsidP="008B5EA1">
      <w:pPr>
        <w:jc w:val="both"/>
        <w:rPr>
          <w:rFonts w:ascii="Times New Roman" w:hAnsi="Times New Roman" w:cs="Times New Roman"/>
        </w:rPr>
      </w:pPr>
      <w:r w:rsidRPr="00C91EA2">
        <w:rPr>
          <w:rFonts w:ascii="Times New Roman" w:hAnsi="Times New Roman" w:cs="Times New Roman"/>
          <w:b/>
        </w:rPr>
        <w:t xml:space="preserve">The reforms </w:t>
      </w:r>
      <w:r w:rsidR="009E02DD">
        <w:rPr>
          <w:rFonts w:ascii="Times New Roman" w:hAnsi="Times New Roman" w:cs="Times New Roman"/>
          <w:b/>
        </w:rPr>
        <w:t>of</w:t>
      </w:r>
      <w:r w:rsidR="009E02DD" w:rsidRPr="00C91EA2">
        <w:rPr>
          <w:rFonts w:ascii="Times New Roman" w:hAnsi="Times New Roman" w:cs="Times New Roman"/>
          <w:b/>
        </w:rPr>
        <w:t xml:space="preserve"> </w:t>
      </w:r>
      <w:r w:rsidRPr="00C91EA2">
        <w:rPr>
          <w:rFonts w:ascii="Times New Roman" w:hAnsi="Times New Roman" w:cs="Times New Roman"/>
          <w:b/>
        </w:rPr>
        <w:t>national laws should have been completed within 6 months after the entry into force of the Directive (1 January 2003), even though this obligation has not been enforced against Senegal.</w:t>
      </w:r>
      <w:r w:rsidRPr="00C91EA2">
        <w:rPr>
          <w:rStyle w:val="FootnoteReference"/>
          <w:rFonts w:ascii="Times New Roman" w:hAnsi="Times New Roman" w:cs="Times New Roman"/>
          <w:b/>
        </w:rPr>
        <w:footnoteReference w:id="424"/>
      </w:r>
      <w:r w:rsidRPr="00C91EA2">
        <w:rPr>
          <w:rFonts w:ascii="Times New Roman" w:hAnsi="Times New Roman" w:cs="Times New Roman"/>
        </w:rPr>
        <w:t xml:space="preserve"> Notwithstanding the Court of Justice’s Opinion No. 03/2000, Senegal has not actually revoked its Act No. 94-63 of 22 August 1994 on prices, competition and economic disputes (‘Competition Act’). During the drafting of WAEMU’s secondary legislation, the Senegalese Competition Commission drafted an opinion arguing against the </w:t>
      </w:r>
      <w:proofErr w:type="spellStart"/>
      <w:r w:rsidRPr="00C91EA2">
        <w:rPr>
          <w:rFonts w:ascii="Times New Roman" w:hAnsi="Times New Roman" w:cs="Times New Roman"/>
        </w:rPr>
        <w:t>centralised</w:t>
      </w:r>
      <w:proofErr w:type="spellEnd"/>
      <w:r w:rsidRPr="00C91EA2">
        <w:rPr>
          <w:rFonts w:ascii="Times New Roman" w:hAnsi="Times New Roman" w:cs="Times New Roman"/>
        </w:rPr>
        <w:t xml:space="preserve"> approach defended by the Court of Justice.</w:t>
      </w:r>
      <w:r w:rsidRPr="00C91EA2">
        <w:rPr>
          <w:rStyle w:val="FootnoteReference"/>
          <w:rFonts w:ascii="Times New Roman" w:hAnsi="Times New Roman" w:cs="Times New Roman"/>
        </w:rPr>
        <w:footnoteReference w:id="425"/>
      </w:r>
      <w:r w:rsidRPr="00C91EA2">
        <w:rPr>
          <w:rFonts w:ascii="Times New Roman" w:hAnsi="Times New Roman" w:cs="Times New Roman"/>
        </w:rPr>
        <w:t xml:space="preserve"> This rejection of a </w:t>
      </w:r>
      <w:proofErr w:type="spellStart"/>
      <w:r w:rsidRPr="00C91EA2">
        <w:rPr>
          <w:rFonts w:ascii="Times New Roman" w:hAnsi="Times New Roman" w:cs="Times New Roman"/>
        </w:rPr>
        <w:t>centralised</w:t>
      </w:r>
      <w:proofErr w:type="spellEnd"/>
      <w:r w:rsidRPr="00C91EA2">
        <w:rPr>
          <w:rFonts w:ascii="Times New Roman" w:hAnsi="Times New Roman" w:cs="Times New Roman"/>
        </w:rPr>
        <w:t xml:space="preserve"> approach has not softened since. In fact, the Competition Commission put forward a strategic plan for the period of 2014-2017 seeking to revamp and </w:t>
      </w:r>
      <w:proofErr w:type="spellStart"/>
      <w:r w:rsidRPr="00C91EA2">
        <w:rPr>
          <w:rFonts w:ascii="Times New Roman" w:hAnsi="Times New Roman" w:cs="Times New Roman"/>
        </w:rPr>
        <w:t>modernise</w:t>
      </w:r>
      <w:proofErr w:type="spellEnd"/>
      <w:r w:rsidRPr="00C91EA2">
        <w:rPr>
          <w:rFonts w:ascii="Times New Roman" w:hAnsi="Times New Roman" w:cs="Times New Roman"/>
        </w:rPr>
        <w:t xml:space="preserve"> its competition law and competition authority, to disseminate a competition culture in Senegal and to effectively enforce the competition rules for the benefit of consumers, businesses and the economy.</w:t>
      </w:r>
      <w:r w:rsidRPr="00C91EA2">
        <w:rPr>
          <w:rStyle w:val="FootnoteReference"/>
          <w:rFonts w:ascii="Times New Roman" w:hAnsi="Times New Roman" w:cs="Times New Roman"/>
        </w:rPr>
        <w:footnoteReference w:id="426"/>
      </w:r>
      <w:r w:rsidRPr="00C91EA2">
        <w:rPr>
          <w:rFonts w:ascii="Times New Roman" w:hAnsi="Times New Roman" w:cs="Times New Roman"/>
        </w:rPr>
        <w:t xml:space="preserve"> In this context, a draft law was prepared, which </w:t>
      </w:r>
      <w:r w:rsidRPr="00C91EA2">
        <w:rPr>
          <w:rFonts w:ascii="Times New Roman" w:hAnsi="Times New Roman" w:cs="Times New Roman"/>
          <w:i/>
        </w:rPr>
        <w:t>“aims to incorporate merger provisions and includes, inter alia, deterrent sanctions, more investigative powers, fair trials and better protection of undertakings’ rights during investigations and dawn raids. The bill also provides for a transformation of the Competition Commission to a Competition Authority, which would have more resources and the possibility to cooperate and exchange information with national, regional and international competition agencies.”</w:t>
      </w:r>
      <w:r w:rsidRPr="00C91EA2">
        <w:rPr>
          <w:rStyle w:val="FootnoteReference"/>
          <w:rFonts w:ascii="Times New Roman" w:hAnsi="Times New Roman" w:cs="Times New Roman"/>
        </w:rPr>
        <w:t xml:space="preserve"> </w:t>
      </w:r>
      <w:r w:rsidRPr="00C91EA2">
        <w:rPr>
          <w:rStyle w:val="FootnoteReference"/>
          <w:rFonts w:ascii="Times New Roman" w:hAnsi="Times New Roman" w:cs="Times New Roman"/>
        </w:rPr>
        <w:footnoteReference w:id="427"/>
      </w:r>
      <w:r w:rsidRPr="00C91EA2">
        <w:rPr>
          <w:rFonts w:ascii="Times New Roman" w:hAnsi="Times New Roman" w:cs="Times New Roman"/>
        </w:rPr>
        <w:t xml:space="preserve"> However, and despite its ambitious goals, the bill was never adopted.</w:t>
      </w:r>
    </w:p>
    <w:p w14:paraId="75410E2B" w14:textId="77777777" w:rsidR="008B5EA1" w:rsidRPr="00C91EA2" w:rsidRDefault="008B5EA1" w:rsidP="008B5EA1">
      <w:pPr>
        <w:jc w:val="both"/>
        <w:rPr>
          <w:rFonts w:ascii="Times New Roman" w:hAnsi="Times New Roman" w:cs="Times New Roman"/>
        </w:rPr>
      </w:pPr>
    </w:p>
    <w:p w14:paraId="5BC977A3" w14:textId="77777777" w:rsidR="0052267A" w:rsidRPr="00C91EA2" w:rsidRDefault="0052267A" w:rsidP="00EF29CA">
      <w:pPr>
        <w:jc w:val="both"/>
        <w:rPr>
          <w:rFonts w:ascii="Times New Roman" w:hAnsi="Times New Roman" w:cs="Times New Roman"/>
        </w:rPr>
      </w:pPr>
    </w:p>
    <w:sectPr w:rsidR="0052267A" w:rsidRPr="00C91EA2" w:rsidSect="00B41724">
      <w:pgSz w:w="12240" w:h="15840" w:code="1"/>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86148" w14:textId="77777777" w:rsidR="0024107A" w:rsidRDefault="0024107A" w:rsidP="00681191">
      <w:r>
        <w:separator/>
      </w:r>
    </w:p>
  </w:endnote>
  <w:endnote w:type="continuationSeparator" w:id="0">
    <w:p w14:paraId="7E8AACB4" w14:textId="77777777" w:rsidR="0024107A" w:rsidRDefault="0024107A" w:rsidP="00681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altName w:val="Sylfae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nion-Regular">
    <w:altName w:val="Yu Gothic"/>
    <w:panose1 w:val="00000000000000000000"/>
    <w:charset w:val="80"/>
    <w:family w:val="auto"/>
    <w:notTrueType/>
    <w:pitch w:val="default"/>
    <w:sig w:usb0="00000003" w:usb1="08070000" w:usb2="00000010" w:usb3="00000000" w:csb0="00020001" w:csb1="00000000"/>
  </w:font>
  <w:font w:name="Minion-Italic">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4A52" w14:textId="77777777" w:rsidR="00B42297" w:rsidRDefault="00B42297" w:rsidP="002E22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0225DA" w14:textId="77777777" w:rsidR="00B42297" w:rsidRDefault="00B42297" w:rsidP="00711D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A9224" w14:textId="520F2EEF" w:rsidR="00B42297" w:rsidRDefault="00B42297" w:rsidP="002E22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xxix</w:t>
    </w:r>
    <w:r>
      <w:rPr>
        <w:rStyle w:val="PageNumber"/>
      </w:rPr>
      <w:fldChar w:fldCharType="end"/>
    </w:r>
  </w:p>
  <w:p w14:paraId="71C540D2" w14:textId="77777777" w:rsidR="00B42297" w:rsidRDefault="00B42297" w:rsidP="00711D1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0A058" w14:textId="77777777" w:rsidR="00B42297" w:rsidRDefault="00B42297" w:rsidP="006067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w:t>
    </w:r>
    <w:r>
      <w:rPr>
        <w:rStyle w:val="PageNumber"/>
      </w:rPr>
      <w:fldChar w:fldCharType="end"/>
    </w:r>
  </w:p>
  <w:p w14:paraId="69842A08" w14:textId="77777777" w:rsidR="00B42297" w:rsidRDefault="00B42297" w:rsidP="0058715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B7113" w14:textId="73A7EB52" w:rsidR="00B42297" w:rsidRDefault="00B42297" w:rsidP="006067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EDB540" w14:textId="77777777" w:rsidR="00B42297" w:rsidRDefault="00B42297" w:rsidP="005871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42DF7" w14:textId="77777777" w:rsidR="0024107A" w:rsidRDefault="0024107A" w:rsidP="00681191">
      <w:r>
        <w:separator/>
      </w:r>
    </w:p>
  </w:footnote>
  <w:footnote w:type="continuationSeparator" w:id="0">
    <w:p w14:paraId="44AD220A" w14:textId="77777777" w:rsidR="0024107A" w:rsidRDefault="0024107A" w:rsidP="00681191">
      <w:r>
        <w:continuationSeparator/>
      </w:r>
    </w:p>
  </w:footnote>
  <w:footnote w:id="1">
    <w:p w14:paraId="797C8DEC" w14:textId="77777777" w:rsidR="00B42297" w:rsidRPr="002B62DC" w:rsidRDefault="00B42297" w:rsidP="00B10030">
      <w:pPr>
        <w:pStyle w:val="FootnoteText"/>
        <w:rPr>
          <w:rFonts w:ascii="Times New Roman" w:hAnsi="Times New Roman" w:cs="Times New Roman"/>
          <w:sz w:val="20"/>
          <w:szCs w:val="20"/>
        </w:rPr>
      </w:pPr>
      <w:r w:rsidRPr="002B62DC">
        <w:rPr>
          <w:rStyle w:val="FootnoteReference"/>
          <w:rFonts w:ascii="Times New Roman" w:hAnsi="Times New Roman" w:cs="Times New Roman"/>
          <w:sz w:val="20"/>
          <w:szCs w:val="20"/>
        </w:rPr>
        <w:footnoteRef/>
      </w:r>
      <w:r w:rsidRPr="002B62DC">
        <w:rPr>
          <w:rFonts w:ascii="Times New Roman" w:hAnsi="Times New Roman" w:cs="Times New Roman"/>
          <w:sz w:val="20"/>
          <w:szCs w:val="20"/>
        </w:rPr>
        <w:t xml:space="preserve"> These numbers refer to the new, rebased GDP series that were published recently, covering 2014-2016, and including 2017 estimates. </w:t>
      </w:r>
    </w:p>
  </w:footnote>
  <w:footnote w:id="2">
    <w:p w14:paraId="0524C944" w14:textId="77777777" w:rsidR="00B42297" w:rsidRPr="00B95753" w:rsidRDefault="00B42297" w:rsidP="002D1818">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IDA Program Document –Concept Stage for a Proposed Credit to Senegal, Multi-Sector Structural Reforms DPO, July 2016. http://documents.worldbank.org/curated/en/813071472550399966/pdf/AB7863-PGID-P159023-Concept-Box396304B-PUBLIC-Disclosed-8-29-2016.pdf</w:t>
      </w:r>
    </w:p>
  </w:footnote>
  <w:footnote w:id="3">
    <w:p w14:paraId="6F49DFE3" w14:textId="77777777" w:rsidR="00B42297" w:rsidRPr="00B95753" w:rsidRDefault="00B42297" w:rsidP="002D1818">
      <w:pPr>
        <w:widowControl w:val="0"/>
        <w:autoSpaceDE w:val="0"/>
        <w:autoSpaceDN w:val="0"/>
        <w:adjustRightInd w:val="0"/>
        <w:jc w:val="both"/>
        <w:rPr>
          <w:rFonts w:ascii="Times New Roman" w:hAnsi="Times New Roman" w:cs="Times New Roman"/>
          <w:sz w:val="20"/>
          <w:szCs w:val="20"/>
          <w:lang w:val="en-GB"/>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hAnsi="Times New Roman" w:cs="Times New Roman"/>
          <w:color w:val="000000"/>
          <w:sz w:val="20"/>
          <w:szCs w:val="20"/>
          <w:lang w:val="en-GB"/>
        </w:rPr>
        <w:t xml:space="preserve">The Growth Diagnostics approach was developed at Harvard University by Ricardo Haussmann, Dani Rodrik, and </w:t>
      </w:r>
      <w:proofErr w:type="spellStart"/>
      <w:r w:rsidRPr="00B95753">
        <w:rPr>
          <w:rFonts w:ascii="Times New Roman" w:hAnsi="Times New Roman" w:cs="Times New Roman"/>
          <w:color w:val="000000"/>
          <w:sz w:val="20"/>
          <w:szCs w:val="20"/>
          <w:lang w:val="en-GB"/>
        </w:rPr>
        <w:t>Andrès</w:t>
      </w:r>
      <w:proofErr w:type="spellEnd"/>
      <w:r w:rsidRPr="00B95753">
        <w:rPr>
          <w:rFonts w:ascii="Times New Roman" w:hAnsi="Times New Roman" w:cs="Times New Roman"/>
          <w:color w:val="000000"/>
          <w:sz w:val="20"/>
          <w:szCs w:val="20"/>
          <w:lang w:val="en-GB"/>
        </w:rPr>
        <w:t xml:space="preserve"> Velasco and aims at identifying the binding constraint to private investment and entrepreneurship in an economy. The methodology allows countries to prioritize development activities among many competing needs.</w:t>
      </w:r>
    </w:p>
  </w:footnote>
  <w:footnote w:id="4">
    <w:p w14:paraId="001EEB6C" w14:textId="77777777" w:rsidR="00B42297" w:rsidRPr="00B95753" w:rsidRDefault="00B42297" w:rsidP="002D1818">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Millennium Challenge Corporation. 2017. </w:t>
      </w:r>
      <w:r w:rsidRPr="00B95753">
        <w:rPr>
          <w:rFonts w:ascii="Times New Roman" w:hAnsi="Times New Roman" w:cs="Times New Roman"/>
          <w:i/>
          <w:sz w:val="20"/>
          <w:szCs w:val="20"/>
        </w:rPr>
        <w:t>Senegal Constraints Analysis Report</w:t>
      </w:r>
    </w:p>
  </w:footnote>
  <w:footnote w:id="5">
    <w:p w14:paraId="3D3A4DB3" w14:textId="77777777" w:rsidR="00B42297" w:rsidRPr="00B95753" w:rsidRDefault="00B42297" w:rsidP="002D1818">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IMF. 2017. </w:t>
      </w:r>
      <w:r w:rsidRPr="00B95753">
        <w:rPr>
          <w:rFonts w:ascii="Times New Roman" w:hAnsi="Times New Roman" w:cs="Times New Roman"/>
          <w:i/>
          <w:sz w:val="20"/>
          <w:szCs w:val="20"/>
        </w:rPr>
        <w:t>Article IV Review</w:t>
      </w:r>
      <w:r w:rsidRPr="00B95753">
        <w:rPr>
          <w:rFonts w:ascii="Times New Roman" w:hAnsi="Times New Roman" w:cs="Times New Roman"/>
          <w:sz w:val="20"/>
          <w:szCs w:val="20"/>
        </w:rPr>
        <w:t>, Executive Summary</w:t>
      </w:r>
      <w:r>
        <w:rPr>
          <w:rFonts w:ascii="Times New Roman" w:hAnsi="Times New Roman" w:cs="Times New Roman"/>
          <w:sz w:val="20"/>
          <w:szCs w:val="20"/>
        </w:rPr>
        <w:t>.</w:t>
      </w:r>
    </w:p>
  </w:footnote>
  <w:footnote w:id="6">
    <w:p w14:paraId="086A3FE0" w14:textId="77777777" w:rsidR="00B42297" w:rsidRPr="00B95753" w:rsidRDefault="00B42297" w:rsidP="00A350A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eastAsia="Times New Roman" w:hAnsi="Times New Roman" w:cs="Times New Roman"/>
          <w:sz w:val="20"/>
          <w:szCs w:val="20"/>
          <w:lang w:val="en"/>
        </w:rPr>
        <w:t xml:space="preserve">Motta, M. 2004. </w:t>
      </w:r>
      <w:r w:rsidRPr="00B95753">
        <w:rPr>
          <w:rFonts w:ascii="Times New Roman" w:eastAsia="Times New Roman" w:hAnsi="Times New Roman" w:cs="Times New Roman"/>
          <w:i/>
          <w:sz w:val="20"/>
          <w:szCs w:val="20"/>
          <w:lang w:val="en"/>
        </w:rPr>
        <w:t>Competition Policy</w:t>
      </w:r>
      <w:r w:rsidRPr="00B95753">
        <w:rPr>
          <w:rFonts w:ascii="Times New Roman" w:eastAsia="Times New Roman" w:hAnsi="Times New Roman" w:cs="Times New Roman"/>
          <w:sz w:val="20"/>
          <w:szCs w:val="20"/>
          <w:lang w:val="en"/>
        </w:rPr>
        <w:t>. Cambridge Books, Cambridge University Press</w:t>
      </w:r>
      <w:r w:rsidRPr="00B95753">
        <w:rPr>
          <w:rFonts w:ascii="Times New Roman" w:hAnsi="Times New Roman" w:cs="Times New Roman"/>
          <w:sz w:val="20"/>
          <w:szCs w:val="20"/>
          <w:lang w:val="en"/>
        </w:rPr>
        <w:t>.</w:t>
      </w:r>
    </w:p>
  </w:footnote>
  <w:footnote w:id="7">
    <w:p w14:paraId="057F3BB9" w14:textId="51E5D585" w:rsidR="00B42297" w:rsidRPr="00B95753" w:rsidRDefault="00B42297" w:rsidP="00387F56">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Throughout the </w:t>
      </w:r>
      <w:r w:rsidR="00EF6D96">
        <w:rPr>
          <w:rFonts w:ascii="Times New Roman" w:hAnsi="Times New Roman" w:cs="Times New Roman"/>
          <w:sz w:val="20"/>
          <w:szCs w:val="20"/>
        </w:rPr>
        <w:t>report</w:t>
      </w:r>
      <w:r w:rsidRPr="00B95753">
        <w:rPr>
          <w:rFonts w:ascii="Times New Roman" w:hAnsi="Times New Roman" w:cs="Times New Roman"/>
          <w:sz w:val="20"/>
          <w:szCs w:val="20"/>
        </w:rPr>
        <w:t>, graphs will compare Senegal to non-OECD countries from Latin America and the Caribbean, and – where</w:t>
      </w:r>
      <w:r>
        <w:rPr>
          <w:rFonts w:ascii="Times New Roman" w:hAnsi="Times New Roman" w:cs="Times New Roman"/>
          <w:sz w:val="20"/>
          <w:szCs w:val="20"/>
        </w:rPr>
        <w:t xml:space="preserve"> PMR data is</w:t>
      </w:r>
      <w:r w:rsidRPr="00B95753">
        <w:rPr>
          <w:rFonts w:ascii="Times New Roman" w:hAnsi="Times New Roman" w:cs="Times New Roman"/>
          <w:sz w:val="20"/>
          <w:szCs w:val="20"/>
        </w:rPr>
        <w:t xml:space="preserve"> available –</w:t>
      </w:r>
      <w:r>
        <w:rPr>
          <w:rFonts w:ascii="Times New Roman" w:hAnsi="Times New Roman" w:cs="Times New Roman"/>
          <w:sz w:val="20"/>
          <w:szCs w:val="20"/>
        </w:rPr>
        <w:t xml:space="preserve">Eastern Europe, </w:t>
      </w:r>
      <w:r w:rsidRPr="00B95753">
        <w:rPr>
          <w:rFonts w:ascii="Times New Roman" w:hAnsi="Times New Roman" w:cs="Times New Roman"/>
          <w:sz w:val="20"/>
          <w:szCs w:val="20"/>
        </w:rPr>
        <w:t>East Asia and the Pacific, the Middle East and North Africa and Sub-Saharan Africa. The only OECD countries included in the sample are Mexico</w:t>
      </w:r>
      <w:r>
        <w:rPr>
          <w:rFonts w:ascii="Times New Roman" w:hAnsi="Times New Roman" w:cs="Times New Roman"/>
          <w:sz w:val="20"/>
          <w:szCs w:val="20"/>
        </w:rPr>
        <w:t>,</w:t>
      </w:r>
      <w:r w:rsidRPr="00B95753">
        <w:rPr>
          <w:rFonts w:ascii="Times New Roman" w:hAnsi="Times New Roman" w:cs="Times New Roman"/>
          <w:sz w:val="20"/>
          <w:szCs w:val="20"/>
        </w:rPr>
        <w:t xml:space="preserve"> Chile</w:t>
      </w:r>
      <w:r>
        <w:rPr>
          <w:rFonts w:ascii="Times New Roman" w:hAnsi="Times New Roman" w:cs="Times New Roman"/>
          <w:sz w:val="20"/>
          <w:szCs w:val="20"/>
        </w:rPr>
        <w:t xml:space="preserve"> and Turkey</w:t>
      </w:r>
      <w:r w:rsidRPr="00B95753">
        <w:rPr>
          <w:rFonts w:ascii="Times New Roman" w:hAnsi="Times New Roman" w:cs="Times New Roman"/>
          <w:sz w:val="20"/>
          <w:szCs w:val="20"/>
        </w:rPr>
        <w:t xml:space="preserve">. To allow for a comparison to OECD countries nonetheless, the average </w:t>
      </w:r>
      <w:r>
        <w:rPr>
          <w:rFonts w:ascii="Times New Roman" w:hAnsi="Times New Roman" w:cs="Times New Roman"/>
          <w:sz w:val="20"/>
          <w:szCs w:val="20"/>
        </w:rPr>
        <w:t xml:space="preserve">performance of OECD countries and the average of the top 5 performers among all countries, including OECD, </w:t>
      </w:r>
      <w:r w:rsidRPr="00B95753">
        <w:rPr>
          <w:rFonts w:ascii="Times New Roman" w:hAnsi="Times New Roman" w:cs="Times New Roman"/>
          <w:sz w:val="20"/>
          <w:szCs w:val="20"/>
        </w:rPr>
        <w:t xml:space="preserve">will be included as well. The list of comparator countries </w:t>
      </w:r>
      <w:r w:rsidR="00EF6D96">
        <w:rPr>
          <w:rFonts w:ascii="Times New Roman" w:hAnsi="Times New Roman" w:cs="Times New Roman"/>
          <w:sz w:val="20"/>
          <w:szCs w:val="20"/>
        </w:rPr>
        <w:t>includes</w:t>
      </w:r>
      <w:r w:rsidRPr="00B95753">
        <w:rPr>
          <w:rFonts w:ascii="Times New Roman" w:hAnsi="Times New Roman" w:cs="Times New Roman"/>
          <w:sz w:val="20"/>
          <w:szCs w:val="20"/>
        </w:rPr>
        <w:t xml:space="preserve">: Argentina, </w:t>
      </w:r>
      <w:r>
        <w:rPr>
          <w:rFonts w:ascii="Times New Roman" w:hAnsi="Times New Roman" w:cs="Times New Roman"/>
          <w:sz w:val="20"/>
          <w:szCs w:val="20"/>
        </w:rPr>
        <w:t>Bolivia, Brazil, Chile, China, Colombia, Costa Rica</w:t>
      </w:r>
      <w:r w:rsidRPr="00B95753">
        <w:rPr>
          <w:rFonts w:ascii="Times New Roman" w:hAnsi="Times New Roman" w:cs="Times New Roman"/>
          <w:sz w:val="20"/>
          <w:szCs w:val="20"/>
        </w:rPr>
        <w:t>, Dominica</w:t>
      </w:r>
      <w:r>
        <w:rPr>
          <w:rFonts w:ascii="Times New Roman" w:hAnsi="Times New Roman" w:cs="Times New Roman"/>
          <w:sz w:val="20"/>
          <w:szCs w:val="20"/>
        </w:rPr>
        <w:t>n Republic, Egypt, El Salvador, Honduras, India, Jamaica, Kenya</w:t>
      </w:r>
      <w:r w:rsidRPr="00B95753">
        <w:rPr>
          <w:rFonts w:ascii="Times New Roman" w:hAnsi="Times New Roman" w:cs="Times New Roman"/>
          <w:sz w:val="20"/>
          <w:szCs w:val="20"/>
        </w:rPr>
        <w:t>, Mexico, Nicaragua,</w:t>
      </w:r>
      <w:r>
        <w:rPr>
          <w:rFonts w:ascii="Times New Roman" w:hAnsi="Times New Roman" w:cs="Times New Roman"/>
          <w:sz w:val="20"/>
          <w:szCs w:val="20"/>
        </w:rPr>
        <w:t xml:space="preserve"> Panama, Peru, the Philippines</w:t>
      </w:r>
      <w:r w:rsidRPr="00B95753">
        <w:rPr>
          <w:rFonts w:ascii="Times New Roman" w:hAnsi="Times New Roman" w:cs="Times New Roman"/>
          <w:sz w:val="20"/>
          <w:szCs w:val="20"/>
        </w:rPr>
        <w:t>, South Africa,</w:t>
      </w:r>
      <w:r>
        <w:rPr>
          <w:rFonts w:ascii="Times New Roman" w:hAnsi="Times New Roman" w:cs="Times New Roman"/>
          <w:sz w:val="20"/>
          <w:szCs w:val="20"/>
        </w:rPr>
        <w:t xml:space="preserve"> Tunisia,</w:t>
      </w:r>
      <w:r w:rsidRPr="00B95753">
        <w:rPr>
          <w:rFonts w:ascii="Times New Roman" w:hAnsi="Times New Roman" w:cs="Times New Roman"/>
          <w:sz w:val="20"/>
          <w:szCs w:val="20"/>
        </w:rPr>
        <w:t xml:space="preserve"> Turkey</w:t>
      </w:r>
      <w:r>
        <w:rPr>
          <w:rFonts w:ascii="Times New Roman" w:hAnsi="Times New Roman" w:cs="Times New Roman"/>
          <w:sz w:val="20"/>
          <w:szCs w:val="20"/>
        </w:rPr>
        <w:t>, and Ukraine.</w:t>
      </w:r>
    </w:p>
  </w:footnote>
  <w:footnote w:id="8">
    <w:p w14:paraId="7D22E379" w14:textId="77777777" w:rsidR="00B42297" w:rsidRDefault="00B42297" w:rsidP="00BB6B74">
      <w:pPr>
        <w:pStyle w:val="FootnoteText"/>
        <w:jc w:val="both"/>
      </w:pPr>
      <w:r w:rsidRPr="00BB6B74">
        <w:rPr>
          <w:rStyle w:val="FootnoteReference"/>
          <w:rFonts w:ascii="Times New Roman" w:hAnsi="Times New Roman" w:cs="Times New Roman"/>
          <w:sz w:val="20"/>
          <w:szCs w:val="20"/>
        </w:rPr>
        <w:footnoteRef/>
      </w:r>
      <w:r w:rsidRPr="00BB6B74">
        <w:rPr>
          <w:rFonts w:ascii="Times New Roman" w:hAnsi="Times New Roman" w:cs="Times New Roman"/>
          <w:sz w:val="20"/>
          <w:szCs w:val="20"/>
        </w:rPr>
        <w:t xml:space="preserve"> In network</w:t>
      </w:r>
      <w:r w:rsidRPr="006B11BD">
        <w:rPr>
          <w:rFonts w:ascii="Times New Roman" w:hAnsi="Times New Roman" w:cs="Times New Roman"/>
          <w:sz w:val="20"/>
          <w:szCs w:val="20"/>
        </w:rPr>
        <w:t xml:space="preserve"> industries where there are market segments having natural monopoly characteristics, the sectoral regulators typically adopt regulations of tariffs to ensure non-discriminatory access to infrastructure networks for all operators. As described, this type of economic regulation has a different purpose than the regulation of final prices to consumers.</w:t>
      </w:r>
    </w:p>
  </w:footnote>
  <w:footnote w:id="9">
    <w:p w14:paraId="3E7D8CCC" w14:textId="77777777" w:rsidR="00B42297" w:rsidRPr="00B95753" w:rsidRDefault="00B42297" w:rsidP="00282B07">
      <w:pPr>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These are: manufacturing, construction, energy, distribution, air transport, maritime transport, road transport, fixed telecommunications, mobile telecommunications, insurance, banking, hotels and restaurants, and accounting, legal, engineering, and architecture services</w:t>
      </w:r>
      <w:r>
        <w:rPr>
          <w:rFonts w:ascii="Times New Roman" w:hAnsi="Times New Roman" w:cs="Times New Roman"/>
          <w:sz w:val="20"/>
          <w:szCs w:val="20"/>
        </w:rPr>
        <w:t xml:space="preserve">. </w:t>
      </w:r>
    </w:p>
  </w:footnote>
  <w:footnote w:id="10">
    <w:p w14:paraId="718F410D" w14:textId="2471CFF2" w:rsidR="00B42297" w:rsidRPr="00A933E4" w:rsidRDefault="00B42297" w:rsidP="00282B07">
      <w:pPr>
        <w:pStyle w:val="FootnoteText"/>
        <w:jc w:val="both"/>
        <w:rPr>
          <w:rFonts w:ascii="Times New Roman" w:hAnsi="Times New Roman" w:cs="Times New Roman"/>
        </w:rPr>
      </w:pPr>
      <w:r w:rsidRPr="00A933E4">
        <w:rPr>
          <w:rStyle w:val="FootnoteReference"/>
          <w:rFonts w:ascii="Times New Roman" w:hAnsi="Times New Roman" w:cs="Times New Roman"/>
          <w:sz w:val="20"/>
        </w:rPr>
        <w:footnoteRef/>
      </w:r>
      <w:r w:rsidRPr="00A933E4">
        <w:rPr>
          <w:rFonts w:ascii="Times New Roman" w:hAnsi="Times New Roman" w:cs="Times New Roman"/>
          <w:sz w:val="20"/>
        </w:rPr>
        <w:t xml:space="preserve"> </w:t>
      </w:r>
      <w:r>
        <w:rPr>
          <w:rFonts w:ascii="Times New Roman" w:hAnsi="Times New Roman" w:cs="Times New Roman"/>
          <w:sz w:val="20"/>
        </w:rPr>
        <w:t>This is a decrease equivalent to a two-quartile</w:t>
      </w:r>
      <w:r w:rsidRPr="00A933E4">
        <w:rPr>
          <w:rFonts w:ascii="Times New Roman" w:hAnsi="Times New Roman" w:cs="Times New Roman"/>
          <w:sz w:val="20"/>
        </w:rPr>
        <w:t xml:space="preserve"> reduction in PMR score</w:t>
      </w:r>
      <w:r>
        <w:rPr>
          <w:rFonts w:ascii="Times New Roman" w:hAnsi="Times New Roman" w:cs="Times New Roman"/>
          <w:sz w:val="20"/>
        </w:rPr>
        <w:t>.</w:t>
      </w:r>
      <w:r w:rsidRPr="00282B07">
        <w:rPr>
          <w:rFonts w:ascii="Times New Roman" w:hAnsi="Times New Roman" w:cs="Times New Roman"/>
          <w:sz w:val="20"/>
          <w:szCs w:val="20"/>
        </w:rPr>
        <w:t xml:space="preserve"> </w:t>
      </w:r>
      <w:r>
        <w:rPr>
          <w:rFonts w:ascii="Times New Roman" w:hAnsi="Times New Roman" w:cs="Times New Roman"/>
          <w:sz w:val="20"/>
          <w:szCs w:val="20"/>
        </w:rPr>
        <w:t>See Annex 2 for the simulation methodology.</w:t>
      </w:r>
    </w:p>
  </w:footnote>
  <w:footnote w:id="11">
    <w:p w14:paraId="137163E1" w14:textId="77777777" w:rsidR="00B42297" w:rsidRPr="007E2D44" w:rsidRDefault="00B42297">
      <w:pPr>
        <w:pStyle w:val="FootnoteText"/>
      </w:pPr>
      <w:r>
        <w:rPr>
          <w:rStyle w:val="FootnoteReference"/>
        </w:rPr>
        <w:footnoteRef/>
      </w:r>
      <w:r>
        <w:t xml:space="preserve"> </w:t>
      </w:r>
      <w:r w:rsidRPr="007575D7">
        <w:rPr>
          <w:rFonts w:ascii="Times New Roman" w:hAnsi="Times New Roman" w:cs="Times New Roman"/>
          <w:sz w:val="20"/>
          <w:szCs w:val="20"/>
        </w:rPr>
        <w:t>The Government of Senegal subsidizes oilseed producers when world prices are below producer prices.</w:t>
      </w:r>
      <w:r>
        <w:rPr>
          <w:rFonts w:ascii="Times New Roman" w:hAnsi="Times New Roman" w:cs="Times New Roman"/>
          <w:sz w:val="20"/>
          <w:szCs w:val="20"/>
        </w:rPr>
        <w:t xml:space="preserve"> Global dynamics of the groundnut industry present relatively low prices in groundnut oil and a downward prices trend in the last year. </w:t>
      </w:r>
      <w:r w:rsidRPr="007E2D44">
        <w:rPr>
          <w:rFonts w:ascii="Times New Roman" w:hAnsi="Times New Roman" w:cs="Times New Roman"/>
          <w:sz w:val="20"/>
          <w:szCs w:val="20"/>
        </w:rPr>
        <w:t xml:space="preserve">See “USDA Production, Supply and Distribution database” available at </w:t>
      </w:r>
      <w:hyperlink r:id="rId1" w:anchor="/app/home" w:history="1">
        <w:r w:rsidRPr="007E2D44">
          <w:rPr>
            <w:rStyle w:val="Hyperlink"/>
            <w:rFonts w:ascii="Times New Roman" w:hAnsi="Times New Roman" w:cs="Times New Roman"/>
            <w:sz w:val="20"/>
            <w:szCs w:val="20"/>
          </w:rPr>
          <w:t>https://apps.fas.usda.gov/psdonline/app/index.html#/app/home</w:t>
        </w:r>
      </w:hyperlink>
      <w:r w:rsidRPr="007E2D44">
        <w:rPr>
          <w:rFonts w:ascii="Times New Roman" w:hAnsi="Times New Roman" w:cs="Times New Roman"/>
          <w:sz w:val="20"/>
          <w:szCs w:val="20"/>
        </w:rPr>
        <w:t xml:space="preserve"> as </w:t>
      </w:r>
      <w:r w:rsidRPr="007575D7">
        <w:rPr>
          <w:rFonts w:ascii="Times New Roman" w:hAnsi="Times New Roman" w:cs="Times New Roman"/>
          <w:sz w:val="20"/>
          <w:szCs w:val="20"/>
        </w:rPr>
        <w:t>included</w:t>
      </w:r>
      <w:r w:rsidRPr="007E2D44">
        <w:rPr>
          <w:rFonts w:ascii="Times New Roman" w:hAnsi="Times New Roman" w:cs="Times New Roman"/>
          <w:sz w:val="20"/>
          <w:szCs w:val="20"/>
        </w:rPr>
        <w:t xml:space="preserve"> in </w:t>
      </w:r>
      <w:r>
        <w:rPr>
          <w:rFonts w:ascii="Times New Roman" w:hAnsi="Times New Roman" w:cs="Times New Roman"/>
          <w:sz w:val="20"/>
          <w:szCs w:val="20"/>
        </w:rPr>
        <w:t xml:space="preserve">World Bank, 2016. </w:t>
      </w:r>
      <w:r>
        <w:rPr>
          <w:rFonts w:ascii="Times New Roman" w:hAnsi="Times New Roman" w:cs="Times New Roman"/>
          <w:i/>
          <w:sz w:val="20"/>
          <w:szCs w:val="20"/>
        </w:rPr>
        <w:t>Competitiveness and comparative advantage of the groundnut value chain in Senegal.</w:t>
      </w:r>
    </w:p>
  </w:footnote>
  <w:footnote w:id="12">
    <w:p w14:paraId="00116870" w14:textId="3D433EC5" w:rsidR="00B42297" w:rsidRPr="00917891" w:rsidRDefault="00B42297" w:rsidP="002D1818">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Pr>
          <w:rFonts w:ascii="Times New Roman" w:hAnsi="Times New Roman" w:cs="Times New Roman"/>
          <w:sz w:val="20"/>
          <w:szCs w:val="20"/>
        </w:rPr>
        <w:t xml:space="preserve">Based on 2011 data. </w:t>
      </w:r>
      <w:r w:rsidRPr="00B95753">
        <w:rPr>
          <w:rFonts w:ascii="Times New Roman" w:hAnsi="Times New Roman" w:cs="Times New Roman"/>
          <w:sz w:val="20"/>
          <w:szCs w:val="20"/>
        </w:rPr>
        <w:t xml:space="preserve">The result is robust regardless of whether the poverty line calculated by the Senegalese bureau of statistics or the line calculated by the World Bank Group correcting for the settlement type classification </w:t>
      </w:r>
      <w:r w:rsidRPr="00917891">
        <w:rPr>
          <w:rFonts w:ascii="Times New Roman" w:hAnsi="Times New Roman" w:cs="Times New Roman"/>
          <w:sz w:val="20"/>
          <w:szCs w:val="20"/>
        </w:rPr>
        <w:t>is used</w:t>
      </w:r>
      <w:r>
        <w:rPr>
          <w:rFonts w:ascii="Times New Roman" w:hAnsi="Times New Roman" w:cs="Times New Roman"/>
          <w:sz w:val="20"/>
          <w:szCs w:val="20"/>
        </w:rPr>
        <w:t>.</w:t>
      </w:r>
    </w:p>
  </w:footnote>
  <w:footnote w:id="13">
    <w:p w14:paraId="36E03EEB" w14:textId="77777777" w:rsidR="00B42297" w:rsidRPr="007575D7" w:rsidRDefault="00B42297">
      <w:pPr>
        <w:pStyle w:val="FootnoteText"/>
        <w:rPr>
          <w:lang w:val="fr-FR"/>
        </w:rPr>
      </w:pPr>
      <w:r w:rsidRPr="00917891">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See</w:t>
      </w:r>
      <w:proofErr w:type="spellEnd"/>
      <w:r w:rsidRPr="007575D7">
        <w:rPr>
          <w:rFonts w:ascii="Times New Roman" w:hAnsi="Times New Roman" w:cs="Times New Roman"/>
          <w:sz w:val="20"/>
          <w:szCs w:val="20"/>
          <w:lang w:val="fr-FR"/>
        </w:rPr>
        <w:t xml:space="preserve"> Annex 4</w:t>
      </w:r>
      <w:r w:rsidRPr="007575D7">
        <w:rPr>
          <w:lang w:val="fr-FR"/>
        </w:rPr>
        <w:t>.</w:t>
      </w:r>
    </w:p>
  </w:footnote>
  <w:footnote w:id="14">
    <w:p w14:paraId="53DA99FC" w14:textId="77777777" w:rsidR="00B42297" w:rsidRPr="007575D7" w:rsidRDefault="00B42297" w:rsidP="00B45ABD">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Etude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10</w:t>
      </w:r>
    </w:p>
  </w:footnote>
  <w:footnote w:id="15">
    <w:p w14:paraId="04522D25" w14:textId="45492BA6" w:rsidR="00B42297" w:rsidRPr="00C538DB" w:rsidRDefault="00B42297" w:rsidP="007575D7">
      <w:pPr>
        <w:pStyle w:val="FootnoteText"/>
        <w:jc w:val="both"/>
        <w:rPr>
          <w:rFonts w:ascii="Times New Roman" w:hAnsi="Times New Roman" w:cs="Times New Roman"/>
          <w:sz w:val="20"/>
          <w:szCs w:val="20"/>
        </w:rPr>
      </w:pPr>
      <w:r w:rsidRPr="00C538DB">
        <w:rPr>
          <w:rStyle w:val="FootnoteReference"/>
          <w:rFonts w:ascii="Times New Roman" w:hAnsi="Times New Roman" w:cs="Times New Roman"/>
          <w:sz w:val="20"/>
          <w:szCs w:val="20"/>
        </w:rPr>
        <w:footnoteRef/>
      </w:r>
      <w:r w:rsidRPr="00C538DB">
        <w:rPr>
          <w:rFonts w:ascii="Times New Roman" w:hAnsi="Times New Roman" w:cs="Times New Roman"/>
          <w:sz w:val="20"/>
          <w:szCs w:val="20"/>
        </w:rPr>
        <w:t xml:space="preserve"> The </w:t>
      </w:r>
      <w:r>
        <w:rPr>
          <w:rFonts w:ascii="Times New Roman" w:hAnsi="Times New Roman" w:cs="Times New Roman"/>
          <w:sz w:val="20"/>
          <w:szCs w:val="20"/>
        </w:rPr>
        <w:t xml:space="preserve">Government </w:t>
      </w:r>
      <w:r w:rsidRPr="00C538DB">
        <w:rPr>
          <w:rFonts w:ascii="Times New Roman" w:hAnsi="Times New Roman" w:cs="Times New Roman"/>
          <w:sz w:val="20"/>
          <w:szCs w:val="20"/>
        </w:rPr>
        <w:t xml:space="preserve">is currently undergoing a review of the country’s strategy for the groundnut sector, which relies less on </w:t>
      </w:r>
      <w:r>
        <w:rPr>
          <w:rFonts w:ascii="Times New Roman" w:hAnsi="Times New Roman" w:cs="Times New Roman"/>
          <w:sz w:val="20"/>
          <w:szCs w:val="20"/>
        </w:rPr>
        <w:t xml:space="preserve">Government </w:t>
      </w:r>
      <w:r w:rsidRPr="00C538DB">
        <w:rPr>
          <w:rFonts w:ascii="Times New Roman" w:hAnsi="Times New Roman" w:cs="Times New Roman"/>
          <w:sz w:val="20"/>
          <w:szCs w:val="20"/>
        </w:rPr>
        <w:t>intervention and more on private sector participation. The present assessment is intended to contribute to this review.</w:t>
      </w:r>
    </w:p>
  </w:footnote>
  <w:footnote w:id="16">
    <w:p w14:paraId="5F9A9AB0" w14:textId="77777777" w:rsidR="00B42297" w:rsidRPr="00B95753" w:rsidRDefault="00B42297" w:rsidP="007575D7">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Only roughly 25% of seed is certified</w:t>
      </w:r>
      <w:r>
        <w:rPr>
          <w:rFonts w:ascii="Times New Roman" w:hAnsi="Times New Roman" w:cs="Times New Roman"/>
          <w:sz w:val="20"/>
          <w:szCs w:val="20"/>
        </w:rPr>
        <w:t>.</w:t>
      </w:r>
    </w:p>
  </w:footnote>
  <w:footnote w:id="17">
    <w:p w14:paraId="492D3F42" w14:textId="326E5204" w:rsidR="00B42297" w:rsidRPr="007575D7" w:rsidRDefault="00B42297" w:rsidP="007575D7">
      <w:pPr>
        <w:pStyle w:val="FootnoteText"/>
        <w:jc w:val="both"/>
        <w:rPr>
          <w:rFonts w:ascii="Times New Roman" w:hAnsi="Times New Roman" w:cs="Times New Roman"/>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w:t>
      </w:r>
      <w:r>
        <w:rPr>
          <w:rFonts w:ascii="Times New Roman" w:hAnsi="Times New Roman" w:cs="Times New Roman"/>
          <w:sz w:val="20"/>
          <w:szCs w:val="20"/>
        </w:rPr>
        <w:t xml:space="preserve">80 percent of Senegal, Ghana and Tanzania’s exports of snack-nuts go to the EU, “of which 20 percent is rejected due to aflatoxin (and sold in Eastern Europe (…))”. </w:t>
      </w:r>
      <w:r w:rsidRPr="006B61E6">
        <w:rPr>
          <w:rFonts w:ascii="Times New Roman" w:hAnsi="Times New Roman" w:cs="Times New Roman"/>
          <w:sz w:val="20"/>
          <w:szCs w:val="20"/>
        </w:rPr>
        <w:t xml:space="preserve">Senegal </w:t>
      </w:r>
      <w:r>
        <w:rPr>
          <w:rFonts w:ascii="Times New Roman" w:hAnsi="Times New Roman" w:cs="Times New Roman"/>
          <w:sz w:val="20"/>
          <w:szCs w:val="20"/>
        </w:rPr>
        <w:t xml:space="preserve">processing and export of snack-nuts to the EU </w:t>
      </w:r>
      <w:r w:rsidRPr="006B61E6">
        <w:rPr>
          <w:rFonts w:ascii="Times New Roman" w:hAnsi="Times New Roman" w:cs="Times New Roman"/>
          <w:sz w:val="20"/>
          <w:szCs w:val="20"/>
        </w:rPr>
        <w:t>has a</w:t>
      </w:r>
      <w:r>
        <w:rPr>
          <w:rFonts w:ascii="Times New Roman" w:hAnsi="Times New Roman" w:cs="Times New Roman"/>
          <w:sz w:val="20"/>
          <w:szCs w:val="20"/>
        </w:rPr>
        <w:t>n</w:t>
      </w:r>
      <w:r w:rsidRPr="006B61E6">
        <w:rPr>
          <w:rFonts w:ascii="Times New Roman" w:hAnsi="Times New Roman" w:cs="Times New Roman"/>
          <w:sz w:val="20"/>
          <w:szCs w:val="20"/>
        </w:rPr>
        <w:t xml:space="preserve"> </w:t>
      </w:r>
      <w:r>
        <w:rPr>
          <w:rFonts w:ascii="Times New Roman" w:hAnsi="Times New Roman" w:cs="Times New Roman"/>
          <w:sz w:val="20"/>
          <w:szCs w:val="20"/>
        </w:rPr>
        <w:t xml:space="preserve">estimated </w:t>
      </w:r>
      <w:r w:rsidRPr="006B61E6">
        <w:rPr>
          <w:rFonts w:ascii="Times New Roman" w:hAnsi="Times New Roman" w:cs="Times New Roman"/>
          <w:sz w:val="20"/>
          <w:szCs w:val="20"/>
        </w:rPr>
        <w:t xml:space="preserve">profitability of </w:t>
      </w:r>
      <w:r>
        <w:rPr>
          <w:rFonts w:ascii="Times New Roman" w:hAnsi="Times New Roman" w:cs="Times New Roman"/>
          <w:sz w:val="20"/>
          <w:szCs w:val="20"/>
        </w:rPr>
        <w:t xml:space="preserve">36.4 percent (compared to 25 percent in the case of Tanzania and 35 percent for Ghana). See SENSE 2016. </w:t>
      </w:r>
      <w:r w:rsidRPr="007575D7">
        <w:rPr>
          <w:rFonts w:ascii="Times New Roman" w:hAnsi="Times New Roman" w:cs="Times New Roman"/>
          <w:i/>
          <w:sz w:val="20"/>
          <w:szCs w:val="20"/>
        </w:rPr>
        <w:t>Economic Analyses of Peanut Processing in Africa</w:t>
      </w:r>
      <w:r>
        <w:rPr>
          <w:rFonts w:ascii="Times New Roman" w:hAnsi="Times New Roman" w:cs="Times New Roman"/>
          <w:sz w:val="20"/>
          <w:szCs w:val="20"/>
        </w:rPr>
        <w:t>.</w:t>
      </w:r>
    </w:p>
  </w:footnote>
  <w:footnote w:id="18">
    <w:p w14:paraId="67E0A157" w14:textId="77777777" w:rsidR="00B42297" w:rsidRPr="00B95753" w:rsidRDefault="00B42297" w:rsidP="002D7959">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w:t>
      </w:r>
      <w:proofErr w:type="spellStart"/>
      <w:r w:rsidRPr="007575D7">
        <w:rPr>
          <w:rFonts w:ascii="Times New Roman" w:hAnsi="Times New Roman" w:cs="Times New Roman"/>
          <w:sz w:val="20"/>
          <w:szCs w:val="20"/>
        </w:rPr>
        <w:t>Dakaractu</w:t>
      </w:r>
      <w:proofErr w:type="spellEnd"/>
      <w:r w:rsidRPr="007575D7">
        <w:rPr>
          <w:rFonts w:ascii="Times New Roman" w:hAnsi="Times New Roman" w:cs="Times New Roman"/>
          <w:sz w:val="20"/>
          <w:szCs w:val="20"/>
        </w:rPr>
        <w:t xml:space="preserve">. </w:t>
      </w:r>
      <w:r w:rsidRPr="00636276">
        <w:rPr>
          <w:rFonts w:ascii="Times New Roman" w:hAnsi="Times New Roman" w:cs="Times New Roman"/>
          <w:sz w:val="20"/>
          <w:szCs w:val="20"/>
          <w:lang w:val="fr-FR"/>
        </w:rPr>
        <w:t xml:space="preserve">2014. </w:t>
      </w:r>
      <w:r w:rsidRPr="00636276">
        <w:rPr>
          <w:rFonts w:ascii="Times New Roman" w:hAnsi="Times New Roman" w:cs="Times New Roman"/>
          <w:i/>
          <w:sz w:val="20"/>
          <w:szCs w:val="20"/>
          <w:lang w:val="fr-FR"/>
        </w:rPr>
        <w:t>Le gouvernement veut éliminer graduellement les semences écrémées (ministre)</w:t>
      </w:r>
      <w:r w:rsidRPr="00636276">
        <w:rPr>
          <w:rFonts w:ascii="Times New Roman" w:hAnsi="Times New Roman" w:cs="Times New Roman"/>
          <w:sz w:val="20"/>
          <w:szCs w:val="20"/>
          <w:lang w:val="fr-FR"/>
        </w:rPr>
        <w:t xml:space="preserve">. </w:t>
      </w:r>
      <w:r w:rsidRPr="00B95753">
        <w:rPr>
          <w:rFonts w:ascii="Times New Roman" w:hAnsi="Times New Roman" w:cs="Times New Roman"/>
          <w:sz w:val="20"/>
          <w:szCs w:val="20"/>
        </w:rPr>
        <w:t>Available at: http://www.dakaractu.com/Le-gouvernement-veut-eliminer-graduellement-les-semences-ecremees-ministre_a71043.html</w:t>
      </w:r>
    </w:p>
  </w:footnote>
  <w:footnote w:id="19">
    <w:p w14:paraId="2F9A62B2" w14:textId="77777777" w:rsidR="00B42297" w:rsidRPr="007575D7" w:rsidRDefault="00B42297" w:rsidP="007575D7">
      <w:pPr>
        <w:pStyle w:val="FootnoteText"/>
        <w:jc w:val="both"/>
        <w:rPr>
          <w:rFonts w:ascii="Times New Roman" w:hAnsi="Times New Roman" w:cs="Times New Roman"/>
        </w:rPr>
      </w:pPr>
      <w:r w:rsidRPr="007575D7">
        <w:rPr>
          <w:rStyle w:val="FootnoteReference"/>
          <w:rFonts w:ascii="Times New Roman" w:hAnsi="Times New Roman" w:cs="Times New Roman"/>
        </w:rPr>
        <w:footnoteRef/>
      </w:r>
      <w:r w:rsidRPr="007575D7">
        <w:rPr>
          <w:rFonts w:ascii="Times New Roman" w:hAnsi="Times New Roman" w:cs="Times New Roman"/>
        </w:rPr>
        <w:t xml:space="preserve"> </w:t>
      </w:r>
      <w:r w:rsidRPr="007575D7">
        <w:rPr>
          <w:rFonts w:ascii="Times New Roman" w:hAnsi="Times New Roman" w:cs="Times New Roman"/>
          <w:sz w:val="20"/>
          <w:szCs w:val="20"/>
        </w:rPr>
        <w:t xml:space="preserve">See </w:t>
      </w:r>
      <w:r w:rsidRPr="00F27955">
        <w:rPr>
          <w:rFonts w:ascii="Times New Roman" w:hAnsi="Times New Roman" w:cs="Times New Roman"/>
          <w:sz w:val="20"/>
          <w:szCs w:val="20"/>
        </w:rPr>
        <w:t xml:space="preserve">“USDA Production, Supply and Distribution database” available at </w:t>
      </w:r>
      <w:hyperlink r:id="rId2" w:anchor="/app/home" w:history="1">
        <w:r w:rsidRPr="00F27955">
          <w:rPr>
            <w:rStyle w:val="Hyperlink"/>
            <w:rFonts w:ascii="Times New Roman" w:hAnsi="Times New Roman" w:cs="Times New Roman"/>
            <w:sz w:val="20"/>
            <w:szCs w:val="20"/>
          </w:rPr>
          <w:t>https://apps.fas.usda.gov/psdonline/app/index.html#/app/home</w:t>
        </w:r>
      </w:hyperlink>
      <w:r w:rsidRPr="00F27955">
        <w:rPr>
          <w:rFonts w:ascii="Times New Roman" w:hAnsi="Times New Roman" w:cs="Times New Roman"/>
          <w:sz w:val="20"/>
          <w:szCs w:val="20"/>
        </w:rPr>
        <w:t xml:space="preserve"> as included in WBG presentation “</w:t>
      </w:r>
      <w:proofErr w:type="spellStart"/>
      <w:r w:rsidRPr="00F27955">
        <w:rPr>
          <w:rFonts w:ascii="Times New Roman" w:hAnsi="Times New Roman" w:cs="Times New Roman"/>
          <w:sz w:val="20"/>
          <w:szCs w:val="20"/>
        </w:rPr>
        <w:t>Rentabilité</w:t>
      </w:r>
      <w:proofErr w:type="spellEnd"/>
      <w:r w:rsidRPr="00F27955">
        <w:rPr>
          <w:rFonts w:ascii="Times New Roman" w:hAnsi="Times New Roman" w:cs="Times New Roman"/>
          <w:sz w:val="20"/>
          <w:szCs w:val="20"/>
        </w:rPr>
        <w:t xml:space="preserve"> de la </w:t>
      </w:r>
      <w:proofErr w:type="spellStart"/>
      <w:r w:rsidRPr="00F27955">
        <w:rPr>
          <w:rFonts w:ascii="Times New Roman" w:hAnsi="Times New Roman" w:cs="Times New Roman"/>
          <w:sz w:val="20"/>
          <w:szCs w:val="20"/>
        </w:rPr>
        <w:t>chaine</w:t>
      </w:r>
      <w:proofErr w:type="spellEnd"/>
      <w:r w:rsidRPr="00F27955">
        <w:rPr>
          <w:rFonts w:ascii="Times New Roman" w:hAnsi="Times New Roman" w:cs="Times New Roman"/>
          <w:sz w:val="20"/>
          <w:szCs w:val="20"/>
        </w:rPr>
        <w:t xml:space="preserve"> de </w:t>
      </w:r>
      <w:proofErr w:type="spellStart"/>
      <w:r w:rsidRPr="00F27955">
        <w:rPr>
          <w:rFonts w:ascii="Times New Roman" w:hAnsi="Times New Roman" w:cs="Times New Roman"/>
          <w:sz w:val="20"/>
          <w:szCs w:val="20"/>
        </w:rPr>
        <w:t>valeurs</w:t>
      </w:r>
      <w:proofErr w:type="spellEnd"/>
      <w:r w:rsidRPr="00F27955">
        <w:rPr>
          <w:rFonts w:ascii="Times New Roman" w:hAnsi="Times New Roman" w:cs="Times New Roman"/>
          <w:sz w:val="20"/>
          <w:szCs w:val="20"/>
        </w:rPr>
        <w:t xml:space="preserve"> de </w:t>
      </w:r>
      <w:proofErr w:type="spellStart"/>
      <w:r w:rsidRPr="00F27955">
        <w:rPr>
          <w:rFonts w:ascii="Times New Roman" w:hAnsi="Times New Roman" w:cs="Times New Roman"/>
          <w:sz w:val="20"/>
          <w:szCs w:val="20"/>
        </w:rPr>
        <w:t>l’arachide</w:t>
      </w:r>
      <w:proofErr w:type="spellEnd"/>
      <w:r w:rsidRPr="00F27955">
        <w:rPr>
          <w:rFonts w:ascii="Times New Roman" w:hAnsi="Times New Roman" w:cs="Times New Roman"/>
          <w:sz w:val="20"/>
          <w:szCs w:val="20"/>
        </w:rPr>
        <w:t xml:space="preserve"> au </w:t>
      </w:r>
      <w:proofErr w:type="spellStart"/>
      <w:r w:rsidRPr="00F27955">
        <w:rPr>
          <w:rFonts w:ascii="Times New Roman" w:hAnsi="Times New Roman" w:cs="Times New Roman"/>
          <w:sz w:val="20"/>
          <w:szCs w:val="20"/>
        </w:rPr>
        <w:t>Sénégal</w:t>
      </w:r>
      <w:proofErr w:type="spellEnd"/>
      <w:r w:rsidRPr="00F27955">
        <w:rPr>
          <w:rFonts w:ascii="Times New Roman" w:hAnsi="Times New Roman" w:cs="Times New Roman"/>
          <w:sz w:val="20"/>
          <w:szCs w:val="20"/>
        </w:rPr>
        <w:t>: « </w:t>
      </w:r>
      <w:proofErr w:type="spellStart"/>
      <w:r w:rsidRPr="00F27955">
        <w:rPr>
          <w:rFonts w:ascii="Times New Roman" w:hAnsi="Times New Roman" w:cs="Times New Roman"/>
          <w:sz w:val="20"/>
          <w:szCs w:val="20"/>
        </w:rPr>
        <w:t>Competitivite</w:t>
      </w:r>
      <w:proofErr w:type="spellEnd"/>
      <w:r w:rsidRPr="00F27955">
        <w:rPr>
          <w:rFonts w:ascii="Times New Roman" w:hAnsi="Times New Roman" w:cs="Times New Roman"/>
          <w:sz w:val="20"/>
          <w:szCs w:val="20"/>
        </w:rPr>
        <w:t xml:space="preserve">, </w:t>
      </w:r>
      <w:proofErr w:type="spellStart"/>
      <w:r w:rsidRPr="00F27955">
        <w:rPr>
          <w:rFonts w:ascii="Times New Roman" w:hAnsi="Times New Roman" w:cs="Times New Roman"/>
          <w:sz w:val="20"/>
          <w:szCs w:val="20"/>
        </w:rPr>
        <w:t>avantage</w:t>
      </w:r>
      <w:proofErr w:type="spellEnd"/>
      <w:r w:rsidRPr="00F27955">
        <w:rPr>
          <w:rFonts w:ascii="Times New Roman" w:hAnsi="Times New Roman" w:cs="Times New Roman"/>
          <w:sz w:val="20"/>
          <w:szCs w:val="20"/>
        </w:rPr>
        <w:t xml:space="preserve"> comparative et options politiques”, p.9, by Toure, A., Lead Agriculture Economist, April 2017.</w:t>
      </w:r>
    </w:p>
  </w:footnote>
  <w:footnote w:id="20">
    <w:p w14:paraId="4A8CD91A" w14:textId="77777777" w:rsidR="00B42297" w:rsidRPr="007575D7" w:rsidRDefault="00B42297" w:rsidP="002D1818">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European</w:t>
      </w:r>
      <w:proofErr w:type="spellEnd"/>
      <w:r w:rsidRPr="007575D7">
        <w:rPr>
          <w:rFonts w:ascii="Times New Roman" w:hAnsi="Times New Roman" w:cs="Times New Roman"/>
          <w:sz w:val="20"/>
          <w:szCs w:val="20"/>
          <w:lang w:val="fr-FR"/>
        </w:rPr>
        <w:t xml:space="preserve"> Commission. 2016. </w:t>
      </w:r>
      <w:r w:rsidRPr="007575D7">
        <w:rPr>
          <w:rFonts w:ascii="Times New Roman" w:hAnsi="Times New Roman" w:cs="Times New Roman"/>
          <w:i/>
          <w:sz w:val="20"/>
          <w:szCs w:val="20"/>
          <w:lang w:val="fr-FR"/>
        </w:rPr>
        <w:t>Analyse d'économie politique (PEA) des filières de l'arachide et du riz</w:t>
      </w:r>
      <w:r w:rsidRPr="007575D7">
        <w:rPr>
          <w:rFonts w:ascii="Times New Roman" w:hAnsi="Times New Roman" w:cs="Times New Roman"/>
          <w:sz w:val="20"/>
          <w:szCs w:val="20"/>
          <w:lang w:val="fr-FR"/>
        </w:rPr>
        <w:t>, p. 19</w:t>
      </w:r>
    </w:p>
  </w:footnote>
  <w:footnote w:id="21">
    <w:p w14:paraId="187193EA" w14:textId="77777777" w:rsidR="00B42297" w:rsidRPr="007575D7" w:rsidRDefault="00B42297" w:rsidP="002D1818">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Etude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62</w:t>
      </w:r>
    </w:p>
  </w:footnote>
  <w:footnote w:id="22">
    <w:p w14:paraId="584426D6" w14:textId="4D4D3367" w:rsidR="00B42297" w:rsidRPr="00B95753" w:rsidRDefault="00B42297" w:rsidP="002D1818">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ITFC. 2016. </w:t>
      </w:r>
      <w:r w:rsidRPr="00B95753">
        <w:rPr>
          <w:rFonts w:ascii="Times New Roman" w:hAnsi="Times New Roman" w:cs="Times New Roman"/>
          <w:i/>
          <w:sz w:val="20"/>
          <w:szCs w:val="20"/>
        </w:rPr>
        <w:t xml:space="preserve">USD 75 million </w:t>
      </w:r>
      <w:proofErr w:type="spellStart"/>
      <w:r w:rsidRPr="00B95753">
        <w:rPr>
          <w:rFonts w:ascii="Times New Roman" w:hAnsi="Times New Roman" w:cs="Times New Roman"/>
          <w:i/>
          <w:sz w:val="20"/>
          <w:szCs w:val="20"/>
        </w:rPr>
        <w:t>Murabaha</w:t>
      </w:r>
      <w:proofErr w:type="spellEnd"/>
      <w:r w:rsidRPr="00B95753">
        <w:rPr>
          <w:rFonts w:ascii="Times New Roman" w:hAnsi="Times New Roman" w:cs="Times New Roman"/>
          <w:i/>
          <w:sz w:val="20"/>
          <w:szCs w:val="20"/>
        </w:rPr>
        <w:t xml:space="preserve"> financing agreement between ITFC and the </w:t>
      </w:r>
      <w:r>
        <w:rPr>
          <w:rFonts w:ascii="Times New Roman" w:hAnsi="Times New Roman" w:cs="Times New Roman"/>
          <w:i/>
          <w:sz w:val="20"/>
          <w:szCs w:val="20"/>
        </w:rPr>
        <w:t xml:space="preserve">Government </w:t>
      </w:r>
      <w:r w:rsidRPr="00B95753">
        <w:rPr>
          <w:rFonts w:ascii="Times New Roman" w:hAnsi="Times New Roman" w:cs="Times New Roman"/>
          <w:i/>
          <w:sz w:val="20"/>
          <w:szCs w:val="20"/>
        </w:rPr>
        <w:t>of Senegal for 2016-2017 groundnut campaign</w:t>
      </w:r>
      <w:r w:rsidRPr="00B95753">
        <w:rPr>
          <w:rFonts w:ascii="Times New Roman" w:hAnsi="Times New Roman" w:cs="Times New Roman"/>
          <w:sz w:val="20"/>
          <w:szCs w:val="20"/>
        </w:rPr>
        <w:t>. Available at http://www.itfc-idb.org/en/content/usd-75-million-murabaha-financing-agreement-between-itfc-and-government-senegal-2016-2017</w:t>
      </w:r>
    </w:p>
  </w:footnote>
  <w:footnote w:id="23">
    <w:p w14:paraId="4992CDBD" w14:textId="77777777" w:rsidR="00B42297" w:rsidRPr="007575D7" w:rsidRDefault="00B42297" w:rsidP="002D1818">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Based</w:t>
      </w:r>
      <w:proofErr w:type="spellEnd"/>
      <w:r w:rsidRPr="007575D7">
        <w:rPr>
          <w:rFonts w:ascii="Times New Roman" w:hAnsi="Times New Roman" w:cs="Times New Roman"/>
          <w:sz w:val="20"/>
          <w:szCs w:val="20"/>
          <w:lang w:val="fr-FR"/>
        </w:rPr>
        <w:t xml:space="preserve"> on Customs data.</w:t>
      </w:r>
    </w:p>
  </w:footnote>
  <w:footnote w:id="24">
    <w:p w14:paraId="1FEB9804" w14:textId="77777777" w:rsidR="00B42297" w:rsidRPr="002B4CD5" w:rsidRDefault="00B42297" w:rsidP="00A07BC4">
      <w:pPr>
        <w:pStyle w:val="FootnoteText"/>
        <w:rPr>
          <w:rFonts w:ascii="Times New Roman" w:hAnsi="Times New Roman" w:cs="Times New Roman"/>
          <w:sz w:val="20"/>
          <w:szCs w:val="20"/>
          <w:lang w:val="fr-FR"/>
        </w:rPr>
      </w:pPr>
      <w:r w:rsidRPr="007575D7">
        <w:rPr>
          <w:rStyle w:val="FootnoteReference"/>
          <w:rFonts w:ascii="Times New Roman" w:hAnsi="Times New Roman" w:cs="Times New Roman"/>
        </w:rPr>
        <w:footnoteRef/>
      </w:r>
      <w:r w:rsidRPr="007575D7">
        <w:rPr>
          <w:rStyle w:val="FootnoteReference"/>
          <w:rFonts w:ascii="Times New Roman" w:hAnsi="Times New Roman" w:cs="Times New Roman"/>
          <w:lang w:val="fr-FR"/>
        </w:rPr>
        <w:t xml:space="preserve"> </w:t>
      </w:r>
      <w:proofErr w:type="spellStart"/>
      <w:r w:rsidRPr="002B4CD5">
        <w:rPr>
          <w:rFonts w:ascii="Times New Roman" w:hAnsi="Times New Roman" w:cs="Times New Roman"/>
          <w:sz w:val="20"/>
          <w:szCs w:val="20"/>
          <w:lang w:val="fr-FR"/>
        </w:rPr>
        <w:t>See</w:t>
      </w:r>
      <w:proofErr w:type="spellEnd"/>
      <w:r w:rsidRPr="002B4CD5">
        <w:rPr>
          <w:rFonts w:ascii="Times New Roman" w:hAnsi="Times New Roman" w:cs="Times New Roman"/>
          <w:sz w:val="20"/>
          <w:szCs w:val="20"/>
          <w:lang w:val="fr-FR"/>
        </w:rPr>
        <w:t xml:space="preserve"> “</w:t>
      </w:r>
      <w:proofErr w:type="gramStart"/>
      <w:r w:rsidRPr="00EE2313">
        <w:rPr>
          <w:rFonts w:ascii="Times New Roman" w:hAnsi="Times New Roman" w:cs="Times New Roman"/>
          <w:sz w:val="20"/>
          <w:szCs w:val="20"/>
          <w:lang w:val="fr-FR"/>
        </w:rPr>
        <w:t>Sénégal:</w:t>
      </w:r>
      <w:proofErr w:type="gramEnd"/>
      <w:r w:rsidRPr="00EE2313">
        <w:rPr>
          <w:rFonts w:ascii="Times New Roman" w:hAnsi="Times New Roman" w:cs="Times New Roman"/>
          <w:sz w:val="20"/>
          <w:szCs w:val="20"/>
          <w:lang w:val="fr-FR"/>
        </w:rPr>
        <w:t xml:space="preserve"> Commercialisation de l'huile d'arachide raffinée - L'</w:t>
      </w:r>
      <w:proofErr w:type="spellStart"/>
      <w:r w:rsidRPr="00EE2313">
        <w:rPr>
          <w:rFonts w:ascii="Times New Roman" w:hAnsi="Times New Roman" w:cs="Times New Roman"/>
          <w:sz w:val="20"/>
          <w:szCs w:val="20"/>
          <w:lang w:val="fr-FR"/>
        </w:rPr>
        <w:t>Unacois</w:t>
      </w:r>
      <w:proofErr w:type="spellEnd"/>
      <w:r w:rsidRPr="00EE2313">
        <w:rPr>
          <w:rFonts w:ascii="Times New Roman" w:hAnsi="Times New Roman" w:cs="Times New Roman"/>
          <w:sz w:val="20"/>
          <w:szCs w:val="20"/>
          <w:lang w:val="fr-FR"/>
        </w:rPr>
        <w:t xml:space="preserve"> </w:t>
      </w:r>
      <w:proofErr w:type="spellStart"/>
      <w:r w:rsidRPr="00EE2313">
        <w:rPr>
          <w:rFonts w:ascii="Times New Roman" w:hAnsi="Times New Roman" w:cs="Times New Roman"/>
          <w:sz w:val="20"/>
          <w:szCs w:val="20"/>
          <w:lang w:val="fr-FR"/>
        </w:rPr>
        <w:t>jappo</w:t>
      </w:r>
      <w:proofErr w:type="spellEnd"/>
      <w:r w:rsidRPr="00EE2313">
        <w:rPr>
          <w:rFonts w:ascii="Times New Roman" w:hAnsi="Times New Roman" w:cs="Times New Roman"/>
          <w:sz w:val="20"/>
          <w:szCs w:val="20"/>
          <w:lang w:val="fr-FR"/>
        </w:rPr>
        <w:t xml:space="preserve"> mobilise 1 milliard 500 millions de F CFA”  </w:t>
      </w:r>
      <w:proofErr w:type="spellStart"/>
      <w:r w:rsidRPr="00EE2313">
        <w:rPr>
          <w:rFonts w:ascii="Times New Roman" w:hAnsi="Times New Roman" w:cs="Times New Roman"/>
          <w:sz w:val="20"/>
          <w:szCs w:val="20"/>
          <w:lang w:val="fr-FR"/>
        </w:rPr>
        <w:t>available</w:t>
      </w:r>
      <w:proofErr w:type="spellEnd"/>
      <w:r w:rsidRPr="00EE2313">
        <w:rPr>
          <w:rFonts w:ascii="Times New Roman" w:hAnsi="Times New Roman" w:cs="Times New Roman"/>
          <w:sz w:val="20"/>
          <w:szCs w:val="20"/>
          <w:lang w:val="fr-FR"/>
        </w:rPr>
        <w:t xml:space="preserve"> at  </w:t>
      </w:r>
      <w:hyperlink r:id="rId3" w:history="1">
        <w:r w:rsidRPr="00EE2313">
          <w:rPr>
            <w:rFonts w:ascii="Times New Roman" w:hAnsi="Times New Roman" w:cs="Times New Roman"/>
            <w:sz w:val="20"/>
            <w:szCs w:val="20"/>
            <w:lang w:val="fr-FR"/>
          </w:rPr>
          <w:t>http://fr.allafrica.com/stories/201805280103.html</w:t>
        </w:r>
      </w:hyperlink>
      <w:r w:rsidRPr="007575D7">
        <w:rPr>
          <w:rFonts w:ascii="Times New Roman" w:hAnsi="Times New Roman" w:cs="Times New Roman"/>
          <w:lang w:val="fr-FR"/>
        </w:rPr>
        <w:t xml:space="preserve"> </w:t>
      </w:r>
    </w:p>
  </w:footnote>
  <w:footnote w:id="25">
    <w:p w14:paraId="2C338874" w14:textId="77777777" w:rsidR="00B42297" w:rsidRPr="00287C82" w:rsidRDefault="00B42297" w:rsidP="00726B79">
      <w:pPr>
        <w:pStyle w:val="FootnoteText"/>
        <w:jc w:val="both"/>
        <w:rPr>
          <w:rFonts w:ascii="Times New Roman" w:hAnsi="Times New Roman" w:cs="Times New Roman"/>
          <w:sz w:val="20"/>
          <w:szCs w:val="20"/>
          <w:lang w:val="en-GB"/>
        </w:rPr>
      </w:pPr>
      <w:r w:rsidRPr="00110A1D">
        <w:rPr>
          <w:rStyle w:val="FootnoteReference"/>
          <w:rFonts w:ascii="Times New Roman" w:hAnsi="Times New Roman" w:cs="Times New Roman"/>
          <w:sz w:val="20"/>
          <w:szCs w:val="20"/>
        </w:rPr>
        <w:footnoteRef/>
      </w:r>
      <w:r w:rsidRPr="00110A1D">
        <w:rPr>
          <w:rFonts w:ascii="Times New Roman" w:hAnsi="Times New Roman" w:cs="Times New Roman"/>
          <w:sz w:val="20"/>
          <w:szCs w:val="20"/>
        </w:rPr>
        <w:t xml:space="preserve"> Republic of Senegal. </w:t>
      </w:r>
      <w:r w:rsidRPr="00287C82">
        <w:rPr>
          <w:rFonts w:ascii="Times New Roman" w:hAnsi="Times New Roman" w:cs="Times New Roman"/>
          <w:sz w:val="20"/>
          <w:szCs w:val="20"/>
          <w:lang w:val="en-GB"/>
        </w:rPr>
        <w:t xml:space="preserve">2016. </w:t>
      </w:r>
      <w:proofErr w:type="spellStart"/>
      <w:r w:rsidRPr="00287C82">
        <w:rPr>
          <w:rFonts w:ascii="Times New Roman" w:hAnsi="Times New Roman" w:cs="Times New Roman"/>
          <w:i/>
          <w:sz w:val="20"/>
          <w:szCs w:val="20"/>
          <w:lang w:val="en-GB"/>
        </w:rPr>
        <w:t>Strategie</w:t>
      </w:r>
      <w:proofErr w:type="spellEnd"/>
      <w:r w:rsidRPr="00287C82">
        <w:rPr>
          <w:rFonts w:ascii="Times New Roman" w:hAnsi="Times New Roman" w:cs="Times New Roman"/>
          <w:i/>
          <w:sz w:val="20"/>
          <w:szCs w:val="20"/>
          <w:lang w:val="en-GB"/>
        </w:rPr>
        <w:t xml:space="preserve"> </w:t>
      </w:r>
      <w:proofErr w:type="spellStart"/>
      <w:r w:rsidRPr="00287C82">
        <w:rPr>
          <w:rFonts w:ascii="Times New Roman" w:eastAsia="Times New Roman" w:hAnsi="Times New Roman" w:cs="Times New Roman"/>
          <w:i/>
          <w:sz w:val="20"/>
          <w:szCs w:val="20"/>
          <w:lang w:val="en-GB"/>
        </w:rPr>
        <w:t>Sénégal</w:t>
      </w:r>
      <w:proofErr w:type="spellEnd"/>
      <w:r w:rsidRPr="00287C82">
        <w:rPr>
          <w:rFonts w:ascii="Times New Roman" w:eastAsia="Times New Roman" w:hAnsi="Times New Roman" w:cs="Times New Roman"/>
          <w:i/>
          <w:sz w:val="20"/>
          <w:szCs w:val="20"/>
          <w:lang w:val="en-GB"/>
        </w:rPr>
        <w:t xml:space="preserve"> </w:t>
      </w:r>
      <w:proofErr w:type="spellStart"/>
      <w:r w:rsidRPr="00287C82">
        <w:rPr>
          <w:rFonts w:ascii="Times New Roman" w:hAnsi="Times New Roman" w:cs="Times New Roman"/>
          <w:i/>
          <w:sz w:val="20"/>
          <w:szCs w:val="20"/>
          <w:lang w:val="en-GB"/>
        </w:rPr>
        <w:t>Num</w:t>
      </w:r>
      <w:r w:rsidRPr="00287C82">
        <w:rPr>
          <w:rFonts w:ascii="Times New Roman" w:eastAsia="Times New Roman" w:hAnsi="Times New Roman" w:cs="Times New Roman"/>
          <w:i/>
          <w:sz w:val="20"/>
          <w:szCs w:val="20"/>
          <w:lang w:val="en-GB"/>
        </w:rPr>
        <w:t>é</w:t>
      </w:r>
      <w:r w:rsidRPr="00287C82">
        <w:rPr>
          <w:rFonts w:ascii="Times New Roman" w:hAnsi="Times New Roman" w:cs="Times New Roman"/>
          <w:i/>
          <w:sz w:val="20"/>
          <w:szCs w:val="20"/>
          <w:lang w:val="en-GB"/>
        </w:rPr>
        <w:t>rique</w:t>
      </w:r>
      <w:proofErr w:type="spellEnd"/>
      <w:r w:rsidRPr="00287C82">
        <w:rPr>
          <w:rFonts w:ascii="Times New Roman" w:hAnsi="Times New Roman" w:cs="Times New Roman"/>
          <w:sz w:val="20"/>
          <w:szCs w:val="20"/>
          <w:lang w:val="en-GB"/>
        </w:rPr>
        <w:t>, p. 9</w:t>
      </w:r>
    </w:p>
  </w:footnote>
  <w:footnote w:id="26">
    <w:p w14:paraId="50068A0E" w14:textId="77777777" w:rsidR="00B42297" w:rsidRPr="00973309" w:rsidRDefault="00B42297" w:rsidP="00DD7D1B">
      <w:pPr>
        <w:pStyle w:val="FootnoteText"/>
        <w:rPr>
          <w:rFonts w:ascii="Times New Roman" w:hAnsi="Times New Roman" w:cs="Times New Roman"/>
          <w:sz w:val="20"/>
          <w:szCs w:val="20"/>
        </w:rPr>
      </w:pPr>
      <w:r w:rsidRPr="00973309">
        <w:rPr>
          <w:rStyle w:val="FootnoteReference"/>
          <w:rFonts w:ascii="Times New Roman" w:hAnsi="Times New Roman" w:cs="Times New Roman"/>
          <w:sz w:val="20"/>
          <w:szCs w:val="20"/>
        </w:rPr>
        <w:footnoteRef/>
      </w:r>
      <w:r w:rsidRPr="00973309">
        <w:rPr>
          <w:rFonts w:ascii="Times New Roman" w:hAnsi="Times New Roman" w:cs="Times New Roman"/>
          <w:sz w:val="20"/>
          <w:szCs w:val="20"/>
        </w:rPr>
        <w:t xml:space="preserve"> 4,977 bit/second in Senegal versus 51,000 bit/second in Africa. Source: ITU (2017).</w:t>
      </w:r>
    </w:p>
  </w:footnote>
  <w:footnote w:id="27">
    <w:p w14:paraId="25EB129B" w14:textId="37562248" w:rsidR="00B42297" w:rsidRPr="00F3546A" w:rsidRDefault="00B42297" w:rsidP="00D42D6A">
      <w:pPr>
        <w:pStyle w:val="FootnoteText"/>
        <w:rPr>
          <w:sz w:val="20"/>
          <w:szCs w:val="20"/>
        </w:rPr>
      </w:pPr>
      <w:r w:rsidRPr="00973309">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Network </w:t>
      </w:r>
      <w:r>
        <w:rPr>
          <w:rFonts w:ascii="Times New Roman" w:hAnsi="Times New Roman" w:cs="Times New Roman"/>
          <w:sz w:val="20"/>
          <w:szCs w:val="20"/>
        </w:rPr>
        <w:t>Readiness Index figures for 2016</w:t>
      </w:r>
      <w:r w:rsidRPr="007575D7">
        <w:rPr>
          <w:rFonts w:ascii="Times New Roman" w:hAnsi="Times New Roman" w:cs="Times New Roman"/>
          <w:sz w:val="20"/>
          <w:szCs w:val="20"/>
        </w:rPr>
        <w:t>.</w:t>
      </w:r>
    </w:p>
  </w:footnote>
  <w:footnote w:id="28">
    <w:p w14:paraId="60C0A06B" w14:textId="77777777" w:rsidR="00CD6A39" w:rsidRPr="00B95753" w:rsidRDefault="00CD6A39" w:rsidP="00CD6A39">
      <w:pPr>
        <w:pStyle w:val="ListParagraph"/>
        <w:ind w:left="0"/>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Benin, Botswana, Burkina Faso, Cameroon, Egypt, Gambia, Ghana, Jordan, Kenya, Mali, Morocco, Mozambique, Nigeria, Rwanda, South Africa, Tanzania, Tunisia, Uganda, Zambia, Zimbabwe</w:t>
      </w:r>
    </w:p>
  </w:footnote>
  <w:footnote w:id="29">
    <w:p w14:paraId="313715F2" w14:textId="77777777" w:rsidR="00B42297" w:rsidRPr="007575D7" w:rsidRDefault="00B42297" w:rsidP="007575D7">
      <w:pPr>
        <w:pStyle w:val="FootnoteText"/>
        <w:jc w:val="both"/>
        <w:rPr>
          <w:rFonts w:ascii="Times New Roman" w:hAnsi="Times New Roman" w:cs="Times New Roman"/>
          <w:sz w:val="20"/>
          <w:szCs w:val="20"/>
          <w:lang w:val="fr-FR"/>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Groupe Spéciale Mobile Association (GSMA) 2012.</w:t>
      </w:r>
    </w:p>
  </w:footnote>
  <w:footnote w:id="30">
    <w:p w14:paraId="2951AAC0" w14:textId="77777777" w:rsidR="00B42297" w:rsidRPr="007575D7" w:rsidRDefault="00B42297" w:rsidP="007575D7">
      <w:pPr>
        <w:pStyle w:val="FootnoteText"/>
        <w:jc w:val="both"/>
        <w:rPr>
          <w:rFonts w:ascii="Times New Roman" w:hAnsi="Times New Roman" w:cs="Times New Roman"/>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Law 2017-13, from January 20, 2017, and </w:t>
      </w:r>
      <w:proofErr w:type="spellStart"/>
      <w:r w:rsidRPr="007575D7">
        <w:rPr>
          <w:rFonts w:ascii="Times New Roman" w:hAnsi="Times New Roman" w:cs="Times New Roman"/>
          <w:sz w:val="20"/>
          <w:szCs w:val="20"/>
        </w:rPr>
        <w:t>Décret</w:t>
      </w:r>
      <w:proofErr w:type="spellEnd"/>
      <w:r w:rsidRPr="007575D7">
        <w:rPr>
          <w:rFonts w:ascii="Times New Roman" w:hAnsi="Times New Roman" w:cs="Times New Roman"/>
          <w:sz w:val="20"/>
          <w:szCs w:val="20"/>
        </w:rPr>
        <w:t xml:space="preserve"> 2017-691, from April 27, 2017.</w:t>
      </w:r>
    </w:p>
  </w:footnote>
  <w:footnote w:id="31">
    <w:p w14:paraId="185652DA" w14:textId="387C0E9F" w:rsidR="00B42297" w:rsidRPr="007575D7" w:rsidRDefault="00B42297" w:rsidP="002C0BAD">
      <w:pPr>
        <w:pStyle w:val="FootnoteText"/>
        <w:jc w:val="both"/>
        <w:rPr>
          <w:rFonts w:ascii="Times New Roman" w:hAnsi="Times New Roman" w:cs="Times New Roman"/>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w:t>
      </w:r>
      <w:r w:rsidRPr="005E23EE">
        <w:rPr>
          <w:rFonts w:ascii="Times New Roman" w:hAnsi="Times New Roman" w:cs="Times New Roman"/>
          <w:sz w:val="20"/>
          <w:szCs w:val="20"/>
        </w:rPr>
        <w:t>D</w:t>
      </w:r>
      <w:r w:rsidRPr="000776F9">
        <w:rPr>
          <w:rFonts w:ascii="Times New Roman" w:hAnsi="Times New Roman" w:cs="Times New Roman"/>
          <w:sz w:val="20"/>
          <w:szCs w:val="20"/>
        </w:rPr>
        <w:t xml:space="preserve">espite having considered that </w:t>
      </w:r>
      <w:proofErr w:type="spellStart"/>
      <w:r w:rsidRPr="000776F9">
        <w:rPr>
          <w:rFonts w:ascii="Times New Roman" w:hAnsi="Times New Roman" w:cs="Times New Roman"/>
          <w:sz w:val="20"/>
          <w:szCs w:val="20"/>
        </w:rPr>
        <w:t>Sonatel</w:t>
      </w:r>
      <w:proofErr w:type="spellEnd"/>
      <w:r w:rsidRPr="000776F9">
        <w:rPr>
          <w:rFonts w:ascii="Times New Roman" w:hAnsi="Times New Roman" w:cs="Times New Roman"/>
          <w:sz w:val="20"/>
          <w:szCs w:val="20"/>
        </w:rPr>
        <w:t xml:space="preserve"> </w:t>
      </w:r>
      <w:r w:rsidRPr="002D1C2B">
        <w:rPr>
          <w:rFonts w:ascii="Times New Roman" w:hAnsi="Times New Roman" w:cs="Times New Roman"/>
          <w:sz w:val="20"/>
          <w:szCs w:val="20"/>
        </w:rPr>
        <w:t>has SMP across 12 wholesale markets, ARTP has not</w:t>
      </w:r>
      <w:r w:rsidRPr="00381002">
        <w:rPr>
          <w:rFonts w:ascii="Times New Roman" w:hAnsi="Times New Roman" w:cs="Times New Roman"/>
          <w:sz w:val="20"/>
          <w:szCs w:val="20"/>
        </w:rPr>
        <w:t xml:space="preserve"> </w:t>
      </w:r>
      <w:r w:rsidRPr="00AB4BD3">
        <w:rPr>
          <w:rFonts w:ascii="Times New Roman" w:hAnsi="Times New Roman" w:cs="Times New Roman"/>
          <w:sz w:val="20"/>
          <w:szCs w:val="20"/>
        </w:rPr>
        <w:t xml:space="preserve">yet imposed obligations </w:t>
      </w:r>
      <w:r w:rsidRPr="00201E03">
        <w:rPr>
          <w:rFonts w:ascii="Times New Roman" w:hAnsi="Times New Roman" w:cs="Times New Roman"/>
          <w:sz w:val="20"/>
          <w:szCs w:val="20"/>
        </w:rPr>
        <w:t xml:space="preserve">to grant fair, transparent and non-discriminatory access to the non-replicable infrastructure and assets </w:t>
      </w:r>
      <w:r w:rsidRPr="00102EC6">
        <w:rPr>
          <w:rFonts w:ascii="Times New Roman" w:hAnsi="Times New Roman" w:cs="Times New Roman"/>
          <w:sz w:val="20"/>
          <w:szCs w:val="20"/>
        </w:rPr>
        <w:t xml:space="preserve">owned by </w:t>
      </w:r>
      <w:proofErr w:type="spellStart"/>
      <w:r w:rsidRPr="00102EC6">
        <w:rPr>
          <w:rFonts w:ascii="Times New Roman" w:hAnsi="Times New Roman" w:cs="Times New Roman"/>
          <w:sz w:val="20"/>
          <w:szCs w:val="20"/>
        </w:rPr>
        <w:t>Sonatel</w:t>
      </w:r>
      <w:proofErr w:type="spellEnd"/>
      <w:r w:rsidRPr="00102EC6">
        <w:rPr>
          <w:rFonts w:ascii="Times New Roman" w:hAnsi="Times New Roman" w:cs="Times New Roman"/>
          <w:sz w:val="20"/>
          <w:szCs w:val="20"/>
        </w:rPr>
        <w:t xml:space="preserve"> (including civil engineering, such as ducts and poles)</w:t>
      </w:r>
      <w:r w:rsidRPr="002A5764">
        <w:rPr>
          <w:rFonts w:ascii="Times New Roman" w:hAnsi="Times New Roman" w:cs="Times New Roman"/>
          <w:sz w:val="20"/>
          <w:szCs w:val="20"/>
        </w:rPr>
        <w:t>.</w:t>
      </w:r>
    </w:p>
  </w:footnote>
  <w:footnote w:id="32">
    <w:p w14:paraId="2EBE844D" w14:textId="09424919" w:rsidR="00B42297" w:rsidRPr="007575D7" w:rsidRDefault="00B42297" w:rsidP="007575D7">
      <w:pPr>
        <w:pStyle w:val="ListParagraph"/>
        <w:ind w:left="0"/>
        <w:jc w:val="both"/>
        <w:rPr>
          <w:rFonts w:ascii="Times New Roman" w:hAnsi="Times New Roman" w:cs="Times New Roman"/>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ARTP is expected to lower the termination rates in July 2018 to mitigate the club effects which currently favor </w:t>
      </w:r>
      <w:proofErr w:type="spellStart"/>
      <w:r w:rsidRPr="007575D7">
        <w:rPr>
          <w:rFonts w:ascii="Times New Roman" w:hAnsi="Times New Roman" w:cs="Times New Roman"/>
          <w:sz w:val="20"/>
          <w:szCs w:val="20"/>
        </w:rPr>
        <w:t>Sonatel’s</w:t>
      </w:r>
      <w:proofErr w:type="spellEnd"/>
      <w:r w:rsidRPr="007575D7">
        <w:rPr>
          <w:rFonts w:ascii="Times New Roman" w:hAnsi="Times New Roman" w:cs="Times New Roman"/>
          <w:sz w:val="20"/>
          <w:szCs w:val="20"/>
        </w:rPr>
        <w:t xml:space="preserve"> network and increase the risks of anticompetitive behavior. Going forward, it will be important that these policy changes be disseminated to make them truly effective.</w:t>
      </w:r>
    </w:p>
  </w:footnote>
  <w:footnote w:id="33">
    <w:p w14:paraId="3D104651" w14:textId="77777777" w:rsidR="00B42297" w:rsidRPr="00B95753" w:rsidRDefault="00B42297" w:rsidP="00726B79">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 NCC has lost national enforcement powers in favor of the WAEMU Commission in 2000. Since then the NCC may only conduct preliminary investigations and market analyses subject to the WAEMU Commissions’ instructions. </w:t>
      </w:r>
    </w:p>
  </w:footnote>
  <w:footnote w:id="34">
    <w:p w14:paraId="34665E9A" w14:textId="77777777" w:rsidR="00B42297" w:rsidRPr="007575D7" w:rsidRDefault="00B42297" w:rsidP="00FA440E">
      <w:pPr>
        <w:pStyle w:val="FootnoteText"/>
        <w:rPr>
          <w:rFonts w:ascii="Times New Roman" w:hAnsi="Times New Roman" w:cs="Times New Roman"/>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w:t>
      </w:r>
      <w:r w:rsidRPr="00FA440E">
        <w:rPr>
          <w:rFonts w:ascii="Times New Roman" w:hAnsi="Times New Roman" w:cs="Times New Roman"/>
          <w:sz w:val="20"/>
          <w:szCs w:val="20"/>
        </w:rPr>
        <w:t xml:space="preserve">ARTP. 2017. </w:t>
      </w:r>
      <w:hyperlink r:id="rId4" w:history="1">
        <w:r w:rsidRPr="00FA440E">
          <w:rPr>
            <w:rStyle w:val="Hyperlink"/>
            <w:rFonts w:ascii="Times New Roman" w:hAnsi="Times New Roman" w:cs="Times New Roman"/>
            <w:sz w:val="20"/>
            <w:szCs w:val="20"/>
          </w:rPr>
          <w:t>http://www.artpsenegal.net/index.php?option=com_content&amp;view=article&amp;id=304:communique-de-presse-la-portabilite-un-an-apres&amp;catid=9:infos-flash&amp;Itemid=162</w:t>
        </w:r>
      </w:hyperlink>
    </w:p>
  </w:footnote>
  <w:footnote w:id="35">
    <w:p w14:paraId="5648173B" w14:textId="25B9C8FE" w:rsidR="00B42297" w:rsidRPr="001F5B80" w:rsidRDefault="00B42297" w:rsidP="007575D7">
      <w:pPr>
        <w:pStyle w:val="FootnoteText"/>
        <w:rPr>
          <w:rFonts w:ascii="Times New Roman" w:hAnsi="Times New Roman" w:cs="Times New Roman"/>
          <w:sz w:val="20"/>
          <w:szCs w:val="20"/>
        </w:rPr>
      </w:pPr>
      <w:r w:rsidRPr="00FA440E">
        <w:rPr>
          <w:rStyle w:val="FootnoteReference"/>
          <w:rFonts w:ascii="Times New Roman" w:hAnsi="Times New Roman" w:cs="Times New Roman"/>
          <w:sz w:val="20"/>
          <w:szCs w:val="20"/>
        </w:rPr>
        <w:footnoteRef/>
      </w:r>
      <w:r w:rsidRPr="00FA440E">
        <w:rPr>
          <w:rFonts w:ascii="Times New Roman" w:hAnsi="Times New Roman" w:cs="Times New Roman"/>
          <w:sz w:val="20"/>
          <w:szCs w:val="20"/>
        </w:rPr>
        <w:t xml:space="preserve"> Facilities-based competition (also called infrastructure-based competition) refers to competition between providers of the same or similar services through different networks</w:t>
      </w:r>
      <w:r w:rsidRPr="001F5B80">
        <w:rPr>
          <w:rFonts w:ascii="Times New Roman" w:hAnsi="Times New Roman" w:cs="Times New Roman"/>
          <w:sz w:val="20"/>
          <w:szCs w:val="20"/>
        </w:rPr>
        <w:t>.</w:t>
      </w:r>
    </w:p>
  </w:footnote>
  <w:footnote w:id="36">
    <w:p w14:paraId="26B011BF" w14:textId="77777777" w:rsidR="00B42297" w:rsidRPr="00FA440E" w:rsidRDefault="00B42297" w:rsidP="00FA440E">
      <w:pPr>
        <w:pStyle w:val="FootnoteText"/>
        <w:rPr>
          <w:rFonts w:ascii="Times New Roman" w:hAnsi="Times New Roman" w:cs="Times New Roman"/>
          <w:sz w:val="20"/>
          <w:szCs w:val="20"/>
        </w:rPr>
      </w:pPr>
      <w:r w:rsidRPr="00FA440E">
        <w:rPr>
          <w:rStyle w:val="FootnoteReference"/>
          <w:rFonts w:ascii="Times New Roman" w:hAnsi="Times New Roman" w:cs="Times New Roman"/>
          <w:sz w:val="20"/>
          <w:szCs w:val="20"/>
        </w:rPr>
        <w:footnoteRef/>
      </w:r>
      <w:r w:rsidRPr="00FA440E">
        <w:rPr>
          <w:rFonts w:ascii="Times New Roman" w:hAnsi="Times New Roman" w:cs="Times New Roman"/>
          <w:sz w:val="20"/>
          <w:szCs w:val="20"/>
        </w:rPr>
        <w:t xml:space="preserve"> </w:t>
      </w:r>
      <w:r w:rsidRPr="00FA440E">
        <w:rPr>
          <w:rFonts w:ascii="Times New Roman" w:hAnsi="Times New Roman" w:cs="Times New Roman"/>
          <w:i/>
          <w:sz w:val="20"/>
          <w:szCs w:val="20"/>
        </w:rPr>
        <w:t>See</w:t>
      </w:r>
      <w:r w:rsidRPr="00FA440E">
        <w:rPr>
          <w:rFonts w:ascii="Times New Roman" w:hAnsi="Times New Roman" w:cs="Times New Roman"/>
          <w:sz w:val="20"/>
          <w:szCs w:val="20"/>
        </w:rPr>
        <w:t xml:space="preserve"> World Bank Group/African Competition Forum (‘ACF’), Breaking Down Barriers - Unlocking Africa’s Potential through Vigorous Competition Policy, 27 July 2016, p. 111.</w:t>
      </w:r>
    </w:p>
  </w:footnote>
  <w:footnote w:id="37">
    <w:p w14:paraId="4BA581A9" w14:textId="77777777" w:rsidR="00B42297" w:rsidRPr="00FA440E" w:rsidRDefault="00B42297" w:rsidP="001F5B80">
      <w:pPr>
        <w:pStyle w:val="FootnoteText"/>
        <w:rPr>
          <w:rFonts w:ascii="Times New Roman" w:hAnsi="Times New Roman" w:cs="Times New Roman"/>
          <w:sz w:val="20"/>
          <w:szCs w:val="20"/>
        </w:rPr>
      </w:pPr>
      <w:r w:rsidRPr="00FA440E">
        <w:rPr>
          <w:rStyle w:val="FootnoteReference"/>
          <w:rFonts w:ascii="Times New Roman" w:hAnsi="Times New Roman" w:cs="Times New Roman"/>
          <w:sz w:val="20"/>
          <w:szCs w:val="20"/>
        </w:rPr>
        <w:footnoteRef/>
      </w:r>
      <w:r w:rsidRPr="00FA440E">
        <w:rPr>
          <w:rFonts w:ascii="Times New Roman" w:hAnsi="Times New Roman" w:cs="Times New Roman"/>
          <w:sz w:val="20"/>
          <w:szCs w:val="20"/>
        </w:rPr>
        <w:t xml:space="preserve"> World Bank Working Paper No. 42, “Competition in International Voice Communications”, 2004, p. 7.</w:t>
      </w:r>
    </w:p>
  </w:footnote>
  <w:footnote w:id="38">
    <w:p w14:paraId="276C0FDB" w14:textId="77777777" w:rsidR="00B42297" w:rsidRPr="000122D9" w:rsidRDefault="00B42297" w:rsidP="00DA02CC">
      <w:pPr>
        <w:pStyle w:val="FootnoteText"/>
        <w:rPr>
          <w:rFonts w:ascii="Times New Roman" w:hAnsi="Times New Roman" w:cs="Times New Roman"/>
          <w:sz w:val="20"/>
          <w:szCs w:val="20"/>
        </w:rPr>
      </w:pPr>
      <w:r w:rsidRPr="002D1C2B">
        <w:rPr>
          <w:rStyle w:val="FootnoteReference"/>
          <w:rFonts w:ascii="Times New Roman" w:hAnsi="Times New Roman" w:cs="Times New Roman"/>
          <w:sz w:val="20"/>
          <w:szCs w:val="20"/>
        </w:rPr>
        <w:footnoteRef/>
      </w:r>
      <w:r w:rsidRPr="002D1C2B">
        <w:rPr>
          <w:rFonts w:ascii="Times New Roman" w:hAnsi="Times New Roman" w:cs="Times New Roman"/>
          <w:sz w:val="20"/>
          <w:szCs w:val="20"/>
        </w:rPr>
        <w:t xml:space="preserve"> http://www.itu.int/itunews/manager/display.asp?lang=en&amp;year=2009&amp;issue=01&amp;ipage=26</w:t>
      </w:r>
    </w:p>
  </w:footnote>
  <w:footnote w:id="39">
    <w:p w14:paraId="4C246A40" w14:textId="0D19C654" w:rsidR="00B42297" w:rsidRPr="007575D7" w:rsidRDefault="00B42297" w:rsidP="007575D7">
      <w:pPr>
        <w:pStyle w:val="ListParagraph"/>
        <w:ind w:left="0"/>
        <w:jc w:val="both"/>
        <w:rPr>
          <w:rFonts w:ascii="Times New Roman" w:hAnsi="Times New Roman" w:cs="Times New Roman"/>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In this respect, the Government and ADIE have adopted an </w:t>
      </w:r>
      <w:proofErr w:type="spellStart"/>
      <w:r w:rsidRPr="007575D7">
        <w:rPr>
          <w:rFonts w:ascii="Times New Roman" w:hAnsi="Times New Roman" w:cs="Times New Roman"/>
          <w:sz w:val="20"/>
          <w:szCs w:val="20"/>
        </w:rPr>
        <w:t>Arrêté</w:t>
      </w:r>
      <w:proofErr w:type="spellEnd"/>
      <w:r w:rsidRPr="007575D7">
        <w:rPr>
          <w:rFonts w:ascii="Times New Roman" w:hAnsi="Times New Roman" w:cs="Times New Roman"/>
          <w:sz w:val="20"/>
          <w:szCs w:val="20"/>
        </w:rPr>
        <w:t xml:space="preserve"> establishing a Committee to handle this topic.</w:t>
      </w:r>
    </w:p>
  </w:footnote>
  <w:footnote w:id="40">
    <w:p w14:paraId="61F32AFF" w14:textId="77777777" w:rsidR="00B42297" w:rsidRPr="00A44F00" w:rsidRDefault="00B42297" w:rsidP="00ED1D16">
      <w:pPr>
        <w:pStyle w:val="FootnoteText"/>
        <w:rPr>
          <w:sz w:val="20"/>
          <w:szCs w:val="20"/>
        </w:rPr>
      </w:pPr>
      <w:r w:rsidRPr="00A44F00">
        <w:rPr>
          <w:rStyle w:val="FootnoteReference"/>
          <w:rFonts w:ascii="Times New Roman" w:hAnsi="Times New Roman" w:cs="Times New Roman"/>
          <w:sz w:val="20"/>
          <w:szCs w:val="20"/>
        </w:rPr>
        <w:footnoteRef/>
      </w:r>
      <w:r w:rsidRPr="00A44F00">
        <w:rPr>
          <w:rFonts w:ascii="Times New Roman" w:hAnsi="Times New Roman" w:cs="Times New Roman"/>
          <w:sz w:val="20"/>
          <w:szCs w:val="20"/>
        </w:rPr>
        <w:t xml:space="preserve"> New Article 32 </w:t>
      </w:r>
      <w:proofErr w:type="spellStart"/>
      <w:r w:rsidRPr="00A44F00">
        <w:rPr>
          <w:rFonts w:ascii="Times New Roman" w:hAnsi="Times New Roman" w:cs="Times New Roman"/>
          <w:sz w:val="20"/>
          <w:szCs w:val="20"/>
        </w:rPr>
        <w:t>bis</w:t>
      </w:r>
      <w:proofErr w:type="spellEnd"/>
      <w:r w:rsidRPr="00A44F00">
        <w:rPr>
          <w:rFonts w:ascii="Times New Roman" w:hAnsi="Times New Roman" w:cs="Times New Roman"/>
          <w:sz w:val="20"/>
          <w:szCs w:val="20"/>
        </w:rPr>
        <w:t xml:space="preserve"> of the Telecommunications Code (introduced by Law 2017-13).</w:t>
      </w:r>
    </w:p>
  </w:footnote>
  <w:footnote w:id="41">
    <w:p w14:paraId="1AA3188A" w14:textId="77777777" w:rsidR="00B42297" w:rsidRPr="007575D7" w:rsidRDefault="00B42297">
      <w:pPr>
        <w:pStyle w:val="FootnoteText"/>
        <w:rPr>
          <w:rFonts w:ascii="Times New Roman" w:hAnsi="Times New Roman" w:cs="Times New Roman"/>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Article 24 of the Telecommunications Code.</w:t>
      </w:r>
    </w:p>
  </w:footnote>
  <w:footnote w:id="42">
    <w:p w14:paraId="7DF113B0" w14:textId="77777777" w:rsidR="00B42297" w:rsidRPr="007575D7" w:rsidRDefault="00B42297">
      <w:pPr>
        <w:pStyle w:val="FootnoteText"/>
        <w:rPr>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Telecommunications Code, Article 159 and 165.</w:t>
      </w:r>
    </w:p>
  </w:footnote>
  <w:footnote w:id="43">
    <w:p w14:paraId="248D3190" w14:textId="77777777" w:rsidR="00B42297" w:rsidRPr="001A5142" w:rsidRDefault="00B42297">
      <w:pPr>
        <w:pStyle w:val="FootnoteText"/>
        <w:rPr>
          <w:rFonts w:ascii="Times New Roman" w:hAnsi="Times New Roman" w:cs="Times New Roman"/>
          <w:sz w:val="20"/>
          <w:szCs w:val="20"/>
        </w:rPr>
      </w:pPr>
      <w:r w:rsidRPr="001A5142">
        <w:rPr>
          <w:rStyle w:val="FootnoteReference"/>
          <w:rFonts w:ascii="Times New Roman" w:hAnsi="Times New Roman" w:cs="Times New Roman"/>
          <w:sz w:val="20"/>
          <w:szCs w:val="20"/>
        </w:rPr>
        <w:footnoteRef/>
      </w:r>
      <w:r w:rsidRPr="001A5142">
        <w:rPr>
          <w:rFonts w:ascii="Times New Roman" w:hAnsi="Times New Roman" w:cs="Times New Roman"/>
          <w:sz w:val="20"/>
          <w:szCs w:val="20"/>
        </w:rPr>
        <w:t xml:space="preserve"> In addition to the recommendations listed below, consider maintaining the removal of the purchasing subsidy for oil processors (in line with the previous policy).</w:t>
      </w:r>
    </w:p>
  </w:footnote>
  <w:footnote w:id="44">
    <w:p w14:paraId="57B32712" w14:textId="77777777" w:rsidR="00B42297" w:rsidRPr="007575D7" w:rsidRDefault="00B42297" w:rsidP="00EE75CA">
      <w:pPr>
        <w:pStyle w:val="FootnoteText"/>
        <w:rPr>
          <w:rFonts w:ascii="Times New Roman" w:hAnsi="Times New Roman" w:cs="Times New Roman"/>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These numbers refer to the new, rebased GDP series that were published recently, covering 2014-2016, and including 2017 estimates. </w:t>
      </w:r>
    </w:p>
  </w:footnote>
  <w:footnote w:id="45">
    <w:p w14:paraId="0EEEBB81"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2017. </w:t>
      </w:r>
      <w:r w:rsidRPr="00B95753">
        <w:rPr>
          <w:rFonts w:ascii="Times New Roman" w:hAnsi="Times New Roman" w:cs="Times New Roman"/>
          <w:i/>
          <w:sz w:val="20"/>
          <w:szCs w:val="20"/>
        </w:rPr>
        <w:t>World Development Indicators</w:t>
      </w:r>
    </w:p>
  </w:footnote>
  <w:footnote w:id="46">
    <w:p w14:paraId="779BEECB"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2017. </w:t>
      </w:r>
      <w:r w:rsidRPr="00B95753">
        <w:rPr>
          <w:rFonts w:ascii="Times New Roman" w:hAnsi="Times New Roman" w:cs="Times New Roman"/>
          <w:i/>
          <w:sz w:val="20"/>
          <w:szCs w:val="20"/>
        </w:rPr>
        <w:t>World Development Indicators</w:t>
      </w:r>
      <w:r w:rsidRPr="00B95753">
        <w:rPr>
          <w:rFonts w:ascii="Times New Roman" w:hAnsi="Times New Roman" w:cs="Times New Roman"/>
          <w:sz w:val="20"/>
          <w:szCs w:val="20"/>
        </w:rPr>
        <w:t>; Data are only available for the years 2005 and 2011</w:t>
      </w:r>
    </w:p>
  </w:footnote>
  <w:footnote w:id="47">
    <w:p w14:paraId="3424E506"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IMF. 2017. </w:t>
      </w:r>
      <w:r w:rsidRPr="00B95753">
        <w:rPr>
          <w:rFonts w:ascii="Times New Roman" w:hAnsi="Times New Roman" w:cs="Times New Roman"/>
          <w:i/>
          <w:sz w:val="20"/>
          <w:szCs w:val="20"/>
        </w:rPr>
        <w:t>Article IV Review</w:t>
      </w:r>
      <w:r w:rsidRPr="00B95753">
        <w:rPr>
          <w:rFonts w:ascii="Times New Roman" w:hAnsi="Times New Roman" w:cs="Times New Roman"/>
          <w:sz w:val="20"/>
          <w:szCs w:val="20"/>
        </w:rPr>
        <w:t>.</w:t>
      </w:r>
    </w:p>
  </w:footnote>
  <w:footnote w:id="48">
    <w:p w14:paraId="7E2E512E" w14:textId="77777777" w:rsidR="00B42297" w:rsidRPr="00B95753" w:rsidRDefault="00B42297" w:rsidP="0043271C">
      <w:pPr>
        <w:pStyle w:val="FootnoteText"/>
        <w:jc w:val="both"/>
        <w:rPr>
          <w:rFonts w:ascii="Times New Roman" w:hAnsi="Times New Roman" w:cs="Times New Roman"/>
          <w:i/>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2017. </w:t>
      </w:r>
      <w:r w:rsidRPr="00B95753">
        <w:rPr>
          <w:rFonts w:ascii="Times New Roman" w:hAnsi="Times New Roman" w:cs="Times New Roman"/>
          <w:i/>
          <w:sz w:val="20"/>
          <w:szCs w:val="20"/>
        </w:rPr>
        <w:t>World Development Indicators</w:t>
      </w:r>
    </w:p>
  </w:footnote>
  <w:footnote w:id="49">
    <w:p w14:paraId="51ED55A9"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eastAsiaTheme="majorEastAsia" w:hAnsi="Times New Roman" w:cs="Times New Roman"/>
          <w:sz w:val="20"/>
          <w:szCs w:val="20"/>
        </w:rPr>
        <w:footnoteRef/>
      </w:r>
      <w:r w:rsidRPr="00B95753">
        <w:rPr>
          <w:rFonts w:ascii="Times New Roman" w:hAnsi="Times New Roman" w:cs="Times New Roman"/>
          <w:sz w:val="20"/>
          <w:szCs w:val="20"/>
        </w:rPr>
        <w:t xml:space="preserve"> World Bank. 2017. </w:t>
      </w:r>
      <w:r w:rsidRPr="00B95753">
        <w:rPr>
          <w:rFonts w:ascii="Times New Roman" w:hAnsi="Times New Roman" w:cs="Times New Roman"/>
          <w:i/>
          <w:sz w:val="20"/>
          <w:szCs w:val="20"/>
        </w:rPr>
        <w:t>World Development Indicators;</w:t>
      </w:r>
      <w:r w:rsidRPr="00B95753">
        <w:rPr>
          <w:rFonts w:ascii="Times New Roman" w:hAnsi="Times New Roman" w:cs="Times New Roman"/>
          <w:sz w:val="20"/>
          <w:szCs w:val="20"/>
        </w:rPr>
        <w:t xml:space="preserve"> Due to the absence of labor data, it is not possible to compute the usual labor market indicators such as unemployment and labor force participation rates. The employment to working-age population ratio is reported as a proxy of labor market activity. In the case of Senegal, such a ratio is at the lower end of the distribution – it is </w:t>
      </w:r>
      <w:r w:rsidRPr="009F5301">
        <w:rPr>
          <w:rFonts w:ascii="Times New Roman" w:hAnsi="Times New Roman" w:cs="Times New Roman"/>
          <w:sz w:val="20"/>
          <w:szCs w:val="20"/>
        </w:rPr>
        <w:t>considerably lower than the mean of most countries, both low-income (0.72) and high-income (0.56).</w:t>
      </w:r>
    </w:p>
  </w:footnote>
  <w:footnote w:id="50">
    <w:p w14:paraId="18FC094A"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 long-term positive effect found by Blanchard and </w:t>
      </w:r>
      <w:proofErr w:type="spellStart"/>
      <w:r w:rsidRPr="00B95753">
        <w:rPr>
          <w:rFonts w:ascii="Times New Roman" w:hAnsi="Times New Roman" w:cs="Times New Roman"/>
          <w:sz w:val="20"/>
          <w:szCs w:val="20"/>
        </w:rPr>
        <w:t>Giavazzi</w:t>
      </w:r>
      <w:proofErr w:type="spellEnd"/>
      <w:r w:rsidRPr="00B95753">
        <w:rPr>
          <w:rFonts w:ascii="Times New Roman" w:hAnsi="Times New Roman" w:cs="Times New Roman"/>
          <w:sz w:val="20"/>
          <w:szCs w:val="20"/>
        </w:rPr>
        <w:t xml:space="preserve"> (2003) assumes a reduction in entry costs.</w:t>
      </w:r>
    </w:p>
  </w:footnote>
  <w:footnote w:id="51">
    <w:p w14:paraId="17FD2E02"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 applicability of these results outside the OECD is not clear. One might expect the effects of product market regulation to be more modest in developing countries, for example, due to greater informality and a lower capacity for supervision.</w:t>
      </w:r>
    </w:p>
  </w:footnote>
  <w:footnote w:id="52">
    <w:p w14:paraId="66DAB933"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IDA Program Document –Concept Stage for a Proposed Credit to Senegal, Multi-Sector Structural Reforms DPO, July 2016. http://documents.worldbank.org/curated/en/813071472550399966/pdf/AB7863-PGID-P159023-Concept-Box396304B-PUBLIC-Disclosed-8-29-2016.pdf</w:t>
      </w:r>
    </w:p>
  </w:footnote>
  <w:footnote w:id="53">
    <w:p w14:paraId="6FFFB563" w14:textId="2D909AA9"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A073FC">
        <w:rPr>
          <w:rFonts w:ascii="Times New Roman" w:hAnsi="Times New Roman" w:cs="Times New Roman"/>
          <w:sz w:val="20"/>
          <w:szCs w:val="20"/>
          <w:lang w:val="en"/>
        </w:rPr>
        <w:t xml:space="preserve">The Product Space maps a country’s exports and quantifies the relatedness of products with a measure called proximity. Proximity </w:t>
      </w:r>
      <w:r>
        <w:rPr>
          <w:rFonts w:ascii="Times New Roman" w:hAnsi="Times New Roman" w:cs="Times New Roman"/>
          <w:sz w:val="20"/>
          <w:szCs w:val="20"/>
          <w:lang w:val="en"/>
        </w:rPr>
        <w:t>of products within the Product Space reflects similarities in technologies and inputs used to produce them.</w:t>
      </w:r>
      <w:r w:rsidRPr="00A073FC">
        <w:rPr>
          <w:rFonts w:ascii="Times New Roman" w:hAnsi="Times New Roman" w:cs="Times New Roman"/>
          <w:sz w:val="20"/>
          <w:szCs w:val="20"/>
          <w:lang w:val="en"/>
        </w:rPr>
        <w:t xml:space="preserve"> For example, </w:t>
      </w:r>
      <w:r>
        <w:rPr>
          <w:rFonts w:ascii="Times New Roman" w:hAnsi="Times New Roman" w:cs="Times New Roman"/>
          <w:sz w:val="20"/>
          <w:szCs w:val="20"/>
          <w:lang w:val="en"/>
        </w:rPr>
        <w:t xml:space="preserve">fruits and vegetables are highly proximate—the technologies and inputs used to produce melons for export could be readily shifted to the export of other fruits and vegetables but could not be shifted to the production of iron ore.  </w:t>
      </w:r>
      <w:r w:rsidRPr="00A073FC">
        <w:rPr>
          <w:rFonts w:ascii="Times New Roman" w:hAnsi="Times New Roman" w:cs="Times New Roman"/>
          <w:sz w:val="20"/>
          <w:szCs w:val="20"/>
          <w:lang w:val="en"/>
        </w:rPr>
        <w:t xml:space="preserve">At the periphery of the product space are the least complex products, and at the </w:t>
      </w:r>
      <w:r w:rsidRPr="00E53299">
        <w:rPr>
          <w:rFonts w:ascii="Times New Roman" w:hAnsi="Times New Roman" w:cs="Times New Roman"/>
          <w:sz w:val="20"/>
          <w:szCs w:val="20"/>
          <w:lang w:val="en"/>
        </w:rPr>
        <w:t>center the most complex ones. Once a country has moved towards the center of the product space where proximity between products is higher, it also becomes easier to diversify.</w:t>
      </w:r>
      <w:r w:rsidRPr="0045583C">
        <w:rPr>
          <w:rFonts w:ascii="Times New Roman" w:hAnsi="Times New Roman" w:cs="Times New Roman"/>
          <w:sz w:val="20"/>
          <w:szCs w:val="20"/>
          <w:lang w:val="en"/>
        </w:rPr>
        <w:t xml:space="preserve"> See also: </w:t>
      </w:r>
      <w:hyperlink r:id="rId5" w:history="1">
        <w:r w:rsidRPr="007575D7">
          <w:rPr>
            <w:rStyle w:val="Hyperlink"/>
            <w:rFonts w:ascii="Times New Roman" w:hAnsi="Times New Roman" w:cs="Times New Roman"/>
            <w:sz w:val="20"/>
            <w:szCs w:val="20"/>
          </w:rPr>
          <w:t>https://en.wikipedia.org/wiki/The_Product_Space</w:t>
        </w:r>
      </w:hyperlink>
      <w:r w:rsidRPr="007575D7">
        <w:rPr>
          <w:rStyle w:val="Hyperlink"/>
          <w:rFonts w:ascii="Times New Roman" w:hAnsi="Times New Roman" w:cs="Times New Roman"/>
          <w:sz w:val="20"/>
          <w:szCs w:val="20"/>
        </w:rPr>
        <w:t>.</w:t>
      </w:r>
      <w:r>
        <w:rPr>
          <w:rStyle w:val="Hyperlink"/>
        </w:rPr>
        <w:t xml:space="preserve"> </w:t>
      </w:r>
    </w:p>
  </w:footnote>
  <w:footnote w:id="54">
    <w:p w14:paraId="3FDE8B54" w14:textId="7F326230"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 strategy aims for 75 percent of its cost to be funded by the private sector, 15 percent </w:t>
      </w:r>
      <w:r>
        <w:rPr>
          <w:rFonts w:ascii="Times New Roman" w:hAnsi="Times New Roman" w:cs="Times New Roman"/>
          <w:sz w:val="20"/>
          <w:szCs w:val="20"/>
        </w:rPr>
        <w:t>to</w:t>
      </w:r>
      <w:r w:rsidRPr="00B95753">
        <w:rPr>
          <w:rFonts w:ascii="Times New Roman" w:hAnsi="Times New Roman" w:cs="Times New Roman"/>
          <w:sz w:val="20"/>
          <w:szCs w:val="20"/>
        </w:rPr>
        <w:t xml:space="preserve"> come from the public sector, </w:t>
      </w:r>
      <w:r>
        <w:rPr>
          <w:rFonts w:ascii="Times New Roman" w:hAnsi="Times New Roman" w:cs="Times New Roman"/>
          <w:sz w:val="20"/>
          <w:szCs w:val="20"/>
        </w:rPr>
        <w:t>and</w:t>
      </w:r>
      <w:r w:rsidRPr="00B95753">
        <w:rPr>
          <w:rFonts w:ascii="Times New Roman" w:hAnsi="Times New Roman" w:cs="Times New Roman"/>
          <w:sz w:val="20"/>
          <w:szCs w:val="20"/>
        </w:rPr>
        <w:t xml:space="preserve"> the remaining 10 percent </w:t>
      </w:r>
      <w:r>
        <w:rPr>
          <w:rFonts w:ascii="Times New Roman" w:hAnsi="Times New Roman" w:cs="Times New Roman"/>
          <w:sz w:val="20"/>
          <w:szCs w:val="20"/>
        </w:rPr>
        <w:t>to</w:t>
      </w:r>
      <w:r w:rsidRPr="00B95753">
        <w:rPr>
          <w:rFonts w:ascii="Times New Roman" w:hAnsi="Times New Roman" w:cs="Times New Roman"/>
          <w:sz w:val="20"/>
          <w:szCs w:val="20"/>
        </w:rPr>
        <w:t xml:space="preserve"> be mobilized through public-private partnerships. In connection with the new digital strategy, the </w:t>
      </w:r>
      <w:r>
        <w:rPr>
          <w:rFonts w:ascii="Times New Roman" w:hAnsi="Times New Roman" w:cs="Times New Roman"/>
          <w:sz w:val="20"/>
          <w:szCs w:val="20"/>
        </w:rPr>
        <w:t xml:space="preserve">Government </w:t>
      </w:r>
      <w:r w:rsidRPr="00B95753">
        <w:rPr>
          <w:rFonts w:ascii="Times New Roman" w:hAnsi="Times New Roman" w:cs="Times New Roman"/>
          <w:sz w:val="20"/>
          <w:szCs w:val="20"/>
        </w:rPr>
        <w:t xml:space="preserve">aims to establish an umbrella governance body for the ICT sector, with the creation of the “Conseil National du </w:t>
      </w:r>
      <w:proofErr w:type="spellStart"/>
      <w:r w:rsidRPr="00B95753">
        <w:rPr>
          <w:rFonts w:ascii="Times New Roman" w:hAnsi="Times New Roman" w:cs="Times New Roman"/>
          <w:sz w:val="20"/>
          <w:szCs w:val="20"/>
        </w:rPr>
        <w:t>Numérique</w:t>
      </w:r>
      <w:proofErr w:type="spellEnd"/>
      <w:r w:rsidRPr="00B95753">
        <w:rPr>
          <w:rFonts w:ascii="Times New Roman" w:hAnsi="Times New Roman" w:cs="Times New Roman"/>
          <w:sz w:val="20"/>
          <w:szCs w:val="20"/>
        </w:rPr>
        <w:t>”, gathering both public and private stakeholders to guide and monitor the implementation of the Strategy.</w:t>
      </w:r>
    </w:p>
  </w:footnote>
  <w:footnote w:id="55">
    <w:p w14:paraId="5793F2CD" w14:textId="77777777" w:rsidR="00B42297" w:rsidRPr="00B95753" w:rsidRDefault="00B42297" w:rsidP="0043271C">
      <w:pPr>
        <w:autoSpaceDE w:val="0"/>
        <w:autoSpaceDN w:val="0"/>
        <w:adjustRightInd w:val="0"/>
        <w:jc w:val="both"/>
        <w:rPr>
          <w:rFonts w:ascii="Times New Roman" w:eastAsia="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gramStart"/>
      <w:r w:rsidRPr="00B95753">
        <w:rPr>
          <w:rFonts w:ascii="Times New Roman" w:eastAsia="Times New Roman" w:hAnsi="Times New Roman" w:cs="Times New Roman"/>
          <w:sz w:val="20"/>
          <w:szCs w:val="20"/>
        </w:rPr>
        <w:t>With regard to</w:t>
      </w:r>
      <w:proofErr w:type="gramEnd"/>
      <w:r w:rsidRPr="00B95753">
        <w:rPr>
          <w:rFonts w:ascii="Times New Roman" w:eastAsia="Times New Roman" w:hAnsi="Times New Roman" w:cs="Times New Roman"/>
          <w:sz w:val="20"/>
          <w:szCs w:val="20"/>
        </w:rPr>
        <w:t xml:space="preserve"> the challenges facing Senegal’s agriculture, the PSE acknowledges the </w:t>
      </w:r>
      <w:r>
        <w:rPr>
          <w:rFonts w:ascii="Times New Roman" w:eastAsia="Times New Roman" w:hAnsi="Times New Roman" w:cs="Times New Roman"/>
          <w:sz w:val="20"/>
          <w:szCs w:val="20"/>
        </w:rPr>
        <w:t>relationships between</w:t>
      </w:r>
      <w:r w:rsidRPr="00B95753">
        <w:rPr>
          <w:rFonts w:ascii="Times New Roman" w:eastAsia="Times New Roman" w:hAnsi="Times New Roman" w:cs="Times New Roman"/>
          <w:sz w:val="20"/>
          <w:szCs w:val="20"/>
        </w:rPr>
        <w:t xml:space="preserve"> the agricultural sector </w:t>
      </w:r>
      <w:r>
        <w:rPr>
          <w:rFonts w:ascii="Times New Roman" w:eastAsia="Times New Roman" w:hAnsi="Times New Roman" w:cs="Times New Roman"/>
          <w:sz w:val="20"/>
          <w:szCs w:val="20"/>
        </w:rPr>
        <w:t xml:space="preserve">and the </w:t>
      </w:r>
      <w:r w:rsidRPr="00B95753">
        <w:rPr>
          <w:rFonts w:ascii="Times New Roman" w:eastAsia="Times New Roman" w:hAnsi="Times New Roman" w:cs="Times New Roman"/>
          <w:sz w:val="20"/>
          <w:szCs w:val="20"/>
        </w:rPr>
        <w:t xml:space="preserve">other branches of the economy, in particular with </w:t>
      </w:r>
      <w:proofErr w:type="spellStart"/>
      <w:r w:rsidRPr="00B95753">
        <w:rPr>
          <w:rFonts w:ascii="Times New Roman" w:eastAsia="Times New Roman" w:hAnsi="Times New Roman" w:cs="Times New Roman"/>
          <w:sz w:val="20"/>
          <w:szCs w:val="20"/>
        </w:rPr>
        <w:t>agro</w:t>
      </w:r>
      <w:proofErr w:type="spellEnd"/>
      <w:r w:rsidRPr="00B95753">
        <w:rPr>
          <w:rFonts w:ascii="Times New Roman" w:eastAsia="Times New Roman" w:hAnsi="Times New Roman" w:cs="Times New Roman"/>
          <w:sz w:val="20"/>
          <w:szCs w:val="20"/>
        </w:rPr>
        <w:t>-</w:t>
      </w:r>
      <w:r>
        <w:rPr>
          <w:rFonts w:ascii="Times New Roman" w:eastAsia="Times New Roman" w:hAnsi="Times New Roman" w:cs="Times New Roman"/>
          <w:sz w:val="20"/>
          <w:szCs w:val="20"/>
        </w:rPr>
        <w:t>industries, as well as its spill</w:t>
      </w:r>
      <w:r w:rsidRPr="00B95753">
        <w:rPr>
          <w:rFonts w:ascii="Times New Roman" w:eastAsia="Times New Roman" w:hAnsi="Times New Roman" w:cs="Times New Roman"/>
          <w:sz w:val="20"/>
          <w:szCs w:val="20"/>
        </w:rPr>
        <w:t>over and leveraging effects on other sectors of activity (transport, trade, etc.). For that reason, the PSE highlights the role of “</w:t>
      </w:r>
      <w:proofErr w:type="spellStart"/>
      <w:r w:rsidRPr="00B95753">
        <w:rPr>
          <w:rFonts w:ascii="Times New Roman" w:eastAsia="Times New Roman" w:hAnsi="Times New Roman" w:cs="Times New Roman"/>
          <w:sz w:val="20"/>
          <w:szCs w:val="20"/>
        </w:rPr>
        <w:t>agro</w:t>
      </w:r>
      <w:proofErr w:type="spellEnd"/>
      <w:r w:rsidRPr="00B95753">
        <w:rPr>
          <w:rFonts w:ascii="Times New Roman" w:eastAsia="Times New Roman" w:hAnsi="Times New Roman" w:cs="Times New Roman"/>
          <w:sz w:val="20"/>
          <w:szCs w:val="20"/>
        </w:rPr>
        <w:t xml:space="preserve">-poles” as the driving force of industrialization in Senegal through enhancement of agricultural added value; it provides for the creation and development of three integrated and competitive </w:t>
      </w:r>
      <w:proofErr w:type="spellStart"/>
      <w:r w:rsidRPr="00B95753">
        <w:rPr>
          <w:rFonts w:ascii="Times New Roman" w:eastAsia="Times New Roman" w:hAnsi="Times New Roman" w:cs="Times New Roman"/>
          <w:sz w:val="20"/>
          <w:szCs w:val="20"/>
        </w:rPr>
        <w:t>agro</w:t>
      </w:r>
      <w:proofErr w:type="spellEnd"/>
      <w:r w:rsidRPr="00B95753">
        <w:rPr>
          <w:rFonts w:ascii="Times New Roman" w:eastAsia="Times New Roman" w:hAnsi="Times New Roman" w:cs="Times New Roman"/>
          <w:sz w:val="20"/>
          <w:szCs w:val="20"/>
        </w:rPr>
        <w:t xml:space="preserve">-poles focused on high-potential value chains (livestock, fruits and vegetables, fisheries and aquaculture). These </w:t>
      </w:r>
      <w:proofErr w:type="spellStart"/>
      <w:r w:rsidRPr="00B95753">
        <w:rPr>
          <w:rFonts w:ascii="Times New Roman" w:eastAsia="Times New Roman" w:hAnsi="Times New Roman" w:cs="Times New Roman"/>
          <w:sz w:val="20"/>
          <w:szCs w:val="20"/>
        </w:rPr>
        <w:t>agro</w:t>
      </w:r>
      <w:proofErr w:type="spellEnd"/>
      <w:r w:rsidRPr="00B95753">
        <w:rPr>
          <w:rFonts w:ascii="Times New Roman" w:eastAsia="Times New Roman" w:hAnsi="Times New Roman" w:cs="Times New Roman"/>
          <w:sz w:val="20"/>
          <w:szCs w:val="20"/>
        </w:rPr>
        <w:t xml:space="preserve">-poles will serve as enterprise incubators providing facilities and services with the main objective of strengthening and supporting </w:t>
      </w:r>
      <w:proofErr w:type="spellStart"/>
      <w:r w:rsidRPr="00B95753">
        <w:rPr>
          <w:rFonts w:ascii="Times New Roman" w:eastAsia="Times New Roman" w:hAnsi="Times New Roman" w:cs="Times New Roman"/>
          <w:sz w:val="20"/>
          <w:szCs w:val="20"/>
        </w:rPr>
        <w:t>agro</w:t>
      </w:r>
      <w:proofErr w:type="spellEnd"/>
      <w:r w:rsidRPr="00B95753">
        <w:rPr>
          <w:rFonts w:ascii="Times New Roman" w:eastAsia="Times New Roman" w:hAnsi="Times New Roman" w:cs="Times New Roman"/>
          <w:sz w:val="20"/>
          <w:szCs w:val="20"/>
        </w:rPr>
        <w:t xml:space="preserve">-industry value </w:t>
      </w:r>
      <w:proofErr w:type="gramStart"/>
      <w:r w:rsidRPr="00B95753">
        <w:rPr>
          <w:rFonts w:ascii="Times New Roman" w:eastAsia="Times New Roman" w:hAnsi="Times New Roman" w:cs="Times New Roman"/>
          <w:sz w:val="20"/>
          <w:szCs w:val="20"/>
        </w:rPr>
        <w:t>chains, and</w:t>
      </w:r>
      <w:proofErr w:type="gramEnd"/>
      <w:r w:rsidRPr="00B95753">
        <w:rPr>
          <w:rFonts w:ascii="Times New Roman" w:eastAsia="Times New Roman" w:hAnsi="Times New Roman" w:cs="Times New Roman"/>
          <w:sz w:val="20"/>
          <w:szCs w:val="20"/>
        </w:rPr>
        <w:t xml:space="preserve"> promoting commercial farming among local and regional producers through integrated training plans, capacity building and the establishment of appropriate PPP financial schemes. To this effect, the strategic choices of PSE in terms of industrialization have been mainly directed towards the development of industrial parks and the promotion and upgrading of high-potential value chains that can attract foreign and domestic investors.</w:t>
      </w:r>
    </w:p>
  </w:footnote>
  <w:footnote w:id="56">
    <w:p w14:paraId="61D681C8"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IMF. 2017. </w:t>
      </w:r>
      <w:r w:rsidRPr="00B95753">
        <w:rPr>
          <w:rFonts w:ascii="Times New Roman" w:hAnsi="Times New Roman" w:cs="Times New Roman"/>
          <w:i/>
          <w:sz w:val="20"/>
          <w:szCs w:val="20"/>
        </w:rPr>
        <w:t>Article IV Review</w:t>
      </w:r>
      <w:r w:rsidRPr="00B95753">
        <w:rPr>
          <w:rFonts w:ascii="Times New Roman" w:hAnsi="Times New Roman" w:cs="Times New Roman"/>
          <w:sz w:val="20"/>
          <w:szCs w:val="20"/>
        </w:rPr>
        <w:t>.</w:t>
      </w:r>
    </w:p>
  </w:footnote>
  <w:footnote w:id="57">
    <w:p w14:paraId="7D3DB14A"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2014. </w:t>
      </w:r>
      <w:r w:rsidRPr="00B95753">
        <w:rPr>
          <w:rFonts w:ascii="Times New Roman" w:eastAsia="Times New Roman" w:hAnsi="Times New Roman" w:cs="Times New Roman"/>
          <w:i/>
          <w:sz w:val="20"/>
          <w:szCs w:val="20"/>
        </w:rPr>
        <w:t xml:space="preserve">Plan </w:t>
      </w:r>
      <w:proofErr w:type="spellStart"/>
      <w:r w:rsidRPr="00B95753">
        <w:rPr>
          <w:rFonts w:ascii="Times New Roman" w:eastAsia="Times New Roman" w:hAnsi="Times New Roman" w:cs="Times New Roman"/>
          <w:i/>
          <w:sz w:val="20"/>
          <w:szCs w:val="20"/>
        </w:rPr>
        <w:t>Sénégal</w:t>
      </w:r>
      <w:proofErr w:type="spellEnd"/>
      <w:r w:rsidRPr="00B95753">
        <w:rPr>
          <w:rFonts w:ascii="Times New Roman" w:eastAsia="Times New Roman" w:hAnsi="Times New Roman" w:cs="Times New Roman"/>
          <w:i/>
          <w:sz w:val="20"/>
          <w:szCs w:val="20"/>
        </w:rPr>
        <w:t xml:space="preserve"> Emergent,</w:t>
      </w:r>
      <w:r w:rsidRPr="00B95753">
        <w:rPr>
          <w:rFonts w:ascii="Times New Roman" w:eastAsia="Times New Roman" w:hAnsi="Times New Roman" w:cs="Times New Roman"/>
          <w:sz w:val="20"/>
          <w:szCs w:val="20"/>
        </w:rPr>
        <w:t xml:space="preserve"> p. 81.</w:t>
      </w:r>
    </w:p>
  </w:footnote>
  <w:footnote w:id="58">
    <w:p w14:paraId="42C769B4"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2014. </w:t>
      </w:r>
      <w:r w:rsidRPr="00B95753">
        <w:rPr>
          <w:rFonts w:ascii="Times New Roman" w:eastAsia="Times New Roman" w:hAnsi="Times New Roman" w:cs="Times New Roman"/>
          <w:i/>
          <w:sz w:val="20"/>
          <w:szCs w:val="20"/>
        </w:rPr>
        <w:t xml:space="preserve">Plan </w:t>
      </w:r>
      <w:proofErr w:type="spellStart"/>
      <w:r w:rsidRPr="00B95753">
        <w:rPr>
          <w:rFonts w:ascii="Times New Roman" w:eastAsia="Times New Roman" w:hAnsi="Times New Roman" w:cs="Times New Roman"/>
          <w:i/>
          <w:sz w:val="20"/>
          <w:szCs w:val="20"/>
        </w:rPr>
        <w:t>Sénégal</w:t>
      </w:r>
      <w:proofErr w:type="spellEnd"/>
      <w:r w:rsidRPr="00B95753">
        <w:rPr>
          <w:rFonts w:ascii="Times New Roman" w:eastAsia="Times New Roman" w:hAnsi="Times New Roman" w:cs="Times New Roman"/>
          <w:i/>
          <w:sz w:val="20"/>
          <w:szCs w:val="20"/>
        </w:rPr>
        <w:t xml:space="preserve"> Emergent,</w:t>
      </w:r>
      <w:r w:rsidRPr="00B95753">
        <w:rPr>
          <w:rFonts w:ascii="Times New Roman" w:eastAsia="Times New Roman" w:hAnsi="Times New Roman" w:cs="Times New Roman"/>
          <w:sz w:val="20"/>
          <w:szCs w:val="20"/>
        </w:rPr>
        <w:t xml:space="preserve"> p. 80.</w:t>
      </w:r>
    </w:p>
  </w:footnote>
  <w:footnote w:id="59">
    <w:p w14:paraId="772F081D" w14:textId="77777777" w:rsidR="00B42297" w:rsidRPr="007575D7" w:rsidRDefault="00B42297" w:rsidP="0043271C">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w:t>
      </w:r>
      <w:r w:rsidRPr="007575D7">
        <w:rPr>
          <w:rFonts w:ascii="Times New Roman" w:hAnsi="Times New Roman" w:cs="Times New Roman"/>
          <w:sz w:val="20"/>
          <w:szCs w:val="20"/>
          <w:lang w:val="fr-FR"/>
        </w:rPr>
        <w:t xml:space="preserve">2016. </w:t>
      </w:r>
      <w:r w:rsidRPr="007575D7">
        <w:rPr>
          <w:rFonts w:ascii="Times New Roman" w:eastAsia="Times New Roman" w:hAnsi="Times New Roman" w:cs="Times New Roman"/>
          <w:i/>
          <w:sz w:val="20"/>
          <w:szCs w:val="20"/>
          <w:lang w:val="fr-FR"/>
        </w:rPr>
        <w:t>Sénégal Numérique 2016-2025</w:t>
      </w:r>
      <w:r w:rsidRPr="007575D7">
        <w:rPr>
          <w:rFonts w:ascii="Times New Roman" w:eastAsia="Times New Roman" w:hAnsi="Times New Roman" w:cs="Times New Roman"/>
          <w:sz w:val="20"/>
          <w:szCs w:val="20"/>
          <w:lang w:val="fr-FR"/>
        </w:rPr>
        <w:t>, p. 25.</w:t>
      </w:r>
    </w:p>
  </w:footnote>
  <w:footnote w:id="60">
    <w:p w14:paraId="625725B0"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w:t>
      </w:r>
      <w:r w:rsidRPr="007575D7">
        <w:rPr>
          <w:rFonts w:ascii="Times New Roman" w:eastAsia="Times New Roman" w:hAnsi="Times New Roman" w:cs="Times New Roman"/>
          <w:sz w:val="20"/>
          <w:szCs w:val="20"/>
        </w:rPr>
        <w:t xml:space="preserve">Motta, M. 2004. </w:t>
      </w:r>
      <w:r w:rsidRPr="00B95753">
        <w:rPr>
          <w:rFonts w:ascii="Times New Roman" w:eastAsia="Times New Roman" w:hAnsi="Times New Roman" w:cs="Times New Roman"/>
          <w:i/>
          <w:sz w:val="20"/>
          <w:szCs w:val="20"/>
          <w:lang w:val="en"/>
        </w:rPr>
        <w:t>Competition Policy</w:t>
      </w:r>
      <w:r w:rsidRPr="00B95753">
        <w:rPr>
          <w:rFonts w:ascii="Times New Roman" w:eastAsia="Times New Roman" w:hAnsi="Times New Roman" w:cs="Times New Roman"/>
          <w:sz w:val="20"/>
          <w:szCs w:val="20"/>
          <w:lang w:val="en"/>
        </w:rPr>
        <w:t>. Cambridge Books, Cambridge University Press</w:t>
      </w:r>
      <w:r w:rsidRPr="00B95753">
        <w:rPr>
          <w:rFonts w:ascii="Times New Roman" w:hAnsi="Times New Roman" w:cs="Times New Roman"/>
          <w:sz w:val="20"/>
          <w:szCs w:val="20"/>
          <w:lang w:val="en"/>
        </w:rPr>
        <w:t>.</w:t>
      </w:r>
    </w:p>
  </w:footnote>
  <w:footnote w:id="61">
    <w:p w14:paraId="444DB32B" w14:textId="77777777" w:rsidR="00B42297" w:rsidRPr="00B95753" w:rsidRDefault="00B42297" w:rsidP="0043271C">
      <w:pPr>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hAnsi="Times New Roman" w:cs="Times New Roman"/>
          <w:sz w:val="20"/>
          <w:szCs w:val="20"/>
          <w:lang w:val="en"/>
        </w:rPr>
        <w:t xml:space="preserve">For more details on competition advocacy, see International Competition Network. 2009. </w:t>
      </w:r>
      <w:r w:rsidRPr="00B95753">
        <w:rPr>
          <w:rFonts w:ascii="Times New Roman" w:hAnsi="Times New Roman" w:cs="Times New Roman"/>
          <w:i/>
          <w:sz w:val="20"/>
          <w:szCs w:val="20"/>
          <w:lang w:val="en"/>
        </w:rPr>
        <w:t>Report on Assessment of ICN Members’ Requirements and Recommendations on Further ICN Work on Competition Advocacy</w:t>
      </w:r>
      <w:r w:rsidRPr="00B95753">
        <w:rPr>
          <w:rFonts w:ascii="Times New Roman" w:hAnsi="Times New Roman" w:cs="Times New Roman"/>
          <w:sz w:val="20"/>
          <w:szCs w:val="20"/>
          <w:lang w:val="en"/>
        </w:rPr>
        <w:t>. Presented at the 8th Annual Conference of the ICN, Zurich (June).</w:t>
      </w:r>
      <w:r w:rsidRPr="00B95753">
        <w:rPr>
          <w:rFonts w:ascii="Times New Roman" w:hAnsi="Times New Roman" w:cs="Times New Roman"/>
          <w:sz w:val="20"/>
          <w:szCs w:val="20"/>
        </w:rPr>
        <w:t xml:space="preserve"> </w:t>
      </w:r>
    </w:p>
  </w:footnote>
  <w:footnote w:id="62">
    <w:p w14:paraId="73DF577A" w14:textId="28B0DC70" w:rsidR="00B42297" w:rsidRPr="00B95753" w:rsidRDefault="00B42297" w:rsidP="0043271C">
      <w:pPr>
        <w:autoSpaceDE w:val="0"/>
        <w:autoSpaceDN w:val="0"/>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hAnsi="Times New Roman" w:cs="Times New Roman"/>
          <w:sz w:val="20"/>
          <w:szCs w:val="20"/>
          <w:lang w:val="en"/>
        </w:rPr>
        <w:t xml:space="preserve">Consistent with the World Bank Markets and Competition Policy Assessment Toolkit (MCPAT), </w:t>
      </w:r>
      <w:r>
        <w:rPr>
          <w:rFonts w:ascii="Times New Roman" w:hAnsi="Times New Roman" w:cs="Times New Roman"/>
          <w:sz w:val="20"/>
          <w:szCs w:val="20"/>
          <w:lang w:val="en"/>
        </w:rPr>
        <w:t xml:space="preserve">Government </w:t>
      </w:r>
      <w:r w:rsidRPr="00B95753">
        <w:rPr>
          <w:rFonts w:ascii="Times New Roman" w:hAnsi="Times New Roman" w:cs="Times New Roman"/>
          <w:sz w:val="20"/>
          <w:szCs w:val="20"/>
          <w:lang w:val="en"/>
        </w:rPr>
        <w:t>interventions described in this section</w:t>
      </w:r>
      <w:r>
        <w:rPr>
          <w:rFonts w:ascii="Times New Roman" w:hAnsi="Times New Roman" w:cs="Times New Roman"/>
          <w:sz w:val="20"/>
          <w:szCs w:val="20"/>
          <w:lang w:val="en"/>
        </w:rPr>
        <w:t xml:space="preserve"> are considered</w:t>
      </w:r>
      <w:r w:rsidRPr="00B95753">
        <w:rPr>
          <w:rFonts w:ascii="Times New Roman" w:hAnsi="Times New Roman" w:cs="Times New Roman"/>
          <w:sz w:val="20"/>
          <w:szCs w:val="20"/>
          <w:lang w:val="en"/>
        </w:rPr>
        <w:t xml:space="preserve"> to include </w:t>
      </w:r>
      <w:r>
        <w:rPr>
          <w:rFonts w:ascii="Times New Roman" w:hAnsi="Times New Roman" w:cs="Times New Roman"/>
          <w:sz w:val="20"/>
          <w:szCs w:val="20"/>
          <w:lang w:val="en"/>
        </w:rPr>
        <w:t xml:space="preserve">Government </w:t>
      </w:r>
      <w:r w:rsidRPr="00B95753">
        <w:rPr>
          <w:rFonts w:ascii="Times New Roman" w:hAnsi="Times New Roman" w:cs="Times New Roman"/>
          <w:sz w:val="20"/>
          <w:szCs w:val="20"/>
          <w:lang w:val="en"/>
        </w:rPr>
        <w:t xml:space="preserve">policies, regulations, rules, procedures and actions of </w:t>
      </w:r>
      <w:r>
        <w:rPr>
          <w:rFonts w:ascii="Times New Roman" w:hAnsi="Times New Roman" w:cs="Times New Roman"/>
          <w:sz w:val="20"/>
          <w:szCs w:val="20"/>
          <w:lang w:val="en"/>
        </w:rPr>
        <w:t xml:space="preserve">Government </w:t>
      </w:r>
      <w:r w:rsidRPr="00B95753">
        <w:rPr>
          <w:rFonts w:ascii="Times New Roman" w:hAnsi="Times New Roman" w:cs="Times New Roman"/>
          <w:sz w:val="20"/>
          <w:szCs w:val="20"/>
          <w:lang w:val="en"/>
        </w:rPr>
        <w:t>officials that affect decisions made by market players regarding economic matters.</w:t>
      </w:r>
    </w:p>
  </w:footnote>
  <w:footnote w:id="63">
    <w:p w14:paraId="5A2BE1DF"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hAnsi="Times New Roman" w:cs="Times New Roman"/>
          <w:sz w:val="20"/>
          <w:szCs w:val="20"/>
          <w:lang w:val="en"/>
        </w:rPr>
        <w:t>Procompetitive regulations are those that are designed to achieve public policy objectives whilst minimizing the extent to which the regulation hinders competition, or those that are set with the explicit objective of increasing entry or the degree of rivalry in a market.</w:t>
      </w:r>
      <w:r w:rsidRPr="00B95753">
        <w:rPr>
          <w:rFonts w:ascii="Times New Roman" w:hAnsi="Times New Roman" w:cs="Times New Roman"/>
          <w:bCs/>
          <w:sz w:val="20"/>
          <w:szCs w:val="20"/>
          <w:lang w:val="en"/>
        </w:rPr>
        <w:t xml:space="preserve"> </w:t>
      </w:r>
    </w:p>
  </w:footnote>
  <w:footnote w:id="64">
    <w:p w14:paraId="60852045" w14:textId="2A888F9E" w:rsidR="00B42297" w:rsidRPr="005A26C7"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Pr>
          <w:rFonts w:ascii="Times New Roman" w:hAnsi="Times New Roman" w:cs="Times New Roman"/>
          <w:sz w:val="20"/>
          <w:szCs w:val="20"/>
        </w:rPr>
        <w:t xml:space="preserve">Government </w:t>
      </w:r>
      <w:r w:rsidRPr="00B95753">
        <w:rPr>
          <w:rFonts w:ascii="Times New Roman" w:hAnsi="Times New Roman" w:cs="Times New Roman"/>
          <w:sz w:val="20"/>
          <w:szCs w:val="20"/>
        </w:rPr>
        <w:t xml:space="preserve">interventions include </w:t>
      </w:r>
      <w:r>
        <w:rPr>
          <w:rFonts w:ascii="Times New Roman" w:hAnsi="Times New Roman" w:cs="Times New Roman"/>
          <w:sz w:val="20"/>
          <w:szCs w:val="20"/>
        </w:rPr>
        <w:t xml:space="preserve">Government </w:t>
      </w:r>
      <w:r w:rsidRPr="00B95753">
        <w:rPr>
          <w:rFonts w:ascii="Times New Roman" w:hAnsi="Times New Roman" w:cs="Times New Roman"/>
          <w:sz w:val="20"/>
          <w:szCs w:val="20"/>
        </w:rPr>
        <w:t xml:space="preserve">policies, regulations, rules, procedures and actions of </w:t>
      </w:r>
      <w:r>
        <w:rPr>
          <w:rFonts w:ascii="Times New Roman" w:hAnsi="Times New Roman" w:cs="Times New Roman"/>
          <w:sz w:val="20"/>
          <w:szCs w:val="20"/>
        </w:rPr>
        <w:t xml:space="preserve">Government </w:t>
      </w:r>
      <w:r w:rsidRPr="00B95753">
        <w:rPr>
          <w:rFonts w:ascii="Times New Roman" w:hAnsi="Times New Roman" w:cs="Times New Roman"/>
          <w:sz w:val="20"/>
          <w:szCs w:val="20"/>
        </w:rPr>
        <w:t xml:space="preserve">officials that affect decisions made by market players regarding economic matters. In addition, rules set by the private sector also affect market functioning. The World Bank’s Markets and Competition Policy Assessment Toolkit (MCPAT) also covers potential effects of self-regulation schemes established by professional and business associations that affect incentives of market players to compete in a </w:t>
      </w:r>
      <w:proofErr w:type="gramStart"/>
      <w:r w:rsidRPr="00B95753">
        <w:rPr>
          <w:rFonts w:ascii="Times New Roman" w:hAnsi="Times New Roman" w:cs="Times New Roman"/>
          <w:sz w:val="20"/>
          <w:szCs w:val="20"/>
        </w:rPr>
        <w:t>particular market</w:t>
      </w:r>
      <w:proofErr w:type="gramEnd"/>
      <w:r w:rsidRPr="00B95753">
        <w:rPr>
          <w:rFonts w:ascii="Times New Roman" w:hAnsi="Times New Roman" w:cs="Times New Roman"/>
          <w:sz w:val="20"/>
          <w:szCs w:val="20"/>
        </w:rPr>
        <w:t>.</w:t>
      </w:r>
    </w:p>
  </w:footnote>
  <w:footnote w:id="65">
    <w:p w14:paraId="6E33E55C" w14:textId="77777777" w:rsidR="00B42297" w:rsidRPr="00B95753" w:rsidRDefault="00B42297" w:rsidP="0043271C">
      <w:pPr>
        <w:pStyle w:val="NormalWeb"/>
        <w:kinsoku w:val="0"/>
        <w:overflowPunct w:val="0"/>
        <w:spacing w:before="0" w:beforeAutospacing="0" w:after="0" w:afterAutospacing="0"/>
        <w:jc w:val="both"/>
        <w:textAlignment w:val="baseline"/>
        <w:rPr>
          <w:rFonts w:ascii="Times New Roman" w:hAnsi="Times New Roman"/>
        </w:rPr>
      </w:pPr>
      <w:r w:rsidRPr="00B95753">
        <w:rPr>
          <w:rStyle w:val="FootnoteReference"/>
          <w:rFonts w:ascii="Times New Roman" w:hAnsi="Times New Roman"/>
        </w:rPr>
        <w:footnoteRef/>
      </w:r>
      <w:r w:rsidRPr="00B95753">
        <w:rPr>
          <w:rFonts w:ascii="Times New Roman" w:hAnsi="Times New Roman"/>
        </w:rPr>
        <w:t xml:space="preserve"> </w:t>
      </w:r>
      <w:r w:rsidRPr="00B95753">
        <w:rPr>
          <w:rFonts w:ascii="Times New Roman" w:eastAsia="Times New Roman" w:hAnsi="Times New Roman"/>
          <w:color w:val="000000"/>
        </w:rPr>
        <w:t xml:space="preserve">World Bank. 2016. </w:t>
      </w:r>
      <w:r w:rsidRPr="00B95753">
        <w:rPr>
          <w:rFonts w:ascii="Times New Roman" w:eastAsia="Times New Roman" w:hAnsi="Times New Roman"/>
          <w:i/>
          <w:iCs/>
          <w:color w:val="000000"/>
        </w:rPr>
        <w:t>Economic Diversification Guidance Note</w:t>
      </w:r>
      <w:r w:rsidRPr="00B95753">
        <w:rPr>
          <w:rFonts w:ascii="Times New Roman" w:eastAsia="MS PGothic" w:hAnsi="Times New Roman"/>
          <w:iCs/>
          <w:kern w:val="24"/>
        </w:rPr>
        <w:t>.</w:t>
      </w:r>
    </w:p>
    <w:p w14:paraId="57F2E2A5" w14:textId="77777777" w:rsidR="00B42297" w:rsidRPr="00B95753" w:rsidRDefault="00B42297" w:rsidP="0043271C">
      <w:pPr>
        <w:pStyle w:val="FootnoteText"/>
        <w:jc w:val="both"/>
        <w:rPr>
          <w:rFonts w:ascii="Times New Roman" w:hAnsi="Times New Roman" w:cs="Times New Roman"/>
          <w:sz w:val="20"/>
          <w:szCs w:val="20"/>
        </w:rPr>
      </w:pPr>
    </w:p>
  </w:footnote>
  <w:footnote w:id="66">
    <w:p w14:paraId="1BEDC742"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For a literature review, see </w:t>
      </w:r>
      <w:r w:rsidRPr="00B95753">
        <w:rPr>
          <w:rFonts w:ascii="Times New Roman" w:eastAsia="Times New Roman" w:hAnsi="Times New Roman" w:cs="Times New Roman"/>
          <w:color w:val="000000"/>
          <w:sz w:val="20"/>
          <w:szCs w:val="20"/>
        </w:rPr>
        <w:t xml:space="preserve">World Bank. 2016. </w:t>
      </w:r>
      <w:r w:rsidRPr="00B95753">
        <w:rPr>
          <w:rFonts w:ascii="Times New Roman" w:eastAsia="Times New Roman" w:hAnsi="Times New Roman" w:cs="Times New Roman"/>
          <w:i/>
          <w:iCs/>
          <w:color w:val="000000"/>
          <w:sz w:val="20"/>
          <w:szCs w:val="20"/>
        </w:rPr>
        <w:t>A Step Ahead: Competition Policy for Shared Prosperity and Inclusive Growth.</w:t>
      </w:r>
    </w:p>
  </w:footnote>
  <w:footnote w:id="67">
    <w:p w14:paraId="0C01F75C" w14:textId="3BDAE1C1" w:rsidR="00B42297" w:rsidRPr="006B11BD" w:rsidRDefault="00B42297" w:rsidP="00CA0C67">
      <w:pPr>
        <w:pStyle w:val="FootnoteText"/>
        <w:jc w:val="both"/>
        <w:rPr>
          <w:rFonts w:ascii="Times New Roman" w:hAnsi="Times New Roman" w:cs="Times New Roman"/>
          <w:sz w:val="20"/>
          <w:szCs w:val="20"/>
        </w:rPr>
      </w:pPr>
      <w:r w:rsidRPr="00CA0C67">
        <w:rPr>
          <w:rStyle w:val="FootnoteReference"/>
          <w:rFonts w:ascii="Times New Roman" w:hAnsi="Times New Roman" w:cs="Times New Roman"/>
          <w:sz w:val="20"/>
          <w:szCs w:val="20"/>
        </w:rPr>
        <w:footnoteRef/>
      </w:r>
      <w:r w:rsidRPr="00CA0C67">
        <w:rPr>
          <w:rFonts w:ascii="Times New Roman" w:hAnsi="Times New Roman" w:cs="Times New Roman"/>
          <w:sz w:val="20"/>
          <w:szCs w:val="20"/>
        </w:rPr>
        <w:t xml:space="preserve"> </w:t>
      </w:r>
      <w:r w:rsidRPr="00A073FC">
        <w:rPr>
          <w:rFonts w:ascii="Times New Roman" w:hAnsi="Times New Roman" w:cs="Times New Roman"/>
          <w:sz w:val="20"/>
          <w:szCs w:val="20"/>
        </w:rPr>
        <w:t xml:space="preserve">The </w:t>
      </w:r>
      <w:proofErr w:type="spellStart"/>
      <w:r w:rsidRPr="00A073FC">
        <w:rPr>
          <w:rFonts w:ascii="Times New Roman" w:hAnsi="Times New Roman" w:cs="Times New Roman"/>
          <w:sz w:val="20"/>
          <w:szCs w:val="20"/>
        </w:rPr>
        <w:t>servicification</w:t>
      </w:r>
      <w:proofErr w:type="spellEnd"/>
      <w:r w:rsidRPr="00A073FC">
        <w:rPr>
          <w:rFonts w:ascii="Times New Roman" w:hAnsi="Times New Roman" w:cs="Times New Roman"/>
          <w:sz w:val="20"/>
          <w:szCs w:val="20"/>
        </w:rPr>
        <w:t xml:space="preserve"> of manufacturing </w:t>
      </w:r>
      <w:r>
        <w:rPr>
          <w:rFonts w:ascii="Times New Roman" w:hAnsi="Times New Roman" w:cs="Times New Roman"/>
          <w:sz w:val="20"/>
          <w:szCs w:val="20"/>
        </w:rPr>
        <w:t>refers to</w:t>
      </w:r>
      <w:r w:rsidRPr="00A073FC">
        <w:rPr>
          <w:rFonts w:ascii="Times New Roman" w:hAnsi="Times New Roman" w:cs="Times New Roman"/>
          <w:sz w:val="20"/>
          <w:szCs w:val="20"/>
        </w:rPr>
        <w:t xml:space="preserve"> the manufacturing sector</w:t>
      </w:r>
      <w:r>
        <w:rPr>
          <w:rFonts w:ascii="Times New Roman" w:hAnsi="Times New Roman" w:cs="Times New Roman"/>
          <w:sz w:val="20"/>
          <w:szCs w:val="20"/>
        </w:rPr>
        <w:t>’s</w:t>
      </w:r>
      <w:r w:rsidRPr="00A073FC">
        <w:rPr>
          <w:rFonts w:ascii="Times New Roman" w:hAnsi="Times New Roman" w:cs="Times New Roman"/>
          <w:sz w:val="20"/>
          <w:szCs w:val="20"/>
        </w:rPr>
        <w:t xml:space="preserve"> increasing </w:t>
      </w:r>
      <w:r>
        <w:rPr>
          <w:rFonts w:ascii="Times New Roman" w:hAnsi="Times New Roman" w:cs="Times New Roman"/>
          <w:sz w:val="20"/>
          <w:szCs w:val="20"/>
        </w:rPr>
        <w:t>reliance</w:t>
      </w:r>
      <w:r w:rsidRPr="00A073FC">
        <w:rPr>
          <w:rFonts w:ascii="Times New Roman" w:hAnsi="Times New Roman" w:cs="Times New Roman"/>
          <w:sz w:val="20"/>
          <w:szCs w:val="20"/>
        </w:rPr>
        <w:t xml:space="preserve"> on services, </w:t>
      </w:r>
      <w:r>
        <w:rPr>
          <w:rFonts w:ascii="Times New Roman" w:hAnsi="Times New Roman" w:cs="Times New Roman"/>
          <w:sz w:val="20"/>
          <w:szCs w:val="20"/>
        </w:rPr>
        <w:t>“</w:t>
      </w:r>
      <w:r w:rsidRPr="00A073FC">
        <w:rPr>
          <w:rFonts w:ascii="Times New Roman" w:hAnsi="Times New Roman" w:cs="Times New Roman"/>
          <w:sz w:val="20"/>
          <w:szCs w:val="20"/>
        </w:rPr>
        <w:t>whether as inputs, as activities within firms or as output sold bundled with goods</w:t>
      </w:r>
      <w:r>
        <w:rPr>
          <w:rFonts w:ascii="Times New Roman" w:hAnsi="Times New Roman" w:cs="Times New Roman"/>
          <w:sz w:val="20"/>
          <w:szCs w:val="20"/>
        </w:rPr>
        <w:t>.”</w:t>
      </w:r>
      <w:r w:rsidRPr="00A073FC">
        <w:rPr>
          <w:rFonts w:ascii="Times New Roman" w:hAnsi="Times New Roman" w:cs="Times New Roman"/>
          <w:sz w:val="20"/>
          <w:szCs w:val="20"/>
        </w:rPr>
        <w:t xml:space="preserve"> (</w:t>
      </w:r>
      <w:proofErr w:type="spellStart"/>
      <w:r>
        <w:rPr>
          <w:rFonts w:ascii="Times New Roman" w:hAnsi="Times New Roman" w:cs="Times New Roman"/>
          <w:sz w:val="20"/>
          <w:szCs w:val="20"/>
        </w:rPr>
        <w:t>Miroudot</w:t>
      </w:r>
      <w:proofErr w:type="spellEnd"/>
      <w:r>
        <w:rPr>
          <w:rFonts w:ascii="Times New Roman" w:hAnsi="Times New Roman" w:cs="Times New Roman"/>
          <w:sz w:val="20"/>
          <w:szCs w:val="20"/>
        </w:rPr>
        <w:t xml:space="preserve"> 2017)</w:t>
      </w:r>
      <w:r w:rsidRPr="00A073FC">
        <w:rPr>
          <w:rFonts w:ascii="Times New Roman" w:hAnsi="Times New Roman" w:cs="Times New Roman"/>
          <w:sz w:val="20"/>
          <w:szCs w:val="20"/>
        </w:rPr>
        <w:t xml:space="preserve"> </w:t>
      </w:r>
      <w:proofErr w:type="spellStart"/>
      <w:r>
        <w:rPr>
          <w:rFonts w:ascii="Times New Roman" w:hAnsi="Times New Roman" w:cs="Times New Roman"/>
          <w:sz w:val="20"/>
          <w:szCs w:val="20"/>
        </w:rPr>
        <w:t>Servicification</w:t>
      </w:r>
      <w:proofErr w:type="spellEnd"/>
      <w:r>
        <w:rPr>
          <w:rFonts w:ascii="Times New Roman" w:hAnsi="Times New Roman" w:cs="Times New Roman"/>
          <w:sz w:val="20"/>
          <w:szCs w:val="20"/>
        </w:rPr>
        <w:t xml:space="preserve"> of manufacturing has revolutionized the way companies produce value, especially within global</w:t>
      </w:r>
      <w:r w:rsidRPr="004B56B4">
        <w:rPr>
          <w:rFonts w:ascii="Times New Roman" w:hAnsi="Times New Roman" w:cs="Times New Roman"/>
          <w:sz w:val="20"/>
          <w:szCs w:val="20"/>
        </w:rPr>
        <w:t xml:space="preserve"> value chains</w:t>
      </w:r>
      <w:r w:rsidRPr="00340E84">
        <w:rPr>
          <w:rFonts w:ascii="Times New Roman" w:hAnsi="Times New Roman" w:cs="Times New Roman"/>
          <w:sz w:val="20"/>
          <w:szCs w:val="20"/>
        </w:rPr>
        <w:t xml:space="preserve">. See also: </w:t>
      </w:r>
      <w:hyperlink r:id="rId6" w:history="1">
        <w:r w:rsidRPr="007575D7">
          <w:rPr>
            <w:rStyle w:val="Hyperlink"/>
            <w:rFonts w:ascii="Times New Roman" w:hAnsi="Times New Roman" w:cs="Times New Roman"/>
            <w:sz w:val="20"/>
            <w:szCs w:val="20"/>
          </w:rPr>
          <w:t>http://unctad.org/meetings/en/Presentation/c1mem5_2017_124_S3_Miroudot_2.pdf</w:t>
        </w:r>
      </w:hyperlink>
      <w:r>
        <w:rPr>
          <w:rFonts w:ascii="Times New Roman" w:hAnsi="Times New Roman" w:cs="Times New Roman"/>
          <w:sz w:val="20"/>
          <w:szCs w:val="20"/>
        </w:rPr>
        <w:t xml:space="preserve"> </w:t>
      </w:r>
      <w:r w:rsidRPr="006B11BD">
        <w:rPr>
          <w:rFonts w:ascii="Times New Roman" w:hAnsi="Times New Roman" w:cs="Times New Roman"/>
          <w:sz w:val="20"/>
          <w:szCs w:val="20"/>
        </w:rPr>
        <w:t>.</w:t>
      </w:r>
    </w:p>
    <w:p w14:paraId="427B49BB" w14:textId="77777777" w:rsidR="00B42297" w:rsidRDefault="00B42297">
      <w:pPr>
        <w:pStyle w:val="FootnoteText"/>
      </w:pPr>
    </w:p>
  </w:footnote>
  <w:footnote w:id="68">
    <w:p w14:paraId="0EC86573" w14:textId="77777777" w:rsidR="00B42297" w:rsidRPr="00B95753" w:rsidRDefault="00B42297" w:rsidP="0043271C">
      <w:pPr>
        <w:widowControl w:val="0"/>
        <w:autoSpaceDE w:val="0"/>
        <w:autoSpaceDN w:val="0"/>
        <w:adjustRightInd w:val="0"/>
        <w:jc w:val="both"/>
        <w:rPr>
          <w:rFonts w:ascii="Times New Roman" w:hAnsi="Times New Roman" w:cs="Times New Roman"/>
          <w:sz w:val="20"/>
          <w:szCs w:val="20"/>
          <w:lang w:val="en-GB"/>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hAnsi="Times New Roman" w:cs="Times New Roman"/>
          <w:color w:val="000000"/>
          <w:sz w:val="20"/>
          <w:szCs w:val="20"/>
          <w:lang w:val="en-GB"/>
        </w:rPr>
        <w:t xml:space="preserve">The Growth Diagnostics approach was developed at Harvard University by Ricardo Haussmann, Dani Rodrik, and </w:t>
      </w:r>
      <w:proofErr w:type="spellStart"/>
      <w:r w:rsidRPr="00B95753">
        <w:rPr>
          <w:rFonts w:ascii="Times New Roman" w:hAnsi="Times New Roman" w:cs="Times New Roman"/>
          <w:color w:val="000000"/>
          <w:sz w:val="20"/>
          <w:szCs w:val="20"/>
          <w:lang w:val="en-GB"/>
        </w:rPr>
        <w:t>Andrès</w:t>
      </w:r>
      <w:proofErr w:type="spellEnd"/>
      <w:r w:rsidRPr="00B95753">
        <w:rPr>
          <w:rFonts w:ascii="Times New Roman" w:hAnsi="Times New Roman" w:cs="Times New Roman"/>
          <w:color w:val="000000"/>
          <w:sz w:val="20"/>
          <w:szCs w:val="20"/>
          <w:lang w:val="en-GB"/>
        </w:rPr>
        <w:t xml:space="preserve"> Velasco and aims </w:t>
      </w:r>
      <w:r>
        <w:rPr>
          <w:rFonts w:ascii="Times New Roman" w:hAnsi="Times New Roman" w:cs="Times New Roman"/>
          <w:color w:val="000000"/>
          <w:sz w:val="20"/>
          <w:szCs w:val="20"/>
          <w:lang w:val="en-GB"/>
        </w:rPr>
        <w:t>to identify</w:t>
      </w:r>
      <w:r w:rsidRPr="00B95753">
        <w:rPr>
          <w:rFonts w:ascii="Times New Roman" w:hAnsi="Times New Roman" w:cs="Times New Roman"/>
          <w:color w:val="000000"/>
          <w:sz w:val="20"/>
          <w:szCs w:val="20"/>
          <w:lang w:val="en-GB"/>
        </w:rPr>
        <w:t xml:space="preserve"> the binding constraint to private investment and entrepreneurship in an economy. The methodology allows countries to prioritize development activities among many competing needs.</w:t>
      </w:r>
    </w:p>
  </w:footnote>
  <w:footnote w:id="69">
    <w:p w14:paraId="38E8B070"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Millennium Challenge Corporation. 2017. </w:t>
      </w:r>
      <w:r w:rsidRPr="00B95753">
        <w:rPr>
          <w:rFonts w:ascii="Times New Roman" w:hAnsi="Times New Roman" w:cs="Times New Roman"/>
          <w:i/>
          <w:sz w:val="20"/>
          <w:szCs w:val="20"/>
        </w:rPr>
        <w:t>Senegal Constraints Analysis Report</w:t>
      </w:r>
    </w:p>
  </w:footnote>
  <w:footnote w:id="70">
    <w:p w14:paraId="51C5935A"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IMF. 2017. </w:t>
      </w:r>
      <w:r w:rsidRPr="00B95753">
        <w:rPr>
          <w:rFonts w:ascii="Times New Roman" w:hAnsi="Times New Roman" w:cs="Times New Roman"/>
          <w:i/>
          <w:sz w:val="20"/>
          <w:szCs w:val="20"/>
        </w:rPr>
        <w:t>Article IV Review</w:t>
      </w:r>
      <w:r w:rsidRPr="00B95753">
        <w:rPr>
          <w:rFonts w:ascii="Times New Roman" w:hAnsi="Times New Roman" w:cs="Times New Roman"/>
          <w:sz w:val="20"/>
          <w:szCs w:val="20"/>
        </w:rPr>
        <w:t>, Executive Summary</w:t>
      </w:r>
    </w:p>
  </w:footnote>
  <w:footnote w:id="71">
    <w:p w14:paraId="23B2B54B"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In t</w:t>
      </w:r>
      <w:r>
        <w:rPr>
          <w:rFonts w:ascii="Times New Roman" w:hAnsi="Times New Roman" w:cs="Times New Roman"/>
          <w:sz w:val="20"/>
          <w:szCs w:val="20"/>
        </w:rPr>
        <w:t>he WEF’s GCI</w:t>
      </w:r>
      <w:r w:rsidRPr="00B95753">
        <w:rPr>
          <w:rFonts w:ascii="Times New Roman" w:hAnsi="Times New Roman" w:cs="Times New Roman"/>
          <w:sz w:val="20"/>
          <w:szCs w:val="20"/>
        </w:rPr>
        <w:t>, Senegal has improved slightly to a score of 3.8 out of 7 (with 7 being the best) after having stagnated at a score of 3.7 since 2012. In the World Economic Forum’s (WEF) 2017/18 Global, Senegal now ranks 106</w:t>
      </w:r>
      <w:r w:rsidRPr="00B95753">
        <w:rPr>
          <w:rFonts w:ascii="Times New Roman" w:hAnsi="Times New Roman" w:cs="Times New Roman"/>
          <w:sz w:val="20"/>
          <w:szCs w:val="20"/>
          <w:vertAlign w:val="superscript"/>
        </w:rPr>
        <w:t>th</w:t>
      </w:r>
      <w:r w:rsidRPr="00B95753">
        <w:rPr>
          <w:rFonts w:ascii="Times New Roman" w:hAnsi="Times New Roman" w:cs="Times New Roman"/>
          <w:sz w:val="20"/>
          <w:szCs w:val="20"/>
        </w:rPr>
        <w:t xml:space="preserve"> out of 137 countries, compared to 112</w:t>
      </w:r>
      <w:r w:rsidRPr="00B95753">
        <w:rPr>
          <w:rFonts w:ascii="Times New Roman" w:hAnsi="Times New Roman" w:cs="Times New Roman"/>
          <w:sz w:val="20"/>
          <w:szCs w:val="20"/>
          <w:vertAlign w:val="superscript"/>
        </w:rPr>
        <w:t>th</w:t>
      </w:r>
      <w:r w:rsidRPr="00B95753">
        <w:rPr>
          <w:rFonts w:ascii="Times New Roman" w:hAnsi="Times New Roman" w:cs="Times New Roman"/>
          <w:sz w:val="20"/>
          <w:szCs w:val="20"/>
        </w:rPr>
        <w:t xml:space="preserve"> out of 138 in 2016/17World Economic Forum. 2017. Global Competitiveness Index</w:t>
      </w:r>
    </w:p>
  </w:footnote>
  <w:footnote w:id="72">
    <w:p w14:paraId="19E1D0AB"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 higher rank indicates a perceived deterioration of the policy dimension. World Economic Forum. 2017. Global Competitiveness Index</w:t>
      </w:r>
    </w:p>
  </w:footnote>
  <w:footnote w:id="73">
    <w:p w14:paraId="070F0279"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Bertelsmann Transformation Index. 2016.</w:t>
      </w:r>
    </w:p>
  </w:footnote>
  <w:footnote w:id="74">
    <w:p w14:paraId="65DE80F8" w14:textId="77777777" w:rsidR="00B42297" w:rsidRPr="00B95753" w:rsidRDefault="00B42297" w:rsidP="0043271C">
      <w:pPr>
        <w:pStyle w:val="FootnoteText"/>
        <w:jc w:val="both"/>
        <w:rPr>
          <w:rFonts w:ascii="Times New Roman" w:hAnsi="Times New Roman" w:cs="Times New Roman"/>
          <w:sz w:val="20"/>
          <w:szCs w:val="20"/>
          <w:lang w:val="en-GB"/>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B95753">
        <w:rPr>
          <w:rFonts w:ascii="Times New Roman" w:hAnsi="Times New Roman" w:cs="Times New Roman"/>
          <w:sz w:val="20"/>
          <w:szCs w:val="20"/>
        </w:rPr>
        <w:t>Chicago School pioneered the notion and theory of ‘</w:t>
      </w:r>
      <w:r w:rsidRPr="00B95753">
        <w:rPr>
          <w:rFonts w:ascii="Times New Roman" w:hAnsi="Times New Roman" w:cs="Times New Roman"/>
          <w:sz w:val="20"/>
          <w:szCs w:val="20"/>
          <w:lang w:val="en-GB"/>
        </w:rPr>
        <w:t xml:space="preserve">regulatory capture’ (see </w:t>
      </w:r>
      <w:r w:rsidRPr="00B95753">
        <w:rPr>
          <w:rFonts w:ascii="Times New Roman" w:hAnsi="Times New Roman" w:cs="Times New Roman"/>
          <w:sz w:val="20"/>
          <w:szCs w:val="20"/>
          <w:lang w:val="en-GB"/>
        </w:rPr>
        <w:fldChar w:fldCharType="begin"/>
      </w:r>
      <w:r w:rsidRPr="00B95753">
        <w:rPr>
          <w:rFonts w:ascii="Times New Roman" w:hAnsi="Times New Roman" w:cs="Times New Roman"/>
          <w:sz w:val="20"/>
          <w:szCs w:val="20"/>
          <w:lang w:val="en-GB"/>
        </w:rPr>
        <w:instrText xml:space="preserve"> ADDIN ZOTERO_ITEM CSL_CITATION {"citationID":"zo48W3Cz","properties":{"formattedCitation":"(Stigler, 1971)","plainCitation":"(Stigler, 1971)"},"citationItems":[{"id":1070,"uris":["http://zotero.org/users/1271776/items/MBN687FC"],"uri":["http://zotero.org/users/1271776/items/MBN687FC"],"itemData":{"id":1070,"type":"article-journal","title":"The Theory of Economic Regulation","container-title":"The Bell Journal of Economics and Management Science","page":"3","volume":"2","issue":"1","source":"CrossRef","DOI":"10.2307/3003160","ISSN":"00058556","author":[{"family":"Stigler","given":"George J."}],"issued":{"date-parts":[["1971"]]},"accessed":{"date-parts":[["2014",5,22]]}}}],"schema":"https://github.com/citation-style-language/schema/raw/master/csl-citation.json"} </w:instrText>
      </w:r>
      <w:r w:rsidRPr="00B95753">
        <w:rPr>
          <w:rFonts w:ascii="Times New Roman" w:hAnsi="Times New Roman" w:cs="Times New Roman"/>
          <w:sz w:val="20"/>
          <w:szCs w:val="20"/>
          <w:lang w:val="en-GB"/>
        </w:rPr>
        <w:fldChar w:fldCharType="separate"/>
      </w:r>
      <w:r w:rsidRPr="00B95753">
        <w:rPr>
          <w:rFonts w:ascii="Times New Roman" w:hAnsi="Times New Roman" w:cs="Times New Roman"/>
          <w:sz w:val="20"/>
          <w:szCs w:val="20"/>
        </w:rPr>
        <w:t>Stigler, 1971)</w:t>
      </w:r>
      <w:r w:rsidRPr="00B95753">
        <w:rPr>
          <w:rFonts w:ascii="Times New Roman" w:hAnsi="Times New Roman" w:cs="Times New Roman"/>
          <w:sz w:val="20"/>
          <w:szCs w:val="20"/>
          <w:lang w:val="en-GB"/>
        </w:rPr>
        <w:fldChar w:fldCharType="end"/>
      </w:r>
      <w:r w:rsidRPr="00B95753">
        <w:rPr>
          <w:rFonts w:ascii="Times New Roman" w:hAnsi="Times New Roman" w:cs="Times New Roman"/>
          <w:sz w:val="20"/>
          <w:szCs w:val="20"/>
          <w:lang w:val="en-GB"/>
        </w:rPr>
        <w:t xml:space="preserve">, which was further developed by the Toulouse School (see </w:t>
      </w:r>
      <w:r w:rsidRPr="00B95753">
        <w:rPr>
          <w:rFonts w:ascii="Times New Roman" w:hAnsi="Times New Roman" w:cs="Times New Roman"/>
          <w:sz w:val="20"/>
          <w:szCs w:val="20"/>
          <w:lang w:val="en-GB"/>
        </w:rPr>
        <w:fldChar w:fldCharType="begin"/>
      </w:r>
      <w:r w:rsidRPr="00B95753">
        <w:rPr>
          <w:rFonts w:ascii="Times New Roman" w:hAnsi="Times New Roman" w:cs="Times New Roman"/>
          <w:sz w:val="20"/>
          <w:szCs w:val="20"/>
          <w:lang w:val="en-GB"/>
        </w:rPr>
        <w:instrText xml:space="preserve"> ADDIN ZOTERO_ITEM CSL_CITATION {"citationID":"RaDJ80DS","properties":{"formattedCitation":"Laffont e Tirole (1991)","plainCitation":"Laffont e Tirole (1991)","dontUpdate":true},"citationItems":[{"id":1072,"uris":["http://zotero.org/users/1271776/items/SEQAR4WE"],"uri":["http://zotero.org/users/1271776/items/SEQAR4WE"],"itemData":{"id":1072,"type":"article-journal","title":"The Politics of Government Decision-Making: A Theory of Regulatory Capture","container-title":"The Quarterly Journal of Economics","page":"1089-1127","volume":"106","issue":"4","source":"CrossRef","DOI":"10.2307/2937958","ISSN":"0033-5533, 1531-4650","shortTitle":"The Politics of Government Decision-Making","language":"en","author":[{"family":"Laffont","given":"J.-J."},{"family":"Tirole","given":"J."}],"issued":{"date-parts":[["1991",11,1]]},"accessed":{"date-parts":[["2014",5,22]]}}}],"schema":"https://github.com/citation-style-language/schema/raw/master/csl-citation.json"} </w:instrText>
      </w:r>
      <w:r w:rsidRPr="00B95753">
        <w:rPr>
          <w:rFonts w:ascii="Times New Roman" w:hAnsi="Times New Roman" w:cs="Times New Roman"/>
          <w:sz w:val="20"/>
          <w:szCs w:val="20"/>
          <w:lang w:val="en-GB"/>
        </w:rPr>
        <w:fldChar w:fldCharType="separate"/>
      </w:r>
      <w:r w:rsidRPr="00B95753">
        <w:rPr>
          <w:rFonts w:ascii="Times New Roman" w:hAnsi="Times New Roman" w:cs="Times New Roman"/>
          <w:sz w:val="20"/>
          <w:szCs w:val="20"/>
        </w:rPr>
        <w:t>Laffont and Tirole, 1991)</w:t>
      </w:r>
      <w:r w:rsidRPr="00B95753">
        <w:rPr>
          <w:rFonts w:ascii="Times New Roman" w:hAnsi="Times New Roman" w:cs="Times New Roman"/>
          <w:sz w:val="20"/>
          <w:szCs w:val="20"/>
          <w:lang w:val="en-GB"/>
        </w:rPr>
        <w:fldChar w:fldCharType="end"/>
      </w:r>
      <w:r w:rsidRPr="00B95753">
        <w:rPr>
          <w:rFonts w:ascii="Times New Roman" w:hAnsi="Times New Roman" w:cs="Times New Roman"/>
          <w:sz w:val="20"/>
          <w:szCs w:val="20"/>
          <w:lang w:val="en-GB"/>
        </w:rPr>
        <w:t>.</w:t>
      </w:r>
    </w:p>
  </w:footnote>
  <w:footnote w:id="75">
    <w:p w14:paraId="24069FF5"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hAnsi="Times New Roman" w:cs="Times New Roman"/>
          <w:bCs/>
          <w:sz w:val="20"/>
          <w:szCs w:val="20"/>
        </w:rPr>
        <w:t xml:space="preserve">The methodology and key findings of the PMR for OECD countries are presented in Nicoletti et al. (1999), Conway et al. (2005) and Wolf et al. (2009). The current PMR data base used for this study includes </w:t>
      </w:r>
      <w:r w:rsidRPr="00B95753">
        <w:rPr>
          <w:rFonts w:ascii="Times New Roman" w:hAnsi="Times New Roman" w:cs="Times New Roman"/>
          <w:iCs/>
          <w:sz w:val="20"/>
          <w:szCs w:val="20"/>
        </w:rPr>
        <w:t xml:space="preserve"> Australia, Austria, Argentina, Belgium, Bolivia, Brazil, Bulgaria, Canada, Chile China, Czech Republic, Colombia, Costa Rica, Croatia, Cyprus, Denmark, Dominican Republic, Ecuador, Egypt, El Salvador, Estonia, Finland, France, Germany, Greece, Guatemala, Honduras, Hungary, Iceland, India, Ireland, Israel, Italy, Jamaica, Japan, Ken</w:t>
      </w:r>
      <w:r>
        <w:rPr>
          <w:rFonts w:ascii="Times New Roman" w:hAnsi="Times New Roman" w:cs="Times New Roman"/>
          <w:iCs/>
          <w:sz w:val="20"/>
          <w:szCs w:val="20"/>
        </w:rPr>
        <w:t>y</w:t>
      </w:r>
      <w:r w:rsidRPr="00B95753">
        <w:rPr>
          <w:rFonts w:ascii="Times New Roman" w:hAnsi="Times New Roman" w:cs="Times New Roman"/>
          <w:iCs/>
          <w:sz w:val="20"/>
          <w:szCs w:val="20"/>
        </w:rPr>
        <w:t>a, Korea, Latvia, Lithuania, Luxembourg, Malta, Mexico, Netherlands, New Zealand, Nicaragua, Norway, Panama, Paraguay, Peru, Philippines, Poland, Portugal, Romania, Russia, Rwanda, Slovak Republic, Slovenia, South Africa, Spain, Sweden, Switzerland, Turkey,</w:t>
      </w:r>
      <w:r>
        <w:rPr>
          <w:rFonts w:ascii="Times New Roman" w:hAnsi="Times New Roman" w:cs="Times New Roman"/>
          <w:iCs/>
          <w:sz w:val="20"/>
          <w:szCs w:val="20"/>
        </w:rPr>
        <w:t xml:space="preserve"> Tunisia,</w:t>
      </w:r>
      <w:r w:rsidRPr="00B95753">
        <w:rPr>
          <w:rFonts w:ascii="Times New Roman" w:hAnsi="Times New Roman" w:cs="Times New Roman"/>
          <w:iCs/>
          <w:sz w:val="20"/>
          <w:szCs w:val="20"/>
        </w:rPr>
        <w:t xml:space="preserve"> Uruguay, </w:t>
      </w:r>
      <w:r>
        <w:rPr>
          <w:rFonts w:ascii="Times New Roman" w:hAnsi="Times New Roman" w:cs="Times New Roman"/>
          <w:iCs/>
          <w:sz w:val="20"/>
          <w:szCs w:val="20"/>
        </w:rPr>
        <w:t xml:space="preserve">and the </w:t>
      </w:r>
      <w:r w:rsidRPr="00B95753">
        <w:rPr>
          <w:rFonts w:ascii="Times New Roman" w:hAnsi="Times New Roman" w:cs="Times New Roman"/>
          <w:iCs/>
          <w:sz w:val="20"/>
          <w:szCs w:val="20"/>
        </w:rPr>
        <w:t>United Kingdom.</w:t>
      </w:r>
    </w:p>
  </w:footnote>
  <w:footnote w:id="76">
    <w:p w14:paraId="2D334921" w14:textId="77777777" w:rsidR="00B42297" w:rsidRPr="00B95753" w:rsidRDefault="00B42297" w:rsidP="00F1299D">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Throughout the course of this analysis, graphs will compare Senegal to non-OECD countries from Latin America and the Caribbean, and – where available – South Asia, East Asia and the Pacific, the Middle East and North Africa and Sub-Saharan Africa. </w:t>
      </w:r>
      <w:r>
        <w:rPr>
          <w:rFonts w:ascii="Times New Roman" w:hAnsi="Times New Roman" w:cs="Times New Roman"/>
          <w:sz w:val="20"/>
          <w:szCs w:val="20"/>
        </w:rPr>
        <w:t>T</w:t>
      </w:r>
      <w:r w:rsidRPr="00B95753">
        <w:rPr>
          <w:rFonts w:ascii="Times New Roman" w:hAnsi="Times New Roman" w:cs="Times New Roman"/>
          <w:sz w:val="20"/>
          <w:szCs w:val="20"/>
        </w:rPr>
        <w:t xml:space="preserve">he analysis includes virtually all non-OECD countries, for which PMR data were available. The only OECD countries included in the sample are Mexico and Chile. To allow for a comparison to OECD countries nonetheless, the average </w:t>
      </w:r>
      <w:r>
        <w:rPr>
          <w:rFonts w:ascii="Times New Roman" w:hAnsi="Times New Roman" w:cs="Times New Roman"/>
          <w:sz w:val="20"/>
          <w:szCs w:val="20"/>
        </w:rPr>
        <w:t xml:space="preserve">performance of OECD countries and the average of the top 5 performers among all countries, including OECD, </w:t>
      </w:r>
      <w:r w:rsidRPr="00B95753">
        <w:rPr>
          <w:rFonts w:ascii="Times New Roman" w:hAnsi="Times New Roman" w:cs="Times New Roman"/>
          <w:sz w:val="20"/>
          <w:szCs w:val="20"/>
        </w:rPr>
        <w:t xml:space="preserve">will be included as well. The list of comparator countries is as follows: Argentina, </w:t>
      </w:r>
      <w:r>
        <w:rPr>
          <w:rFonts w:ascii="Times New Roman" w:hAnsi="Times New Roman" w:cs="Times New Roman"/>
          <w:sz w:val="20"/>
          <w:szCs w:val="20"/>
        </w:rPr>
        <w:t>Bolivia, Brazil, Chile, China, Colombia, Costa Rica</w:t>
      </w:r>
      <w:r w:rsidRPr="00B95753">
        <w:rPr>
          <w:rFonts w:ascii="Times New Roman" w:hAnsi="Times New Roman" w:cs="Times New Roman"/>
          <w:sz w:val="20"/>
          <w:szCs w:val="20"/>
        </w:rPr>
        <w:t>, Dominica</w:t>
      </w:r>
      <w:r>
        <w:rPr>
          <w:rFonts w:ascii="Times New Roman" w:hAnsi="Times New Roman" w:cs="Times New Roman"/>
          <w:sz w:val="20"/>
          <w:szCs w:val="20"/>
        </w:rPr>
        <w:t>n Republic, Egypt, El Salvador, Honduras, India, Jamaica, Kenya</w:t>
      </w:r>
      <w:r w:rsidRPr="00B95753">
        <w:rPr>
          <w:rFonts w:ascii="Times New Roman" w:hAnsi="Times New Roman" w:cs="Times New Roman"/>
          <w:sz w:val="20"/>
          <w:szCs w:val="20"/>
        </w:rPr>
        <w:t>, Mexico, Nicaragua,</w:t>
      </w:r>
      <w:r>
        <w:rPr>
          <w:rFonts w:ascii="Times New Roman" w:hAnsi="Times New Roman" w:cs="Times New Roman"/>
          <w:sz w:val="20"/>
          <w:szCs w:val="20"/>
        </w:rPr>
        <w:t xml:space="preserve"> Panama, Peru, the Philippines</w:t>
      </w:r>
      <w:r w:rsidRPr="00B95753">
        <w:rPr>
          <w:rFonts w:ascii="Times New Roman" w:hAnsi="Times New Roman" w:cs="Times New Roman"/>
          <w:sz w:val="20"/>
          <w:szCs w:val="20"/>
        </w:rPr>
        <w:t>, South Africa,</w:t>
      </w:r>
      <w:r>
        <w:rPr>
          <w:rFonts w:ascii="Times New Roman" w:hAnsi="Times New Roman" w:cs="Times New Roman"/>
          <w:sz w:val="20"/>
          <w:szCs w:val="20"/>
        </w:rPr>
        <w:t xml:space="preserve"> Tunisia,</w:t>
      </w:r>
      <w:r w:rsidRPr="00B95753">
        <w:rPr>
          <w:rFonts w:ascii="Times New Roman" w:hAnsi="Times New Roman" w:cs="Times New Roman"/>
          <w:sz w:val="20"/>
          <w:szCs w:val="20"/>
        </w:rPr>
        <w:t xml:space="preserve"> Turkey</w:t>
      </w:r>
      <w:r>
        <w:rPr>
          <w:rFonts w:ascii="Times New Roman" w:hAnsi="Times New Roman" w:cs="Times New Roman"/>
          <w:sz w:val="20"/>
          <w:szCs w:val="20"/>
        </w:rPr>
        <w:t>, and Ukraine.</w:t>
      </w:r>
    </w:p>
    <w:p w14:paraId="238949A3" w14:textId="77777777" w:rsidR="00B42297" w:rsidRPr="00B95753" w:rsidRDefault="00B42297" w:rsidP="00F1299D">
      <w:pPr>
        <w:pStyle w:val="FootnoteText"/>
        <w:jc w:val="both"/>
        <w:rPr>
          <w:rFonts w:ascii="Times New Roman" w:hAnsi="Times New Roman" w:cs="Times New Roman"/>
          <w:sz w:val="20"/>
          <w:szCs w:val="20"/>
        </w:rPr>
      </w:pPr>
      <w:r w:rsidRPr="00BB6B74">
        <w:rPr>
          <w:rStyle w:val="FootnoteReference"/>
          <w:rFonts w:ascii="Times New Roman" w:hAnsi="Times New Roman" w:cs="Times New Roman"/>
          <w:sz w:val="20"/>
          <w:szCs w:val="20"/>
        </w:rPr>
        <w:footnoteRef/>
      </w:r>
      <w:r w:rsidRPr="00BB6B74">
        <w:rPr>
          <w:rFonts w:ascii="Times New Roman" w:hAnsi="Times New Roman" w:cs="Times New Roman"/>
          <w:sz w:val="20"/>
          <w:szCs w:val="20"/>
        </w:rPr>
        <w:t xml:space="preserve"> In network</w:t>
      </w:r>
      <w:r w:rsidRPr="006B11BD">
        <w:rPr>
          <w:rFonts w:ascii="Times New Roman" w:hAnsi="Times New Roman" w:cs="Times New Roman"/>
          <w:sz w:val="20"/>
          <w:szCs w:val="20"/>
        </w:rPr>
        <w:t xml:space="preserve"> industries where there are market segments having natural monopoly characteristics, the sectoral regulators typically adopt regulations of tariffs to ensure non-discriminatory access to infrastructure networks for all operators. As described, this type of economic regulation has a different purpose than the regulation of final prices to consumers</w:t>
      </w:r>
      <w:r w:rsidRPr="00B95753">
        <w:rPr>
          <w:rFonts w:ascii="Times New Roman" w:hAnsi="Times New Roman" w:cs="Times New Roman"/>
          <w:sz w:val="20"/>
          <w:szCs w:val="20"/>
        </w:rPr>
        <w:t>.</w:t>
      </w:r>
    </w:p>
  </w:footnote>
  <w:footnote w:id="77">
    <w:p w14:paraId="64DAB31A" w14:textId="5713899F"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Office of Fair Trading (2009), </w:t>
      </w:r>
      <w:r>
        <w:rPr>
          <w:rFonts w:ascii="Times New Roman" w:hAnsi="Times New Roman" w:cs="Times New Roman"/>
          <w:sz w:val="20"/>
          <w:szCs w:val="20"/>
        </w:rPr>
        <w:t xml:space="preserve">Government </w:t>
      </w:r>
      <w:r w:rsidRPr="00B95753">
        <w:rPr>
          <w:rFonts w:ascii="Times New Roman" w:hAnsi="Times New Roman" w:cs="Times New Roman"/>
          <w:sz w:val="20"/>
          <w:szCs w:val="20"/>
        </w:rPr>
        <w:t>in markets. Why competition matters – a guide for policy makers.</w:t>
      </w:r>
    </w:p>
  </w:footnote>
  <w:footnote w:id="78">
    <w:p w14:paraId="3515D1D3"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See: Giorgio Monti, </w:t>
      </w:r>
      <w:r w:rsidRPr="00B95753">
        <w:rPr>
          <w:rFonts w:ascii="Times New Roman" w:hAnsi="Times New Roman" w:cs="Times New Roman"/>
          <w:i/>
          <w:sz w:val="20"/>
          <w:szCs w:val="20"/>
        </w:rPr>
        <w:t>EC Competition Law</w:t>
      </w:r>
      <w:r w:rsidRPr="00B95753">
        <w:rPr>
          <w:rFonts w:ascii="Times New Roman" w:hAnsi="Times New Roman" w:cs="Times New Roman"/>
          <w:sz w:val="20"/>
          <w:szCs w:val="20"/>
        </w:rPr>
        <w:t xml:space="preserve">, CUP 2007, pp. 441-442; Karel van </w:t>
      </w:r>
      <w:proofErr w:type="spellStart"/>
      <w:r w:rsidRPr="00B95753">
        <w:rPr>
          <w:rFonts w:ascii="Times New Roman" w:hAnsi="Times New Roman" w:cs="Times New Roman"/>
          <w:sz w:val="20"/>
          <w:szCs w:val="20"/>
        </w:rPr>
        <w:t>Miert</w:t>
      </w:r>
      <w:proofErr w:type="spellEnd"/>
      <w:r w:rsidRPr="00B95753">
        <w:rPr>
          <w:rFonts w:ascii="Times New Roman" w:hAnsi="Times New Roman" w:cs="Times New Roman"/>
          <w:sz w:val="20"/>
          <w:szCs w:val="20"/>
        </w:rPr>
        <w:t xml:space="preserve">, </w:t>
      </w:r>
      <w:r w:rsidRPr="00B95753">
        <w:rPr>
          <w:rFonts w:ascii="Times New Roman" w:hAnsi="Times New Roman" w:cs="Times New Roman"/>
          <w:i/>
          <w:sz w:val="20"/>
          <w:szCs w:val="20"/>
        </w:rPr>
        <w:t>Liberalization of the Economy of the European Union: The Game is not (yet) over</w:t>
      </w:r>
      <w:r w:rsidRPr="00B95753">
        <w:rPr>
          <w:rFonts w:ascii="Times New Roman" w:hAnsi="Times New Roman" w:cs="Times New Roman"/>
          <w:sz w:val="20"/>
          <w:szCs w:val="20"/>
        </w:rPr>
        <w:t xml:space="preserve">, in Damien </w:t>
      </w:r>
      <w:proofErr w:type="spellStart"/>
      <w:r w:rsidRPr="00B95753">
        <w:rPr>
          <w:rFonts w:ascii="Times New Roman" w:hAnsi="Times New Roman" w:cs="Times New Roman"/>
          <w:sz w:val="20"/>
          <w:szCs w:val="20"/>
        </w:rPr>
        <w:t>Geradin</w:t>
      </w:r>
      <w:proofErr w:type="spellEnd"/>
      <w:r w:rsidRPr="00B95753">
        <w:rPr>
          <w:rFonts w:ascii="Times New Roman" w:hAnsi="Times New Roman" w:cs="Times New Roman"/>
          <w:sz w:val="20"/>
          <w:szCs w:val="20"/>
        </w:rPr>
        <w:t xml:space="preserve"> (Ed.) Liberalization of state monopolies, Kluwer Law International 2000, pp.1-2; OECD (2005), </w:t>
      </w:r>
      <w:r w:rsidRPr="00B95753">
        <w:rPr>
          <w:rFonts w:ascii="Times New Roman" w:hAnsi="Times New Roman" w:cs="Times New Roman"/>
          <w:i/>
          <w:sz w:val="20"/>
          <w:szCs w:val="20"/>
        </w:rPr>
        <w:t>OECD Guidelines on Corporate Governance of</w:t>
      </w:r>
      <w:r>
        <w:rPr>
          <w:rFonts w:ascii="Times New Roman" w:hAnsi="Times New Roman" w:cs="Times New Roman"/>
          <w:i/>
          <w:sz w:val="20"/>
          <w:szCs w:val="20"/>
        </w:rPr>
        <w:t xml:space="preserve"> state-owned</w:t>
      </w:r>
      <w:r w:rsidRPr="00B95753">
        <w:rPr>
          <w:rFonts w:ascii="Times New Roman" w:hAnsi="Times New Roman" w:cs="Times New Roman"/>
          <w:i/>
          <w:sz w:val="20"/>
          <w:szCs w:val="20"/>
        </w:rPr>
        <w:t xml:space="preserve"> Enterprises</w:t>
      </w:r>
      <w:r w:rsidRPr="00B95753">
        <w:rPr>
          <w:rFonts w:ascii="Times New Roman" w:hAnsi="Times New Roman" w:cs="Times New Roman"/>
          <w:sz w:val="20"/>
          <w:szCs w:val="20"/>
        </w:rPr>
        <w:t xml:space="preserve">, pp. 9-10. </w:t>
      </w:r>
    </w:p>
  </w:footnote>
  <w:footnote w:id="79">
    <w:p w14:paraId="211F5C47" w14:textId="77777777" w:rsidR="00B42297" w:rsidRPr="00B95753" w:rsidRDefault="00B42297" w:rsidP="0043271C">
      <w:pPr>
        <w:pStyle w:val="FootnoteText"/>
        <w:jc w:val="both"/>
        <w:rPr>
          <w:rFonts w:ascii="Times New Roman" w:hAnsi="Times New Roman" w:cs="Times New Roman"/>
          <w:bCs/>
          <w:iCs/>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OECD (2009), </w:t>
      </w:r>
      <w:r w:rsidRPr="00B95753">
        <w:rPr>
          <w:rFonts w:ascii="Times New Roman" w:hAnsi="Times New Roman" w:cs="Times New Roman"/>
          <w:i/>
          <w:sz w:val="20"/>
          <w:szCs w:val="20"/>
        </w:rPr>
        <w:t>Competition and the Financial Crisis</w:t>
      </w:r>
      <w:r w:rsidRPr="00B95753">
        <w:rPr>
          <w:rFonts w:ascii="Times New Roman" w:hAnsi="Times New Roman" w:cs="Times New Roman"/>
          <w:sz w:val="20"/>
          <w:szCs w:val="20"/>
        </w:rPr>
        <w:t>, pp. 14-15; For example, in response to the latest financial crisis t</w:t>
      </w:r>
      <w:r w:rsidRPr="00B95753">
        <w:rPr>
          <w:rFonts w:ascii="Times New Roman" w:hAnsi="Times New Roman" w:cs="Times New Roman"/>
          <w:bCs/>
          <w:iCs/>
          <w:sz w:val="20"/>
          <w:szCs w:val="20"/>
        </w:rPr>
        <w:t xml:space="preserve">he European Commission has adopted </w:t>
      </w:r>
      <w:proofErr w:type="gramStart"/>
      <w:r w:rsidRPr="00B95753">
        <w:rPr>
          <w:rFonts w:ascii="Times New Roman" w:hAnsi="Times New Roman" w:cs="Times New Roman"/>
          <w:bCs/>
          <w:iCs/>
          <w:sz w:val="20"/>
          <w:szCs w:val="20"/>
        </w:rPr>
        <w:t>a number of</w:t>
      </w:r>
      <w:proofErr w:type="gramEnd"/>
      <w:r w:rsidRPr="00B95753">
        <w:rPr>
          <w:rFonts w:ascii="Times New Roman" w:hAnsi="Times New Roman" w:cs="Times New Roman"/>
          <w:bCs/>
          <w:iCs/>
          <w:sz w:val="20"/>
          <w:szCs w:val="20"/>
        </w:rPr>
        <w:t xml:space="preserve"> Communications </w:t>
      </w:r>
      <w:r>
        <w:rPr>
          <w:rFonts w:ascii="Times New Roman" w:hAnsi="Times New Roman" w:cs="Times New Roman"/>
          <w:bCs/>
          <w:iCs/>
          <w:sz w:val="20"/>
          <w:szCs w:val="20"/>
        </w:rPr>
        <w:t>loosening</w:t>
      </w:r>
      <w:r w:rsidRPr="00B95753">
        <w:rPr>
          <w:rFonts w:ascii="Times New Roman" w:hAnsi="Times New Roman" w:cs="Times New Roman"/>
          <w:bCs/>
          <w:iCs/>
          <w:sz w:val="20"/>
          <w:szCs w:val="20"/>
        </w:rPr>
        <w:t xml:space="preserve"> the state aid rules applicable to restructuring aid given by Member States to banks. </w:t>
      </w:r>
      <w:hyperlink r:id="rId7" w:history="1">
        <w:r w:rsidRPr="00B95753">
          <w:rPr>
            <w:rStyle w:val="Hyperlink"/>
            <w:rFonts w:ascii="Times New Roman" w:hAnsi="Times New Roman" w:cs="Times New Roman"/>
            <w:iCs/>
            <w:sz w:val="20"/>
            <w:szCs w:val="20"/>
          </w:rPr>
          <w:t>http://ec.europa.eu/competition/state_aid/legislation/temporary.html</w:t>
        </w:r>
      </w:hyperlink>
    </w:p>
  </w:footnote>
  <w:footnote w:id="80">
    <w:p w14:paraId="4B23D45A"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OECD (2009), </w:t>
      </w:r>
      <w:r w:rsidRPr="00B95753">
        <w:rPr>
          <w:rFonts w:ascii="Times New Roman" w:hAnsi="Times New Roman" w:cs="Times New Roman"/>
          <w:i/>
          <w:sz w:val="20"/>
          <w:szCs w:val="20"/>
        </w:rPr>
        <w:t>State Owned Enterprises and the Principle of Competitive Neutrality</w:t>
      </w:r>
      <w:r w:rsidRPr="00B95753">
        <w:rPr>
          <w:rFonts w:ascii="Times New Roman" w:hAnsi="Times New Roman" w:cs="Times New Roman"/>
          <w:sz w:val="20"/>
          <w:szCs w:val="20"/>
        </w:rPr>
        <w:t>, OECD Policy Roundtables, p. 26.</w:t>
      </w:r>
    </w:p>
  </w:footnote>
  <w:footnote w:id="81">
    <w:p w14:paraId="38966241" w14:textId="77777777" w:rsidR="00B42297" w:rsidRPr="00B95753" w:rsidRDefault="00B42297" w:rsidP="0043271C">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For Morocco: </w:t>
      </w:r>
      <w:proofErr w:type="spellStart"/>
      <w:r w:rsidRPr="00B95753">
        <w:rPr>
          <w:rFonts w:ascii="Times New Roman" w:hAnsi="Times New Roman" w:cs="Times New Roman"/>
          <w:sz w:val="20"/>
          <w:szCs w:val="20"/>
        </w:rPr>
        <w:t>Décret</w:t>
      </w:r>
      <w:proofErr w:type="spellEnd"/>
      <w:r w:rsidRPr="00B95753">
        <w:rPr>
          <w:rFonts w:ascii="Times New Roman" w:hAnsi="Times New Roman" w:cs="Times New Roman"/>
          <w:sz w:val="20"/>
          <w:szCs w:val="20"/>
        </w:rPr>
        <w:t xml:space="preserve"> n° 2-00-854 du 28 </w:t>
      </w:r>
      <w:proofErr w:type="spellStart"/>
      <w:r w:rsidRPr="00B95753">
        <w:rPr>
          <w:rFonts w:ascii="Times New Roman" w:hAnsi="Times New Roman" w:cs="Times New Roman"/>
          <w:sz w:val="20"/>
          <w:szCs w:val="20"/>
        </w:rPr>
        <w:t>joumada</w:t>
      </w:r>
      <w:proofErr w:type="spellEnd"/>
      <w:r w:rsidRPr="00B95753">
        <w:rPr>
          <w:rFonts w:ascii="Times New Roman" w:hAnsi="Times New Roman" w:cs="Times New Roman"/>
          <w:sz w:val="20"/>
          <w:szCs w:val="20"/>
        </w:rPr>
        <w:t xml:space="preserve"> Il 1422 for the implementation of Law n° 06-99 on competition.</w:t>
      </w:r>
    </w:p>
  </w:footnote>
  <w:footnote w:id="82">
    <w:p w14:paraId="7C441E1E" w14:textId="77777777" w:rsidR="00B42297" w:rsidRPr="00256678" w:rsidRDefault="00B42297" w:rsidP="00256678">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Argentina, Bolivia, Colombia, Costa Rica, Dominican Republic, Egypt, El Salvador, Honduras, India, Jamaica, Nicaragua, Panama, Philippines, Russia, Senegal, Ukraine, </w:t>
      </w:r>
      <w:r>
        <w:rPr>
          <w:rFonts w:ascii="Times New Roman" w:hAnsi="Times New Roman" w:cs="Times New Roman"/>
          <w:sz w:val="20"/>
          <w:szCs w:val="20"/>
        </w:rPr>
        <w:t xml:space="preserve">and </w:t>
      </w:r>
      <w:r w:rsidRPr="00B95753">
        <w:rPr>
          <w:rFonts w:ascii="Times New Roman" w:hAnsi="Times New Roman" w:cs="Times New Roman"/>
          <w:sz w:val="20"/>
          <w:szCs w:val="20"/>
        </w:rPr>
        <w:t xml:space="preserve">Uruguay have price </w:t>
      </w:r>
      <w:r w:rsidRPr="00256678">
        <w:rPr>
          <w:rFonts w:ascii="Times New Roman" w:hAnsi="Times New Roman" w:cs="Times New Roman"/>
          <w:sz w:val="20"/>
          <w:szCs w:val="20"/>
        </w:rPr>
        <w:t>controls for food staples in place, while Brazil, Bulgaria, Croatia, Cyprus, Ecuador, Guatemala, Indonesia, Kenya, Latvia, Lithuania, Malta, Paraguay, Peru, Romania, Rwanda, and South Africa do not</w:t>
      </w:r>
      <w:r>
        <w:rPr>
          <w:rFonts w:ascii="Times New Roman" w:hAnsi="Times New Roman" w:cs="Times New Roman"/>
          <w:sz w:val="20"/>
          <w:szCs w:val="20"/>
        </w:rPr>
        <w:t>.</w:t>
      </w:r>
    </w:p>
  </w:footnote>
  <w:footnote w:id="83">
    <w:p w14:paraId="5C44622D" w14:textId="77777777" w:rsidR="00B42297" w:rsidRPr="00C854AE" w:rsidRDefault="00B42297" w:rsidP="00C854AE">
      <w:pPr>
        <w:pStyle w:val="ListParagraph"/>
        <w:ind w:left="0"/>
        <w:jc w:val="both"/>
        <w:rPr>
          <w:rFonts w:ascii="Times New Roman" w:hAnsi="Times New Roman" w:cs="Times New Roman"/>
          <w:sz w:val="20"/>
          <w:szCs w:val="20"/>
        </w:rPr>
      </w:pPr>
      <w:r w:rsidRPr="00C854AE">
        <w:rPr>
          <w:rStyle w:val="FootnoteReference"/>
          <w:rFonts w:ascii="Times New Roman" w:hAnsi="Times New Roman" w:cs="Times New Roman"/>
          <w:sz w:val="20"/>
          <w:szCs w:val="20"/>
        </w:rPr>
        <w:footnoteRef/>
      </w:r>
      <w:r w:rsidRPr="00C854AE">
        <w:rPr>
          <w:rFonts w:ascii="Times New Roman" w:hAnsi="Times New Roman" w:cs="Times New Roman"/>
          <w:sz w:val="20"/>
          <w:szCs w:val="20"/>
        </w:rPr>
        <w:t xml:space="preserve"> PMR data indicates that the administrative requirements for setting up a company entail a process that typically lasts 8 days for both individual and public limited companies. Although this is considerably less than the approximately 20 days and 40 days it takes to set up individual and public limited companies, respectively, in Latin America and the Caribbean, it is much more than the 0.7 days and 1.4 days it takes in the top 5 OECD performers. On average, 2 to 3 agencies need to be contacted to complete the pre-registration process and 1 agency needs to be contacted to complete the registr</w:t>
      </w:r>
      <w:r>
        <w:rPr>
          <w:rFonts w:ascii="Times New Roman" w:hAnsi="Times New Roman" w:cs="Times New Roman"/>
          <w:sz w:val="20"/>
          <w:szCs w:val="20"/>
        </w:rPr>
        <w:t>ation phase.</w:t>
      </w:r>
    </w:p>
  </w:footnote>
  <w:footnote w:id="84">
    <w:p w14:paraId="46774D29" w14:textId="77777777" w:rsidR="00B42297" w:rsidRPr="000D497C" w:rsidRDefault="00B42297" w:rsidP="00C854AE">
      <w:pPr>
        <w:pStyle w:val="NormalWeb"/>
        <w:spacing w:before="0" w:beforeAutospacing="0" w:after="0" w:afterAutospacing="0"/>
        <w:rPr>
          <w:rFonts w:ascii="Times New Roman" w:hAnsi="Times New Roman"/>
          <w:color w:val="000000"/>
        </w:rPr>
      </w:pPr>
      <w:r w:rsidRPr="000D497C">
        <w:rPr>
          <w:rStyle w:val="FootnoteReference"/>
          <w:rFonts w:ascii="Times New Roman" w:hAnsi="Times New Roman"/>
        </w:rPr>
        <w:footnoteRef/>
      </w:r>
      <w:r w:rsidRPr="000D497C">
        <w:rPr>
          <w:rFonts w:ascii="Times New Roman" w:hAnsi="Times New Roman"/>
        </w:rPr>
        <w:t xml:space="preserve"> </w:t>
      </w:r>
      <w:hyperlink r:id="rId8" w:anchor="paying-taxes" w:history="1">
        <w:r w:rsidRPr="000D497C">
          <w:rPr>
            <w:rStyle w:val="Hyperlink"/>
            <w:rFonts w:ascii="Times New Roman" w:hAnsi="Times New Roman"/>
          </w:rPr>
          <w:t>http://www.doingbusiness.org/data/exploreeconomies/senegal#paying-taxes</w:t>
        </w:r>
      </w:hyperlink>
    </w:p>
    <w:p w14:paraId="69D7FE8D" w14:textId="77777777" w:rsidR="00B42297" w:rsidRDefault="00B42297">
      <w:pPr>
        <w:pStyle w:val="FootnoteText"/>
      </w:pPr>
    </w:p>
  </w:footnote>
  <w:footnote w:id="85">
    <w:p w14:paraId="1E4D4D34" w14:textId="239370CE" w:rsidR="00B42297" w:rsidRPr="00B37223" w:rsidRDefault="00B42297" w:rsidP="00B37223">
      <w:pPr>
        <w:pStyle w:val="NormalWeb"/>
        <w:spacing w:before="0" w:beforeAutospacing="0" w:after="0" w:afterAutospacing="0"/>
        <w:jc w:val="both"/>
        <w:rPr>
          <w:rFonts w:ascii="Cambria" w:hAnsi="Cambria" w:cs="Calibri"/>
          <w:color w:val="000000"/>
        </w:rPr>
      </w:pPr>
      <w:r w:rsidRPr="00A4669D">
        <w:rPr>
          <w:rStyle w:val="FootnoteReference"/>
        </w:rPr>
        <w:footnoteRef/>
      </w:r>
      <w:r w:rsidRPr="00A4669D">
        <w:t xml:space="preserve"> </w:t>
      </w:r>
      <w:r w:rsidRPr="00A4669D">
        <w:rPr>
          <w:color w:val="000000"/>
        </w:rPr>
        <w:t>The accountancy profession has an exclusive right to carry out 5 tasks (statutory audit, non-statutory audit, audit of mergers and contribution in kind, public sector audit, accounting</w:t>
      </w:r>
      <w:r w:rsidRPr="00A4669D">
        <w:t xml:space="preserve"> </w:t>
      </w:r>
      <w:r w:rsidRPr="00A4669D">
        <w:rPr>
          <w:color w:val="000000"/>
        </w:rPr>
        <w:t>including public-sector accounting and book-keeping) compared to top 5 OECD country average of 5 exclusive or shared exclusive tasks. Legal professionals have the exclusive right to carry out 7 tasks (advice on matters predominantly regulated by domestic law, advice on matters predominantly regulated by international law, advice on matters predominantly regulated by foreign law, transfer of title to real estate, wills and regulation of family matters (conveyancing), representation of clients before courts, representation before administrative agencies, including on tax matters, tax advice) compared to top 5 OECD country average of 6 exclusive or shared exclusive tasks. Engineers, on the other hand, do not have any exclusive rights, while only architects can request construction permits, prepare and monitor the construction/execution of projects, or carry out landscape planning - i.e. architects have exclusive rights on 3 tasks compared to top 5 OECD country average of 2.4 exclusive or shared exclusive tasks.</w:t>
      </w:r>
      <w:r w:rsidRPr="00A4669D">
        <w:rPr>
          <w:i/>
        </w:rPr>
        <w:t xml:space="preserve"> </w:t>
      </w:r>
      <w:r w:rsidRPr="00A4669D">
        <w:t>The 5 main OECD countries regarding sector regulations are: Austria, Australia, Germany, Netherlands and the United Kingdom.</w:t>
      </w:r>
    </w:p>
  </w:footnote>
  <w:footnote w:id="86">
    <w:p w14:paraId="16977F89" w14:textId="77777777" w:rsidR="00B42297" w:rsidRPr="00BC5B64" w:rsidRDefault="00B42297" w:rsidP="00B37223">
      <w:pPr>
        <w:pStyle w:val="FootnoteText"/>
        <w:jc w:val="both"/>
        <w:rPr>
          <w:rFonts w:ascii="Times New Roman" w:hAnsi="Times New Roman" w:cs="Times New Roman"/>
          <w:sz w:val="20"/>
          <w:szCs w:val="20"/>
        </w:rPr>
      </w:pPr>
      <w:r w:rsidRPr="00BC5B64">
        <w:rPr>
          <w:rStyle w:val="FootnoteReference"/>
          <w:rFonts w:ascii="Times New Roman" w:hAnsi="Times New Roman" w:cs="Times New Roman"/>
          <w:sz w:val="20"/>
          <w:szCs w:val="20"/>
        </w:rPr>
        <w:footnoteRef/>
      </w:r>
      <w:r w:rsidRPr="00BC5B64">
        <w:rPr>
          <w:rFonts w:ascii="Times New Roman" w:hAnsi="Times New Roman" w:cs="Times New Roman"/>
          <w:sz w:val="20"/>
          <w:szCs w:val="20"/>
        </w:rPr>
        <w:t xml:space="preserve"> Accountants must have four years of post-secondary education and then pass a centralized exam (Examen </w:t>
      </w:r>
      <w:proofErr w:type="spellStart"/>
      <w:r w:rsidRPr="00BC5B64">
        <w:rPr>
          <w:rFonts w:ascii="Times New Roman" w:hAnsi="Times New Roman" w:cs="Times New Roman"/>
          <w:sz w:val="20"/>
          <w:szCs w:val="20"/>
        </w:rPr>
        <w:t>Préliminaire</w:t>
      </w:r>
      <w:proofErr w:type="spellEnd"/>
      <w:r w:rsidRPr="00BC5B64">
        <w:rPr>
          <w:rFonts w:ascii="Times New Roman" w:hAnsi="Times New Roman" w:cs="Times New Roman"/>
          <w:sz w:val="20"/>
          <w:szCs w:val="20"/>
        </w:rPr>
        <w:t xml:space="preserve"> aux Etudes </w:t>
      </w:r>
      <w:proofErr w:type="spellStart"/>
      <w:r w:rsidRPr="00BC5B64">
        <w:rPr>
          <w:rFonts w:ascii="Times New Roman" w:hAnsi="Times New Roman" w:cs="Times New Roman"/>
          <w:sz w:val="20"/>
          <w:szCs w:val="20"/>
        </w:rPr>
        <w:t>Comptables</w:t>
      </w:r>
      <w:proofErr w:type="spellEnd"/>
      <w:r w:rsidRPr="00BC5B64">
        <w:rPr>
          <w:rFonts w:ascii="Times New Roman" w:hAnsi="Times New Roman" w:cs="Times New Roman"/>
          <w:sz w:val="20"/>
          <w:szCs w:val="20"/>
        </w:rPr>
        <w:t xml:space="preserve"> et </w:t>
      </w:r>
      <w:proofErr w:type="spellStart"/>
      <w:r w:rsidRPr="00BC5B64">
        <w:rPr>
          <w:rFonts w:ascii="Times New Roman" w:hAnsi="Times New Roman" w:cs="Times New Roman"/>
          <w:sz w:val="20"/>
          <w:szCs w:val="20"/>
        </w:rPr>
        <w:t>Financières</w:t>
      </w:r>
      <w:proofErr w:type="spellEnd"/>
      <w:r w:rsidRPr="00BC5B64">
        <w:rPr>
          <w:rFonts w:ascii="Times New Roman" w:hAnsi="Times New Roman" w:cs="Times New Roman"/>
          <w:sz w:val="20"/>
          <w:szCs w:val="20"/>
        </w:rPr>
        <w:t xml:space="preserve"> </w:t>
      </w:r>
      <w:proofErr w:type="spellStart"/>
      <w:r w:rsidRPr="00BC5B64">
        <w:rPr>
          <w:rFonts w:ascii="Times New Roman" w:hAnsi="Times New Roman" w:cs="Times New Roman"/>
          <w:sz w:val="20"/>
          <w:szCs w:val="20"/>
        </w:rPr>
        <w:t>Approfondies</w:t>
      </w:r>
      <w:proofErr w:type="spellEnd"/>
      <w:r w:rsidRPr="00BC5B64">
        <w:rPr>
          <w:rFonts w:ascii="Times New Roman" w:hAnsi="Times New Roman" w:cs="Times New Roman"/>
          <w:sz w:val="20"/>
          <w:szCs w:val="20"/>
        </w:rPr>
        <w:t xml:space="preserve"> (EPECFA)); </w:t>
      </w:r>
      <w:proofErr w:type="spellStart"/>
      <w:r w:rsidRPr="00BC5B64">
        <w:rPr>
          <w:rFonts w:ascii="Times New Roman" w:hAnsi="Times New Roman" w:cs="Times New Roman"/>
          <w:sz w:val="20"/>
          <w:szCs w:val="20"/>
        </w:rPr>
        <w:t>Règlement</w:t>
      </w:r>
      <w:proofErr w:type="spellEnd"/>
      <w:r w:rsidRPr="00BC5B64">
        <w:rPr>
          <w:rFonts w:ascii="Times New Roman" w:hAnsi="Times New Roman" w:cs="Times New Roman"/>
          <w:sz w:val="20"/>
          <w:szCs w:val="20"/>
        </w:rPr>
        <w:t xml:space="preserve"> n°12/2000/CM/UEMOA.</w:t>
      </w:r>
    </w:p>
  </w:footnote>
  <w:footnote w:id="87">
    <w:p w14:paraId="4D0474B9" w14:textId="77777777" w:rsidR="00B42297" w:rsidRPr="00DE72FC" w:rsidRDefault="00B42297" w:rsidP="00B37223">
      <w:pPr>
        <w:pStyle w:val="FootnoteText"/>
        <w:jc w:val="both"/>
      </w:pPr>
      <w:r w:rsidRPr="00BC5B64">
        <w:rPr>
          <w:rStyle w:val="FootnoteReference"/>
          <w:rFonts w:ascii="Times New Roman" w:hAnsi="Times New Roman" w:cs="Times New Roman"/>
          <w:sz w:val="20"/>
          <w:szCs w:val="20"/>
        </w:rPr>
        <w:footnoteRef/>
      </w:r>
      <w:r w:rsidRPr="00BC5B64">
        <w:rPr>
          <w:rFonts w:ascii="Times New Roman" w:hAnsi="Times New Roman" w:cs="Times New Roman"/>
          <w:sz w:val="20"/>
          <w:szCs w:val="20"/>
        </w:rPr>
        <w:t xml:space="preserve"> </w:t>
      </w:r>
      <w:r w:rsidRPr="00BC5B64">
        <w:rPr>
          <w:rFonts w:ascii="Times New Roman" w:hAnsi="Times New Roman" w:cs="Times New Roman"/>
          <w:i/>
          <w:sz w:val="20"/>
          <w:szCs w:val="20"/>
        </w:rPr>
        <w:t>See</w:t>
      </w:r>
      <w:r w:rsidRPr="00BC5B64">
        <w:rPr>
          <w:rFonts w:ascii="Times New Roman" w:hAnsi="Times New Roman" w:cs="Times New Roman"/>
          <w:sz w:val="20"/>
          <w:szCs w:val="20"/>
        </w:rPr>
        <w:t>, Harrington, Joseph (2016), “</w:t>
      </w:r>
      <w:r w:rsidRPr="00BC5B64">
        <w:rPr>
          <w:rFonts w:ascii="Times New Roman" w:hAnsi="Times New Roman" w:cs="Times New Roman"/>
          <w:i/>
          <w:sz w:val="20"/>
          <w:szCs w:val="20"/>
        </w:rPr>
        <w:t xml:space="preserve">Heterogeneous Firms Can Always Collude on a Minimum Price”, </w:t>
      </w:r>
      <w:r w:rsidRPr="00BC5B64">
        <w:rPr>
          <w:rFonts w:ascii="Times New Roman" w:hAnsi="Times New Roman" w:cs="Times New Roman"/>
          <w:sz w:val="20"/>
          <w:szCs w:val="20"/>
        </w:rPr>
        <w:t>Economics Letters (136), pp. 46-49, January.</w:t>
      </w:r>
    </w:p>
  </w:footnote>
  <w:footnote w:id="88">
    <w:p w14:paraId="3EFEC1C3" w14:textId="77777777" w:rsidR="00B42297" w:rsidRPr="00B95753" w:rsidRDefault="00B42297" w:rsidP="0043271C">
      <w:pPr>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These are: manufacturing, construction, energy, distribution, air transport, maritime transport, road transport, fixed telecommunications, mobile telecommunications, insurance, banking, hotels and restaurants, and accounting, legal, engineering, and architecture services</w:t>
      </w:r>
      <w:r>
        <w:rPr>
          <w:rFonts w:ascii="Times New Roman" w:hAnsi="Times New Roman" w:cs="Times New Roman"/>
          <w:sz w:val="20"/>
          <w:szCs w:val="20"/>
        </w:rPr>
        <w:t>.</w:t>
      </w:r>
    </w:p>
  </w:footnote>
  <w:footnote w:id="89">
    <w:p w14:paraId="4E5C2689" w14:textId="4C814C69" w:rsidR="00B42297" w:rsidRPr="00A933E4" w:rsidRDefault="00B42297" w:rsidP="00B9591A">
      <w:pPr>
        <w:pStyle w:val="FootnoteText"/>
        <w:rPr>
          <w:rFonts w:ascii="Times New Roman" w:hAnsi="Times New Roman" w:cs="Times New Roman"/>
        </w:rPr>
      </w:pPr>
      <w:r w:rsidRPr="00A933E4">
        <w:rPr>
          <w:rStyle w:val="FootnoteReference"/>
          <w:rFonts w:ascii="Times New Roman" w:hAnsi="Times New Roman" w:cs="Times New Roman"/>
          <w:sz w:val="20"/>
        </w:rPr>
        <w:footnoteRef/>
      </w:r>
      <w:r w:rsidRPr="00A933E4">
        <w:rPr>
          <w:rFonts w:ascii="Times New Roman" w:hAnsi="Times New Roman" w:cs="Times New Roman"/>
          <w:sz w:val="20"/>
        </w:rPr>
        <w:t xml:space="preserve"> </w:t>
      </w:r>
      <w:r>
        <w:rPr>
          <w:rFonts w:ascii="Times New Roman" w:hAnsi="Times New Roman" w:cs="Times New Roman"/>
          <w:sz w:val="20"/>
        </w:rPr>
        <w:t>This</w:t>
      </w:r>
      <w:r w:rsidRPr="00A933E4">
        <w:rPr>
          <w:rFonts w:ascii="Times New Roman" w:hAnsi="Times New Roman" w:cs="Times New Roman"/>
          <w:sz w:val="20"/>
        </w:rPr>
        <w:t xml:space="preserve"> decrease</w:t>
      </w:r>
      <w:r>
        <w:rPr>
          <w:rFonts w:ascii="Times New Roman" w:hAnsi="Times New Roman" w:cs="Times New Roman"/>
          <w:sz w:val="20"/>
        </w:rPr>
        <w:t xml:space="preserve"> is equivalent to a two-quartile</w:t>
      </w:r>
      <w:r w:rsidRPr="00A933E4">
        <w:rPr>
          <w:rFonts w:ascii="Times New Roman" w:hAnsi="Times New Roman" w:cs="Times New Roman"/>
          <w:sz w:val="20"/>
        </w:rPr>
        <w:t xml:space="preserve"> reduction in PMR score</w:t>
      </w:r>
      <w:r>
        <w:rPr>
          <w:rFonts w:ascii="Times New Roman" w:hAnsi="Times New Roman" w:cs="Times New Roman"/>
          <w:sz w:val="20"/>
        </w:rPr>
        <w:t>.</w:t>
      </w:r>
    </w:p>
  </w:footnote>
  <w:footnote w:id="90">
    <w:p w14:paraId="403F47A9" w14:textId="77777777" w:rsidR="00B42297" w:rsidRPr="00B7322B" w:rsidRDefault="00B42297" w:rsidP="00B7322B">
      <w:pPr>
        <w:pStyle w:val="FootnoteText"/>
        <w:jc w:val="both"/>
        <w:rPr>
          <w:rFonts w:ascii="Times New Roman" w:hAnsi="Times New Roman" w:cs="Times New Roman"/>
          <w:sz w:val="20"/>
          <w:szCs w:val="20"/>
        </w:rPr>
      </w:pPr>
      <w:r w:rsidRPr="00B7322B">
        <w:rPr>
          <w:rStyle w:val="FootnoteReference"/>
          <w:rFonts w:ascii="Times New Roman" w:hAnsi="Times New Roman" w:cs="Times New Roman"/>
          <w:sz w:val="20"/>
          <w:szCs w:val="20"/>
        </w:rPr>
        <w:footnoteRef/>
      </w:r>
      <w:r w:rsidRPr="00B7322B">
        <w:rPr>
          <w:rFonts w:ascii="Times New Roman" w:hAnsi="Times New Roman" w:cs="Times New Roman"/>
          <w:sz w:val="20"/>
          <w:szCs w:val="20"/>
        </w:rPr>
        <w:t xml:space="preserve"> World Bank – OECD (2017) </w:t>
      </w:r>
      <w:r w:rsidRPr="00B7322B">
        <w:rPr>
          <w:rFonts w:ascii="Times New Roman" w:hAnsi="Times New Roman" w:cs="Times New Roman"/>
          <w:i/>
          <w:sz w:val="20"/>
          <w:szCs w:val="20"/>
        </w:rPr>
        <w:t>A Step Ahead – Competition Policy for Shared Prosperity and Inclusive Growth.</w:t>
      </w:r>
    </w:p>
  </w:footnote>
  <w:footnote w:id="91">
    <w:p w14:paraId="56ACFBD4" w14:textId="77777777" w:rsidR="00B42297" w:rsidRPr="00B95753" w:rsidRDefault="00B42297" w:rsidP="006B1372">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Abdelkrim</w:t>
      </w:r>
      <w:proofErr w:type="spellEnd"/>
      <w:r w:rsidRPr="00B95753">
        <w:rPr>
          <w:rFonts w:ascii="Times New Roman" w:hAnsi="Times New Roman" w:cs="Times New Roman"/>
          <w:sz w:val="20"/>
          <w:szCs w:val="20"/>
        </w:rPr>
        <w:t xml:space="preserve">, A. and Duclos, J-Y. 2007. </w:t>
      </w:r>
      <w:r w:rsidRPr="00B95753">
        <w:rPr>
          <w:rFonts w:ascii="Times New Roman" w:hAnsi="Times New Roman" w:cs="Times New Roman"/>
          <w:i/>
          <w:iCs/>
          <w:sz w:val="20"/>
          <w:szCs w:val="20"/>
        </w:rPr>
        <w:t>DASP: Distributive Analysis Stata Package</w:t>
      </w:r>
      <w:r w:rsidRPr="00B95753">
        <w:rPr>
          <w:rFonts w:ascii="Times New Roman" w:hAnsi="Times New Roman" w:cs="Times New Roman"/>
          <w:sz w:val="20"/>
          <w:szCs w:val="20"/>
        </w:rPr>
        <w:t xml:space="preserve">. PEP. World Bank, UNDP and </w:t>
      </w:r>
      <w:proofErr w:type="spellStart"/>
      <w:r w:rsidRPr="00B95753">
        <w:rPr>
          <w:rFonts w:ascii="Times New Roman" w:hAnsi="Times New Roman" w:cs="Times New Roman"/>
          <w:sz w:val="20"/>
          <w:szCs w:val="20"/>
        </w:rPr>
        <w:t>Université</w:t>
      </w:r>
      <w:proofErr w:type="spellEnd"/>
      <w:r w:rsidRPr="00B95753">
        <w:rPr>
          <w:rFonts w:ascii="Times New Roman" w:hAnsi="Times New Roman" w:cs="Times New Roman"/>
          <w:sz w:val="20"/>
          <w:szCs w:val="20"/>
        </w:rPr>
        <w:t xml:space="preserve"> Laval.</w:t>
      </w:r>
    </w:p>
  </w:footnote>
  <w:footnote w:id="92">
    <w:p w14:paraId="4545E143" w14:textId="77777777" w:rsidR="00B42297" w:rsidRPr="00B95753" w:rsidRDefault="00B42297" w:rsidP="00C538DB">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 food products included are millet, sorghum, maize, rice, palm oil, vegetable oils, peanut oil, groundnuts, granulated sugar, wheat bread, and other types of bread. These were selected based on their importance in an average Senegalese consumer basket, </w:t>
      </w:r>
      <w:proofErr w:type="gramStart"/>
      <w:r>
        <w:rPr>
          <w:rFonts w:ascii="Times New Roman" w:hAnsi="Times New Roman" w:cs="Times New Roman"/>
          <w:sz w:val="20"/>
          <w:szCs w:val="20"/>
        </w:rPr>
        <w:t>and</w:t>
      </w:r>
      <w:r w:rsidRPr="00B95753">
        <w:rPr>
          <w:rFonts w:ascii="Times New Roman" w:hAnsi="Times New Roman" w:cs="Times New Roman"/>
          <w:sz w:val="20"/>
          <w:szCs w:val="20"/>
        </w:rPr>
        <w:t xml:space="preserve"> also</w:t>
      </w:r>
      <w:proofErr w:type="gramEnd"/>
      <w:r w:rsidRPr="00B95753">
        <w:rPr>
          <w:rFonts w:ascii="Times New Roman" w:hAnsi="Times New Roman" w:cs="Times New Roman"/>
          <w:sz w:val="20"/>
          <w:szCs w:val="20"/>
        </w:rPr>
        <w:t xml:space="preserve"> because they are consumed more by the bottom 40 percent of the income distribution than by the top 40 (as shown by a ratio of more than unity in the second-to-last column of the below table). The exceptions are peanut oil (due to the detailed analysis in the following section) and wheat breads (due to their large poverty implications).</w:t>
      </w:r>
    </w:p>
  </w:footnote>
  <w:footnote w:id="93">
    <w:p w14:paraId="24DF9ABD" w14:textId="77777777" w:rsidR="00B42297" w:rsidRPr="00B95753" w:rsidRDefault="00B42297" w:rsidP="006B1372">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Mbaye</w:t>
      </w:r>
      <w:proofErr w:type="spellEnd"/>
      <w:r w:rsidRPr="00B95753">
        <w:rPr>
          <w:rFonts w:ascii="Times New Roman" w:hAnsi="Times New Roman" w:cs="Times New Roman"/>
          <w:sz w:val="20"/>
          <w:szCs w:val="20"/>
        </w:rPr>
        <w:t xml:space="preserve">, A. A., Golub, S., English, P. 2015. </w:t>
      </w:r>
      <w:r w:rsidRPr="00B95753">
        <w:rPr>
          <w:rFonts w:ascii="Times New Roman" w:hAnsi="Times New Roman" w:cs="Times New Roman"/>
          <w:i/>
          <w:sz w:val="20"/>
          <w:szCs w:val="20"/>
        </w:rPr>
        <w:t>Policies, Prices and Poverty: The Sugar, Vegetable Oil, and Flour Industries in Senegal</w:t>
      </w:r>
      <w:r w:rsidRPr="00B95753">
        <w:rPr>
          <w:rFonts w:ascii="Times New Roman" w:hAnsi="Times New Roman" w:cs="Times New Roman"/>
          <w:sz w:val="20"/>
          <w:szCs w:val="20"/>
        </w:rPr>
        <w:t>. World Bank Policy Research Working Paper 7286, p. 43ff</w:t>
      </w:r>
      <w:r>
        <w:rPr>
          <w:rFonts w:ascii="Times New Roman" w:hAnsi="Times New Roman" w:cs="Times New Roman"/>
          <w:sz w:val="20"/>
          <w:szCs w:val="20"/>
        </w:rPr>
        <w:t>.</w:t>
      </w:r>
    </w:p>
  </w:footnote>
  <w:footnote w:id="94">
    <w:p w14:paraId="313FFE82" w14:textId="77777777" w:rsidR="00B42297" w:rsidRPr="00B95753" w:rsidRDefault="00B42297" w:rsidP="00A65D5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2017. </w:t>
      </w:r>
      <w:r w:rsidRPr="00B95753">
        <w:rPr>
          <w:rFonts w:ascii="Times New Roman" w:hAnsi="Times New Roman" w:cs="Times New Roman"/>
          <w:i/>
          <w:sz w:val="20"/>
          <w:szCs w:val="20"/>
        </w:rPr>
        <w:t>World Development Indicators</w:t>
      </w:r>
    </w:p>
  </w:footnote>
  <w:footnote w:id="95">
    <w:p w14:paraId="7F137D64" w14:textId="77777777" w:rsidR="00B42297" w:rsidRPr="00B95753" w:rsidRDefault="00B42297" w:rsidP="00103B4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 result is robust regardless of whether the poverty line calculated by the Senegalese bureau of statistics or the line calculated by the World Bank Group correcting for the settlement type classification is used.</w:t>
      </w:r>
    </w:p>
  </w:footnote>
  <w:footnote w:id="96">
    <w:p w14:paraId="29BE6010" w14:textId="175D43BF" w:rsidR="00B42297" w:rsidRPr="007575D7" w:rsidRDefault="00B42297" w:rsidP="00F61864">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B30B22">
        <w:rPr>
          <w:rFonts w:ascii="Times New Roman" w:hAnsi="Times New Roman" w:cs="Times New Roman"/>
          <w:i/>
          <w:sz w:val="20"/>
          <w:szCs w:val="20"/>
          <w:lang w:val="fr-FR"/>
        </w:rPr>
        <w:t>Étude</w:t>
      </w:r>
      <w:r w:rsidRPr="007575D7">
        <w:rPr>
          <w:rFonts w:ascii="Times New Roman" w:hAnsi="Times New Roman" w:cs="Times New Roman"/>
          <w:i/>
          <w:sz w:val="20"/>
          <w:szCs w:val="20"/>
          <w:lang w:val="fr-FR"/>
        </w:rPr>
        <w:t xml:space="preserv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10</w:t>
      </w:r>
    </w:p>
  </w:footnote>
  <w:footnote w:id="97">
    <w:p w14:paraId="07780DAC"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2014. </w:t>
      </w:r>
      <w:r w:rsidRPr="00B95753">
        <w:rPr>
          <w:rFonts w:ascii="Times New Roman" w:eastAsia="Times New Roman" w:hAnsi="Times New Roman" w:cs="Times New Roman"/>
          <w:i/>
          <w:sz w:val="20"/>
          <w:szCs w:val="20"/>
        </w:rPr>
        <w:t xml:space="preserve">Plan </w:t>
      </w:r>
      <w:proofErr w:type="spellStart"/>
      <w:r w:rsidRPr="00B95753">
        <w:rPr>
          <w:rFonts w:ascii="Times New Roman" w:eastAsia="Times New Roman" w:hAnsi="Times New Roman" w:cs="Times New Roman"/>
          <w:i/>
          <w:sz w:val="20"/>
          <w:szCs w:val="20"/>
        </w:rPr>
        <w:t>Sénégal</w:t>
      </w:r>
      <w:proofErr w:type="spellEnd"/>
      <w:r w:rsidRPr="00B95753">
        <w:rPr>
          <w:rFonts w:ascii="Times New Roman" w:eastAsia="Times New Roman" w:hAnsi="Times New Roman" w:cs="Times New Roman"/>
          <w:i/>
          <w:sz w:val="20"/>
          <w:szCs w:val="20"/>
        </w:rPr>
        <w:t xml:space="preserve"> Emergent.</w:t>
      </w:r>
    </w:p>
  </w:footnote>
  <w:footnote w:id="98">
    <w:p w14:paraId="23B13A61"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2016. </w:t>
      </w:r>
      <w:proofErr w:type="spellStart"/>
      <w:r w:rsidRPr="00B95753">
        <w:rPr>
          <w:rFonts w:ascii="Times New Roman" w:hAnsi="Times New Roman" w:cs="Times New Roman"/>
          <w:i/>
          <w:sz w:val="20"/>
          <w:szCs w:val="20"/>
        </w:rPr>
        <w:t>Strategie</w:t>
      </w:r>
      <w:proofErr w:type="spellEnd"/>
      <w:r w:rsidRPr="00B95753">
        <w:rPr>
          <w:rFonts w:ascii="Times New Roman" w:hAnsi="Times New Roman" w:cs="Times New Roman"/>
          <w:i/>
          <w:sz w:val="20"/>
          <w:szCs w:val="20"/>
        </w:rPr>
        <w:t xml:space="preserve"> </w:t>
      </w:r>
      <w:proofErr w:type="spellStart"/>
      <w:r w:rsidRPr="00B95753">
        <w:rPr>
          <w:rFonts w:ascii="Times New Roman" w:eastAsia="Times New Roman" w:hAnsi="Times New Roman" w:cs="Times New Roman"/>
          <w:i/>
          <w:sz w:val="20"/>
          <w:szCs w:val="20"/>
        </w:rPr>
        <w:t>Sénégal</w:t>
      </w:r>
      <w:proofErr w:type="spellEnd"/>
      <w:r w:rsidRPr="00B95753">
        <w:rPr>
          <w:rFonts w:ascii="Times New Roman" w:eastAsia="Times New Roman" w:hAnsi="Times New Roman" w:cs="Times New Roman"/>
          <w:i/>
          <w:sz w:val="20"/>
          <w:szCs w:val="20"/>
        </w:rPr>
        <w:t xml:space="preserve"> </w:t>
      </w:r>
      <w:proofErr w:type="spellStart"/>
      <w:r w:rsidRPr="00B95753">
        <w:rPr>
          <w:rFonts w:ascii="Times New Roman" w:hAnsi="Times New Roman" w:cs="Times New Roman"/>
          <w:i/>
          <w:sz w:val="20"/>
          <w:szCs w:val="20"/>
        </w:rPr>
        <w:t>Num</w:t>
      </w:r>
      <w:r w:rsidRPr="00B95753">
        <w:rPr>
          <w:rFonts w:ascii="Times New Roman" w:eastAsia="Times New Roman" w:hAnsi="Times New Roman" w:cs="Times New Roman"/>
          <w:i/>
          <w:sz w:val="20"/>
          <w:szCs w:val="20"/>
        </w:rPr>
        <w:t>é</w:t>
      </w:r>
      <w:r w:rsidRPr="00B95753">
        <w:rPr>
          <w:rFonts w:ascii="Times New Roman" w:hAnsi="Times New Roman" w:cs="Times New Roman"/>
          <w:i/>
          <w:sz w:val="20"/>
          <w:szCs w:val="20"/>
        </w:rPr>
        <w:t>rique</w:t>
      </w:r>
      <w:proofErr w:type="spellEnd"/>
      <w:r w:rsidRPr="00B95753">
        <w:rPr>
          <w:rFonts w:ascii="Times New Roman" w:hAnsi="Times New Roman" w:cs="Times New Roman"/>
          <w:sz w:val="20"/>
          <w:szCs w:val="20"/>
        </w:rPr>
        <w:t>, p. 9</w:t>
      </w:r>
    </w:p>
  </w:footnote>
  <w:footnote w:id="99">
    <w:p w14:paraId="61196C3C"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McKinsey Global Institute. 2013. </w:t>
      </w:r>
      <w:r w:rsidRPr="00B95753">
        <w:rPr>
          <w:rFonts w:ascii="Times New Roman" w:hAnsi="Times New Roman" w:cs="Times New Roman"/>
          <w:i/>
          <w:sz w:val="20"/>
          <w:szCs w:val="20"/>
        </w:rPr>
        <w:t>Lions go digital: The internet’s transformative potential in Africa.</w:t>
      </w:r>
      <w:r w:rsidRPr="00B95753">
        <w:rPr>
          <w:rFonts w:ascii="Times New Roman" w:hAnsi="Times New Roman" w:cs="Times New Roman"/>
          <w:sz w:val="20"/>
          <w:szCs w:val="20"/>
        </w:rPr>
        <w:t xml:space="preserve"> Available at http://www.mckinsey.com/industries/high-tech/our-insights/lions-go-digital-the-internets-transformative-potential-in-africa</w:t>
      </w:r>
    </w:p>
  </w:footnote>
  <w:footnote w:id="100">
    <w:p w14:paraId="275A2133" w14:textId="793EF6C5"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Étude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41</w:t>
      </w:r>
    </w:p>
  </w:footnote>
  <w:footnote w:id="101">
    <w:p w14:paraId="47B86E7B"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According to the latest available data, Senegal has 3.2 million hectares of arable land (FAO. 2017. </w:t>
      </w:r>
      <w:r w:rsidRPr="00B95753">
        <w:rPr>
          <w:rFonts w:ascii="Times New Roman" w:hAnsi="Times New Roman" w:cs="Times New Roman"/>
          <w:i/>
          <w:sz w:val="20"/>
          <w:szCs w:val="20"/>
        </w:rPr>
        <w:t>County Indicators – Senegal.</w:t>
      </w:r>
      <w:r w:rsidRPr="00B95753">
        <w:rPr>
          <w:rFonts w:ascii="Times New Roman" w:hAnsi="Times New Roman" w:cs="Times New Roman"/>
          <w:sz w:val="20"/>
          <w:szCs w:val="20"/>
        </w:rPr>
        <w:t xml:space="preserve"> Available at: </w:t>
      </w:r>
      <w:hyperlink r:id="rId9" w:anchor="country/195" w:history="1">
        <w:r w:rsidRPr="00B95753">
          <w:rPr>
            <w:rStyle w:val="Hyperlink"/>
            <w:rFonts w:ascii="Times New Roman" w:hAnsi="Times New Roman" w:cs="Times New Roman"/>
            <w:sz w:val="20"/>
            <w:szCs w:val="20"/>
          </w:rPr>
          <w:t>http://www.fao.org/faostat/en/#country/195</w:t>
        </w:r>
      </w:hyperlink>
      <w:r w:rsidRPr="00B95753">
        <w:rPr>
          <w:rFonts w:ascii="Times New Roman" w:hAnsi="Times New Roman" w:cs="Times New Roman"/>
          <w:sz w:val="20"/>
          <w:szCs w:val="20"/>
        </w:rPr>
        <w:t xml:space="preserve">), 1.1 million of which are dedicated to groundnuts (USDA. 2017. </w:t>
      </w:r>
      <w:r w:rsidRPr="00B95753">
        <w:rPr>
          <w:rFonts w:ascii="Times New Roman" w:hAnsi="Times New Roman" w:cs="Times New Roman"/>
          <w:i/>
          <w:sz w:val="20"/>
          <w:szCs w:val="20"/>
        </w:rPr>
        <w:t>Production, Supply and Distribution Database.</w:t>
      </w:r>
      <w:r w:rsidRPr="00B95753">
        <w:rPr>
          <w:rFonts w:ascii="Times New Roman" w:hAnsi="Times New Roman" w:cs="Times New Roman"/>
          <w:sz w:val="20"/>
          <w:szCs w:val="20"/>
        </w:rPr>
        <w:t xml:space="preserve"> Available at: </w:t>
      </w:r>
      <w:hyperlink r:id="rId10" w:anchor="/app/home" w:history="1">
        <w:r w:rsidRPr="00B95753">
          <w:rPr>
            <w:rStyle w:val="Hyperlink"/>
            <w:rFonts w:ascii="Times New Roman" w:hAnsi="Times New Roman" w:cs="Times New Roman"/>
            <w:sz w:val="20"/>
            <w:szCs w:val="20"/>
          </w:rPr>
          <w:t>https://apps.fas.usda.gov/psdonline/app/index.html#/app/home</w:t>
        </w:r>
      </w:hyperlink>
      <w:r w:rsidRPr="00B95753">
        <w:rPr>
          <w:rFonts w:ascii="Times New Roman" w:hAnsi="Times New Roman" w:cs="Times New Roman"/>
          <w:sz w:val="20"/>
          <w:szCs w:val="20"/>
        </w:rPr>
        <w:t>).</w:t>
      </w:r>
    </w:p>
  </w:footnote>
  <w:footnote w:id="102">
    <w:p w14:paraId="09732D11" w14:textId="77777777" w:rsidR="00B42297" w:rsidRPr="00B95753" w:rsidRDefault="00B42297" w:rsidP="00941DA0">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USDA. 2017. </w:t>
      </w:r>
      <w:r w:rsidRPr="00B95753">
        <w:rPr>
          <w:rFonts w:ascii="Times New Roman" w:hAnsi="Times New Roman" w:cs="Times New Roman"/>
          <w:i/>
          <w:sz w:val="20"/>
          <w:szCs w:val="20"/>
        </w:rPr>
        <w:t>Production, Supply and Distribution Database.</w:t>
      </w:r>
      <w:r w:rsidRPr="00B95753">
        <w:rPr>
          <w:rFonts w:ascii="Times New Roman" w:hAnsi="Times New Roman" w:cs="Times New Roman"/>
          <w:sz w:val="20"/>
          <w:szCs w:val="20"/>
        </w:rPr>
        <w:t xml:space="preserve"> Available at: </w:t>
      </w:r>
      <w:hyperlink r:id="rId11" w:anchor="/app/home" w:history="1">
        <w:r w:rsidRPr="00B95753">
          <w:rPr>
            <w:rStyle w:val="Hyperlink"/>
            <w:rFonts w:ascii="Times New Roman" w:hAnsi="Times New Roman" w:cs="Times New Roman"/>
            <w:sz w:val="20"/>
            <w:szCs w:val="20"/>
          </w:rPr>
          <w:t>https://apps.fas.usda.gov/psdonline/app/index.html#/app/home</w:t>
        </w:r>
      </w:hyperlink>
    </w:p>
  </w:footnote>
  <w:footnote w:id="103">
    <w:p w14:paraId="2294AA7D" w14:textId="77777777" w:rsidR="00B42297" w:rsidRPr="00B95753" w:rsidRDefault="00B42297">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USDA. 2017. </w:t>
      </w:r>
      <w:r w:rsidRPr="00B95753">
        <w:rPr>
          <w:rFonts w:ascii="Times New Roman" w:hAnsi="Times New Roman" w:cs="Times New Roman"/>
          <w:i/>
          <w:sz w:val="20"/>
          <w:szCs w:val="20"/>
        </w:rPr>
        <w:t>Production, Supply and Distribution Database.</w:t>
      </w:r>
      <w:r w:rsidRPr="00B95753">
        <w:rPr>
          <w:rFonts w:ascii="Times New Roman" w:hAnsi="Times New Roman" w:cs="Times New Roman"/>
          <w:sz w:val="20"/>
          <w:szCs w:val="20"/>
        </w:rPr>
        <w:t xml:space="preserve"> Available at: </w:t>
      </w:r>
      <w:hyperlink r:id="rId12" w:anchor="/app/home" w:history="1">
        <w:r w:rsidRPr="00B95753">
          <w:rPr>
            <w:rStyle w:val="Hyperlink"/>
            <w:rFonts w:ascii="Times New Roman" w:hAnsi="Times New Roman" w:cs="Times New Roman"/>
            <w:sz w:val="20"/>
            <w:szCs w:val="20"/>
          </w:rPr>
          <w:t>https://apps.fas.usda.gov/psdonline/app/index.html#/app/home</w:t>
        </w:r>
      </w:hyperlink>
    </w:p>
  </w:footnote>
  <w:footnote w:id="104">
    <w:p w14:paraId="3C5D3190"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Competitiveness and comparative advantage of the groundnut value chain in Senegal</w:t>
      </w:r>
      <w:r w:rsidRPr="00B95753">
        <w:rPr>
          <w:rFonts w:ascii="Times New Roman" w:hAnsi="Times New Roman" w:cs="Times New Roman"/>
          <w:sz w:val="20"/>
          <w:szCs w:val="20"/>
        </w:rPr>
        <w:t>, p. iv</w:t>
      </w:r>
    </w:p>
  </w:footnote>
  <w:footnote w:id="105">
    <w:p w14:paraId="5E4324F9" w14:textId="77777777" w:rsidR="00B42297" w:rsidRPr="00C538DB" w:rsidRDefault="00B42297">
      <w:pPr>
        <w:pStyle w:val="FootnoteText"/>
        <w:rPr>
          <w:rFonts w:ascii="Times New Roman" w:hAnsi="Times New Roman" w:cs="Times New Roman"/>
          <w:sz w:val="20"/>
          <w:szCs w:val="20"/>
        </w:rPr>
      </w:pPr>
      <w:r w:rsidRPr="00C538DB">
        <w:rPr>
          <w:rStyle w:val="FootnoteReference"/>
          <w:rFonts w:ascii="Times New Roman" w:hAnsi="Times New Roman" w:cs="Times New Roman"/>
          <w:sz w:val="20"/>
          <w:szCs w:val="20"/>
        </w:rPr>
        <w:footnoteRef/>
      </w:r>
      <w:r w:rsidRPr="00C538DB">
        <w:rPr>
          <w:rFonts w:ascii="Times New Roman" w:hAnsi="Times New Roman" w:cs="Times New Roman"/>
          <w:sz w:val="20"/>
          <w:szCs w:val="20"/>
        </w:rPr>
        <w:t xml:space="preserve"> </w:t>
      </w:r>
      <w:r w:rsidRPr="00F26A31">
        <w:rPr>
          <w:rFonts w:ascii="Times New Roman" w:hAnsi="Times New Roman" w:cs="Times New Roman"/>
          <w:sz w:val="20"/>
          <w:szCs w:val="20"/>
        </w:rPr>
        <w:t xml:space="preserve">World Bank. 2016. </w:t>
      </w:r>
      <w:r w:rsidRPr="00F26A31">
        <w:rPr>
          <w:rFonts w:ascii="Times New Roman" w:hAnsi="Times New Roman" w:cs="Times New Roman"/>
          <w:i/>
          <w:sz w:val="20"/>
          <w:szCs w:val="20"/>
        </w:rPr>
        <w:t>Competitiveness and comparative advantage of the groundnut value chain in Senegal</w:t>
      </w:r>
      <w:r w:rsidRPr="00F26A31">
        <w:rPr>
          <w:rFonts w:ascii="Times New Roman" w:hAnsi="Times New Roman" w:cs="Times New Roman"/>
          <w:sz w:val="20"/>
          <w:szCs w:val="20"/>
        </w:rPr>
        <w:t>, p. iv</w:t>
      </w:r>
    </w:p>
  </w:footnote>
  <w:footnote w:id="106">
    <w:p w14:paraId="50EE3F1F"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European</w:t>
      </w:r>
      <w:proofErr w:type="spellEnd"/>
      <w:r w:rsidRPr="007575D7">
        <w:rPr>
          <w:rFonts w:ascii="Times New Roman" w:hAnsi="Times New Roman" w:cs="Times New Roman"/>
          <w:sz w:val="20"/>
          <w:szCs w:val="20"/>
          <w:lang w:val="fr-FR"/>
        </w:rPr>
        <w:t xml:space="preserve"> Commission. 2016. </w:t>
      </w:r>
      <w:r w:rsidRPr="007575D7">
        <w:rPr>
          <w:rFonts w:ascii="Times New Roman" w:hAnsi="Times New Roman" w:cs="Times New Roman"/>
          <w:i/>
          <w:sz w:val="20"/>
          <w:szCs w:val="20"/>
          <w:lang w:val="fr-FR"/>
        </w:rPr>
        <w:t>Analyse d'économie politique (PEA) des filières de l'arachide et du riz</w:t>
      </w:r>
      <w:r w:rsidRPr="007575D7">
        <w:rPr>
          <w:rFonts w:ascii="Times New Roman" w:hAnsi="Times New Roman" w:cs="Times New Roman"/>
          <w:sz w:val="20"/>
          <w:szCs w:val="20"/>
          <w:lang w:val="fr-FR"/>
        </w:rPr>
        <w:t>, p. 25</w:t>
      </w:r>
    </w:p>
  </w:footnote>
  <w:footnote w:id="107">
    <w:p w14:paraId="5EF859DB"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Competitiveness and comparative advantage of the groundnut value chain in Senegal.</w:t>
      </w:r>
    </w:p>
  </w:footnote>
  <w:footnote w:id="108">
    <w:p w14:paraId="789C1F57"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USDA. 2017. </w:t>
      </w:r>
      <w:r w:rsidRPr="00B95753">
        <w:rPr>
          <w:rFonts w:ascii="Times New Roman" w:hAnsi="Times New Roman" w:cs="Times New Roman"/>
          <w:i/>
          <w:sz w:val="20"/>
          <w:szCs w:val="20"/>
        </w:rPr>
        <w:t>Production, Supply and Distribution Database.</w:t>
      </w:r>
      <w:r w:rsidRPr="00B95753">
        <w:rPr>
          <w:rFonts w:ascii="Times New Roman" w:hAnsi="Times New Roman" w:cs="Times New Roman"/>
          <w:sz w:val="20"/>
          <w:szCs w:val="20"/>
        </w:rPr>
        <w:t xml:space="preserve"> Available at: </w:t>
      </w:r>
      <w:hyperlink r:id="rId13" w:anchor="/app/home" w:history="1">
        <w:r w:rsidRPr="00B95753">
          <w:rPr>
            <w:rStyle w:val="Hyperlink"/>
            <w:rFonts w:ascii="Times New Roman" w:hAnsi="Times New Roman" w:cs="Times New Roman"/>
            <w:sz w:val="20"/>
            <w:szCs w:val="20"/>
          </w:rPr>
          <w:t>https://apps.fas.usda.gov/psdonline/app/index.html#/app/home</w:t>
        </w:r>
      </w:hyperlink>
    </w:p>
  </w:footnote>
  <w:footnote w:id="109">
    <w:p w14:paraId="186B4551"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Competitiveness and comparative advantage of the groundnut value chain in Senegal.</w:t>
      </w:r>
    </w:p>
  </w:footnote>
  <w:footnote w:id="110">
    <w:p w14:paraId="664EFFE0"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Mbaye</w:t>
      </w:r>
      <w:proofErr w:type="spellEnd"/>
      <w:r w:rsidRPr="00B95753">
        <w:rPr>
          <w:rFonts w:ascii="Times New Roman" w:hAnsi="Times New Roman" w:cs="Times New Roman"/>
          <w:sz w:val="20"/>
          <w:szCs w:val="20"/>
        </w:rPr>
        <w:t xml:space="preserve">, A. A., Golub, S., English, P. 2015. </w:t>
      </w:r>
      <w:r w:rsidRPr="00B95753">
        <w:rPr>
          <w:rFonts w:ascii="Times New Roman" w:hAnsi="Times New Roman" w:cs="Times New Roman"/>
          <w:i/>
          <w:sz w:val="20"/>
          <w:szCs w:val="20"/>
        </w:rPr>
        <w:t>Policies, Prices and Poverty: The Sugar, Vegetable Oil, and Flour Industries in Senegal</w:t>
      </w:r>
      <w:r w:rsidRPr="00B95753">
        <w:rPr>
          <w:rFonts w:ascii="Times New Roman" w:hAnsi="Times New Roman" w:cs="Times New Roman"/>
          <w:sz w:val="20"/>
          <w:szCs w:val="20"/>
        </w:rPr>
        <w:t>. World Bank Policy Research Working Paper 7286, p. 15</w:t>
      </w:r>
    </w:p>
  </w:footnote>
  <w:footnote w:id="111">
    <w:p w14:paraId="7FBB3134"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Authors’ interviews</w:t>
      </w:r>
    </w:p>
  </w:footnote>
  <w:footnote w:id="112">
    <w:p w14:paraId="4B5B8942"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2014. </w:t>
      </w:r>
      <w:r w:rsidRPr="00B95753">
        <w:rPr>
          <w:rFonts w:ascii="Times New Roman" w:hAnsi="Times New Roman" w:cs="Times New Roman"/>
          <w:i/>
          <w:sz w:val="20"/>
          <w:szCs w:val="20"/>
        </w:rPr>
        <w:t xml:space="preserve">Plan </w:t>
      </w:r>
      <w:proofErr w:type="spellStart"/>
      <w:r w:rsidRPr="00B95753">
        <w:rPr>
          <w:rFonts w:ascii="Times New Roman" w:hAnsi="Times New Roman" w:cs="Times New Roman"/>
          <w:i/>
          <w:sz w:val="20"/>
          <w:szCs w:val="20"/>
        </w:rPr>
        <w:t>Sénégal</w:t>
      </w:r>
      <w:proofErr w:type="spellEnd"/>
      <w:r w:rsidRPr="00B95753">
        <w:rPr>
          <w:rFonts w:ascii="Times New Roman" w:hAnsi="Times New Roman" w:cs="Times New Roman"/>
          <w:i/>
          <w:sz w:val="20"/>
          <w:szCs w:val="20"/>
        </w:rPr>
        <w:t xml:space="preserve"> Emergent</w:t>
      </w:r>
      <w:r w:rsidRPr="00B95753">
        <w:rPr>
          <w:rFonts w:ascii="Times New Roman" w:hAnsi="Times New Roman" w:cs="Times New Roman"/>
          <w:sz w:val="20"/>
          <w:szCs w:val="20"/>
        </w:rPr>
        <w:t>, p. 81</w:t>
      </w:r>
    </w:p>
  </w:footnote>
  <w:footnote w:id="113">
    <w:p w14:paraId="11AD7C13" w14:textId="77777777" w:rsidR="00B42297" w:rsidRPr="00B95753" w:rsidRDefault="00B42297" w:rsidP="00377635">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Including those controlled by religious leaders (called “Marabout”)</w:t>
      </w:r>
      <w:r>
        <w:rPr>
          <w:rFonts w:ascii="Times New Roman" w:hAnsi="Times New Roman" w:cs="Times New Roman"/>
          <w:sz w:val="20"/>
          <w:szCs w:val="20"/>
        </w:rPr>
        <w:t>.</w:t>
      </w:r>
    </w:p>
  </w:footnote>
  <w:footnote w:id="114">
    <w:p w14:paraId="477DA93D"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During the 2015/16 season, Senegal produced 1.1 million tons of groundnuts. USDA. 2017. </w:t>
      </w:r>
      <w:r w:rsidRPr="00B95753">
        <w:rPr>
          <w:rFonts w:ascii="Times New Roman" w:hAnsi="Times New Roman" w:cs="Times New Roman"/>
          <w:i/>
          <w:sz w:val="20"/>
          <w:szCs w:val="20"/>
        </w:rPr>
        <w:t>Production, Supply and Distribution Database.</w:t>
      </w:r>
      <w:r w:rsidRPr="00B95753">
        <w:rPr>
          <w:rFonts w:ascii="Times New Roman" w:hAnsi="Times New Roman" w:cs="Times New Roman"/>
          <w:sz w:val="20"/>
          <w:szCs w:val="20"/>
        </w:rPr>
        <w:t xml:space="preserve"> Available at: </w:t>
      </w:r>
      <w:hyperlink r:id="rId14" w:anchor="/app/home" w:history="1">
        <w:r w:rsidRPr="00B95753">
          <w:rPr>
            <w:rStyle w:val="Hyperlink"/>
            <w:rFonts w:ascii="Times New Roman" w:hAnsi="Times New Roman" w:cs="Times New Roman"/>
            <w:sz w:val="20"/>
            <w:szCs w:val="20"/>
          </w:rPr>
          <w:t>https://apps.fas.usda.gov/psdonline/app/index.html#/app/home</w:t>
        </w:r>
      </w:hyperlink>
    </w:p>
  </w:footnote>
  <w:footnote w:id="115">
    <w:p w14:paraId="3AD255D0"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 du 05 juin 2017 au 10 juin 2017</w:t>
      </w:r>
      <w:r w:rsidRPr="007575D7">
        <w:rPr>
          <w:rFonts w:ascii="Times New Roman" w:hAnsi="Times New Roman" w:cs="Times New Roman"/>
          <w:sz w:val="20"/>
          <w:szCs w:val="20"/>
          <w:lang w:val="fr-FR"/>
        </w:rPr>
        <w:t>, p. 5.</w:t>
      </w:r>
    </w:p>
  </w:footnote>
  <w:footnote w:id="116">
    <w:p w14:paraId="3232DF6F"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USDA. 2016. </w:t>
      </w:r>
      <w:r w:rsidRPr="00B95753">
        <w:rPr>
          <w:rFonts w:ascii="Times New Roman" w:hAnsi="Times New Roman" w:cs="Times New Roman"/>
          <w:i/>
          <w:sz w:val="20"/>
          <w:szCs w:val="20"/>
        </w:rPr>
        <w:t xml:space="preserve">Senegal – Oilseeds and Products Annual 2016. </w:t>
      </w:r>
      <w:r w:rsidRPr="00B95753">
        <w:rPr>
          <w:rFonts w:ascii="Times New Roman" w:hAnsi="Times New Roman" w:cs="Times New Roman"/>
          <w:sz w:val="20"/>
          <w:szCs w:val="20"/>
        </w:rPr>
        <w:t>Global Agriculture Information Network (GAIN), p. 2</w:t>
      </w:r>
      <w:r>
        <w:rPr>
          <w:rFonts w:ascii="Times New Roman" w:hAnsi="Times New Roman" w:cs="Times New Roman"/>
          <w:sz w:val="20"/>
          <w:szCs w:val="20"/>
        </w:rPr>
        <w:t>.</w:t>
      </w:r>
    </w:p>
  </w:footnote>
  <w:footnote w:id="117">
    <w:p w14:paraId="64B27B1D" w14:textId="6FFCA391"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Pr>
          <w:rFonts w:ascii="Times New Roman" w:hAnsi="Times New Roman" w:cs="Times New Roman"/>
          <w:sz w:val="20"/>
          <w:szCs w:val="20"/>
        </w:rPr>
        <w:t xml:space="preserve">Government </w:t>
      </w:r>
      <w:r w:rsidRPr="00B95753">
        <w:rPr>
          <w:rFonts w:ascii="Times New Roman" w:hAnsi="Times New Roman" w:cs="Times New Roman"/>
          <w:sz w:val="20"/>
          <w:szCs w:val="20"/>
        </w:rPr>
        <w:t xml:space="preserve">of Senegal. 2015. </w:t>
      </w:r>
      <w:r w:rsidRPr="00B95753">
        <w:rPr>
          <w:rFonts w:ascii="Times New Roman" w:hAnsi="Times New Roman" w:cs="Times New Roman"/>
          <w:i/>
          <w:sz w:val="20"/>
          <w:szCs w:val="20"/>
        </w:rPr>
        <w:t xml:space="preserve">2013 Census Data. </w:t>
      </w:r>
      <w:r w:rsidRPr="00B95753">
        <w:rPr>
          <w:rFonts w:ascii="Times New Roman" w:hAnsi="Times New Roman" w:cs="Times New Roman"/>
          <w:sz w:val="20"/>
          <w:szCs w:val="20"/>
        </w:rPr>
        <w:t>Available at: http://senegal.opendataforafrica.org/dvltxuc/ordinary-and-collective-households</w:t>
      </w:r>
    </w:p>
  </w:footnote>
  <w:footnote w:id="118">
    <w:p w14:paraId="2E2A06EA"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2015. </w:t>
      </w:r>
      <w:r w:rsidRPr="00B95753">
        <w:rPr>
          <w:rFonts w:ascii="Times New Roman" w:hAnsi="Times New Roman" w:cs="Times New Roman"/>
          <w:i/>
          <w:sz w:val="20"/>
          <w:szCs w:val="20"/>
        </w:rPr>
        <w:t>Export Competitiveness: Why Domestic Market Competition Matters</w:t>
      </w:r>
      <w:r w:rsidRPr="00B95753">
        <w:rPr>
          <w:rFonts w:ascii="Times New Roman" w:hAnsi="Times New Roman" w:cs="Times New Roman"/>
          <w:sz w:val="20"/>
          <w:szCs w:val="20"/>
        </w:rPr>
        <w:t>. Viewpoint no. 348. 97914.</w:t>
      </w:r>
    </w:p>
  </w:footnote>
  <w:footnote w:id="119">
    <w:p w14:paraId="1D5810C2" w14:textId="77777777" w:rsidR="00B42297" w:rsidRPr="00B95753" w:rsidRDefault="00B42297" w:rsidP="00377635">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Only roughly 25% of seed is certified</w:t>
      </w:r>
    </w:p>
  </w:footnote>
  <w:footnote w:id="120">
    <w:p w14:paraId="56879C78" w14:textId="7F8DD78D"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Décret</w:t>
      </w:r>
      <w:proofErr w:type="spellEnd"/>
      <w:r w:rsidRPr="00B95753">
        <w:rPr>
          <w:rFonts w:ascii="Times New Roman" w:hAnsi="Times New Roman" w:cs="Times New Roman"/>
          <w:sz w:val="20"/>
          <w:szCs w:val="20"/>
        </w:rPr>
        <w:t xml:space="preserve"> n°60-121 SG</w:t>
      </w:r>
      <w:r>
        <w:rPr>
          <w:rFonts w:ascii="Times New Roman" w:hAnsi="Times New Roman" w:cs="Times New Roman"/>
          <w:sz w:val="20"/>
          <w:szCs w:val="20"/>
        </w:rPr>
        <w:t>.</w:t>
      </w:r>
    </w:p>
  </w:footnote>
  <w:footnote w:id="121">
    <w:p w14:paraId="2B8A9810" w14:textId="77777777" w:rsidR="00B42297" w:rsidRPr="001A6540" w:rsidRDefault="00B42297" w:rsidP="001A6540">
      <w:pPr>
        <w:pStyle w:val="FootnoteText"/>
        <w:jc w:val="both"/>
        <w:rPr>
          <w:rFonts w:ascii="Times New Roman" w:hAnsi="Times New Roman" w:cs="Times New Roman"/>
          <w:sz w:val="22"/>
          <w:szCs w:val="22"/>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Dakaractu</w:t>
      </w:r>
      <w:proofErr w:type="spellEnd"/>
      <w:r w:rsidRPr="007575D7">
        <w:rPr>
          <w:rFonts w:ascii="Times New Roman" w:hAnsi="Times New Roman" w:cs="Times New Roman"/>
          <w:sz w:val="20"/>
          <w:szCs w:val="20"/>
          <w:lang w:val="fr-FR"/>
        </w:rPr>
        <w:t xml:space="preserve">. 2014. </w:t>
      </w:r>
      <w:r w:rsidRPr="007575D7">
        <w:rPr>
          <w:rFonts w:ascii="Times New Roman" w:hAnsi="Times New Roman" w:cs="Times New Roman"/>
          <w:i/>
          <w:sz w:val="20"/>
          <w:szCs w:val="20"/>
          <w:lang w:val="fr-FR"/>
        </w:rPr>
        <w:t>Le gouvernement veut éliminer graduellement les semences écrémées (ministre)</w:t>
      </w:r>
      <w:r w:rsidRPr="007575D7">
        <w:rPr>
          <w:rFonts w:ascii="Times New Roman" w:hAnsi="Times New Roman" w:cs="Times New Roman"/>
          <w:sz w:val="20"/>
          <w:szCs w:val="20"/>
          <w:lang w:val="fr-FR"/>
        </w:rPr>
        <w:t xml:space="preserve">. </w:t>
      </w:r>
      <w:r w:rsidRPr="001A6540">
        <w:rPr>
          <w:rFonts w:ascii="Times New Roman" w:hAnsi="Times New Roman" w:cs="Times New Roman"/>
          <w:sz w:val="20"/>
          <w:szCs w:val="20"/>
        </w:rPr>
        <w:t>Available at: http://www.dakaractu.com/Le-gouvernement-veut-eliminer-graduellement-les-semences-</w:t>
      </w:r>
      <w:r w:rsidRPr="001A6540">
        <w:rPr>
          <w:rFonts w:ascii="Times New Roman" w:hAnsi="Times New Roman" w:cs="Times New Roman"/>
          <w:sz w:val="22"/>
          <w:szCs w:val="22"/>
        </w:rPr>
        <w:t>ecremees-ministre_a71043.html</w:t>
      </w:r>
    </w:p>
  </w:footnote>
  <w:footnote w:id="122">
    <w:p w14:paraId="7EF869F0" w14:textId="77777777" w:rsidR="00B42297" w:rsidRDefault="00B42297" w:rsidP="001A6540">
      <w:pPr>
        <w:pStyle w:val="FootnoteText"/>
        <w:jc w:val="both"/>
      </w:pPr>
      <w:r w:rsidRPr="001A6540">
        <w:rPr>
          <w:rStyle w:val="FootnoteReference"/>
          <w:rFonts w:ascii="Times New Roman" w:hAnsi="Times New Roman" w:cs="Times New Roman"/>
          <w:sz w:val="22"/>
          <w:szCs w:val="22"/>
        </w:rPr>
        <w:footnoteRef/>
      </w:r>
      <w:r w:rsidRPr="001A6540">
        <w:rPr>
          <w:rFonts w:ascii="Times New Roman" w:hAnsi="Times New Roman" w:cs="Times New Roman"/>
          <w:sz w:val="22"/>
          <w:szCs w:val="22"/>
        </w:rPr>
        <w:t xml:space="preserve"> Generally, the production of pre-base seed (sometimes called “breeder seed”) is followed by the production of “foundation seed” or “base seed”. This base seed is then multiplied and sold as ready to use seed.</w:t>
      </w:r>
    </w:p>
  </w:footnote>
  <w:footnote w:id="123">
    <w:p w14:paraId="1B050B02"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DISEM. </w:t>
      </w:r>
      <w:r w:rsidRPr="007575D7">
        <w:rPr>
          <w:rFonts w:ascii="Times New Roman" w:hAnsi="Times New Roman" w:cs="Times New Roman"/>
          <w:i/>
          <w:sz w:val="20"/>
          <w:szCs w:val="20"/>
          <w:lang w:val="fr-FR"/>
        </w:rPr>
        <w:t>Procédure d'agrément et d'admission au contrôle d'un OPS</w:t>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Available</w:t>
      </w:r>
      <w:proofErr w:type="spellEnd"/>
      <w:r w:rsidRPr="007575D7">
        <w:rPr>
          <w:rFonts w:ascii="Times New Roman" w:hAnsi="Times New Roman" w:cs="Times New Roman"/>
          <w:sz w:val="20"/>
          <w:szCs w:val="20"/>
          <w:lang w:val="fr-FR"/>
        </w:rPr>
        <w:t xml:space="preserve"> </w:t>
      </w:r>
      <w:proofErr w:type="gramStart"/>
      <w:r w:rsidRPr="007575D7">
        <w:rPr>
          <w:rFonts w:ascii="Times New Roman" w:hAnsi="Times New Roman" w:cs="Times New Roman"/>
          <w:sz w:val="20"/>
          <w:szCs w:val="20"/>
          <w:lang w:val="fr-FR"/>
        </w:rPr>
        <w:t>at:</w:t>
      </w:r>
      <w:proofErr w:type="gramEnd"/>
      <w:r w:rsidRPr="007575D7">
        <w:rPr>
          <w:rFonts w:ascii="Times New Roman" w:hAnsi="Times New Roman" w:cs="Times New Roman"/>
          <w:sz w:val="20"/>
          <w:szCs w:val="20"/>
          <w:lang w:val="fr-FR"/>
        </w:rPr>
        <w:t xml:space="preserve"> http://www.seysoo.com/GECSEM/controlecertification/processuscertification</w:t>
      </w:r>
    </w:p>
  </w:footnote>
  <w:footnote w:id="124">
    <w:p w14:paraId="2B841814"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Initiative Prospective Agricole et Rurale (IPAR). 2015. </w:t>
      </w:r>
      <w:r w:rsidRPr="007575D7">
        <w:rPr>
          <w:rFonts w:ascii="Times New Roman" w:hAnsi="Times New Roman" w:cs="Times New Roman"/>
          <w:i/>
          <w:sz w:val="20"/>
          <w:szCs w:val="20"/>
          <w:lang w:val="fr-FR"/>
        </w:rPr>
        <w:t xml:space="preserve">Subventions des intrants agricoles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controverses et réalités</w:t>
      </w:r>
      <w:r w:rsidRPr="007575D7">
        <w:rPr>
          <w:rFonts w:ascii="Times New Roman" w:hAnsi="Times New Roman" w:cs="Times New Roman"/>
          <w:sz w:val="20"/>
          <w:szCs w:val="20"/>
          <w:lang w:val="fr-FR"/>
        </w:rPr>
        <w:t>. Rapport annuel sur l’état de l’agriculture et du monde rural au Sénégal, p. 9</w:t>
      </w:r>
    </w:p>
  </w:footnote>
  <w:footnote w:id="125">
    <w:p w14:paraId="059C94A1"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PressAfrik</w:t>
      </w:r>
      <w:proofErr w:type="spellEnd"/>
      <w:r w:rsidRPr="007575D7">
        <w:rPr>
          <w:rFonts w:ascii="Times New Roman" w:hAnsi="Times New Roman" w:cs="Times New Roman"/>
          <w:sz w:val="20"/>
          <w:szCs w:val="20"/>
          <w:lang w:val="fr-FR"/>
        </w:rPr>
        <w:t xml:space="preserve">. 2014. </w:t>
      </w:r>
      <w:r w:rsidRPr="007575D7">
        <w:rPr>
          <w:rFonts w:ascii="Times New Roman" w:hAnsi="Times New Roman" w:cs="Times New Roman"/>
          <w:i/>
          <w:sz w:val="20"/>
          <w:szCs w:val="20"/>
          <w:lang w:val="fr-FR"/>
        </w:rPr>
        <w:t>Entre reconstitution du capitalisme semencier et commercialisation de l’arachide : Le cycle d’une gestion nébuleuse</w:t>
      </w:r>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Available at: http://www.pressafrik.com/Entre-reconstitution-du-capitalisme-semencier-et-commercialisation-de-l-arachide-Le-cycle-d-une-gestion-nebuleuse_a117408.html</w:t>
      </w:r>
    </w:p>
  </w:footnote>
  <w:footnote w:id="126">
    <w:p w14:paraId="62FEA466" w14:textId="77777777" w:rsidR="00B42297" w:rsidRPr="00C538DB" w:rsidRDefault="00B42297">
      <w:pPr>
        <w:pStyle w:val="FootnoteText"/>
        <w:rPr>
          <w:rFonts w:ascii="Times New Roman" w:hAnsi="Times New Roman" w:cs="Times New Roman"/>
        </w:rPr>
      </w:pPr>
      <w:r w:rsidRPr="00C538DB">
        <w:rPr>
          <w:rStyle w:val="FootnoteReference"/>
          <w:rFonts w:ascii="Times New Roman" w:hAnsi="Times New Roman" w:cs="Times New Roman"/>
          <w:sz w:val="20"/>
        </w:rPr>
        <w:footnoteRef/>
      </w:r>
      <w:r w:rsidRPr="00C538DB">
        <w:rPr>
          <w:rFonts w:ascii="Times New Roman" w:hAnsi="Times New Roman" w:cs="Times New Roman"/>
          <w:sz w:val="20"/>
        </w:rPr>
        <w:t xml:space="preserve"> A reformed subsidy scheme would require an assessment of the proper targeting of subsidies</w:t>
      </w:r>
      <w:r>
        <w:rPr>
          <w:rFonts w:ascii="Times New Roman" w:hAnsi="Times New Roman" w:cs="Times New Roman"/>
          <w:sz w:val="20"/>
        </w:rPr>
        <w:t>.</w:t>
      </w:r>
    </w:p>
  </w:footnote>
  <w:footnote w:id="127">
    <w:p w14:paraId="5DF5DAEF" w14:textId="77777777" w:rsidR="00B42297" w:rsidRPr="00B95753" w:rsidRDefault="00B42297" w:rsidP="00377635">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DakarActu</w:t>
      </w:r>
      <w:proofErr w:type="spellEnd"/>
      <w:r w:rsidRPr="007575D7">
        <w:rPr>
          <w:rFonts w:ascii="Times New Roman" w:hAnsi="Times New Roman" w:cs="Times New Roman"/>
          <w:sz w:val="20"/>
          <w:szCs w:val="20"/>
          <w:lang w:val="fr-FR"/>
        </w:rPr>
        <w:t xml:space="preserve">. 2016. </w:t>
      </w:r>
      <w:r w:rsidRPr="007575D7">
        <w:rPr>
          <w:rFonts w:ascii="Times New Roman" w:hAnsi="Times New Roman" w:cs="Times New Roman"/>
          <w:i/>
          <w:sz w:val="20"/>
          <w:szCs w:val="20"/>
          <w:lang w:val="fr-FR"/>
        </w:rPr>
        <w:t xml:space="preserve">Industries Chimiques du Sénégal : le problème majeur c’est leur acquisition nébuleuse par </w:t>
      </w:r>
      <w:proofErr w:type="spellStart"/>
      <w:r w:rsidRPr="007575D7">
        <w:rPr>
          <w:rFonts w:ascii="Times New Roman" w:hAnsi="Times New Roman" w:cs="Times New Roman"/>
          <w:i/>
          <w:sz w:val="20"/>
          <w:szCs w:val="20"/>
          <w:lang w:val="fr-FR"/>
        </w:rPr>
        <w:t>Indorama</w:t>
      </w:r>
      <w:proofErr w:type="spellEnd"/>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Available at http://www.dakaractu.com/Industries-Chimiques-du-Senegal%C2%A0-le-probleme-majeur-c-est-leur-acquisition-nebuleuse-par-Indorama_a121215.html</w:t>
      </w:r>
    </w:p>
  </w:footnote>
  <w:footnote w:id="128">
    <w:p w14:paraId="3BDCE2A8" w14:textId="4F8A6772" w:rsidR="00B42297" w:rsidRPr="007575D7" w:rsidRDefault="00B42297" w:rsidP="00377635">
      <w:pPr>
        <w:pStyle w:val="FootnoteText"/>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Décret n° 2017-1546 du 08 septembre 2017 portant répartition des services de l’État et du contrôle des établissements publics, des sociétés nationales et des sociétés à participation publique entre la Présidence de la République, la Primature et les Ministères</w:t>
      </w:r>
    </w:p>
  </w:footnote>
  <w:footnote w:id="129">
    <w:p w14:paraId="23F02D16" w14:textId="77777777" w:rsidR="00B42297" w:rsidRPr="00553AF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USAID. 2016. </w:t>
      </w:r>
      <w:r w:rsidRPr="00B95753">
        <w:rPr>
          <w:rFonts w:ascii="Times New Roman" w:hAnsi="Times New Roman" w:cs="Times New Roman"/>
          <w:i/>
          <w:sz w:val="20"/>
          <w:szCs w:val="20"/>
        </w:rPr>
        <w:t>Fertilizer Statistics Overview Senegal 2012 -2015</w:t>
      </w:r>
      <w:r w:rsidRPr="00B95753">
        <w:rPr>
          <w:rFonts w:ascii="Times New Roman" w:hAnsi="Times New Roman" w:cs="Times New Roman"/>
          <w:sz w:val="20"/>
          <w:szCs w:val="20"/>
        </w:rPr>
        <w:t xml:space="preserve">; NPK stands for nitrogen (N), </w:t>
      </w:r>
      <w:r w:rsidRPr="00553AF3">
        <w:rPr>
          <w:rFonts w:ascii="Times New Roman" w:hAnsi="Times New Roman" w:cs="Times New Roman"/>
          <w:sz w:val="20"/>
          <w:szCs w:val="20"/>
        </w:rPr>
        <w:t>phosphorus (P), and potassium (K).</w:t>
      </w:r>
    </w:p>
  </w:footnote>
  <w:footnote w:id="130">
    <w:p w14:paraId="4FFE679A" w14:textId="77777777" w:rsidR="00B42297" w:rsidRPr="00553AF3" w:rsidRDefault="00B42297" w:rsidP="00553AF3">
      <w:pPr>
        <w:jc w:val="both"/>
        <w:rPr>
          <w:rFonts w:ascii="Times New Roman" w:hAnsi="Times New Roman" w:cs="Times New Roman"/>
          <w:sz w:val="20"/>
          <w:szCs w:val="20"/>
        </w:rPr>
      </w:pPr>
      <w:r w:rsidRPr="00553AF3">
        <w:rPr>
          <w:rStyle w:val="FootnoteReference"/>
          <w:rFonts w:ascii="Times New Roman" w:hAnsi="Times New Roman" w:cs="Times New Roman"/>
          <w:sz w:val="20"/>
          <w:szCs w:val="20"/>
        </w:rPr>
        <w:footnoteRef/>
      </w:r>
      <w:r w:rsidRPr="00553AF3">
        <w:rPr>
          <w:rFonts w:ascii="Times New Roman" w:hAnsi="Times New Roman" w:cs="Times New Roman"/>
          <w:sz w:val="20"/>
          <w:szCs w:val="20"/>
        </w:rPr>
        <w:t xml:space="preserve"> In 2015, Senegal exported 27,169 tons of fertilizer. Of those, 66 percent were DAP, 30 percent were other phosp</w:t>
      </w:r>
      <w:r>
        <w:rPr>
          <w:rFonts w:ascii="Times New Roman" w:hAnsi="Times New Roman" w:cs="Times New Roman"/>
          <w:sz w:val="20"/>
          <w:szCs w:val="20"/>
        </w:rPr>
        <w:t>hate fertilizers, 3 percent urea</w:t>
      </w:r>
      <w:r w:rsidRPr="00553AF3">
        <w:rPr>
          <w:rFonts w:ascii="Times New Roman" w:hAnsi="Times New Roman" w:cs="Times New Roman"/>
          <w:sz w:val="20"/>
          <w:szCs w:val="20"/>
        </w:rPr>
        <w:t>, 1 percent NPKs and the remainder were organic fertilizers. Three fourths of fertilizer exports were destined to Mali, about a quarter to Cote d'Ivoire, and some to other countries. Only for DAP and other phosphate fertilizers exports exceed imports, suggesting local production (although some might be reexports of previous seasons' imports). Overall, exports represent about 30 percent of imports, suggesting that Senegal depends on fertilizer imports. (USAID. 2016. Fertilizer Statist</w:t>
      </w:r>
      <w:r>
        <w:rPr>
          <w:rFonts w:ascii="Times New Roman" w:hAnsi="Times New Roman" w:cs="Times New Roman"/>
          <w:sz w:val="20"/>
          <w:szCs w:val="20"/>
        </w:rPr>
        <w:t>ics Overview Senegal 2012 -2015</w:t>
      </w:r>
      <w:r w:rsidRPr="00553AF3">
        <w:rPr>
          <w:rFonts w:ascii="Times New Roman" w:hAnsi="Times New Roman" w:cs="Times New Roman"/>
          <w:sz w:val="20"/>
          <w:szCs w:val="20"/>
        </w:rPr>
        <w:t>)</w:t>
      </w:r>
    </w:p>
  </w:footnote>
  <w:footnote w:id="131">
    <w:p w14:paraId="6DD96B24"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USAID. 2016. </w:t>
      </w:r>
      <w:r w:rsidRPr="00B95753">
        <w:rPr>
          <w:rFonts w:ascii="Times New Roman" w:hAnsi="Times New Roman" w:cs="Times New Roman"/>
          <w:i/>
          <w:sz w:val="20"/>
          <w:szCs w:val="20"/>
        </w:rPr>
        <w:t xml:space="preserve">Fertilizer Statistics Overview Senegal 2012 -2015. </w:t>
      </w:r>
      <w:r w:rsidRPr="00B95753">
        <w:rPr>
          <w:rFonts w:ascii="Times New Roman" w:hAnsi="Times New Roman" w:cs="Times New Roman"/>
          <w:sz w:val="20"/>
          <w:szCs w:val="20"/>
        </w:rPr>
        <w:t>Some fertilizer products can be used for both agricultural and industrial purposes</w:t>
      </w:r>
    </w:p>
  </w:footnote>
  <w:footnote w:id="132">
    <w:p w14:paraId="48F02902"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In 2015, Senegal consumed 75,299 tons of fertilizer (USAID. 2016. </w:t>
      </w:r>
      <w:r w:rsidRPr="00B95753">
        <w:rPr>
          <w:rFonts w:ascii="Times New Roman" w:hAnsi="Times New Roman" w:cs="Times New Roman"/>
          <w:i/>
          <w:sz w:val="20"/>
          <w:szCs w:val="20"/>
        </w:rPr>
        <w:t>Fertilizer Statistics Overview Senegal 2012 -2015</w:t>
      </w:r>
      <w:r w:rsidRPr="00B95753">
        <w:rPr>
          <w:rFonts w:ascii="Times New Roman" w:hAnsi="Times New Roman" w:cs="Times New Roman"/>
          <w:sz w:val="20"/>
          <w:szCs w:val="20"/>
        </w:rPr>
        <w:t xml:space="preserve">). In the 2016/17 season, </w:t>
      </w:r>
      <w:proofErr w:type="spellStart"/>
      <w:r w:rsidRPr="00B95753">
        <w:rPr>
          <w:rFonts w:ascii="Times New Roman" w:hAnsi="Times New Roman" w:cs="Times New Roman"/>
          <w:sz w:val="20"/>
          <w:szCs w:val="20"/>
        </w:rPr>
        <w:t>GoS</w:t>
      </w:r>
      <w:proofErr w:type="spellEnd"/>
      <w:r w:rsidRPr="00B95753">
        <w:rPr>
          <w:rFonts w:ascii="Times New Roman" w:hAnsi="Times New Roman" w:cs="Times New Roman"/>
          <w:sz w:val="20"/>
          <w:szCs w:val="20"/>
        </w:rPr>
        <w:t xml:space="preserve"> subsidized 17,318 tons of fertilizer (Data from DRDR). </w:t>
      </w:r>
      <w:proofErr w:type="spellStart"/>
      <w:r w:rsidRPr="007575D7">
        <w:rPr>
          <w:rFonts w:ascii="Times New Roman" w:hAnsi="Times New Roman" w:cs="Times New Roman"/>
          <w:sz w:val="20"/>
          <w:szCs w:val="20"/>
          <w:lang w:val="fr-FR"/>
        </w:rPr>
        <w:t>Assuming</w:t>
      </w:r>
      <w:proofErr w:type="spellEnd"/>
      <w:r w:rsidRPr="007575D7">
        <w:rPr>
          <w:rFonts w:ascii="Times New Roman" w:hAnsi="Times New Roman" w:cs="Times New Roman"/>
          <w:sz w:val="20"/>
          <w:szCs w:val="20"/>
          <w:lang w:val="fr-FR"/>
        </w:rPr>
        <w:t xml:space="preserve"> constant </w:t>
      </w:r>
      <w:proofErr w:type="spellStart"/>
      <w:r w:rsidRPr="007575D7">
        <w:rPr>
          <w:rFonts w:ascii="Times New Roman" w:hAnsi="Times New Roman" w:cs="Times New Roman"/>
          <w:sz w:val="20"/>
          <w:szCs w:val="20"/>
          <w:lang w:val="fr-FR"/>
        </w:rPr>
        <w:t>consumption</w:t>
      </w:r>
      <w:proofErr w:type="spellEnd"/>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this</w:t>
      </w:r>
      <w:proofErr w:type="spellEnd"/>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is</w:t>
      </w:r>
      <w:proofErr w:type="spellEnd"/>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equivalent</w:t>
      </w:r>
      <w:proofErr w:type="spellEnd"/>
      <w:r w:rsidRPr="007575D7">
        <w:rPr>
          <w:rFonts w:ascii="Times New Roman" w:hAnsi="Times New Roman" w:cs="Times New Roman"/>
          <w:sz w:val="20"/>
          <w:szCs w:val="20"/>
          <w:lang w:val="fr-FR"/>
        </w:rPr>
        <w:t xml:space="preserve"> to 22.66%.</w:t>
      </w:r>
    </w:p>
  </w:footnote>
  <w:footnote w:id="133">
    <w:p w14:paraId="4061FEFA"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Ministère de l'Agriculture et de l'Équipement Rural. 2016. </w:t>
      </w:r>
      <w:r w:rsidRPr="007575D7">
        <w:rPr>
          <w:rFonts w:ascii="Times New Roman" w:hAnsi="Times New Roman" w:cs="Times New Roman"/>
          <w:i/>
          <w:sz w:val="20"/>
          <w:szCs w:val="20"/>
          <w:lang w:val="fr-FR"/>
        </w:rPr>
        <w:t xml:space="preserve">Circulaire fixant les prix de cession des intrants subventionnés pour la campagne agricole 2016/17. </w:t>
      </w:r>
      <w:r w:rsidRPr="00B95753">
        <w:rPr>
          <w:rFonts w:ascii="Times New Roman" w:hAnsi="Times New Roman" w:cs="Times New Roman"/>
          <w:sz w:val="20"/>
          <w:szCs w:val="20"/>
        </w:rPr>
        <w:t>29 April 2016.</w:t>
      </w:r>
    </w:p>
  </w:footnote>
  <w:footnote w:id="134">
    <w:p w14:paraId="0A7FA114" w14:textId="77777777" w:rsidR="00B42297" w:rsidRDefault="00B42297">
      <w:pPr>
        <w:pStyle w:val="FootnoteText"/>
      </w:pPr>
      <w:r w:rsidRPr="00C538DB">
        <w:rPr>
          <w:rStyle w:val="FootnoteReference"/>
          <w:rFonts w:ascii="Times New Roman" w:hAnsi="Times New Roman" w:cs="Times New Roman"/>
          <w:sz w:val="20"/>
          <w:szCs w:val="20"/>
        </w:rPr>
        <w:footnoteRef/>
      </w:r>
      <w:r w:rsidRPr="00C538DB">
        <w:rPr>
          <w:rFonts w:ascii="Times New Roman" w:hAnsi="Times New Roman" w:cs="Times New Roman"/>
          <w:sz w:val="20"/>
          <w:szCs w:val="20"/>
        </w:rPr>
        <w:t xml:space="preserve"> </w:t>
      </w:r>
      <w:r w:rsidRPr="002B7064">
        <w:rPr>
          <w:rFonts w:ascii="Times New Roman" w:hAnsi="Times New Roman" w:cs="Times New Roman"/>
          <w:sz w:val="20"/>
          <w:szCs w:val="20"/>
        </w:rPr>
        <w:t>Authors’</w:t>
      </w:r>
      <w:r w:rsidRPr="00B95753">
        <w:rPr>
          <w:rFonts w:ascii="Times New Roman" w:hAnsi="Times New Roman" w:cs="Times New Roman"/>
          <w:sz w:val="20"/>
          <w:szCs w:val="20"/>
        </w:rPr>
        <w:t xml:space="preserve"> interviews with stakeholders in December 2016.</w:t>
      </w:r>
    </w:p>
  </w:footnote>
  <w:footnote w:id="135">
    <w:p w14:paraId="5D533117"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Authors’ interviews with stakeholders in December 2016. </w:t>
      </w:r>
    </w:p>
  </w:footnote>
  <w:footnote w:id="136">
    <w:p w14:paraId="5B8F1B5E"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International Fertilizer Development Center (IFDC). 2014. </w:t>
      </w:r>
      <w:r w:rsidRPr="00B95753">
        <w:rPr>
          <w:rFonts w:ascii="Times New Roman" w:hAnsi="Times New Roman" w:cs="Times New Roman"/>
          <w:i/>
          <w:sz w:val="20"/>
          <w:szCs w:val="20"/>
        </w:rPr>
        <w:t>Senegal Fertilizer Assessment</w:t>
      </w:r>
      <w:r w:rsidRPr="00B95753">
        <w:rPr>
          <w:rFonts w:ascii="Times New Roman" w:hAnsi="Times New Roman" w:cs="Times New Roman"/>
          <w:sz w:val="20"/>
          <w:szCs w:val="20"/>
        </w:rPr>
        <w:t>, p. 24</w:t>
      </w:r>
    </w:p>
  </w:footnote>
  <w:footnote w:id="137">
    <w:p w14:paraId="1C19C117"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Authors’ interviews with stakeholders in December 2016.</w:t>
      </w:r>
    </w:p>
  </w:footnote>
  <w:footnote w:id="138">
    <w:p w14:paraId="23113DF7" w14:textId="77777777" w:rsidR="00B42297" w:rsidRPr="00B95753" w:rsidRDefault="00B42297" w:rsidP="00EE6190">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PressAfrik</w:t>
      </w:r>
      <w:proofErr w:type="spellEnd"/>
      <w:r w:rsidRPr="007575D7">
        <w:rPr>
          <w:rFonts w:ascii="Times New Roman" w:hAnsi="Times New Roman" w:cs="Times New Roman"/>
          <w:sz w:val="20"/>
          <w:szCs w:val="20"/>
          <w:lang w:val="fr-FR"/>
        </w:rPr>
        <w:t xml:space="preserve">. 2014. </w:t>
      </w:r>
      <w:r w:rsidRPr="007575D7">
        <w:rPr>
          <w:rFonts w:ascii="Times New Roman" w:hAnsi="Times New Roman" w:cs="Times New Roman"/>
          <w:i/>
          <w:sz w:val="20"/>
          <w:szCs w:val="20"/>
          <w:lang w:val="fr-FR"/>
        </w:rPr>
        <w:t>Entre reconstitution du capitalisme semencier et commercialisation de l’arachide : Le cycle d’une gestion nébuleuse</w:t>
      </w:r>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Available at: http://www.pressafrik.com/Entre-reconstitution-du-capitalisme-semencier-et-commercialisation-de-l-arachide-Le-cycle-d-une-gestion-nebuleuse_a117408.html</w:t>
      </w:r>
    </w:p>
  </w:footnote>
  <w:footnote w:id="139">
    <w:p w14:paraId="6782DF74" w14:textId="77777777" w:rsidR="00B42297" w:rsidRPr="007575D7" w:rsidRDefault="00B42297" w:rsidP="00EE6190">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Initiative Prospective Agricole et Rurale (IPAR). 2015. </w:t>
      </w:r>
      <w:r w:rsidRPr="007575D7">
        <w:rPr>
          <w:rFonts w:ascii="Times New Roman" w:hAnsi="Times New Roman" w:cs="Times New Roman"/>
          <w:i/>
          <w:sz w:val="20"/>
          <w:szCs w:val="20"/>
          <w:lang w:val="fr-FR"/>
        </w:rPr>
        <w:t xml:space="preserve">Subventions des intrants agricoles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controverses et réalités</w:t>
      </w:r>
      <w:r w:rsidRPr="007575D7">
        <w:rPr>
          <w:rFonts w:ascii="Times New Roman" w:hAnsi="Times New Roman" w:cs="Times New Roman"/>
          <w:sz w:val="20"/>
          <w:szCs w:val="20"/>
          <w:lang w:val="fr-FR"/>
        </w:rPr>
        <w:t>. Rapport annuel sur l’état de l’agriculture et du monde rural au Sénégal, p. 9</w:t>
      </w:r>
    </w:p>
  </w:footnote>
  <w:footnote w:id="140">
    <w:p w14:paraId="22C36439" w14:textId="564C88AB" w:rsidR="00B42297" w:rsidRPr="007575D7" w:rsidRDefault="00B42297" w:rsidP="00377635">
      <w:pPr>
        <w:pStyle w:val="FootnoteText"/>
        <w:jc w:val="both"/>
        <w:rPr>
          <w:rFonts w:ascii="Times New Roman" w:hAnsi="Times New Roman" w:cs="Times New Roman"/>
          <w:sz w:val="20"/>
          <w:szCs w:val="20"/>
          <w:lang w:val="fr-FR"/>
        </w:rPr>
      </w:pPr>
      <w:r w:rsidRPr="00505244">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European</w:t>
      </w:r>
      <w:proofErr w:type="spellEnd"/>
      <w:r w:rsidRPr="007575D7">
        <w:rPr>
          <w:rFonts w:ascii="Times New Roman" w:hAnsi="Times New Roman" w:cs="Times New Roman"/>
          <w:sz w:val="20"/>
          <w:szCs w:val="20"/>
          <w:lang w:val="fr-FR"/>
        </w:rPr>
        <w:t xml:space="preserve"> Commission. 2016. </w:t>
      </w:r>
      <w:r w:rsidRPr="007575D7">
        <w:rPr>
          <w:rFonts w:ascii="Times New Roman" w:hAnsi="Times New Roman" w:cs="Times New Roman"/>
          <w:i/>
          <w:sz w:val="20"/>
          <w:szCs w:val="20"/>
          <w:lang w:val="fr-FR"/>
        </w:rPr>
        <w:t>Analyse d'économie politique (PEA) des filières de l'arachide et du riz</w:t>
      </w:r>
      <w:r w:rsidRPr="007575D7">
        <w:rPr>
          <w:rFonts w:ascii="Times New Roman" w:hAnsi="Times New Roman" w:cs="Times New Roman"/>
          <w:sz w:val="20"/>
          <w:szCs w:val="20"/>
          <w:lang w:val="fr-FR"/>
        </w:rPr>
        <w:t>, p. 17</w:t>
      </w:r>
      <w:r>
        <w:rPr>
          <w:rFonts w:ascii="Times New Roman" w:hAnsi="Times New Roman" w:cs="Times New Roman"/>
          <w:sz w:val="20"/>
          <w:szCs w:val="20"/>
          <w:lang w:val="fr-FR"/>
        </w:rPr>
        <w:t>.</w:t>
      </w:r>
    </w:p>
  </w:footnote>
  <w:footnote w:id="141">
    <w:p w14:paraId="3CE89495" w14:textId="757629F6" w:rsidR="00B42297" w:rsidRPr="00B95753" w:rsidRDefault="00B42297" w:rsidP="0000571B">
      <w:pPr>
        <w:pStyle w:val="FootnoteText"/>
        <w:jc w:val="both"/>
        <w:rPr>
          <w:rFonts w:ascii="Times New Roman" w:hAnsi="Times New Roman" w:cs="Times New Roman"/>
          <w:sz w:val="20"/>
          <w:szCs w:val="20"/>
        </w:rPr>
      </w:pPr>
      <w:r w:rsidRPr="00505244">
        <w:rPr>
          <w:rStyle w:val="FootnoteReference"/>
          <w:rFonts w:ascii="Times New Roman" w:hAnsi="Times New Roman" w:cs="Times New Roman"/>
          <w:sz w:val="20"/>
          <w:szCs w:val="20"/>
        </w:rPr>
        <w:footnoteRef/>
      </w:r>
      <w:r w:rsidRPr="00505244">
        <w:rPr>
          <w:rFonts w:ascii="Times New Roman" w:hAnsi="Times New Roman" w:cs="Times New Roman"/>
          <w:sz w:val="20"/>
          <w:szCs w:val="20"/>
        </w:rPr>
        <w:t xml:space="preserve"> World Bank. 2016. </w:t>
      </w:r>
      <w:r w:rsidRPr="00505244">
        <w:rPr>
          <w:rFonts w:ascii="Times New Roman" w:hAnsi="Times New Roman" w:cs="Times New Roman"/>
          <w:i/>
          <w:sz w:val="20"/>
          <w:szCs w:val="20"/>
        </w:rPr>
        <w:t xml:space="preserve">Competitiveness and comparative advantage of the groundnut value chain in Senegal, </w:t>
      </w:r>
      <w:r w:rsidRPr="00505244">
        <w:rPr>
          <w:rFonts w:ascii="Times New Roman" w:hAnsi="Times New Roman" w:cs="Times New Roman"/>
          <w:sz w:val="20"/>
          <w:szCs w:val="20"/>
        </w:rPr>
        <w:t>Annex 1, p. 8</w:t>
      </w:r>
      <w:r>
        <w:rPr>
          <w:rFonts w:ascii="Times New Roman" w:hAnsi="Times New Roman" w:cs="Times New Roman"/>
          <w:sz w:val="20"/>
          <w:szCs w:val="20"/>
        </w:rPr>
        <w:t>.</w:t>
      </w:r>
    </w:p>
  </w:footnote>
  <w:footnote w:id="142">
    <w:p w14:paraId="4198E29C" w14:textId="4A1BDFD2" w:rsidR="00B42297" w:rsidRPr="0000571B" w:rsidRDefault="00B42297" w:rsidP="008B7787">
      <w:pPr>
        <w:jc w:val="both"/>
        <w:rPr>
          <w:rFonts w:ascii="Times New Roman" w:hAnsi="Times New Roman" w:cs="Times New Roman"/>
          <w:sz w:val="20"/>
          <w:szCs w:val="20"/>
        </w:rPr>
      </w:pPr>
      <w:r w:rsidRPr="00766AF3">
        <w:rPr>
          <w:rStyle w:val="FootnoteReference"/>
          <w:rFonts w:ascii="Times New Roman" w:hAnsi="Times New Roman" w:cs="Times New Roman"/>
          <w:sz w:val="20"/>
          <w:szCs w:val="20"/>
        </w:rPr>
        <w:footnoteRef/>
      </w:r>
      <w:r w:rsidRPr="00766AF3">
        <w:rPr>
          <w:rFonts w:ascii="Times New Roman" w:hAnsi="Times New Roman" w:cs="Times New Roman"/>
          <w:sz w:val="20"/>
          <w:szCs w:val="20"/>
        </w:rPr>
        <w:t xml:space="preserve"> </w:t>
      </w:r>
      <w:r w:rsidRPr="00505244">
        <w:rPr>
          <w:rFonts w:ascii="Times New Roman" w:hAnsi="Times New Roman" w:cs="Times New Roman"/>
          <w:sz w:val="20"/>
          <w:szCs w:val="20"/>
        </w:rPr>
        <w:t xml:space="preserve">The European Union rejects 20 percent of groundnut snacks from Senegal, Ghana and Tanzania together due to aflatoxin contamination levels. In 2013, the World Bank reported that reducing the levels of aflatoxin could increase Senegal’s export value by an annual average of USD 300 million. Currently, most EU groundnut imports come from Argentina, which exported 330,000 </w:t>
      </w:r>
      <w:r>
        <w:rPr>
          <w:rFonts w:ascii="Times New Roman" w:hAnsi="Times New Roman" w:cs="Times New Roman"/>
          <w:sz w:val="20"/>
          <w:szCs w:val="20"/>
        </w:rPr>
        <w:t>ton</w:t>
      </w:r>
      <w:r w:rsidRPr="00505244">
        <w:rPr>
          <w:rFonts w:ascii="Times New Roman" w:hAnsi="Times New Roman" w:cs="Times New Roman"/>
          <w:sz w:val="20"/>
          <w:szCs w:val="20"/>
        </w:rPr>
        <w:t>s in 2015. Thus, increasing compliance wit</w:t>
      </w:r>
      <w:r w:rsidRPr="0000571B">
        <w:rPr>
          <w:rFonts w:ascii="Times New Roman" w:hAnsi="Times New Roman" w:cs="Times New Roman"/>
          <w:sz w:val="20"/>
          <w:szCs w:val="20"/>
        </w:rPr>
        <w:t>h EU requirements could increase Senegal’s groundnut marketing in Europe. These include:</w:t>
      </w:r>
    </w:p>
    <w:p w14:paraId="213A4348" w14:textId="77777777" w:rsidR="00B42297" w:rsidRPr="0000571B" w:rsidRDefault="00B42297" w:rsidP="008B7787">
      <w:pPr>
        <w:pStyle w:val="ListParagraph"/>
        <w:numPr>
          <w:ilvl w:val="0"/>
          <w:numId w:val="153"/>
        </w:numPr>
        <w:jc w:val="both"/>
        <w:rPr>
          <w:rFonts w:ascii="Times New Roman" w:eastAsiaTheme="minorHAnsi" w:hAnsi="Times New Roman" w:cs="Times New Roman"/>
          <w:sz w:val="20"/>
          <w:szCs w:val="20"/>
        </w:rPr>
      </w:pPr>
      <w:r w:rsidRPr="0000571B">
        <w:rPr>
          <w:rFonts w:ascii="Times New Roman" w:eastAsiaTheme="minorHAnsi" w:hAnsi="Times New Roman" w:cs="Times New Roman"/>
          <w:sz w:val="20"/>
          <w:szCs w:val="20"/>
        </w:rPr>
        <w:t>maximum levels of aflatoxin allowed are B1 max 2 ppb (total aflatoxin: maximum 4 ppb)</w:t>
      </w:r>
    </w:p>
    <w:p w14:paraId="5333D501" w14:textId="77777777" w:rsidR="00B42297" w:rsidRPr="00766AF3" w:rsidRDefault="00B42297" w:rsidP="008B7787">
      <w:pPr>
        <w:pStyle w:val="ListParagraph"/>
        <w:numPr>
          <w:ilvl w:val="0"/>
          <w:numId w:val="153"/>
        </w:numPr>
        <w:jc w:val="both"/>
        <w:rPr>
          <w:rFonts w:ascii="Times New Roman" w:hAnsi="Times New Roman" w:cs="Times New Roman"/>
          <w:sz w:val="20"/>
          <w:szCs w:val="20"/>
        </w:rPr>
      </w:pPr>
      <w:r w:rsidRPr="00766AF3">
        <w:rPr>
          <w:rFonts w:ascii="Times New Roman" w:hAnsi="Times New Roman" w:cs="Times New Roman"/>
          <w:sz w:val="20"/>
          <w:szCs w:val="20"/>
        </w:rPr>
        <w:t>quality management system certification: HACCP, IFS or BRC.</w:t>
      </w:r>
    </w:p>
    <w:p w14:paraId="067F7BE1" w14:textId="77777777" w:rsidR="00B42297" w:rsidRPr="00766AF3" w:rsidRDefault="00B42297" w:rsidP="008B7787">
      <w:pPr>
        <w:pStyle w:val="ListParagraph"/>
        <w:numPr>
          <w:ilvl w:val="0"/>
          <w:numId w:val="153"/>
        </w:numPr>
        <w:jc w:val="both"/>
        <w:rPr>
          <w:rFonts w:ascii="Times New Roman" w:hAnsi="Times New Roman" w:cs="Times New Roman"/>
          <w:sz w:val="20"/>
          <w:szCs w:val="20"/>
        </w:rPr>
      </w:pPr>
      <w:r w:rsidRPr="00766AF3">
        <w:rPr>
          <w:rFonts w:ascii="Times New Roman" w:hAnsi="Times New Roman" w:cs="Times New Roman"/>
          <w:sz w:val="20"/>
          <w:szCs w:val="20"/>
        </w:rPr>
        <w:t>corporate responsibility and sustainability can provide comparative advantages, i.e. EU organic logo.</w:t>
      </w:r>
    </w:p>
    <w:p w14:paraId="63C02B85" w14:textId="77777777" w:rsidR="00B42297" w:rsidRPr="00766AF3" w:rsidRDefault="00B42297" w:rsidP="008B7787">
      <w:pPr>
        <w:pStyle w:val="ListParagraph"/>
        <w:numPr>
          <w:ilvl w:val="0"/>
          <w:numId w:val="153"/>
        </w:numPr>
        <w:jc w:val="both"/>
        <w:rPr>
          <w:rFonts w:ascii="Times New Roman" w:hAnsi="Times New Roman" w:cs="Times New Roman"/>
          <w:i/>
          <w:sz w:val="18"/>
          <w:szCs w:val="18"/>
        </w:rPr>
      </w:pPr>
      <w:r w:rsidRPr="00766AF3">
        <w:rPr>
          <w:rFonts w:ascii="Times New Roman" w:hAnsi="Times New Roman" w:cs="Times New Roman"/>
          <w:sz w:val="20"/>
          <w:szCs w:val="20"/>
        </w:rPr>
        <w:t>applicable legislation: Commission Regulation (EC) No 1881/2006 on the Maximum levels of aflatoxins (aflatoxins B1, B2, G1, G2 and M1), and the Commission Regulation (EC) No 401/2006 Provisions for methods of sampling and analysis for the official control of mycotoxins including aflatoxins.</w:t>
      </w:r>
      <w:r w:rsidRPr="00766AF3">
        <w:rPr>
          <w:rFonts w:ascii="Times New Roman" w:hAnsi="Times New Roman" w:cs="Times New Roman"/>
          <w:sz w:val="18"/>
          <w:szCs w:val="18"/>
        </w:rPr>
        <w:t xml:space="preserve"> </w:t>
      </w:r>
    </w:p>
    <w:p w14:paraId="5E5283C7" w14:textId="77777777" w:rsidR="00B42297" w:rsidRPr="007575D7" w:rsidRDefault="00B42297" w:rsidP="008B7787">
      <w:pPr>
        <w:jc w:val="both"/>
        <w:rPr>
          <w:rFonts w:ascii="Times New Roman" w:hAnsi="Times New Roman" w:cs="Times New Roman"/>
          <w:i/>
          <w:sz w:val="18"/>
          <w:szCs w:val="18"/>
          <w:lang w:val="fr-FR"/>
        </w:rPr>
      </w:pPr>
      <w:r w:rsidRPr="00766AF3">
        <w:rPr>
          <w:rFonts w:ascii="Times New Roman" w:hAnsi="Times New Roman" w:cs="Times New Roman"/>
          <w:sz w:val="18"/>
          <w:szCs w:val="18"/>
        </w:rPr>
        <w:t>S</w:t>
      </w:r>
      <w:r>
        <w:rPr>
          <w:rFonts w:ascii="Times New Roman" w:hAnsi="Times New Roman" w:cs="Times New Roman"/>
          <w:sz w:val="18"/>
          <w:szCs w:val="18"/>
        </w:rPr>
        <w:t>ee also</w:t>
      </w:r>
      <w:r w:rsidRPr="00766AF3">
        <w:rPr>
          <w:rFonts w:ascii="Times New Roman" w:hAnsi="Times New Roman" w:cs="Times New Roman"/>
          <w:sz w:val="18"/>
          <w:szCs w:val="18"/>
        </w:rPr>
        <w:t xml:space="preserve">: Centre for the Promotion of Imports from developing countries (CBI), funded by the Netherlands Ministry of Foreign </w:t>
      </w:r>
      <w:r w:rsidRPr="00505244">
        <w:rPr>
          <w:rFonts w:ascii="Times New Roman" w:hAnsi="Times New Roman" w:cs="Times New Roman"/>
          <w:sz w:val="18"/>
          <w:szCs w:val="18"/>
        </w:rPr>
        <w:t>Affairs</w:t>
      </w:r>
      <w:r w:rsidRPr="00505244">
        <w:rPr>
          <w:rFonts w:ascii="Times New Roman" w:hAnsi="Times New Roman" w:cs="Times New Roman"/>
          <w:i/>
          <w:sz w:val="18"/>
          <w:szCs w:val="18"/>
        </w:rPr>
        <w:t xml:space="preserve">. Exporting groundnuts (peanuts) to Europe </w:t>
      </w:r>
      <w:r w:rsidRPr="00505244">
        <w:rPr>
          <w:rFonts w:ascii="Times New Roman" w:hAnsi="Times New Roman" w:cs="Times New Roman"/>
          <w:sz w:val="18"/>
          <w:szCs w:val="18"/>
        </w:rPr>
        <w:t xml:space="preserve">available at </w:t>
      </w:r>
      <w:hyperlink r:id="rId15" w:history="1">
        <w:r w:rsidRPr="00766AF3">
          <w:rPr>
            <w:rStyle w:val="Hyperlink"/>
            <w:rFonts w:ascii="Times New Roman" w:hAnsi="Times New Roman" w:cs="Times New Roman"/>
            <w:sz w:val="18"/>
            <w:szCs w:val="18"/>
          </w:rPr>
          <w:t>https://www.cbi.eu/market-information/processed-fruit-vegetables-edible-nuts/groundnuts-peanuts-europe/</w:t>
        </w:r>
      </w:hyperlink>
      <w:r w:rsidRPr="00766AF3">
        <w:rPr>
          <w:rFonts w:ascii="Times New Roman" w:hAnsi="Times New Roman" w:cs="Times New Roman"/>
          <w:sz w:val="18"/>
          <w:szCs w:val="18"/>
        </w:rPr>
        <w:t xml:space="preserve"> ; SENSE, 2016. </w:t>
      </w:r>
      <w:r w:rsidRPr="007575D7">
        <w:rPr>
          <w:rFonts w:ascii="Times New Roman" w:hAnsi="Times New Roman" w:cs="Times New Roman"/>
          <w:i/>
          <w:sz w:val="18"/>
          <w:szCs w:val="18"/>
          <w:lang w:val="fr-FR"/>
        </w:rPr>
        <w:t xml:space="preserve">Economic Analyses of </w:t>
      </w:r>
      <w:proofErr w:type="spellStart"/>
      <w:r w:rsidRPr="007575D7">
        <w:rPr>
          <w:rFonts w:ascii="Times New Roman" w:hAnsi="Times New Roman" w:cs="Times New Roman"/>
          <w:i/>
          <w:sz w:val="18"/>
          <w:szCs w:val="18"/>
          <w:lang w:val="fr-FR"/>
        </w:rPr>
        <w:t>Peanut</w:t>
      </w:r>
      <w:proofErr w:type="spellEnd"/>
      <w:r w:rsidRPr="007575D7">
        <w:rPr>
          <w:rFonts w:ascii="Times New Roman" w:hAnsi="Times New Roman" w:cs="Times New Roman"/>
          <w:i/>
          <w:sz w:val="18"/>
          <w:szCs w:val="18"/>
          <w:lang w:val="fr-FR"/>
        </w:rPr>
        <w:t xml:space="preserve"> </w:t>
      </w:r>
      <w:proofErr w:type="spellStart"/>
      <w:r w:rsidRPr="007575D7">
        <w:rPr>
          <w:rFonts w:ascii="Times New Roman" w:hAnsi="Times New Roman" w:cs="Times New Roman"/>
          <w:i/>
          <w:sz w:val="18"/>
          <w:szCs w:val="18"/>
          <w:lang w:val="fr-FR"/>
        </w:rPr>
        <w:t>Processing</w:t>
      </w:r>
      <w:proofErr w:type="spellEnd"/>
      <w:r w:rsidRPr="007575D7">
        <w:rPr>
          <w:rFonts w:ascii="Times New Roman" w:hAnsi="Times New Roman" w:cs="Times New Roman"/>
          <w:i/>
          <w:sz w:val="18"/>
          <w:szCs w:val="18"/>
          <w:lang w:val="fr-FR"/>
        </w:rPr>
        <w:t xml:space="preserve"> in </w:t>
      </w:r>
      <w:proofErr w:type="spellStart"/>
      <w:r w:rsidRPr="007575D7">
        <w:rPr>
          <w:rFonts w:ascii="Times New Roman" w:hAnsi="Times New Roman" w:cs="Times New Roman"/>
          <w:i/>
          <w:sz w:val="18"/>
          <w:szCs w:val="18"/>
          <w:lang w:val="fr-FR"/>
        </w:rPr>
        <w:t>Africa</w:t>
      </w:r>
      <w:proofErr w:type="spellEnd"/>
      <w:r w:rsidRPr="007575D7">
        <w:rPr>
          <w:rFonts w:ascii="Times New Roman" w:hAnsi="Times New Roman" w:cs="Times New Roman"/>
          <w:i/>
          <w:sz w:val="18"/>
          <w:szCs w:val="18"/>
          <w:lang w:val="fr-FR"/>
        </w:rPr>
        <w:t>.</w:t>
      </w:r>
    </w:p>
  </w:footnote>
  <w:footnote w:id="143">
    <w:p w14:paraId="1E9649CE" w14:textId="45FE6CE5" w:rsidR="00B42297" w:rsidRPr="00131E1E" w:rsidRDefault="00B42297" w:rsidP="008B7787">
      <w:pPr>
        <w:pStyle w:val="FootnoteText"/>
        <w:jc w:val="both"/>
        <w:rPr>
          <w:rFonts w:ascii="Times New Roman" w:hAnsi="Times New Roman" w:cs="Times New Roman"/>
          <w:sz w:val="20"/>
          <w:szCs w:val="20"/>
          <w:lang w:val="fr-FR"/>
        </w:rPr>
      </w:pPr>
      <w:r w:rsidRPr="00505244">
        <w:rPr>
          <w:rStyle w:val="FootnoteReference"/>
          <w:rFonts w:ascii="Times New Roman" w:hAnsi="Times New Roman" w:cs="Times New Roman"/>
          <w:sz w:val="20"/>
          <w:szCs w:val="20"/>
        </w:rPr>
        <w:footnoteRef/>
      </w:r>
      <w:r w:rsidRPr="00131E1E">
        <w:rPr>
          <w:rFonts w:ascii="Times New Roman" w:hAnsi="Times New Roman" w:cs="Times New Roman"/>
          <w:sz w:val="20"/>
          <w:szCs w:val="20"/>
          <w:lang w:val="fr-FR"/>
        </w:rPr>
        <w:t xml:space="preserve"> World Bank. 2015. </w:t>
      </w:r>
      <w:r w:rsidRPr="00131E1E">
        <w:rPr>
          <w:rFonts w:ascii="Times New Roman" w:hAnsi="Times New Roman" w:cs="Times New Roman"/>
          <w:i/>
          <w:sz w:val="20"/>
          <w:szCs w:val="20"/>
          <w:lang w:val="fr-FR"/>
        </w:rPr>
        <w:t xml:space="preserve">Étude Diagnostique de la Chaîne de valeurs arachide au </w:t>
      </w:r>
      <w:proofErr w:type="gramStart"/>
      <w:r w:rsidRPr="00131E1E">
        <w:rPr>
          <w:rFonts w:ascii="Times New Roman" w:hAnsi="Times New Roman" w:cs="Times New Roman"/>
          <w:i/>
          <w:sz w:val="20"/>
          <w:szCs w:val="20"/>
          <w:lang w:val="fr-FR"/>
        </w:rPr>
        <w:t>Sénégal:</w:t>
      </w:r>
      <w:proofErr w:type="gramEnd"/>
      <w:r w:rsidRPr="00131E1E">
        <w:rPr>
          <w:rFonts w:ascii="Times New Roman" w:hAnsi="Times New Roman" w:cs="Times New Roman"/>
          <w:i/>
          <w:sz w:val="20"/>
          <w:szCs w:val="20"/>
          <w:lang w:val="fr-FR"/>
        </w:rPr>
        <w:t xml:space="preserve"> Propositions de réformes</w:t>
      </w:r>
      <w:r w:rsidRPr="00131E1E">
        <w:rPr>
          <w:rFonts w:ascii="Times New Roman" w:hAnsi="Times New Roman" w:cs="Times New Roman"/>
          <w:sz w:val="20"/>
          <w:szCs w:val="20"/>
          <w:lang w:val="fr-FR"/>
        </w:rPr>
        <w:t>, p. 40</w:t>
      </w:r>
    </w:p>
  </w:footnote>
  <w:footnote w:id="144">
    <w:p w14:paraId="159AE121" w14:textId="77777777" w:rsidR="00B42297" w:rsidRPr="007D0ECF" w:rsidRDefault="00B42297" w:rsidP="00E8404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D0ECF">
        <w:rPr>
          <w:rFonts w:ascii="Times New Roman" w:hAnsi="Times New Roman" w:cs="Times New Roman"/>
          <w:sz w:val="20"/>
          <w:szCs w:val="20"/>
          <w:lang w:val="fr-FR"/>
        </w:rPr>
        <w:t xml:space="preserve"> CNIA. 2017. </w:t>
      </w:r>
      <w:r w:rsidRPr="007D0ECF">
        <w:rPr>
          <w:rFonts w:ascii="Times New Roman" w:hAnsi="Times New Roman" w:cs="Times New Roman"/>
          <w:i/>
          <w:sz w:val="20"/>
          <w:szCs w:val="20"/>
          <w:lang w:val="fr-FR"/>
        </w:rPr>
        <w:t xml:space="preserve">Situation collecte </w:t>
      </w:r>
      <w:proofErr w:type="spellStart"/>
      <w:r w:rsidRPr="007D0ECF">
        <w:rPr>
          <w:rFonts w:ascii="Times New Roman" w:hAnsi="Times New Roman" w:cs="Times New Roman"/>
          <w:i/>
          <w:sz w:val="20"/>
          <w:szCs w:val="20"/>
          <w:lang w:val="fr-FR"/>
        </w:rPr>
        <w:t>commercialization</w:t>
      </w:r>
      <w:proofErr w:type="spellEnd"/>
      <w:r w:rsidRPr="007D0ECF">
        <w:rPr>
          <w:rFonts w:ascii="Times New Roman" w:hAnsi="Times New Roman" w:cs="Times New Roman"/>
          <w:i/>
          <w:sz w:val="20"/>
          <w:szCs w:val="20"/>
          <w:lang w:val="fr-FR"/>
        </w:rPr>
        <w:t xml:space="preserve"> des arachides 28eme semaine, du 05 juin 2017 au 10 juin 2017</w:t>
      </w:r>
      <w:r w:rsidRPr="007D0ECF">
        <w:rPr>
          <w:rFonts w:ascii="Times New Roman" w:hAnsi="Times New Roman" w:cs="Times New Roman"/>
          <w:sz w:val="20"/>
          <w:szCs w:val="20"/>
          <w:lang w:val="fr-FR"/>
        </w:rPr>
        <w:t>, p. 1</w:t>
      </w:r>
    </w:p>
  </w:footnote>
  <w:footnote w:id="145">
    <w:p w14:paraId="71BB6396" w14:textId="77777777" w:rsidR="00B42297" w:rsidRPr="00B95753" w:rsidRDefault="00B42297" w:rsidP="00E8404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Nevertheless, in some cases collectors have been reported to abuse their power to undercut official prices. World Bank. 2015. </w:t>
      </w:r>
      <w:r w:rsidRPr="00B95753">
        <w:rPr>
          <w:rFonts w:ascii="Times New Roman" w:hAnsi="Times New Roman" w:cs="Times New Roman"/>
          <w:i/>
          <w:sz w:val="20"/>
          <w:szCs w:val="20"/>
        </w:rPr>
        <w:t>Policies, prices and poverty: the sugar, vegetable oil, and flour industries in Senegal</w:t>
      </w:r>
      <w:r w:rsidRPr="00B95753">
        <w:rPr>
          <w:rFonts w:ascii="Times New Roman" w:hAnsi="Times New Roman" w:cs="Times New Roman"/>
          <w:sz w:val="20"/>
          <w:szCs w:val="20"/>
        </w:rPr>
        <w:t>, p. 13</w:t>
      </w:r>
    </w:p>
  </w:footnote>
  <w:footnote w:id="146">
    <w:p w14:paraId="2726AB3A" w14:textId="77777777" w:rsidR="00B42297" w:rsidRPr="00B95753" w:rsidRDefault="00B42297" w:rsidP="00E8404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 xml:space="preserve">Competitiveness and comparative advantage of the groundnut value chain in Senegal, </w:t>
      </w:r>
      <w:r w:rsidRPr="00B95753">
        <w:rPr>
          <w:rFonts w:ascii="Times New Roman" w:hAnsi="Times New Roman" w:cs="Times New Roman"/>
          <w:sz w:val="20"/>
          <w:szCs w:val="20"/>
        </w:rPr>
        <w:t>p. 11</w:t>
      </w:r>
    </w:p>
  </w:footnote>
  <w:footnote w:id="147">
    <w:p w14:paraId="012EAB4D" w14:textId="57F507E4"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Étude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62f</w:t>
      </w:r>
    </w:p>
  </w:footnote>
  <w:footnote w:id="148">
    <w:p w14:paraId="766E5627" w14:textId="256E98A3"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Étude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62</w:t>
      </w:r>
    </w:p>
  </w:footnote>
  <w:footnote w:id="149">
    <w:p w14:paraId="01EC0451"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Authors’ interviews</w:t>
      </w:r>
      <w:r>
        <w:rPr>
          <w:rFonts w:ascii="Times New Roman" w:hAnsi="Times New Roman" w:cs="Times New Roman"/>
          <w:sz w:val="20"/>
          <w:szCs w:val="20"/>
        </w:rPr>
        <w:t xml:space="preserve">. One </w:t>
      </w:r>
      <w:r w:rsidRPr="00D72C42">
        <w:rPr>
          <w:rFonts w:ascii="Times New Roman" w:hAnsi="Times New Roman" w:cs="Times New Roman"/>
          <w:sz w:val="20"/>
        </w:rPr>
        <w:t>p</w:t>
      </w:r>
      <w:r>
        <w:rPr>
          <w:rFonts w:ascii="Times New Roman" w:hAnsi="Times New Roman" w:cs="Times New Roman"/>
          <w:sz w:val="20"/>
        </w:rPr>
        <w:t>otential ex</w:t>
      </w:r>
      <w:r w:rsidRPr="00D72C42">
        <w:rPr>
          <w:rFonts w:ascii="Times New Roman" w:hAnsi="Times New Roman" w:cs="Times New Roman"/>
          <w:sz w:val="20"/>
        </w:rPr>
        <w:t>p</w:t>
      </w:r>
      <w:r>
        <w:rPr>
          <w:rFonts w:ascii="Times New Roman" w:hAnsi="Times New Roman" w:cs="Times New Roman"/>
          <w:sz w:val="20"/>
        </w:rPr>
        <w:t>lanation for why ex</w:t>
      </w:r>
      <w:r w:rsidRPr="00D72C42">
        <w:rPr>
          <w:rFonts w:ascii="Times New Roman" w:hAnsi="Times New Roman" w:cs="Times New Roman"/>
          <w:sz w:val="20"/>
        </w:rPr>
        <w:t>p</w:t>
      </w:r>
      <w:r>
        <w:rPr>
          <w:rFonts w:ascii="Times New Roman" w:hAnsi="Times New Roman" w:cs="Times New Roman"/>
          <w:sz w:val="20"/>
        </w:rPr>
        <w:t xml:space="preserve">orters have </w:t>
      </w:r>
      <w:r w:rsidRPr="00D72C42">
        <w:rPr>
          <w:rFonts w:ascii="Times New Roman" w:hAnsi="Times New Roman" w:cs="Times New Roman"/>
          <w:sz w:val="20"/>
        </w:rPr>
        <w:t>p</w:t>
      </w:r>
      <w:r>
        <w:rPr>
          <w:rFonts w:ascii="Times New Roman" w:hAnsi="Times New Roman" w:cs="Times New Roman"/>
          <w:sz w:val="20"/>
        </w:rPr>
        <w:t xml:space="preserve">aid this </w:t>
      </w:r>
      <w:r w:rsidRPr="00D72C42">
        <w:rPr>
          <w:rFonts w:ascii="Times New Roman" w:hAnsi="Times New Roman" w:cs="Times New Roman"/>
          <w:sz w:val="20"/>
        </w:rPr>
        <w:t>p</w:t>
      </w:r>
      <w:r>
        <w:rPr>
          <w:rFonts w:ascii="Times New Roman" w:hAnsi="Times New Roman" w:cs="Times New Roman"/>
          <w:sz w:val="20"/>
        </w:rPr>
        <w:t xml:space="preserve">remium above the minimum </w:t>
      </w:r>
      <w:r w:rsidRPr="00D72C42">
        <w:rPr>
          <w:rFonts w:ascii="Times New Roman" w:hAnsi="Times New Roman" w:cs="Times New Roman"/>
          <w:sz w:val="20"/>
        </w:rPr>
        <w:t>p</w:t>
      </w:r>
      <w:r>
        <w:rPr>
          <w:rFonts w:ascii="Times New Roman" w:hAnsi="Times New Roman" w:cs="Times New Roman"/>
          <w:sz w:val="20"/>
        </w:rPr>
        <w:t xml:space="preserve">rice set by the CNIA is that this is the </w:t>
      </w:r>
      <w:r w:rsidRPr="00D72C42">
        <w:rPr>
          <w:rFonts w:ascii="Times New Roman" w:hAnsi="Times New Roman" w:cs="Times New Roman"/>
          <w:sz w:val="20"/>
        </w:rPr>
        <w:t>p</w:t>
      </w:r>
      <w:r>
        <w:rPr>
          <w:rFonts w:ascii="Times New Roman" w:hAnsi="Times New Roman" w:cs="Times New Roman"/>
          <w:sz w:val="20"/>
        </w:rPr>
        <w:t>remium needed to encourage farmers to switch to sell to ex</w:t>
      </w:r>
      <w:r w:rsidRPr="00D72C42">
        <w:rPr>
          <w:rFonts w:ascii="Times New Roman" w:hAnsi="Times New Roman" w:cs="Times New Roman"/>
          <w:sz w:val="20"/>
        </w:rPr>
        <w:t>p</w:t>
      </w:r>
      <w:r>
        <w:rPr>
          <w:rFonts w:ascii="Times New Roman" w:hAnsi="Times New Roman" w:cs="Times New Roman"/>
          <w:sz w:val="20"/>
        </w:rPr>
        <w:t>orters rather than O</w:t>
      </w:r>
      <w:r w:rsidRPr="001C71AD">
        <w:rPr>
          <w:rFonts w:ascii="Times New Roman" w:hAnsi="Times New Roman" w:cs="Times New Roman"/>
          <w:sz w:val="20"/>
        </w:rPr>
        <w:t>P</w:t>
      </w:r>
      <w:r>
        <w:rPr>
          <w:rFonts w:ascii="Times New Roman" w:hAnsi="Times New Roman" w:cs="Times New Roman"/>
          <w:sz w:val="20"/>
        </w:rPr>
        <w:t>S, e.g. because the farmer may be switching away from a long term relationship with an O</w:t>
      </w:r>
      <w:r w:rsidRPr="001C71AD">
        <w:rPr>
          <w:rFonts w:ascii="Times New Roman" w:hAnsi="Times New Roman" w:cs="Times New Roman"/>
          <w:sz w:val="20"/>
        </w:rPr>
        <w:t>P</w:t>
      </w:r>
      <w:r>
        <w:rPr>
          <w:rFonts w:ascii="Times New Roman" w:hAnsi="Times New Roman" w:cs="Times New Roman"/>
          <w:sz w:val="20"/>
        </w:rPr>
        <w:t>S or because there may be additional farmer transport costs to reach an exporter given that their network of collection points may be currently less developed than that of the O</w:t>
      </w:r>
      <w:r w:rsidRPr="001C71AD">
        <w:rPr>
          <w:rFonts w:ascii="Times New Roman" w:hAnsi="Times New Roman" w:cs="Times New Roman"/>
          <w:sz w:val="20"/>
        </w:rPr>
        <w:t>P</w:t>
      </w:r>
      <w:r>
        <w:rPr>
          <w:rFonts w:ascii="Times New Roman" w:hAnsi="Times New Roman" w:cs="Times New Roman"/>
          <w:sz w:val="20"/>
        </w:rPr>
        <w:t xml:space="preserve">S. </w:t>
      </w:r>
    </w:p>
  </w:footnote>
  <w:footnote w:id="150">
    <w:p w14:paraId="566E56E4"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 xml:space="preserve">Competitiveness and comparative advantage of the groundnut value chain in Senegal, </w:t>
      </w:r>
      <w:r w:rsidRPr="00B95753">
        <w:rPr>
          <w:rFonts w:ascii="Times New Roman" w:hAnsi="Times New Roman" w:cs="Times New Roman"/>
          <w:sz w:val="20"/>
          <w:szCs w:val="20"/>
        </w:rPr>
        <w:t>p. 19</w:t>
      </w:r>
    </w:p>
  </w:footnote>
  <w:footnote w:id="151">
    <w:p w14:paraId="62083CE6"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European</w:t>
      </w:r>
      <w:proofErr w:type="spellEnd"/>
      <w:r w:rsidRPr="007575D7">
        <w:rPr>
          <w:rFonts w:ascii="Times New Roman" w:hAnsi="Times New Roman" w:cs="Times New Roman"/>
          <w:sz w:val="20"/>
          <w:szCs w:val="20"/>
          <w:lang w:val="fr-FR"/>
        </w:rPr>
        <w:t xml:space="preserve"> Commission. 2016. </w:t>
      </w:r>
      <w:r w:rsidRPr="007575D7">
        <w:rPr>
          <w:rFonts w:ascii="Times New Roman" w:hAnsi="Times New Roman" w:cs="Times New Roman"/>
          <w:i/>
          <w:sz w:val="20"/>
          <w:szCs w:val="20"/>
          <w:lang w:val="fr-FR"/>
        </w:rPr>
        <w:t>Analyse d'économie politique (PEA) des filières de l'arachide et du riz</w:t>
      </w:r>
      <w:r w:rsidRPr="007575D7">
        <w:rPr>
          <w:rFonts w:ascii="Times New Roman" w:hAnsi="Times New Roman" w:cs="Times New Roman"/>
          <w:sz w:val="20"/>
          <w:szCs w:val="20"/>
          <w:lang w:val="fr-FR"/>
        </w:rPr>
        <w:t>, p. 25</w:t>
      </w:r>
    </w:p>
  </w:footnote>
  <w:footnote w:id="152">
    <w:p w14:paraId="71152CC0"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Article 20 of Law n° 2016-35 “portant loi de finances pour l’année 2017”</w:t>
      </w:r>
      <w:r w:rsidRPr="007575D7">
        <w:rPr>
          <w:rFonts w:ascii="Times New Roman" w:hAnsi="Times New Roman" w:cs="Times New Roman"/>
          <w:i/>
          <w:sz w:val="20"/>
          <w:szCs w:val="20"/>
          <w:lang w:val="fr-FR"/>
        </w:rPr>
        <w:t>.</w:t>
      </w:r>
    </w:p>
  </w:footnote>
  <w:footnote w:id="153">
    <w:p w14:paraId="5462C2DA"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Sud Quotidien. 2016. </w:t>
      </w:r>
      <w:r w:rsidRPr="007575D7">
        <w:rPr>
          <w:rFonts w:ascii="Times New Roman" w:hAnsi="Times New Roman" w:cs="Times New Roman"/>
          <w:i/>
          <w:sz w:val="20"/>
          <w:szCs w:val="20"/>
          <w:lang w:val="fr-FR"/>
        </w:rPr>
        <w:t xml:space="preserve">Le </w:t>
      </w:r>
      <w:proofErr w:type="spellStart"/>
      <w:r w:rsidRPr="007575D7">
        <w:rPr>
          <w:rFonts w:ascii="Times New Roman" w:hAnsi="Times New Roman" w:cs="Times New Roman"/>
          <w:i/>
          <w:sz w:val="20"/>
          <w:szCs w:val="20"/>
          <w:lang w:val="fr-FR"/>
        </w:rPr>
        <w:t>Copega</w:t>
      </w:r>
      <w:proofErr w:type="spellEnd"/>
      <w:r w:rsidRPr="007575D7">
        <w:rPr>
          <w:rFonts w:ascii="Times New Roman" w:hAnsi="Times New Roman" w:cs="Times New Roman"/>
          <w:i/>
          <w:sz w:val="20"/>
          <w:szCs w:val="20"/>
          <w:lang w:val="fr-FR"/>
        </w:rPr>
        <w:t xml:space="preserve"> Menace de Fermer L’ensemble de ses Points de Collecte</w:t>
      </w:r>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Available at: http://www.sudonline.sn/le-copega-menace-de-fermer-l-ensemble-de-ses-points-de-collecte_a_32847.html</w:t>
      </w:r>
    </w:p>
  </w:footnote>
  <w:footnote w:id="154">
    <w:p w14:paraId="6BD9FDD5"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 du 05 juin 2017 au 10 juin 2017</w:t>
      </w:r>
      <w:r w:rsidRPr="007575D7">
        <w:rPr>
          <w:rFonts w:ascii="Times New Roman" w:hAnsi="Times New Roman" w:cs="Times New Roman"/>
          <w:sz w:val="20"/>
          <w:szCs w:val="20"/>
          <w:lang w:val="fr-FR"/>
        </w:rPr>
        <w:t>, p. 5</w:t>
      </w:r>
    </w:p>
  </w:footnote>
  <w:footnote w:id="155">
    <w:p w14:paraId="24EBD003"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European</w:t>
      </w:r>
      <w:proofErr w:type="spellEnd"/>
      <w:r w:rsidRPr="007575D7">
        <w:rPr>
          <w:rFonts w:ascii="Times New Roman" w:hAnsi="Times New Roman" w:cs="Times New Roman"/>
          <w:sz w:val="20"/>
          <w:szCs w:val="20"/>
          <w:lang w:val="fr-FR"/>
        </w:rPr>
        <w:t xml:space="preserve"> Commission. 2016. </w:t>
      </w:r>
      <w:r w:rsidRPr="007575D7">
        <w:rPr>
          <w:rFonts w:ascii="Times New Roman" w:hAnsi="Times New Roman" w:cs="Times New Roman"/>
          <w:i/>
          <w:sz w:val="20"/>
          <w:szCs w:val="20"/>
          <w:lang w:val="fr-FR"/>
        </w:rPr>
        <w:t>Analyse d'économie politique (PEA) des filières de l'arachide et du riz</w:t>
      </w:r>
      <w:r w:rsidRPr="007575D7">
        <w:rPr>
          <w:rFonts w:ascii="Times New Roman" w:hAnsi="Times New Roman" w:cs="Times New Roman"/>
          <w:sz w:val="20"/>
          <w:szCs w:val="20"/>
          <w:lang w:val="fr-FR"/>
        </w:rPr>
        <w:t>, p. 19</w:t>
      </w:r>
    </w:p>
  </w:footnote>
  <w:footnote w:id="156">
    <w:p w14:paraId="0597D1D8" w14:textId="77777777" w:rsidR="00B42297" w:rsidRPr="007575D7" w:rsidRDefault="00B42297" w:rsidP="00377635">
      <w:pPr>
        <w:pStyle w:val="FootnoteText"/>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 du 05 juin 2017 au 10 juin 2017</w:t>
      </w:r>
      <w:r w:rsidRPr="007575D7">
        <w:rPr>
          <w:rFonts w:ascii="Times New Roman" w:hAnsi="Times New Roman" w:cs="Times New Roman"/>
          <w:sz w:val="20"/>
          <w:szCs w:val="20"/>
          <w:lang w:val="fr-FR"/>
        </w:rPr>
        <w:t>, p. 2</w:t>
      </w:r>
    </w:p>
  </w:footnote>
  <w:footnote w:id="157">
    <w:p w14:paraId="2C59FB46"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PressAfrik</w:t>
      </w:r>
      <w:proofErr w:type="spellEnd"/>
      <w:r w:rsidRPr="007575D7">
        <w:rPr>
          <w:rFonts w:ascii="Times New Roman" w:hAnsi="Times New Roman" w:cs="Times New Roman"/>
          <w:sz w:val="20"/>
          <w:szCs w:val="20"/>
          <w:lang w:val="fr-FR"/>
        </w:rPr>
        <w:t xml:space="preserve">. 2014. </w:t>
      </w:r>
      <w:r w:rsidRPr="007575D7">
        <w:rPr>
          <w:rFonts w:ascii="Times New Roman" w:hAnsi="Times New Roman" w:cs="Times New Roman"/>
          <w:i/>
          <w:sz w:val="20"/>
          <w:szCs w:val="20"/>
          <w:lang w:val="fr-FR"/>
        </w:rPr>
        <w:t>Entre reconstitution du capitalisme semencier et commercialisation de l’arachide : Le cycle d’une gestion nébuleuse</w:t>
      </w:r>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Available at: http://www.pressafrik.com/Entre-reconstitution-du-capitalisme-semencier-et-commercialisation-de-l-arachide-Le-cycle-d-une-gestion-nebuleuse_a117408.html</w:t>
      </w:r>
    </w:p>
  </w:footnote>
  <w:footnote w:id="158">
    <w:p w14:paraId="130981ED"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2015. </w:t>
      </w:r>
      <w:r w:rsidRPr="00B95753">
        <w:rPr>
          <w:rFonts w:ascii="Times New Roman" w:hAnsi="Times New Roman" w:cs="Times New Roman"/>
          <w:i/>
          <w:sz w:val="20"/>
          <w:szCs w:val="20"/>
        </w:rPr>
        <w:t>Policies, prices and poverty: the sugar, vegetable oil, and flour industries in Senegal</w:t>
      </w:r>
      <w:r w:rsidRPr="00B95753">
        <w:rPr>
          <w:rFonts w:ascii="Times New Roman" w:hAnsi="Times New Roman" w:cs="Times New Roman"/>
          <w:sz w:val="20"/>
          <w:szCs w:val="20"/>
        </w:rPr>
        <w:t>, p. 13</w:t>
      </w:r>
    </w:p>
  </w:footnote>
  <w:footnote w:id="159">
    <w:p w14:paraId="6ECA1E3D" w14:textId="719014FF"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Étude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17</w:t>
      </w:r>
    </w:p>
  </w:footnote>
  <w:footnote w:id="160">
    <w:p w14:paraId="5AF6EC64"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Financial </w:t>
      </w:r>
      <w:proofErr w:type="spellStart"/>
      <w:r w:rsidRPr="007575D7">
        <w:rPr>
          <w:rFonts w:ascii="Times New Roman" w:hAnsi="Times New Roman" w:cs="Times New Roman"/>
          <w:sz w:val="20"/>
          <w:szCs w:val="20"/>
        </w:rPr>
        <w:t>Afrik</w:t>
      </w:r>
      <w:proofErr w:type="spellEnd"/>
      <w:r w:rsidRPr="007575D7">
        <w:rPr>
          <w:rFonts w:ascii="Times New Roman" w:hAnsi="Times New Roman" w:cs="Times New Roman"/>
          <w:sz w:val="20"/>
          <w:szCs w:val="20"/>
        </w:rPr>
        <w:t xml:space="preserve">. 2016. </w:t>
      </w:r>
      <w:proofErr w:type="spellStart"/>
      <w:r w:rsidRPr="007575D7">
        <w:rPr>
          <w:rFonts w:ascii="Times New Roman" w:hAnsi="Times New Roman" w:cs="Times New Roman"/>
          <w:i/>
          <w:sz w:val="20"/>
          <w:szCs w:val="20"/>
        </w:rPr>
        <w:t>Sénégal</w:t>
      </w:r>
      <w:proofErr w:type="spellEnd"/>
      <w:r w:rsidRPr="007575D7">
        <w:rPr>
          <w:rFonts w:ascii="Times New Roman" w:hAnsi="Times New Roman" w:cs="Times New Roman"/>
          <w:i/>
          <w:sz w:val="20"/>
          <w:szCs w:val="20"/>
        </w:rPr>
        <w:t xml:space="preserve">: </w:t>
      </w:r>
      <w:proofErr w:type="spellStart"/>
      <w:r w:rsidRPr="007575D7">
        <w:rPr>
          <w:rFonts w:ascii="Times New Roman" w:hAnsi="Times New Roman" w:cs="Times New Roman"/>
          <w:i/>
          <w:sz w:val="20"/>
          <w:szCs w:val="20"/>
        </w:rPr>
        <w:t>Suneor</w:t>
      </w:r>
      <w:proofErr w:type="spellEnd"/>
      <w:r w:rsidRPr="007575D7">
        <w:rPr>
          <w:rFonts w:ascii="Times New Roman" w:hAnsi="Times New Roman" w:cs="Times New Roman"/>
          <w:i/>
          <w:sz w:val="20"/>
          <w:szCs w:val="20"/>
        </w:rPr>
        <w:t xml:space="preserve"> </w:t>
      </w:r>
      <w:proofErr w:type="spellStart"/>
      <w:r w:rsidRPr="007575D7">
        <w:rPr>
          <w:rFonts w:ascii="Times New Roman" w:hAnsi="Times New Roman" w:cs="Times New Roman"/>
          <w:i/>
          <w:sz w:val="20"/>
          <w:szCs w:val="20"/>
        </w:rPr>
        <w:t>redevient</w:t>
      </w:r>
      <w:proofErr w:type="spellEnd"/>
      <w:r w:rsidRPr="007575D7">
        <w:rPr>
          <w:rFonts w:ascii="Times New Roman" w:hAnsi="Times New Roman" w:cs="Times New Roman"/>
          <w:i/>
          <w:sz w:val="20"/>
          <w:szCs w:val="20"/>
        </w:rPr>
        <w:t xml:space="preserve"> </w:t>
      </w:r>
      <w:proofErr w:type="spellStart"/>
      <w:r w:rsidRPr="007575D7">
        <w:rPr>
          <w:rFonts w:ascii="Times New Roman" w:hAnsi="Times New Roman" w:cs="Times New Roman"/>
          <w:i/>
          <w:sz w:val="20"/>
          <w:szCs w:val="20"/>
        </w:rPr>
        <w:t>Sonacos</w:t>
      </w:r>
      <w:proofErr w:type="spellEnd"/>
      <w:r w:rsidRPr="007575D7">
        <w:rPr>
          <w:rFonts w:ascii="Times New Roman" w:hAnsi="Times New Roman" w:cs="Times New Roman"/>
          <w:i/>
          <w:sz w:val="20"/>
          <w:szCs w:val="20"/>
        </w:rPr>
        <w:t xml:space="preserve"> SA</w:t>
      </w:r>
      <w:r w:rsidRPr="007575D7">
        <w:rPr>
          <w:rFonts w:ascii="Times New Roman" w:hAnsi="Times New Roman" w:cs="Times New Roman"/>
          <w:sz w:val="20"/>
          <w:szCs w:val="20"/>
        </w:rPr>
        <w:t xml:space="preserve">. </w:t>
      </w:r>
      <w:r w:rsidRPr="00B95753">
        <w:rPr>
          <w:rFonts w:ascii="Times New Roman" w:hAnsi="Times New Roman" w:cs="Times New Roman"/>
          <w:sz w:val="20"/>
          <w:szCs w:val="20"/>
        </w:rPr>
        <w:t>Available at http://www.financialafrik.com/2016/07/27/senegal-suneor-redevient-sonacos-sa/#.WWQJUujyuUl</w:t>
      </w:r>
    </w:p>
  </w:footnote>
  <w:footnote w:id="161">
    <w:p w14:paraId="4DD79743" w14:textId="77777777" w:rsidR="00B42297" w:rsidRPr="00B95753" w:rsidRDefault="00B42297" w:rsidP="00377635">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For the sake of simplicity, the company will be called simply “SONACOS” throughout this document</w:t>
      </w:r>
      <w:r>
        <w:rPr>
          <w:rFonts w:ascii="Times New Roman" w:hAnsi="Times New Roman" w:cs="Times New Roman"/>
          <w:sz w:val="20"/>
          <w:szCs w:val="20"/>
        </w:rPr>
        <w:t>.</w:t>
      </w:r>
    </w:p>
  </w:footnote>
  <w:footnote w:id="162">
    <w:p w14:paraId="62D2C47F" w14:textId="2A6655BB"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ITFC. 2016. </w:t>
      </w:r>
      <w:r w:rsidRPr="00B95753">
        <w:rPr>
          <w:rFonts w:ascii="Times New Roman" w:hAnsi="Times New Roman" w:cs="Times New Roman"/>
          <w:i/>
          <w:sz w:val="20"/>
          <w:szCs w:val="20"/>
        </w:rPr>
        <w:t xml:space="preserve">USD 75 million </w:t>
      </w:r>
      <w:proofErr w:type="spellStart"/>
      <w:r w:rsidRPr="00B95753">
        <w:rPr>
          <w:rFonts w:ascii="Times New Roman" w:hAnsi="Times New Roman" w:cs="Times New Roman"/>
          <w:i/>
          <w:sz w:val="20"/>
          <w:szCs w:val="20"/>
        </w:rPr>
        <w:t>Murabaha</w:t>
      </w:r>
      <w:proofErr w:type="spellEnd"/>
      <w:r w:rsidRPr="00B95753">
        <w:rPr>
          <w:rFonts w:ascii="Times New Roman" w:hAnsi="Times New Roman" w:cs="Times New Roman"/>
          <w:i/>
          <w:sz w:val="20"/>
          <w:szCs w:val="20"/>
        </w:rPr>
        <w:t xml:space="preserve"> financing agreement between ITFC and the </w:t>
      </w:r>
      <w:r>
        <w:rPr>
          <w:rFonts w:ascii="Times New Roman" w:hAnsi="Times New Roman" w:cs="Times New Roman"/>
          <w:i/>
          <w:sz w:val="20"/>
          <w:szCs w:val="20"/>
        </w:rPr>
        <w:t xml:space="preserve">Government </w:t>
      </w:r>
      <w:r w:rsidRPr="00B95753">
        <w:rPr>
          <w:rFonts w:ascii="Times New Roman" w:hAnsi="Times New Roman" w:cs="Times New Roman"/>
          <w:i/>
          <w:sz w:val="20"/>
          <w:szCs w:val="20"/>
        </w:rPr>
        <w:t>of Senegal for 2016-2017 groundnut campaign</w:t>
      </w:r>
      <w:r w:rsidRPr="00B95753">
        <w:rPr>
          <w:rFonts w:ascii="Times New Roman" w:hAnsi="Times New Roman" w:cs="Times New Roman"/>
          <w:sz w:val="20"/>
          <w:szCs w:val="20"/>
        </w:rPr>
        <w:t>. Available at http://www.itfc-idb.org/en/content/usd-75-million-murabaha-financing-agreement-between-itfc-and-government-senegal-2016-2017</w:t>
      </w:r>
    </w:p>
  </w:footnote>
  <w:footnote w:id="163">
    <w:p w14:paraId="4AC93033" w14:textId="32F3A3A0"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ITFC. 2016. </w:t>
      </w:r>
      <w:r w:rsidRPr="00B95753">
        <w:rPr>
          <w:rFonts w:ascii="Times New Roman" w:hAnsi="Times New Roman" w:cs="Times New Roman"/>
          <w:i/>
          <w:sz w:val="20"/>
          <w:szCs w:val="20"/>
        </w:rPr>
        <w:t xml:space="preserve">USD 75 million </w:t>
      </w:r>
      <w:proofErr w:type="spellStart"/>
      <w:r w:rsidRPr="00B95753">
        <w:rPr>
          <w:rFonts w:ascii="Times New Roman" w:hAnsi="Times New Roman" w:cs="Times New Roman"/>
          <w:i/>
          <w:sz w:val="20"/>
          <w:szCs w:val="20"/>
        </w:rPr>
        <w:t>Murabaha</w:t>
      </w:r>
      <w:proofErr w:type="spellEnd"/>
      <w:r w:rsidRPr="00B95753">
        <w:rPr>
          <w:rFonts w:ascii="Times New Roman" w:hAnsi="Times New Roman" w:cs="Times New Roman"/>
          <w:i/>
          <w:sz w:val="20"/>
          <w:szCs w:val="20"/>
        </w:rPr>
        <w:t xml:space="preserve"> financing agreement between ITFC and the </w:t>
      </w:r>
      <w:r>
        <w:rPr>
          <w:rFonts w:ascii="Times New Roman" w:hAnsi="Times New Roman" w:cs="Times New Roman"/>
          <w:i/>
          <w:sz w:val="20"/>
          <w:szCs w:val="20"/>
        </w:rPr>
        <w:t xml:space="preserve">Government </w:t>
      </w:r>
      <w:r w:rsidRPr="00B95753">
        <w:rPr>
          <w:rFonts w:ascii="Times New Roman" w:hAnsi="Times New Roman" w:cs="Times New Roman"/>
          <w:i/>
          <w:sz w:val="20"/>
          <w:szCs w:val="20"/>
        </w:rPr>
        <w:t>of Senegal for 2016-2017 groundnut campaign</w:t>
      </w:r>
      <w:r w:rsidRPr="00B95753">
        <w:rPr>
          <w:rFonts w:ascii="Times New Roman" w:hAnsi="Times New Roman" w:cs="Times New Roman"/>
          <w:sz w:val="20"/>
          <w:szCs w:val="20"/>
        </w:rPr>
        <w:t>. Available at http://www.itfc-idb.org/en/content/usd-75-million-murabaha-financing-agreement-between-itfc-and-government-senegal-2016-2017</w:t>
      </w:r>
    </w:p>
  </w:footnote>
  <w:footnote w:id="164">
    <w:p w14:paraId="234AFC3B"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 du 05 juin 2017 au 10 juin 2017</w:t>
      </w:r>
      <w:r w:rsidRPr="007575D7">
        <w:rPr>
          <w:rFonts w:ascii="Times New Roman" w:hAnsi="Times New Roman" w:cs="Times New Roman"/>
          <w:sz w:val="20"/>
          <w:szCs w:val="20"/>
          <w:lang w:val="fr-FR"/>
        </w:rPr>
        <w:t>, p. 5</w:t>
      </w:r>
    </w:p>
  </w:footnote>
  <w:footnote w:id="165">
    <w:p w14:paraId="0EBB25E6" w14:textId="47A27A88" w:rsidR="00B42297" w:rsidRPr="007575D7" w:rsidRDefault="00B42297" w:rsidP="00377635">
      <w:pPr>
        <w:pStyle w:val="FootnoteText"/>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Pr>
          <w:rFonts w:ascii="Times New Roman" w:hAnsi="Times New Roman" w:cs="Times New Roman"/>
          <w:sz w:val="20"/>
          <w:szCs w:val="20"/>
          <w:lang w:val="fr-FR"/>
        </w:rPr>
        <w:t xml:space="preserve"> Lettre circulai</w:t>
      </w:r>
      <w:r w:rsidRPr="007575D7">
        <w:rPr>
          <w:rFonts w:ascii="Times New Roman" w:hAnsi="Times New Roman" w:cs="Times New Roman"/>
          <w:sz w:val="20"/>
          <w:szCs w:val="20"/>
          <w:lang w:val="fr-FR"/>
        </w:rPr>
        <w:t>r</w:t>
      </w:r>
      <w:r>
        <w:rPr>
          <w:rFonts w:ascii="Times New Roman" w:hAnsi="Times New Roman" w:cs="Times New Roman"/>
          <w:sz w:val="20"/>
          <w:szCs w:val="20"/>
          <w:lang w:val="fr-FR"/>
        </w:rPr>
        <w:t>e</w:t>
      </w:r>
      <w:r w:rsidRPr="007575D7">
        <w:rPr>
          <w:rFonts w:ascii="Times New Roman" w:hAnsi="Times New Roman" w:cs="Times New Roman"/>
          <w:sz w:val="20"/>
          <w:szCs w:val="20"/>
          <w:lang w:val="fr-FR"/>
        </w:rPr>
        <w:t xml:space="preserve"> no. 22.60 MAER/DA du 26 décembre 2016</w:t>
      </w:r>
    </w:p>
  </w:footnote>
  <w:footnote w:id="166">
    <w:p w14:paraId="3CA9A074" w14:textId="77777777" w:rsidR="00B42297" w:rsidRPr="0024123D"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Jeune Afrique. 2016. Sénégal : </w:t>
      </w:r>
      <w:r w:rsidRPr="007575D7">
        <w:rPr>
          <w:rFonts w:ascii="Times New Roman" w:hAnsi="Times New Roman" w:cs="Times New Roman"/>
          <w:i/>
          <w:sz w:val="20"/>
          <w:szCs w:val="20"/>
          <w:lang w:val="fr-FR"/>
        </w:rPr>
        <w:t>Arachide, l’état d’urgence</w:t>
      </w:r>
      <w:r w:rsidRPr="007575D7">
        <w:rPr>
          <w:rFonts w:ascii="Times New Roman" w:hAnsi="Times New Roman" w:cs="Times New Roman"/>
          <w:sz w:val="20"/>
          <w:szCs w:val="20"/>
          <w:lang w:val="fr-FR"/>
        </w:rPr>
        <w:t xml:space="preserve">. </w:t>
      </w:r>
      <w:r w:rsidRPr="007575D7">
        <w:rPr>
          <w:rFonts w:ascii="Times New Roman" w:hAnsi="Times New Roman" w:cs="Times New Roman"/>
          <w:sz w:val="20"/>
          <w:szCs w:val="20"/>
        </w:rPr>
        <w:t xml:space="preserve">Available </w:t>
      </w:r>
      <w:r w:rsidRPr="0024123D">
        <w:rPr>
          <w:rFonts w:ascii="Times New Roman" w:hAnsi="Times New Roman" w:cs="Times New Roman"/>
          <w:sz w:val="20"/>
          <w:szCs w:val="20"/>
        </w:rPr>
        <w:t>at: http://www.jeuneafrique.com/mag/340235/economie/senegal-arachide-letat-d-urgence/</w:t>
      </w:r>
    </w:p>
  </w:footnote>
  <w:footnote w:id="167">
    <w:p w14:paraId="527D48F2" w14:textId="77777777" w:rsidR="00B42297" w:rsidRPr="0024123D"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 du 05 juin 2017 au 10 juin 2017</w:t>
      </w:r>
      <w:r w:rsidRPr="007575D7">
        <w:rPr>
          <w:rFonts w:ascii="Times New Roman" w:hAnsi="Times New Roman" w:cs="Times New Roman"/>
          <w:sz w:val="20"/>
          <w:szCs w:val="20"/>
          <w:lang w:val="fr-FR"/>
        </w:rPr>
        <w:t xml:space="preserve">, p. </w:t>
      </w:r>
      <w:proofErr w:type="gramStart"/>
      <w:r w:rsidRPr="007575D7">
        <w:rPr>
          <w:rFonts w:ascii="Times New Roman" w:hAnsi="Times New Roman" w:cs="Times New Roman"/>
          <w:sz w:val="20"/>
          <w:szCs w:val="20"/>
          <w:lang w:val="fr-FR"/>
        </w:rPr>
        <w:t>5;</w:t>
      </w:r>
      <w:proofErr w:type="gramEnd"/>
      <w:r w:rsidRPr="007575D7">
        <w:rPr>
          <w:rFonts w:ascii="Times New Roman" w:hAnsi="Times New Roman" w:cs="Times New Roman"/>
          <w:sz w:val="20"/>
          <w:szCs w:val="20"/>
          <w:lang w:val="fr-FR"/>
        </w:rPr>
        <w:t xml:space="preserve"> Jeune Afrique. 2016. Sénégal : </w:t>
      </w:r>
      <w:r w:rsidRPr="007575D7">
        <w:rPr>
          <w:rFonts w:ascii="Times New Roman" w:hAnsi="Times New Roman" w:cs="Times New Roman"/>
          <w:i/>
          <w:sz w:val="20"/>
          <w:szCs w:val="20"/>
          <w:lang w:val="fr-FR"/>
        </w:rPr>
        <w:t>Arachide, l’état d’urgence</w:t>
      </w:r>
      <w:r w:rsidRPr="007575D7">
        <w:rPr>
          <w:rFonts w:ascii="Times New Roman" w:hAnsi="Times New Roman" w:cs="Times New Roman"/>
          <w:sz w:val="20"/>
          <w:szCs w:val="20"/>
          <w:lang w:val="fr-FR"/>
        </w:rPr>
        <w:t xml:space="preserve">. </w:t>
      </w:r>
      <w:r w:rsidRPr="0024123D">
        <w:rPr>
          <w:rFonts w:ascii="Times New Roman" w:hAnsi="Times New Roman" w:cs="Times New Roman"/>
          <w:sz w:val="20"/>
          <w:szCs w:val="20"/>
        </w:rPr>
        <w:t>Available at: http://www.jeuneafrique.com/mag/340235/economie/senegal-arachide-letat-d-urgence/</w:t>
      </w:r>
    </w:p>
  </w:footnote>
  <w:footnote w:id="168">
    <w:p w14:paraId="2B645EB5"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 du 05 juin 2017 au 10 juin 2017</w:t>
      </w:r>
      <w:r w:rsidRPr="007575D7">
        <w:rPr>
          <w:rFonts w:ascii="Times New Roman" w:hAnsi="Times New Roman" w:cs="Times New Roman"/>
          <w:sz w:val="20"/>
          <w:szCs w:val="20"/>
          <w:lang w:val="fr-FR"/>
        </w:rPr>
        <w:t>, p. 5</w:t>
      </w:r>
    </w:p>
  </w:footnote>
  <w:footnote w:id="169">
    <w:p w14:paraId="449203B8"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Etude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45</w:t>
      </w:r>
    </w:p>
  </w:footnote>
  <w:footnote w:id="170">
    <w:p w14:paraId="30A58C00"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Etude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84</w:t>
      </w:r>
    </w:p>
  </w:footnote>
  <w:footnote w:id="171">
    <w:p w14:paraId="59F8B3E4"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2015. </w:t>
      </w:r>
      <w:r w:rsidRPr="00B95753">
        <w:rPr>
          <w:rFonts w:ascii="Times New Roman" w:hAnsi="Times New Roman" w:cs="Times New Roman"/>
          <w:i/>
          <w:sz w:val="20"/>
          <w:szCs w:val="20"/>
        </w:rPr>
        <w:t>Policies, prices and poverty: the sugar, vegetable oil, and flour industries in Senegal</w:t>
      </w:r>
      <w:r w:rsidRPr="00B95753">
        <w:rPr>
          <w:rFonts w:ascii="Times New Roman" w:hAnsi="Times New Roman" w:cs="Times New Roman"/>
          <w:sz w:val="20"/>
          <w:szCs w:val="20"/>
        </w:rPr>
        <w:t>, p. 14</w:t>
      </w:r>
    </w:p>
  </w:footnote>
  <w:footnote w:id="172">
    <w:p w14:paraId="351A0E24"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2015. </w:t>
      </w:r>
      <w:r w:rsidRPr="00B95753">
        <w:rPr>
          <w:rFonts w:ascii="Times New Roman" w:hAnsi="Times New Roman" w:cs="Times New Roman"/>
          <w:i/>
          <w:sz w:val="20"/>
          <w:szCs w:val="20"/>
        </w:rPr>
        <w:t>Policies, prices and poverty: the sugar, vegetable oil, and flour industries in Senegal</w:t>
      </w:r>
      <w:r w:rsidRPr="00B95753">
        <w:rPr>
          <w:rFonts w:ascii="Times New Roman" w:hAnsi="Times New Roman" w:cs="Times New Roman"/>
          <w:sz w:val="20"/>
          <w:szCs w:val="20"/>
        </w:rPr>
        <w:t>, p. 12</w:t>
      </w:r>
    </w:p>
  </w:footnote>
  <w:footnote w:id="173">
    <w:p w14:paraId="439D4C86"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Mbaye</w:t>
      </w:r>
      <w:proofErr w:type="spellEnd"/>
      <w:r w:rsidRPr="00B95753">
        <w:rPr>
          <w:rFonts w:ascii="Times New Roman" w:hAnsi="Times New Roman" w:cs="Times New Roman"/>
          <w:sz w:val="20"/>
          <w:szCs w:val="20"/>
        </w:rPr>
        <w:t xml:space="preserve">, A. A., Golub, S., English, P. 2015. </w:t>
      </w:r>
      <w:r w:rsidRPr="00B95753">
        <w:rPr>
          <w:rFonts w:ascii="Times New Roman" w:hAnsi="Times New Roman" w:cs="Times New Roman"/>
          <w:i/>
          <w:sz w:val="20"/>
          <w:szCs w:val="20"/>
        </w:rPr>
        <w:t>Policies, Prices and Poverty: The Sugar, Vegetable Oil, and Flour Industries in Senegal</w:t>
      </w:r>
      <w:r w:rsidRPr="00B95753">
        <w:rPr>
          <w:rFonts w:ascii="Times New Roman" w:hAnsi="Times New Roman" w:cs="Times New Roman"/>
          <w:sz w:val="20"/>
          <w:szCs w:val="20"/>
        </w:rPr>
        <w:t>. World Bank Policy Research Working Paper 7286, p. 14</w:t>
      </w:r>
    </w:p>
  </w:footnote>
  <w:footnote w:id="174">
    <w:p w14:paraId="048D9B88" w14:textId="47D90FE9"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Based on </w:t>
      </w:r>
      <w:r>
        <w:rPr>
          <w:rFonts w:ascii="Times New Roman" w:hAnsi="Times New Roman" w:cs="Times New Roman"/>
          <w:sz w:val="20"/>
          <w:szCs w:val="20"/>
        </w:rPr>
        <w:t>c</w:t>
      </w:r>
      <w:r w:rsidRPr="00B95753">
        <w:rPr>
          <w:rFonts w:ascii="Times New Roman" w:hAnsi="Times New Roman" w:cs="Times New Roman"/>
          <w:sz w:val="20"/>
          <w:szCs w:val="20"/>
        </w:rPr>
        <w:t>ustoms data.</w:t>
      </w:r>
      <w:r>
        <w:rPr>
          <w:rFonts w:ascii="Times New Roman" w:hAnsi="Times New Roman" w:cs="Times New Roman"/>
          <w:sz w:val="20"/>
          <w:szCs w:val="20"/>
        </w:rPr>
        <w:t xml:space="preserve"> Here a tariff refers to a duty applied on the import of specific goods and services, while a tax is charged more broadly against a range of potential good/services. </w:t>
      </w:r>
    </w:p>
  </w:footnote>
  <w:footnote w:id="175">
    <w:p w14:paraId="479464A2"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 xml:space="preserve">Competitiveness and comparative advantage of the groundnut value chain in Senegal, </w:t>
      </w:r>
      <w:r w:rsidRPr="00B95753">
        <w:rPr>
          <w:rFonts w:ascii="Times New Roman" w:hAnsi="Times New Roman" w:cs="Times New Roman"/>
          <w:sz w:val="20"/>
          <w:szCs w:val="20"/>
        </w:rPr>
        <w:t>p. 14</w:t>
      </w:r>
    </w:p>
  </w:footnote>
  <w:footnote w:id="176">
    <w:p w14:paraId="22E5657B" w14:textId="6D442EDD"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ITFC. 2016. </w:t>
      </w:r>
      <w:r w:rsidRPr="00B95753">
        <w:rPr>
          <w:rFonts w:ascii="Times New Roman" w:hAnsi="Times New Roman" w:cs="Times New Roman"/>
          <w:i/>
          <w:sz w:val="20"/>
          <w:szCs w:val="20"/>
        </w:rPr>
        <w:t xml:space="preserve">USD 75 million </w:t>
      </w:r>
      <w:proofErr w:type="spellStart"/>
      <w:r w:rsidRPr="00B95753">
        <w:rPr>
          <w:rFonts w:ascii="Times New Roman" w:hAnsi="Times New Roman" w:cs="Times New Roman"/>
          <w:i/>
          <w:sz w:val="20"/>
          <w:szCs w:val="20"/>
        </w:rPr>
        <w:t>Murabaha</w:t>
      </w:r>
      <w:proofErr w:type="spellEnd"/>
      <w:r w:rsidRPr="00B95753">
        <w:rPr>
          <w:rFonts w:ascii="Times New Roman" w:hAnsi="Times New Roman" w:cs="Times New Roman"/>
          <w:i/>
          <w:sz w:val="20"/>
          <w:szCs w:val="20"/>
        </w:rPr>
        <w:t xml:space="preserve"> financing agreement between ITFC and the </w:t>
      </w:r>
      <w:r>
        <w:rPr>
          <w:rFonts w:ascii="Times New Roman" w:hAnsi="Times New Roman" w:cs="Times New Roman"/>
          <w:i/>
          <w:sz w:val="20"/>
          <w:szCs w:val="20"/>
        </w:rPr>
        <w:t xml:space="preserve">Government </w:t>
      </w:r>
      <w:r w:rsidRPr="00B95753">
        <w:rPr>
          <w:rFonts w:ascii="Times New Roman" w:hAnsi="Times New Roman" w:cs="Times New Roman"/>
          <w:i/>
          <w:sz w:val="20"/>
          <w:szCs w:val="20"/>
        </w:rPr>
        <w:t>of Senegal for 2016-2017 groundnut campaign</w:t>
      </w:r>
      <w:r w:rsidRPr="00B95753">
        <w:rPr>
          <w:rFonts w:ascii="Times New Roman" w:hAnsi="Times New Roman" w:cs="Times New Roman"/>
          <w:sz w:val="20"/>
          <w:szCs w:val="20"/>
        </w:rPr>
        <w:t>. Available at http://www.itfc-idb.org/en/content/usd-75-million-murabaha-financing-agreement-between-itfc-and-government-senegal-2016-2017</w:t>
      </w:r>
    </w:p>
  </w:footnote>
  <w:footnote w:id="177">
    <w:p w14:paraId="5572F63A"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Etude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33</w:t>
      </w:r>
    </w:p>
  </w:footnote>
  <w:footnote w:id="178">
    <w:p w14:paraId="365CE10B"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Sud Quotidien. 2016. </w:t>
      </w:r>
      <w:r w:rsidRPr="007575D7">
        <w:rPr>
          <w:rFonts w:ascii="Times New Roman" w:hAnsi="Times New Roman" w:cs="Times New Roman"/>
          <w:i/>
          <w:sz w:val="20"/>
          <w:szCs w:val="20"/>
          <w:lang w:val="fr-FR"/>
        </w:rPr>
        <w:t xml:space="preserve">Le </w:t>
      </w:r>
      <w:proofErr w:type="spellStart"/>
      <w:r w:rsidRPr="007575D7">
        <w:rPr>
          <w:rFonts w:ascii="Times New Roman" w:hAnsi="Times New Roman" w:cs="Times New Roman"/>
          <w:i/>
          <w:sz w:val="20"/>
          <w:szCs w:val="20"/>
          <w:lang w:val="fr-FR"/>
        </w:rPr>
        <w:t>Copega</w:t>
      </w:r>
      <w:proofErr w:type="spellEnd"/>
      <w:r w:rsidRPr="007575D7">
        <w:rPr>
          <w:rFonts w:ascii="Times New Roman" w:hAnsi="Times New Roman" w:cs="Times New Roman"/>
          <w:i/>
          <w:sz w:val="20"/>
          <w:szCs w:val="20"/>
          <w:lang w:val="fr-FR"/>
        </w:rPr>
        <w:t xml:space="preserve"> Menace de Fermer L’ensemble de ses Points de Collecte</w:t>
      </w:r>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Available at: http://www.sudonline.sn/le-copega-menace-de-fermer-l-ensemble-de-ses-points-de-collecte_a_32847.html</w:t>
      </w:r>
    </w:p>
  </w:footnote>
  <w:footnote w:id="179">
    <w:p w14:paraId="243231E6"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 Japan Times. 2013. </w:t>
      </w:r>
      <w:r w:rsidRPr="00B95753">
        <w:rPr>
          <w:rFonts w:ascii="Times New Roman" w:hAnsi="Times New Roman" w:cs="Times New Roman"/>
          <w:i/>
          <w:sz w:val="20"/>
          <w:szCs w:val="20"/>
        </w:rPr>
        <w:t>China makes peanuts new ‘gold’ in Senegal</w:t>
      </w:r>
      <w:r w:rsidRPr="00B95753">
        <w:rPr>
          <w:rFonts w:ascii="Times New Roman" w:hAnsi="Times New Roman" w:cs="Times New Roman"/>
          <w:sz w:val="20"/>
          <w:szCs w:val="20"/>
        </w:rPr>
        <w:t>. Available at: http://www.japantimes.co.jp/news/2013/03/26/business/china-makes-peanuts-new-gold-in-senegal/#.WWesHOjyuUl</w:t>
      </w:r>
    </w:p>
  </w:footnote>
  <w:footnote w:id="180">
    <w:p w14:paraId="34B1024C"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Authors</w:t>
      </w:r>
      <w:proofErr w:type="spellEnd"/>
      <w:r w:rsidRPr="007575D7">
        <w:rPr>
          <w:rFonts w:ascii="Times New Roman" w:hAnsi="Times New Roman" w:cs="Times New Roman"/>
          <w:sz w:val="20"/>
          <w:szCs w:val="20"/>
          <w:lang w:val="fr-FR"/>
        </w:rPr>
        <w:t xml:space="preserve">’ interviews, 2016/2017 </w:t>
      </w:r>
    </w:p>
  </w:footnote>
  <w:footnote w:id="181">
    <w:p w14:paraId="05B1EADD"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Etude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48</w:t>
      </w:r>
    </w:p>
  </w:footnote>
  <w:footnote w:id="182">
    <w:p w14:paraId="158BDE2E"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Using an average 2013/14 exchange rate of 496 F CFA/USD</w:t>
      </w:r>
    </w:p>
  </w:footnote>
  <w:footnote w:id="183">
    <w:p w14:paraId="31D73F89"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Using an average 2012/13 exchange rate of 500 F CFA/USD</w:t>
      </w:r>
    </w:p>
  </w:footnote>
  <w:footnote w:id="184">
    <w:p w14:paraId="29AD46C8"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Initiative Prospective Agricole et Rurale (IPAR). 2015. </w:t>
      </w:r>
      <w:r w:rsidRPr="007575D7">
        <w:rPr>
          <w:rFonts w:ascii="Times New Roman" w:hAnsi="Times New Roman" w:cs="Times New Roman"/>
          <w:i/>
          <w:sz w:val="20"/>
          <w:szCs w:val="20"/>
          <w:lang w:val="fr-FR"/>
        </w:rPr>
        <w:t xml:space="preserve">Subventions des intrants agricoles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controverses et réalités</w:t>
      </w:r>
      <w:r w:rsidRPr="007575D7">
        <w:rPr>
          <w:rFonts w:ascii="Times New Roman" w:hAnsi="Times New Roman" w:cs="Times New Roman"/>
          <w:sz w:val="20"/>
          <w:szCs w:val="20"/>
          <w:lang w:val="fr-FR"/>
        </w:rPr>
        <w:t>. Rapport annuel sur l’état de l’agriculture et du monde rural au Sénégal, p. 11</w:t>
      </w:r>
    </w:p>
  </w:footnote>
  <w:footnote w:id="185">
    <w:p w14:paraId="77814297" w14:textId="77777777" w:rsidR="00B42297" w:rsidRPr="007575D7" w:rsidRDefault="00B42297" w:rsidP="0037763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Loi n°2012-18 du 17 décembre </w:t>
      </w:r>
      <w:proofErr w:type="gramStart"/>
      <w:r w:rsidRPr="007575D7">
        <w:rPr>
          <w:rFonts w:ascii="Times New Roman" w:hAnsi="Times New Roman" w:cs="Times New Roman"/>
          <w:sz w:val="20"/>
          <w:szCs w:val="20"/>
          <w:lang w:val="fr-FR"/>
        </w:rPr>
        <w:t>2012:</w:t>
      </w:r>
      <w:proofErr w:type="gramEnd"/>
      <w:r w:rsidRPr="007575D7">
        <w:rPr>
          <w:rFonts w:ascii="Times New Roman" w:hAnsi="Times New Roman" w:cs="Times New Roman"/>
          <w:sz w:val="20"/>
          <w:szCs w:val="20"/>
          <w:lang w:val="fr-FR"/>
        </w:rPr>
        <w:t xml:space="preserve"> </w:t>
      </w:r>
      <w:r w:rsidRPr="007575D7">
        <w:rPr>
          <w:rFonts w:ascii="Times New Roman" w:hAnsi="Times New Roman" w:cs="Times New Roman"/>
          <w:i/>
          <w:sz w:val="20"/>
          <w:szCs w:val="20"/>
          <w:lang w:val="fr-FR"/>
        </w:rPr>
        <w:t>Loi de finances pour 2013</w:t>
      </w:r>
      <w:r w:rsidRPr="007575D7">
        <w:rPr>
          <w:rFonts w:ascii="Times New Roman" w:hAnsi="Times New Roman" w:cs="Times New Roman"/>
          <w:sz w:val="20"/>
          <w:szCs w:val="20"/>
          <w:lang w:val="fr-FR"/>
        </w:rPr>
        <w:t>.</w:t>
      </w:r>
    </w:p>
  </w:footnote>
  <w:footnote w:id="186">
    <w:p w14:paraId="34E49630" w14:textId="77777777" w:rsidR="00B42297" w:rsidRDefault="00B42297">
      <w:pPr>
        <w:pStyle w:val="FootnoteText"/>
      </w:pPr>
      <w:r>
        <w:rPr>
          <w:rStyle w:val="FootnoteReference"/>
        </w:rPr>
        <w:footnoteRef/>
      </w:r>
      <w:r>
        <w:t xml:space="preserve"> </w:t>
      </w:r>
      <w:r w:rsidRPr="005A26C7">
        <w:rPr>
          <w:rFonts w:ascii="Times New Roman" w:hAnsi="Times New Roman" w:cs="Times New Roman"/>
          <w:sz w:val="20"/>
          <w:szCs w:val="20"/>
        </w:rPr>
        <w:t xml:space="preserve">As discussed above, in some cases OPS and other formal collectors have been known to </w:t>
      </w:r>
      <w:r w:rsidRPr="00B95753">
        <w:rPr>
          <w:rFonts w:ascii="Times New Roman" w:hAnsi="Times New Roman" w:cs="Times New Roman"/>
          <w:sz w:val="20"/>
          <w:szCs w:val="20"/>
        </w:rPr>
        <w:t>p</w:t>
      </w:r>
      <w:r w:rsidRPr="005A26C7">
        <w:rPr>
          <w:rFonts w:ascii="Times New Roman" w:hAnsi="Times New Roman" w:cs="Times New Roman"/>
          <w:sz w:val="20"/>
          <w:szCs w:val="20"/>
        </w:rPr>
        <w:t xml:space="preserve">ay farmers below the set minimum rice – potentially due to a lack of other options for farmers or due to a reliance of some farmers on </w:t>
      </w:r>
      <w:r w:rsidRPr="000E0AAF">
        <w:rPr>
          <w:rFonts w:ascii="Times New Roman" w:hAnsi="Times New Roman" w:cs="Times New Roman"/>
          <w:sz w:val="20"/>
          <w:szCs w:val="20"/>
        </w:rPr>
        <w:t>OPS</w:t>
      </w:r>
      <w:r>
        <w:rPr>
          <w:rFonts w:ascii="Times New Roman" w:hAnsi="Times New Roman" w:cs="Times New Roman"/>
          <w:sz w:val="20"/>
          <w:szCs w:val="20"/>
        </w:rPr>
        <w:t xml:space="preserve"> for inputs and credit.</w:t>
      </w:r>
    </w:p>
  </w:footnote>
  <w:footnote w:id="187">
    <w:p w14:paraId="406288AD"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Agincentives</w:t>
      </w:r>
      <w:proofErr w:type="spellEnd"/>
      <w:r w:rsidRPr="00B95753">
        <w:rPr>
          <w:rFonts w:ascii="Times New Roman" w:hAnsi="Times New Roman" w:cs="Times New Roman"/>
          <w:sz w:val="20"/>
          <w:szCs w:val="20"/>
        </w:rPr>
        <w:t xml:space="preserve">. 2017. </w:t>
      </w:r>
      <w:r w:rsidRPr="00B95753">
        <w:rPr>
          <w:rFonts w:ascii="Times New Roman" w:hAnsi="Times New Roman" w:cs="Times New Roman"/>
          <w:i/>
          <w:sz w:val="20"/>
          <w:szCs w:val="20"/>
        </w:rPr>
        <w:t xml:space="preserve">Nominal Rate of Protection. </w:t>
      </w:r>
      <w:r w:rsidRPr="00B95753">
        <w:rPr>
          <w:rFonts w:ascii="Times New Roman" w:hAnsi="Times New Roman" w:cs="Times New Roman"/>
          <w:sz w:val="20"/>
          <w:szCs w:val="20"/>
        </w:rPr>
        <w:t>Available at http://www.ag-incentives.org/indicator/nominal-rate-protection</w:t>
      </w:r>
    </w:p>
  </w:footnote>
  <w:footnote w:id="188">
    <w:p w14:paraId="1F223B80"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Mbaye</w:t>
      </w:r>
      <w:proofErr w:type="spellEnd"/>
      <w:r w:rsidRPr="00B95753">
        <w:rPr>
          <w:rFonts w:ascii="Times New Roman" w:hAnsi="Times New Roman" w:cs="Times New Roman"/>
          <w:sz w:val="20"/>
          <w:szCs w:val="20"/>
        </w:rPr>
        <w:t xml:space="preserve">, A. A., Golub, S., English, P. 2015. </w:t>
      </w:r>
      <w:r w:rsidRPr="00B95753">
        <w:rPr>
          <w:rFonts w:ascii="Times New Roman" w:hAnsi="Times New Roman" w:cs="Times New Roman"/>
          <w:i/>
          <w:sz w:val="20"/>
          <w:szCs w:val="20"/>
        </w:rPr>
        <w:t>Policies, Prices and Poverty: The Sugar, Vegetable Oil, and Flour Industries in Senegal</w:t>
      </w:r>
      <w:r w:rsidRPr="00B95753">
        <w:rPr>
          <w:rFonts w:ascii="Times New Roman" w:hAnsi="Times New Roman" w:cs="Times New Roman"/>
          <w:sz w:val="20"/>
          <w:szCs w:val="20"/>
        </w:rPr>
        <w:t>. World Bank Policy Research Working Paper 7286, p. 22</w:t>
      </w:r>
    </w:p>
  </w:footnote>
  <w:footnote w:id="189">
    <w:p w14:paraId="7F51717E"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Mbaye</w:t>
      </w:r>
      <w:proofErr w:type="spellEnd"/>
      <w:r w:rsidRPr="00B95753">
        <w:rPr>
          <w:rFonts w:ascii="Times New Roman" w:hAnsi="Times New Roman" w:cs="Times New Roman"/>
          <w:sz w:val="20"/>
          <w:szCs w:val="20"/>
        </w:rPr>
        <w:t xml:space="preserve">, A. A., Golub, S., English, P. 2015. </w:t>
      </w:r>
      <w:r w:rsidRPr="00B95753">
        <w:rPr>
          <w:rFonts w:ascii="Times New Roman" w:hAnsi="Times New Roman" w:cs="Times New Roman"/>
          <w:i/>
          <w:sz w:val="20"/>
          <w:szCs w:val="20"/>
        </w:rPr>
        <w:t>Policies, Prices and Poverty: The Sugar, Vegetable Oil, and Flour Industries in Senegal</w:t>
      </w:r>
      <w:r w:rsidRPr="00B95753">
        <w:rPr>
          <w:rFonts w:ascii="Times New Roman" w:hAnsi="Times New Roman" w:cs="Times New Roman"/>
          <w:sz w:val="20"/>
          <w:szCs w:val="20"/>
        </w:rPr>
        <w:t>. World Bank Policy Research Working Paper 7286, p. 22</w:t>
      </w:r>
    </w:p>
  </w:footnote>
  <w:footnote w:id="190">
    <w:p w14:paraId="727BE05D"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2014. </w:t>
      </w:r>
      <w:r w:rsidRPr="00B95753">
        <w:rPr>
          <w:rFonts w:ascii="Times New Roman" w:hAnsi="Times New Roman" w:cs="Times New Roman"/>
          <w:i/>
          <w:sz w:val="20"/>
          <w:szCs w:val="20"/>
        </w:rPr>
        <w:t>Gabon Export Diversification and Competitiveness Report</w:t>
      </w:r>
      <w:r w:rsidRPr="00B95753">
        <w:rPr>
          <w:rFonts w:ascii="Times New Roman" w:hAnsi="Times New Roman" w:cs="Times New Roman"/>
          <w:sz w:val="20"/>
          <w:szCs w:val="20"/>
        </w:rPr>
        <w:t>. World Bank, Washington, D.C.</w:t>
      </w:r>
    </w:p>
  </w:footnote>
  <w:footnote w:id="191">
    <w:p w14:paraId="155B37B7"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Impact of the 2010 Log Export Ban on Forests, the Timber Industry and the Gabonese Economy</w:t>
      </w:r>
      <w:r w:rsidRPr="00B95753">
        <w:rPr>
          <w:rFonts w:ascii="Times New Roman" w:hAnsi="Times New Roman" w:cs="Times New Roman"/>
          <w:sz w:val="20"/>
          <w:szCs w:val="20"/>
        </w:rPr>
        <w:t>. World Bank, Washington, D.C.</w:t>
      </w:r>
    </w:p>
  </w:footnote>
  <w:footnote w:id="192">
    <w:p w14:paraId="6775188E" w14:textId="77777777" w:rsidR="00B42297" w:rsidRPr="00B95753" w:rsidRDefault="00B42297" w:rsidP="00377635">
      <w:pPr>
        <w:pStyle w:val="PlainText"/>
        <w:jc w:val="both"/>
        <w:rPr>
          <w:rFonts w:ascii="Times New Roman" w:hAnsi="Times New Roman" w:cs="Times New Roman"/>
          <w:szCs w:val="20"/>
        </w:rPr>
      </w:pPr>
      <w:r w:rsidRPr="00B95753">
        <w:rPr>
          <w:rStyle w:val="FootnoteReference"/>
          <w:rFonts w:ascii="Times New Roman" w:hAnsi="Times New Roman" w:cs="Times New Roman"/>
          <w:szCs w:val="20"/>
        </w:rPr>
        <w:footnoteRef/>
      </w:r>
      <w:r w:rsidRPr="00B95753">
        <w:rPr>
          <w:rFonts w:ascii="Times New Roman" w:hAnsi="Times New Roman" w:cs="Times New Roman"/>
          <w:szCs w:val="20"/>
        </w:rPr>
        <w:t xml:space="preserve"> The studies also found that that presence of natural resources is not enough to establish comparative advantage and that profitability depends on many macro and micro factors</w:t>
      </w:r>
      <w:r w:rsidRPr="00B95753">
        <w:rPr>
          <w:rFonts w:ascii="Times New Roman" w:hAnsi="Times New Roman" w:cs="Times New Roman"/>
          <w:b/>
          <w:szCs w:val="20"/>
        </w:rPr>
        <w:t>.</w:t>
      </w:r>
      <w:r w:rsidRPr="00B95753">
        <w:rPr>
          <w:rFonts w:ascii="Times New Roman" w:hAnsi="Times New Roman" w:cs="Times New Roman"/>
          <w:szCs w:val="20"/>
        </w:rPr>
        <w:t xml:space="preserve"> Logging and woodworking are different processes so vertical synergies at the firm level appear limited. Thus, diversification into downstream transformation activities essentially called for bringing in new players. A value chain analysis for wood processing in Gabon also revealed that the high costs of transporting logs to sawmills decreased competitiveness due to poor transport infrastructure. </w:t>
      </w:r>
      <w:r w:rsidRPr="00B95753">
        <w:rPr>
          <w:rFonts w:ascii="Times New Roman" w:eastAsiaTheme="minorHAnsi" w:hAnsi="Times New Roman" w:cs="Times New Roman"/>
          <w:szCs w:val="20"/>
        </w:rPr>
        <w:t xml:space="preserve">Gabon’s finished goods </w:t>
      </w:r>
      <w:r w:rsidRPr="00B95753">
        <w:rPr>
          <w:rFonts w:ascii="Times New Roman" w:hAnsi="Times New Roman" w:cs="Times New Roman"/>
          <w:szCs w:val="20"/>
        </w:rPr>
        <w:t>were also</w:t>
      </w:r>
      <w:r w:rsidRPr="00B95753">
        <w:rPr>
          <w:rFonts w:ascii="Times New Roman" w:eastAsiaTheme="minorHAnsi" w:hAnsi="Times New Roman" w:cs="Times New Roman"/>
          <w:szCs w:val="20"/>
        </w:rPr>
        <w:t xml:space="preserve"> not priced competitively due to high labor costs combined with low labor productivity, low level of craftsmanship, and lack of t</w:t>
      </w:r>
      <w:r w:rsidRPr="00B95753">
        <w:rPr>
          <w:rFonts w:ascii="Times New Roman" w:hAnsi="Times New Roman" w:cs="Times New Roman"/>
          <w:szCs w:val="20"/>
        </w:rPr>
        <w:t>echnical know-how. Since Gabon wa</w:t>
      </w:r>
      <w:r w:rsidRPr="00B95753">
        <w:rPr>
          <w:rFonts w:ascii="Times New Roman" w:eastAsiaTheme="minorHAnsi" w:hAnsi="Times New Roman" w:cs="Times New Roman"/>
          <w:szCs w:val="20"/>
        </w:rPr>
        <w:t xml:space="preserve">s a rather high-cost location for manufacturing, changing it into an attractive location for timber transformation </w:t>
      </w:r>
      <w:r w:rsidRPr="00B95753">
        <w:rPr>
          <w:rFonts w:ascii="Times New Roman" w:hAnsi="Times New Roman" w:cs="Times New Roman"/>
          <w:szCs w:val="20"/>
        </w:rPr>
        <w:t>required</w:t>
      </w:r>
      <w:r w:rsidRPr="00B95753">
        <w:rPr>
          <w:rFonts w:ascii="Times New Roman" w:eastAsiaTheme="minorHAnsi" w:hAnsi="Times New Roman" w:cs="Times New Roman"/>
          <w:szCs w:val="20"/>
        </w:rPr>
        <w:t xml:space="preserve"> </w:t>
      </w:r>
      <w:proofErr w:type="gramStart"/>
      <w:r w:rsidRPr="00B95753">
        <w:rPr>
          <w:rFonts w:ascii="Times New Roman" w:hAnsi="Times New Roman" w:cs="Times New Roman"/>
          <w:szCs w:val="20"/>
        </w:rPr>
        <w:t>a number of</w:t>
      </w:r>
      <w:proofErr w:type="gramEnd"/>
      <w:r w:rsidRPr="00B95753">
        <w:rPr>
          <w:rFonts w:ascii="Times New Roman" w:eastAsiaTheme="minorHAnsi" w:hAnsi="Times New Roman" w:cs="Times New Roman"/>
          <w:szCs w:val="20"/>
        </w:rPr>
        <w:t xml:space="preserve"> policies</w:t>
      </w:r>
      <w:r w:rsidRPr="00B95753">
        <w:rPr>
          <w:rFonts w:ascii="Times New Roman" w:hAnsi="Times New Roman" w:cs="Times New Roman"/>
          <w:szCs w:val="20"/>
        </w:rPr>
        <w:t xml:space="preserve"> to be put in place</w:t>
      </w:r>
      <w:r w:rsidRPr="00B95753">
        <w:rPr>
          <w:rFonts w:ascii="Times New Roman" w:eastAsiaTheme="minorHAnsi" w:hAnsi="Times New Roman" w:cs="Times New Roman"/>
          <w:szCs w:val="20"/>
        </w:rPr>
        <w:t xml:space="preserve"> to improve the business environment.</w:t>
      </w:r>
    </w:p>
    <w:p w14:paraId="123BFED1" w14:textId="77777777" w:rsidR="00B42297" w:rsidRPr="00B95753" w:rsidRDefault="00B42297" w:rsidP="00377635">
      <w:pPr>
        <w:pStyle w:val="FootnoteText"/>
        <w:rPr>
          <w:rFonts w:ascii="Times New Roman" w:hAnsi="Times New Roman" w:cs="Times New Roman"/>
          <w:sz w:val="20"/>
          <w:szCs w:val="20"/>
        </w:rPr>
      </w:pPr>
    </w:p>
  </w:footnote>
  <w:footnote w:id="193">
    <w:p w14:paraId="22AB5BBD" w14:textId="77777777" w:rsidR="00B42297" w:rsidRDefault="00B42297">
      <w:pPr>
        <w:pStyle w:val="FootnoteText"/>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w:t>
      </w:r>
      <w:r w:rsidRPr="00FF6A22">
        <w:rPr>
          <w:rFonts w:ascii="Times New Roman" w:hAnsi="Times New Roman" w:cs="Times New Roman"/>
          <w:sz w:val="20"/>
          <w:szCs w:val="20"/>
        </w:rPr>
        <w:t>In</w:t>
      </w:r>
      <w:r>
        <w:rPr>
          <w:rFonts w:ascii="Times New Roman" w:hAnsi="Times New Roman" w:cs="Times New Roman"/>
          <w:sz w:val="20"/>
        </w:rPr>
        <w:t xml:space="preserve"> addition to the recommendations listed below, consider maintaining the removal of the</w:t>
      </w:r>
      <w:r w:rsidRPr="00C91EA2">
        <w:rPr>
          <w:rFonts w:ascii="Times New Roman" w:hAnsi="Times New Roman" w:cs="Times New Roman"/>
          <w:sz w:val="20"/>
        </w:rPr>
        <w:t xml:space="preserve"> purchasing subsidy</w:t>
      </w:r>
      <w:r>
        <w:rPr>
          <w:rFonts w:ascii="Times New Roman" w:hAnsi="Times New Roman" w:cs="Times New Roman"/>
          <w:sz w:val="20"/>
        </w:rPr>
        <w:t xml:space="preserve"> for oil processors</w:t>
      </w:r>
      <w:r w:rsidRPr="00C91EA2">
        <w:rPr>
          <w:rFonts w:ascii="Times New Roman" w:hAnsi="Times New Roman" w:cs="Times New Roman"/>
          <w:sz w:val="20"/>
        </w:rPr>
        <w:t xml:space="preserve"> (in line with </w:t>
      </w:r>
      <w:r>
        <w:rPr>
          <w:rFonts w:ascii="Times New Roman" w:hAnsi="Times New Roman" w:cs="Times New Roman"/>
          <w:sz w:val="20"/>
        </w:rPr>
        <w:t>the previous</w:t>
      </w:r>
      <w:r w:rsidRPr="00C91EA2">
        <w:rPr>
          <w:rFonts w:ascii="Times New Roman" w:hAnsi="Times New Roman" w:cs="Times New Roman"/>
          <w:sz w:val="20"/>
        </w:rPr>
        <w:t xml:space="preserve"> policy)</w:t>
      </w:r>
      <w:r>
        <w:rPr>
          <w:rFonts w:ascii="Times New Roman" w:hAnsi="Times New Roman" w:cs="Times New Roman"/>
          <w:sz w:val="20"/>
        </w:rPr>
        <w:t>.</w:t>
      </w:r>
    </w:p>
  </w:footnote>
  <w:footnote w:id="194">
    <w:p w14:paraId="22EB23E6" w14:textId="77777777" w:rsidR="00B42297" w:rsidRPr="00B95753" w:rsidRDefault="00B42297" w:rsidP="0037763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 detailed break-down of calculations and assumptions can be found in Annex 5</w:t>
      </w:r>
      <w:r>
        <w:rPr>
          <w:rFonts w:ascii="Times New Roman" w:hAnsi="Times New Roman" w:cs="Times New Roman"/>
          <w:sz w:val="20"/>
          <w:szCs w:val="20"/>
        </w:rPr>
        <w:t>.</w:t>
      </w:r>
    </w:p>
  </w:footnote>
  <w:footnote w:id="195">
    <w:p w14:paraId="31CCF7E9" w14:textId="77777777" w:rsidR="00B42297" w:rsidRPr="007575D7" w:rsidRDefault="00B42297" w:rsidP="00D42D6A">
      <w:pPr>
        <w:pStyle w:val="FootnoteText"/>
        <w:rPr>
          <w:rFonts w:ascii="Times New Roman" w:hAnsi="Times New Roman" w:cs="Times New Roman"/>
          <w:sz w:val="20"/>
          <w:szCs w:val="20"/>
          <w:lang w:val="fr-FR"/>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4,977 bit/second in Senegal versus 51,000 bit/second in Africa. </w:t>
      </w:r>
      <w:proofErr w:type="gramStart"/>
      <w:r w:rsidRPr="007575D7">
        <w:rPr>
          <w:rFonts w:ascii="Times New Roman" w:hAnsi="Times New Roman" w:cs="Times New Roman"/>
          <w:sz w:val="20"/>
          <w:szCs w:val="20"/>
          <w:lang w:val="fr-FR"/>
        </w:rPr>
        <w:t>Source:</w:t>
      </w:r>
      <w:proofErr w:type="gramEnd"/>
      <w:r w:rsidRPr="007575D7">
        <w:rPr>
          <w:rFonts w:ascii="Times New Roman" w:hAnsi="Times New Roman" w:cs="Times New Roman"/>
          <w:sz w:val="20"/>
          <w:szCs w:val="20"/>
          <w:lang w:val="fr-FR"/>
        </w:rPr>
        <w:t xml:space="preserve"> ITU (2017).</w:t>
      </w:r>
    </w:p>
  </w:footnote>
  <w:footnote w:id="196">
    <w:p w14:paraId="1F4F78D1" w14:textId="77777777" w:rsidR="00B42297" w:rsidRPr="007575D7" w:rsidRDefault="00B42297" w:rsidP="00E00B1C">
      <w:pPr>
        <w:pStyle w:val="FootnoteText"/>
        <w:jc w:val="both"/>
        <w:rPr>
          <w:rFonts w:ascii="Times New Roman" w:hAnsi="Times New Roman" w:cs="Times New Roman"/>
          <w:sz w:val="20"/>
          <w:szCs w:val="20"/>
          <w:lang w:val="fr-FR"/>
        </w:rPr>
      </w:pPr>
      <w:r w:rsidRPr="00914EC0">
        <w:rPr>
          <w:rStyle w:val="FootnoteReference"/>
          <w:rFonts w:ascii="Times New Roman" w:hAnsi="Times New Roman" w:cs="Times New Roman"/>
          <w:sz w:val="20"/>
          <w:szCs w:val="20"/>
        </w:rPr>
        <w:footnoteRef/>
      </w:r>
      <w:r w:rsidRPr="00914EC0">
        <w:rPr>
          <w:rFonts w:ascii="Times New Roman" w:hAnsi="Times New Roman" w:cs="Times New Roman"/>
          <w:sz w:val="20"/>
          <w:szCs w:val="20"/>
          <w:lang w:val="fr-FR"/>
        </w:rPr>
        <w:t xml:space="preserve"> Ministère des Postes et des Télécommunications. </w:t>
      </w:r>
      <w:r w:rsidRPr="007575D7">
        <w:rPr>
          <w:rFonts w:ascii="Times New Roman" w:hAnsi="Times New Roman" w:cs="Times New Roman"/>
          <w:sz w:val="20"/>
          <w:szCs w:val="20"/>
          <w:lang w:val="fr-FR"/>
        </w:rPr>
        <w:t>2016.</w:t>
      </w:r>
      <w:r w:rsidRPr="007575D7">
        <w:rPr>
          <w:rFonts w:ascii="Times New Roman" w:hAnsi="Times New Roman" w:cs="Times New Roman"/>
          <w:i/>
          <w:sz w:val="20"/>
          <w:szCs w:val="20"/>
          <w:lang w:val="fr-FR"/>
        </w:rPr>
        <w:t xml:space="preserve"> Stratégie Sénégal Numérique 2016-2025</w:t>
      </w:r>
    </w:p>
  </w:footnote>
  <w:footnote w:id="197">
    <w:p w14:paraId="46DAB53B" w14:textId="77777777" w:rsidR="00B42297" w:rsidRPr="00914EC0" w:rsidRDefault="00B42297" w:rsidP="00783C22">
      <w:pPr>
        <w:pStyle w:val="FootnoteText"/>
        <w:jc w:val="both"/>
        <w:rPr>
          <w:rFonts w:ascii="Times New Roman" w:hAnsi="Times New Roman" w:cs="Times New Roman"/>
          <w:sz w:val="20"/>
          <w:szCs w:val="20"/>
        </w:rPr>
      </w:pPr>
      <w:r w:rsidRPr="00914EC0">
        <w:rPr>
          <w:rStyle w:val="FootnoteReference"/>
          <w:rFonts w:ascii="Times New Roman" w:hAnsi="Times New Roman" w:cs="Times New Roman"/>
          <w:sz w:val="20"/>
          <w:szCs w:val="20"/>
        </w:rPr>
        <w:footnoteRef/>
      </w:r>
      <w:r w:rsidRPr="00914EC0">
        <w:rPr>
          <w:rFonts w:ascii="Times New Roman" w:hAnsi="Times New Roman" w:cs="Times New Roman"/>
          <w:sz w:val="20"/>
          <w:szCs w:val="20"/>
        </w:rPr>
        <w:t xml:space="preserve"> The ITU’s ICT Development Index (IDI) is a composite index that combines 11 indicators into one benchmark measure which can be used to monitor and compare developments in ICT between countries and over time. The three sub-indices are “ICT access”, “ICT use” and “ICT skills”.</w:t>
      </w:r>
    </w:p>
  </w:footnote>
  <w:footnote w:id="198">
    <w:p w14:paraId="4F6760F7" w14:textId="398E48EB" w:rsidR="00B42297" w:rsidRPr="007575D7" w:rsidRDefault="00B42297" w:rsidP="00D42D6A">
      <w:pPr>
        <w:pStyle w:val="FootnoteText"/>
        <w:rPr>
          <w:rFonts w:ascii="Times New Roman" w:hAnsi="Times New Roman" w:cs="Times New Roman"/>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Network </w:t>
      </w:r>
      <w:r w:rsidRPr="00D869E4">
        <w:rPr>
          <w:rFonts w:ascii="Times New Roman" w:hAnsi="Times New Roman" w:cs="Times New Roman"/>
          <w:sz w:val="20"/>
          <w:szCs w:val="20"/>
        </w:rPr>
        <w:t>Readiness Index figures for 201</w:t>
      </w:r>
      <w:r>
        <w:rPr>
          <w:rFonts w:ascii="Times New Roman" w:hAnsi="Times New Roman" w:cs="Times New Roman"/>
          <w:sz w:val="20"/>
          <w:szCs w:val="20"/>
        </w:rPr>
        <w:t>6</w:t>
      </w:r>
      <w:r w:rsidRPr="007575D7">
        <w:rPr>
          <w:rFonts w:ascii="Times New Roman" w:hAnsi="Times New Roman" w:cs="Times New Roman"/>
          <w:sz w:val="20"/>
          <w:szCs w:val="20"/>
        </w:rPr>
        <w:t>.</w:t>
      </w:r>
    </w:p>
  </w:footnote>
  <w:footnote w:id="199">
    <w:p w14:paraId="4BFFB6FA" w14:textId="00067503" w:rsidR="00B42297" w:rsidRPr="00F3546A" w:rsidRDefault="00B42297" w:rsidP="00D42D6A">
      <w:pPr>
        <w:pStyle w:val="FootnoteText"/>
        <w:rPr>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Network </w:t>
      </w:r>
      <w:r w:rsidRPr="00D869E4">
        <w:rPr>
          <w:rFonts w:ascii="Times New Roman" w:hAnsi="Times New Roman" w:cs="Times New Roman"/>
          <w:sz w:val="20"/>
          <w:szCs w:val="20"/>
        </w:rPr>
        <w:t>Readiness Index figures for 201</w:t>
      </w:r>
      <w:r>
        <w:rPr>
          <w:rFonts w:ascii="Times New Roman" w:hAnsi="Times New Roman" w:cs="Times New Roman"/>
          <w:sz w:val="20"/>
          <w:szCs w:val="20"/>
        </w:rPr>
        <w:t>6</w:t>
      </w:r>
      <w:r w:rsidRPr="007575D7">
        <w:rPr>
          <w:rFonts w:ascii="Times New Roman" w:hAnsi="Times New Roman" w:cs="Times New Roman"/>
          <w:sz w:val="20"/>
          <w:szCs w:val="20"/>
        </w:rPr>
        <w:t>.</w:t>
      </w:r>
    </w:p>
  </w:footnote>
  <w:footnote w:id="200">
    <w:p w14:paraId="2C1B6718" w14:textId="77777777" w:rsidR="00B42297" w:rsidRPr="00FC176F" w:rsidRDefault="00B42297" w:rsidP="003618B7">
      <w:pPr>
        <w:pStyle w:val="FootnoteText"/>
        <w:rPr>
          <w:rFonts w:ascii="Times New Roman" w:hAnsi="Times New Roman" w:cs="Times New Roman"/>
          <w:sz w:val="20"/>
          <w:szCs w:val="20"/>
        </w:rPr>
      </w:pPr>
      <w:r w:rsidRPr="00FC176F">
        <w:rPr>
          <w:rStyle w:val="FootnoteReference"/>
          <w:rFonts w:ascii="Times New Roman" w:hAnsi="Times New Roman" w:cs="Times New Roman"/>
          <w:sz w:val="20"/>
          <w:szCs w:val="20"/>
        </w:rPr>
        <w:footnoteRef/>
      </w:r>
      <w:r w:rsidRPr="00FC176F">
        <w:rPr>
          <w:rFonts w:ascii="Times New Roman" w:hAnsi="Times New Roman" w:cs="Times New Roman"/>
          <w:sz w:val="20"/>
          <w:szCs w:val="20"/>
        </w:rPr>
        <w:t xml:space="preserve"> ITU </w:t>
      </w:r>
      <w:r w:rsidRPr="00FC176F">
        <w:rPr>
          <w:rFonts w:ascii="Times New Roman" w:hAnsi="Times New Roman" w:cs="Times New Roman"/>
          <w:i/>
          <w:sz w:val="20"/>
          <w:szCs w:val="20"/>
        </w:rPr>
        <w:t>Measuring the Information Society Report</w:t>
      </w:r>
      <w:r w:rsidRPr="00FC176F">
        <w:rPr>
          <w:rFonts w:ascii="Times New Roman" w:hAnsi="Times New Roman" w:cs="Times New Roman"/>
          <w:sz w:val="20"/>
          <w:szCs w:val="20"/>
        </w:rPr>
        <w:t>, 201</w:t>
      </w:r>
      <w:r>
        <w:rPr>
          <w:rFonts w:ascii="Times New Roman" w:hAnsi="Times New Roman" w:cs="Times New Roman"/>
          <w:sz w:val="20"/>
          <w:szCs w:val="20"/>
        </w:rPr>
        <w:t>7</w:t>
      </w:r>
      <w:r w:rsidRPr="00FC176F">
        <w:rPr>
          <w:rFonts w:ascii="Times New Roman" w:hAnsi="Times New Roman" w:cs="Times New Roman"/>
          <w:sz w:val="20"/>
          <w:szCs w:val="20"/>
        </w:rPr>
        <w:t>.</w:t>
      </w:r>
    </w:p>
  </w:footnote>
  <w:footnote w:id="201">
    <w:p w14:paraId="324EC821" w14:textId="77777777" w:rsidR="00B42297" w:rsidRDefault="00B42297" w:rsidP="003618B7">
      <w:pPr>
        <w:pStyle w:val="FootnoteText"/>
        <w:jc w:val="both"/>
      </w:pPr>
      <w:r w:rsidRPr="00FC176F">
        <w:rPr>
          <w:rStyle w:val="FootnoteReference"/>
          <w:rFonts w:ascii="Times New Roman" w:hAnsi="Times New Roman" w:cs="Times New Roman"/>
          <w:sz w:val="20"/>
          <w:szCs w:val="20"/>
        </w:rPr>
        <w:footnoteRef/>
      </w:r>
      <w:r w:rsidRPr="00FC176F">
        <w:rPr>
          <w:rFonts w:ascii="Times New Roman" w:hAnsi="Times New Roman" w:cs="Times New Roman"/>
          <w:sz w:val="20"/>
          <w:szCs w:val="20"/>
        </w:rPr>
        <w:t xml:space="preserve"> </w:t>
      </w:r>
      <w:hyperlink r:id="rId16" w:history="1">
        <w:r w:rsidRPr="00A713CF">
          <w:rPr>
            <w:rStyle w:val="Hyperlink"/>
            <w:rFonts w:ascii="Times New Roman" w:hAnsi="Times New Roman" w:cs="Times New Roman"/>
            <w:sz w:val="20"/>
            <w:szCs w:val="20"/>
          </w:rPr>
          <w:t>http://www.researchictafrica.net</w:t>
        </w:r>
      </w:hyperlink>
      <w:r w:rsidRPr="00CC6A74">
        <w:rPr>
          <w:rFonts w:ascii="Times New Roman" w:hAnsi="Times New Roman" w:cs="Times New Roman"/>
          <w:sz w:val="20"/>
          <w:szCs w:val="20"/>
        </w:rPr>
        <w:t>.</w:t>
      </w:r>
      <w:r>
        <w:rPr>
          <w:rFonts w:ascii="Times New Roman" w:hAnsi="Times New Roman" w:cs="Times New Roman"/>
          <w:sz w:val="20"/>
          <w:szCs w:val="20"/>
        </w:rPr>
        <w:t xml:space="preserve"> Senegal ranks </w:t>
      </w:r>
      <w:r w:rsidRPr="00D04200">
        <w:rPr>
          <w:rFonts w:ascii="Times New Roman" w:hAnsi="Times New Roman" w:cs="Times New Roman"/>
          <w:sz w:val="20"/>
          <w:szCs w:val="20"/>
        </w:rPr>
        <w:t>10 out of 29 in the price for prepaid 1GB in Africa.</w:t>
      </w:r>
      <w:r w:rsidRPr="00FC176F">
        <w:rPr>
          <w:rFonts w:ascii="Times New Roman" w:hAnsi="Times New Roman" w:cs="Times New Roman"/>
          <w:sz w:val="20"/>
          <w:szCs w:val="20"/>
        </w:rPr>
        <w:t xml:space="preserve"> The comparator countries include: Mozambique, Tanzania, Ghana, Egypt, Nigeria, Guinea, Uganda, Rwanda, Tunisia</w:t>
      </w:r>
      <w:r w:rsidRPr="00110A1D">
        <w:rPr>
          <w:rFonts w:ascii="Times New Roman" w:hAnsi="Times New Roman" w:cs="Times New Roman"/>
          <w:sz w:val="20"/>
          <w:szCs w:val="20"/>
        </w:rPr>
        <w:t>, Cape Verde, Liberia, Kenya, Niger, Morocco, Burundi, Sudan, Namibia, Gambia, Mauritius, Malawi, Cameroon, South Africa, Lesotho, Madagascar, Ethiopia, Côte d’Ivoire, Senegal, Benin and Burkina Faso.</w:t>
      </w:r>
    </w:p>
  </w:footnote>
  <w:footnote w:id="202">
    <w:p w14:paraId="13606D9C" w14:textId="77777777" w:rsidR="00B42297" w:rsidRPr="00B95753" w:rsidRDefault="00B42297" w:rsidP="003618B7">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 OECD mobile baskets examine the price of making a set basket of calls over the period of one year. The mobile call baskets include a pre-determined number of calls, SMS </w:t>
      </w:r>
      <w:r>
        <w:rPr>
          <w:rFonts w:ascii="Times New Roman" w:hAnsi="Times New Roman" w:cs="Times New Roman"/>
          <w:sz w:val="20"/>
          <w:szCs w:val="20"/>
        </w:rPr>
        <w:t xml:space="preserve">messages </w:t>
      </w:r>
      <w:r w:rsidRPr="00B95753">
        <w:rPr>
          <w:rFonts w:ascii="Times New Roman" w:hAnsi="Times New Roman" w:cs="Times New Roman"/>
          <w:sz w:val="20"/>
          <w:szCs w:val="20"/>
        </w:rPr>
        <w:t>and MMS messages each year. The ratio of on-network and off-network calls is determined through discussions with operators. Operators also provide the OECD with data on SMS and MMS patterns.</w:t>
      </w:r>
      <w:r>
        <w:rPr>
          <w:rFonts w:ascii="Times New Roman" w:hAnsi="Times New Roman" w:cs="Times New Roman"/>
          <w:sz w:val="20"/>
          <w:szCs w:val="20"/>
        </w:rPr>
        <w:t xml:space="preserve"> See also Annex 6 for the list of countries.</w:t>
      </w:r>
    </w:p>
  </w:footnote>
  <w:footnote w:id="203">
    <w:p w14:paraId="4BFEF80A"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7575D7">
        <w:rPr>
          <w:rFonts w:ascii="Times New Roman" w:hAnsi="Times New Roman" w:cs="Times New Roman"/>
          <w:sz w:val="20"/>
          <w:szCs w:val="20"/>
        </w:rPr>
        <w:t>Based on the HHI, the concentration levels are classified as follows: 1) Unconcentrated Markets: HHI below 1,500, 2) Moderately Concentrated Markets: HHI between 1,500 and 2,500, 3) Highly Concentrated Markets: HHI above 2,500 (Horizontal Merger Guidelines 2010; U.S. Department of Justice and Federal Trade Commission).</w:t>
      </w:r>
    </w:p>
  </w:footnote>
  <w:footnote w:id="204">
    <w:p w14:paraId="0412BB42" w14:textId="77777777" w:rsidR="00B42297" w:rsidRPr="00C538DB" w:rsidRDefault="00B42297">
      <w:pPr>
        <w:pStyle w:val="FootnoteText"/>
        <w:rPr>
          <w:rFonts w:ascii="Times New Roman" w:hAnsi="Times New Roman" w:cs="Times New Roman"/>
          <w:sz w:val="20"/>
          <w:szCs w:val="20"/>
        </w:rPr>
      </w:pPr>
      <w:r w:rsidRPr="00C538DB">
        <w:rPr>
          <w:rStyle w:val="FootnoteReference"/>
          <w:rFonts w:ascii="Times New Roman" w:hAnsi="Times New Roman" w:cs="Times New Roman"/>
          <w:sz w:val="20"/>
          <w:szCs w:val="20"/>
        </w:rPr>
        <w:footnoteRef/>
      </w:r>
      <w:r w:rsidRPr="00C538DB">
        <w:rPr>
          <w:rFonts w:ascii="Times New Roman" w:hAnsi="Times New Roman" w:cs="Times New Roman"/>
          <w:sz w:val="20"/>
          <w:szCs w:val="20"/>
        </w:rPr>
        <w:t xml:space="preserve"> World Bank Group and African Competition Forum, </w:t>
      </w:r>
      <w:r w:rsidRPr="00C538DB">
        <w:rPr>
          <w:rFonts w:ascii="Times New Roman" w:hAnsi="Times New Roman" w:cs="Times New Roman"/>
          <w:i/>
          <w:sz w:val="20"/>
          <w:szCs w:val="20"/>
        </w:rPr>
        <w:t xml:space="preserve">Breaking Down Barriers: Unlocking Africa’s Potential through Vigorous Competition Policy, </w:t>
      </w:r>
      <w:r w:rsidRPr="00C538DB">
        <w:rPr>
          <w:rFonts w:ascii="Times New Roman" w:hAnsi="Times New Roman" w:cs="Times New Roman"/>
          <w:sz w:val="20"/>
          <w:szCs w:val="20"/>
        </w:rPr>
        <w:t>June 2016, p. xiv.</w:t>
      </w:r>
    </w:p>
  </w:footnote>
  <w:footnote w:id="205">
    <w:p w14:paraId="5DA68447" w14:textId="77777777" w:rsidR="00B42297" w:rsidRPr="00B95753" w:rsidRDefault="00B42297" w:rsidP="00774ABE">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Replaced Law 96-03 from 1996 which determined that the exploitation of networks and services should be attributed to independent operators, namely through concessions and authorizations.</w:t>
      </w:r>
    </w:p>
  </w:footnote>
  <w:footnote w:id="206">
    <w:p w14:paraId="582D8590" w14:textId="77777777" w:rsidR="00B42297" w:rsidRDefault="00B42297">
      <w:pPr>
        <w:pStyle w:val="FootnoteText"/>
      </w:pPr>
      <w:r w:rsidRPr="00C538DB">
        <w:rPr>
          <w:rStyle w:val="FootnoteReference"/>
          <w:rFonts w:ascii="Times New Roman" w:hAnsi="Times New Roman" w:cs="Times New Roman"/>
          <w:sz w:val="20"/>
          <w:szCs w:val="20"/>
        </w:rPr>
        <w:footnoteRef/>
      </w:r>
      <w:r>
        <w:t xml:space="preserve"> </w:t>
      </w:r>
      <w:r w:rsidRPr="0035057F">
        <w:rPr>
          <w:rFonts w:ascii="Times New Roman" w:hAnsi="Times New Roman" w:cs="Times New Roman"/>
          <w:sz w:val="20"/>
          <w:szCs w:val="20"/>
        </w:rPr>
        <w:t>Telecommunications Code, Article 44.</w:t>
      </w:r>
    </w:p>
  </w:footnote>
  <w:footnote w:id="207">
    <w:p w14:paraId="6569C31F" w14:textId="77777777" w:rsidR="00B42297" w:rsidRPr="00B95753" w:rsidRDefault="00B42297" w:rsidP="00774ABE">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Mobile World Live. 2009. </w:t>
      </w:r>
      <w:r w:rsidRPr="00B95753">
        <w:rPr>
          <w:rFonts w:ascii="Times New Roman" w:hAnsi="Times New Roman" w:cs="Times New Roman"/>
          <w:i/>
          <w:sz w:val="20"/>
          <w:szCs w:val="20"/>
        </w:rPr>
        <w:t xml:space="preserve">France Telecom takes charge of Senegal’s </w:t>
      </w:r>
      <w:proofErr w:type="spellStart"/>
      <w:r w:rsidRPr="00B95753">
        <w:rPr>
          <w:rFonts w:ascii="Times New Roman" w:hAnsi="Times New Roman" w:cs="Times New Roman"/>
          <w:i/>
          <w:sz w:val="20"/>
          <w:szCs w:val="20"/>
        </w:rPr>
        <w:t>Sonatel</w:t>
      </w:r>
      <w:proofErr w:type="spellEnd"/>
      <w:r w:rsidRPr="00B95753">
        <w:rPr>
          <w:rFonts w:ascii="Times New Roman" w:hAnsi="Times New Roman" w:cs="Times New Roman"/>
          <w:i/>
          <w:sz w:val="20"/>
          <w:szCs w:val="20"/>
        </w:rPr>
        <w:t>.</w:t>
      </w:r>
      <w:r w:rsidRPr="00B95753">
        <w:rPr>
          <w:rFonts w:ascii="Times New Roman" w:hAnsi="Times New Roman" w:cs="Times New Roman"/>
          <w:sz w:val="20"/>
          <w:szCs w:val="20"/>
        </w:rPr>
        <w:t xml:space="preserve"> Available at https://www.mobileworldlive.com/france-telecom-takes-charge-of-senegal-s-sonatel/</w:t>
      </w:r>
    </w:p>
  </w:footnote>
  <w:footnote w:id="208">
    <w:p w14:paraId="256F65FD" w14:textId="77777777" w:rsidR="00B42297" w:rsidRPr="00693AF8" w:rsidRDefault="00B42297" w:rsidP="00774ABE">
      <w:pPr>
        <w:pStyle w:val="FootnoteText"/>
        <w:rPr>
          <w:rFonts w:ascii="Times New Roman" w:hAnsi="Times New Roman" w:cs="Times New Roman"/>
          <w:sz w:val="20"/>
          <w:szCs w:val="20"/>
          <w:lang w:val="de-DE"/>
        </w:rPr>
      </w:pPr>
      <w:r w:rsidRPr="00B95753">
        <w:rPr>
          <w:rStyle w:val="FootnoteReference"/>
          <w:rFonts w:ascii="Times New Roman" w:hAnsi="Times New Roman" w:cs="Times New Roman"/>
          <w:sz w:val="20"/>
          <w:szCs w:val="20"/>
        </w:rPr>
        <w:footnoteRef/>
      </w:r>
      <w:r w:rsidRPr="00693AF8">
        <w:rPr>
          <w:rFonts w:ascii="Times New Roman" w:hAnsi="Times New Roman" w:cs="Times New Roman"/>
          <w:sz w:val="20"/>
          <w:szCs w:val="20"/>
          <w:lang w:val="de-DE"/>
        </w:rPr>
        <w:t xml:space="preserve"> </w:t>
      </w:r>
      <w:r w:rsidRPr="00693AF8">
        <w:rPr>
          <w:rFonts w:ascii="Times New Roman" w:hAnsi="Times New Roman" w:cs="Times New Roman"/>
          <w:sz w:val="20"/>
          <w:szCs w:val="20"/>
          <w:lang w:val="de-DE"/>
        </w:rPr>
        <w:t xml:space="preserve">ARTP, Consultation publique ouverte du 01 au 15 mars 2016, Projet de Mise en Oeuvre du Dégroupage Total au Sénégal: https://www.artpsenegal.net/sites/default/files/docs_consultations/document_de_consultation_publique_degroupage_03022016.pdf </w:t>
      </w:r>
    </w:p>
  </w:footnote>
  <w:footnote w:id="209">
    <w:p w14:paraId="3DA859B3" w14:textId="77777777" w:rsidR="00B42297" w:rsidRPr="007575D7" w:rsidRDefault="00B42297" w:rsidP="00774ABE">
      <w:pPr>
        <w:pStyle w:val="FootnoteText"/>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ARTP, décision 2016-002.</w:t>
      </w:r>
    </w:p>
  </w:footnote>
  <w:footnote w:id="210">
    <w:p w14:paraId="7E860A1B" w14:textId="77777777" w:rsidR="00B42297" w:rsidRPr="007575D7" w:rsidRDefault="00B42297" w:rsidP="00774ABE">
      <w:pPr>
        <w:pStyle w:val="FootnoteText"/>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https://www.artpsenegal.net/sites/default/files/docs_actualites/rapport_observatoire_t1_2017_vf.pdf</w:t>
      </w:r>
    </w:p>
  </w:footnote>
  <w:footnote w:id="211">
    <w:p w14:paraId="773EA517" w14:textId="77777777" w:rsidR="00B42297" w:rsidRPr="00B95753" w:rsidRDefault="00B42297" w:rsidP="00774ABE">
      <w:pPr>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As such, the market concentration analysis provides a first screening to detect the existence of market power. For example, if the market is not concentrated, the existence of market power is less likely. However, highly concentrated markets do not necessarily imply the existence of market power. This is true especially in the case of small economies, although there may be several challenges that need to be </w:t>
      </w:r>
      <w:proofErr w:type="gramStart"/>
      <w:r w:rsidRPr="00B95753">
        <w:rPr>
          <w:rFonts w:ascii="Times New Roman" w:hAnsi="Times New Roman" w:cs="Times New Roman"/>
          <w:sz w:val="20"/>
          <w:szCs w:val="20"/>
        </w:rPr>
        <w:t>taken into account</w:t>
      </w:r>
      <w:proofErr w:type="gramEnd"/>
      <w:r w:rsidRPr="00B95753">
        <w:rPr>
          <w:rFonts w:ascii="Times New Roman" w:hAnsi="Times New Roman" w:cs="Times New Roman"/>
          <w:sz w:val="20"/>
          <w:szCs w:val="20"/>
        </w:rPr>
        <w:t xml:space="preserve">. Therefore, the market concentration analysis should be complemented with an analysis of market characteristics and market dynamics (such as barriers to entry, capacity constraints, vertical structure, demand elasticity, switching costs, </w:t>
      </w:r>
      <w:r>
        <w:rPr>
          <w:rFonts w:ascii="Times New Roman" w:hAnsi="Times New Roman" w:cs="Times New Roman"/>
          <w:sz w:val="20"/>
          <w:szCs w:val="20"/>
        </w:rPr>
        <w:t xml:space="preserve">and </w:t>
      </w:r>
      <w:r w:rsidRPr="00B95753">
        <w:rPr>
          <w:rFonts w:ascii="Times New Roman" w:hAnsi="Times New Roman" w:cs="Times New Roman"/>
          <w:sz w:val="20"/>
          <w:szCs w:val="20"/>
        </w:rPr>
        <w:t>product differentiation) that establish whether firms can or cannot exercise market power in a specific market.</w:t>
      </w:r>
    </w:p>
  </w:footnote>
  <w:footnote w:id="212">
    <w:p w14:paraId="5D052B50" w14:textId="77777777" w:rsidR="00B42297" w:rsidRPr="007575D7" w:rsidRDefault="00B42297" w:rsidP="00774ABE">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Métissacana</w:t>
      </w:r>
      <w:proofErr w:type="spellEnd"/>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Africanet</w:t>
      </w:r>
      <w:proofErr w:type="spellEnd"/>
      <w:r w:rsidRPr="007575D7">
        <w:rPr>
          <w:rFonts w:ascii="Times New Roman" w:hAnsi="Times New Roman" w:cs="Times New Roman"/>
          <w:sz w:val="20"/>
          <w:szCs w:val="20"/>
          <w:lang w:val="fr-FR"/>
        </w:rPr>
        <w:t xml:space="preserve">, Arc Informatique, Cyber Business Center, </w:t>
      </w:r>
      <w:proofErr w:type="spellStart"/>
      <w:r w:rsidRPr="007575D7">
        <w:rPr>
          <w:rFonts w:ascii="Times New Roman" w:hAnsi="Times New Roman" w:cs="Times New Roman"/>
          <w:sz w:val="20"/>
          <w:szCs w:val="20"/>
          <w:lang w:val="fr-FR"/>
        </w:rPr>
        <w:t>PointNet</w:t>
      </w:r>
      <w:proofErr w:type="spellEnd"/>
      <w:r w:rsidRPr="007575D7">
        <w:rPr>
          <w:rFonts w:ascii="Times New Roman" w:hAnsi="Times New Roman" w:cs="Times New Roman"/>
          <w:sz w:val="20"/>
          <w:szCs w:val="20"/>
          <w:lang w:val="fr-FR"/>
        </w:rPr>
        <w:t>, Sud Informatique, Enda-Tiers-monde, ATI, STE, inf247</w:t>
      </w:r>
    </w:p>
  </w:footnote>
  <w:footnote w:id="213">
    <w:p w14:paraId="2A5B9167" w14:textId="77777777" w:rsidR="00B42297" w:rsidRPr="00B95753" w:rsidRDefault="00B42297" w:rsidP="00774ABE">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In 1998, a second mobile license was awarded to </w:t>
      </w:r>
      <w:proofErr w:type="spellStart"/>
      <w:r w:rsidRPr="00B95753">
        <w:rPr>
          <w:rFonts w:ascii="Times New Roman" w:hAnsi="Times New Roman" w:cs="Times New Roman"/>
          <w:sz w:val="20"/>
          <w:szCs w:val="20"/>
        </w:rPr>
        <w:t>Sentel</w:t>
      </w:r>
      <w:proofErr w:type="spellEnd"/>
      <w:r w:rsidRPr="00B95753">
        <w:rPr>
          <w:rFonts w:ascii="Times New Roman" w:hAnsi="Times New Roman" w:cs="Times New Roman"/>
          <w:sz w:val="20"/>
          <w:szCs w:val="20"/>
        </w:rPr>
        <w:t xml:space="preserve"> GSM, a subsidiary of what is now known as </w:t>
      </w:r>
      <w:proofErr w:type="spellStart"/>
      <w:r w:rsidRPr="00B95753">
        <w:rPr>
          <w:rFonts w:ascii="Times New Roman" w:hAnsi="Times New Roman" w:cs="Times New Roman"/>
          <w:sz w:val="20"/>
          <w:szCs w:val="20"/>
        </w:rPr>
        <w:t>Tigo</w:t>
      </w:r>
      <w:proofErr w:type="spellEnd"/>
      <w:r w:rsidRPr="00B95753">
        <w:rPr>
          <w:rFonts w:ascii="Times New Roman" w:hAnsi="Times New Roman" w:cs="Times New Roman"/>
          <w:sz w:val="20"/>
          <w:szCs w:val="20"/>
        </w:rPr>
        <w:t>, following an international tender procedure.</w:t>
      </w:r>
    </w:p>
  </w:footnote>
  <w:footnote w:id="214">
    <w:p w14:paraId="15E5E121" w14:textId="77777777" w:rsidR="00B42297" w:rsidRPr="00B95753" w:rsidRDefault="00B42297" w:rsidP="00774ABE">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According to ARTP.</w:t>
      </w:r>
    </w:p>
  </w:footnote>
  <w:footnote w:id="215">
    <w:p w14:paraId="2EFA781F" w14:textId="77777777" w:rsidR="00B42297" w:rsidRPr="00B95753" w:rsidRDefault="00B42297" w:rsidP="004B2732">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European Commission, Guidance on the Commission's enforcement priorities in applying Article 82 of the EC Treaty to abusive exclusionary conduct by dominant undertakings, para. 14.</w:t>
      </w:r>
    </w:p>
  </w:footnote>
  <w:footnote w:id="216">
    <w:p w14:paraId="59DEFB87" w14:textId="77777777" w:rsidR="00B42297" w:rsidRPr="00B95753" w:rsidRDefault="00B42297" w:rsidP="004B2732">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Telecommunications Code, Article 13.</w:t>
      </w:r>
    </w:p>
  </w:footnote>
  <w:footnote w:id="217">
    <w:p w14:paraId="5A6441B5" w14:textId="77777777" w:rsidR="00B42297" w:rsidRPr="00693AF8" w:rsidRDefault="00B42297" w:rsidP="004B2732">
      <w:pPr>
        <w:pStyle w:val="FootnoteText"/>
        <w:rPr>
          <w:rFonts w:ascii="Times New Roman" w:hAnsi="Times New Roman" w:cs="Times New Roman"/>
          <w:sz w:val="20"/>
          <w:szCs w:val="20"/>
        </w:rPr>
      </w:pPr>
      <w:r w:rsidRPr="00693AF8">
        <w:rPr>
          <w:rStyle w:val="FootnoteReference"/>
          <w:rFonts w:ascii="Times New Roman" w:hAnsi="Times New Roman" w:cs="Times New Roman"/>
          <w:sz w:val="20"/>
          <w:szCs w:val="20"/>
        </w:rPr>
        <w:footnoteRef/>
      </w:r>
      <w:r w:rsidRPr="00693AF8">
        <w:rPr>
          <w:rFonts w:ascii="Times New Roman" w:hAnsi="Times New Roman" w:cs="Times New Roman"/>
          <w:sz w:val="20"/>
          <w:szCs w:val="20"/>
        </w:rPr>
        <w:t xml:space="preserve"> According to the 2017 Draft Telecoms Code (and Implementation Decree N12), the catalogue with SMP operators must be revised whenever it is necessary and, at least, every two years.</w:t>
      </w:r>
    </w:p>
  </w:footnote>
  <w:footnote w:id="218">
    <w:p w14:paraId="5339AA86" w14:textId="77777777" w:rsidR="00B42297" w:rsidRPr="007575D7" w:rsidRDefault="00B42297" w:rsidP="004B2732">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Telecommunications</w:t>
      </w:r>
      <w:proofErr w:type="spellEnd"/>
      <w:r w:rsidRPr="007575D7">
        <w:rPr>
          <w:rFonts w:ascii="Times New Roman" w:hAnsi="Times New Roman" w:cs="Times New Roman"/>
          <w:sz w:val="20"/>
          <w:szCs w:val="20"/>
          <w:lang w:val="fr-FR"/>
        </w:rPr>
        <w:t xml:space="preserve"> Code, Article 14.</w:t>
      </w:r>
    </w:p>
  </w:footnote>
  <w:footnote w:id="219">
    <w:p w14:paraId="664FB47D" w14:textId="77777777" w:rsidR="00B42297" w:rsidRPr="007575D7" w:rsidRDefault="00B42297" w:rsidP="004B2732">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Telecommunications</w:t>
      </w:r>
      <w:proofErr w:type="spellEnd"/>
      <w:r w:rsidRPr="007575D7">
        <w:rPr>
          <w:rFonts w:ascii="Times New Roman" w:hAnsi="Times New Roman" w:cs="Times New Roman"/>
          <w:sz w:val="20"/>
          <w:szCs w:val="20"/>
          <w:lang w:val="fr-FR"/>
        </w:rPr>
        <w:t xml:space="preserve"> Code, Article 15.</w:t>
      </w:r>
    </w:p>
  </w:footnote>
  <w:footnote w:id="220">
    <w:p w14:paraId="000F30F3" w14:textId="77777777" w:rsidR="00B42297" w:rsidRPr="00B95753" w:rsidRDefault="00B42297" w:rsidP="004B2732">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Telecommunications Code, Article 16.</w:t>
      </w:r>
      <w:r w:rsidRPr="002F23A2">
        <w:rPr>
          <w:rFonts w:ascii="Times New Roman" w:hAnsi="Times New Roman" w:cs="Times New Roman"/>
          <w:sz w:val="20"/>
          <w:szCs w:val="20"/>
        </w:rPr>
        <w:t xml:space="preserve"> </w:t>
      </w:r>
      <w:r w:rsidRPr="00B95753">
        <w:rPr>
          <w:rFonts w:ascii="Times New Roman" w:hAnsi="Times New Roman" w:cs="Times New Roman"/>
          <w:sz w:val="20"/>
          <w:szCs w:val="20"/>
        </w:rPr>
        <w:t xml:space="preserve">A firm which is designated as having SMP must regularly produce a document with the terms and conditions at which it will provide access to specified services. This document must be approved by the regulator: </w:t>
      </w:r>
      <w:r w:rsidRPr="00B95753">
        <w:rPr>
          <w:rFonts w:ascii="Times New Roman" w:hAnsi="Times New Roman" w:cs="Times New Roman"/>
          <w:i/>
          <w:sz w:val="20"/>
          <w:szCs w:val="20"/>
        </w:rPr>
        <w:t xml:space="preserve">see </w:t>
      </w:r>
      <w:r w:rsidRPr="00B95753">
        <w:rPr>
          <w:rFonts w:ascii="Times New Roman" w:hAnsi="Times New Roman" w:cs="Times New Roman"/>
          <w:sz w:val="20"/>
          <w:szCs w:val="20"/>
        </w:rPr>
        <w:t>https://stats.oecd.org/glossary/detail.asp?ID=6751</w:t>
      </w:r>
      <w:r>
        <w:rPr>
          <w:rFonts w:ascii="Times New Roman" w:hAnsi="Times New Roman" w:cs="Times New Roman"/>
          <w:sz w:val="20"/>
          <w:szCs w:val="20"/>
        </w:rPr>
        <w:t>.</w:t>
      </w:r>
    </w:p>
  </w:footnote>
  <w:footnote w:id="221">
    <w:p w14:paraId="61D584D6" w14:textId="77777777" w:rsidR="00B42297" w:rsidRPr="007575D7" w:rsidRDefault="00B42297" w:rsidP="004B2732">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Telecommunications</w:t>
      </w:r>
      <w:proofErr w:type="spellEnd"/>
      <w:r w:rsidRPr="007575D7">
        <w:rPr>
          <w:rFonts w:ascii="Times New Roman" w:hAnsi="Times New Roman" w:cs="Times New Roman"/>
          <w:sz w:val="20"/>
          <w:szCs w:val="20"/>
          <w:lang w:val="fr-FR"/>
        </w:rPr>
        <w:t xml:space="preserve"> Code, Article 49.</w:t>
      </w:r>
    </w:p>
  </w:footnote>
  <w:footnote w:id="222">
    <w:p w14:paraId="5755E62D" w14:textId="77777777" w:rsidR="00B42297" w:rsidRPr="007575D7" w:rsidRDefault="00B42297" w:rsidP="004B2732">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Telecommunications</w:t>
      </w:r>
      <w:proofErr w:type="spellEnd"/>
      <w:r w:rsidRPr="007575D7">
        <w:rPr>
          <w:rFonts w:ascii="Times New Roman" w:hAnsi="Times New Roman" w:cs="Times New Roman"/>
          <w:sz w:val="20"/>
          <w:szCs w:val="20"/>
          <w:lang w:val="fr-FR"/>
        </w:rPr>
        <w:t xml:space="preserve"> Code, Article </w:t>
      </w:r>
      <w:proofErr w:type="gramStart"/>
      <w:r w:rsidRPr="007575D7">
        <w:rPr>
          <w:rFonts w:ascii="Times New Roman" w:hAnsi="Times New Roman" w:cs="Times New Roman"/>
          <w:sz w:val="20"/>
          <w:szCs w:val="20"/>
          <w:lang w:val="fr-FR"/>
        </w:rPr>
        <w:t>50:</w:t>
      </w:r>
      <w:proofErr w:type="gramEnd"/>
      <w:r w:rsidRPr="007575D7">
        <w:rPr>
          <w:rFonts w:ascii="Times New Roman" w:hAnsi="Times New Roman" w:cs="Times New Roman"/>
          <w:sz w:val="20"/>
          <w:szCs w:val="20"/>
          <w:lang w:val="fr-FR"/>
        </w:rPr>
        <w:t xml:space="preserve"> ‘relevant </w:t>
      </w:r>
      <w:proofErr w:type="spellStart"/>
      <w:r w:rsidRPr="007575D7">
        <w:rPr>
          <w:rFonts w:ascii="Times New Roman" w:hAnsi="Times New Roman" w:cs="Times New Roman"/>
          <w:sz w:val="20"/>
          <w:szCs w:val="20"/>
          <w:lang w:val="fr-FR"/>
        </w:rPr>
        <w:t>costs</w:t>
      </w:r>
      <w:proofErr w:type="spellEnd"/>
      <w:r w:rsidRPr="007575D7">
        <w:rPr>
          <w:rFonts w:ascii="Times New Roman" w:hAnsi="Times New Roman" w:cs="Times New Roman"/>
          <w:sz w:val="20"/>
          <w:szCs w:val="20"/>
          <w:lang w:val="fr-FR"/>
        </w:rPr>
        <w:t>’.</w:t>
      </w:r>
    </w:p>
  </w:footnote>
  <w:footnote w:id="223">
    <w:p w14:paraId="156C2B0F" w14:textId="77777777" w:rsidR="00B42297" w:rsidRPr="00B95753" w:rsidRDefault="00B42297" w:rsidP="004B2732">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Telecommunications Code, Article 52.</w:t>
      </w:r>
    </w:p>
  </w:footnote>
  <w:footnote w:id="224">
    <w:p w14:paraId="71BCA8B3" w14:textId="77777777" w:rsidR="00B42297" w:rsidRPr="007379FF" w:rsidRDefault="00B42297">
      <w:pPr>
        <w:pStyle w:val="FootnoteText"/>
        <w:rPr>
          <w:sz w:val="20"/>
          <w:szCs w:val="20"/>
        </w:rPr>
      </w:pPr>
      <w:r w:rsidRPr="007379FF">
        <w:rPr>
          <w:rStyle w:val="FootnoteReference"/>
          <w:rFonts w:ascii="Times New Roman" w:hAnsi="Times New Roman" w:cs="Times New Roman"/>
          <w:sz w:val="20"/>
          <w:szCs w:val="20"/>
        </w:rPr>
        <w:footnoteRef/>
      </w:r>
      <w:r w:rsidRPr="007379FF">
        <w:rPr>
          <w:rFonts w:ascii="Times New Roman" w:hAnsi="Times New Roman" w:cs="Times New Roman"/>
          <w:sz w:val="20"/>
          <w:szCs w:val="20"/>
        </w:rPr>
        <w:t xml:space="preserve"> </w:t>
      </w:r>
      <w:r>
        <w:rPr>
          <w:rFonts w:ascii="Times New Roman" w:hAnsi="Times New Roman" w:cs="Times New Roman"/>
          <w:sz w:val="20"/>
          <w:szCs w:val="20"/>
        </w:rPr>
        <w:t xml:space="preserve">Only </w:t>
      </w:r>
      <w:proofErr w:type="spellStart"/>
      <w:r w:rsidRPr="007379FF">
        <w:rPr>
          <w:rFonts w:ascii="Times New Roman" w:hAnsi="Times New Roman" w:cs="Times New Roman"/>
          <w:sz w:val="20"/>
          <w:szCs w:val="20"/>
        </w:rPr>
        <w:t>Sonatel</w:t>
      </w:r>
      <w:proofErr w:type="spellEnd"/>
      <w:r w:rsidRPr="007379FF">
        <w:rPr>
          <w:rFonts w:ascii="Times New Roman" w:hAnsi="Times New Roman" w:cs="Times New Roman"/>
          <w:sz w:val="20"/>
          <w:szCs w:val="20"/>
        </w:rPr>
        <w:t xml:space="preserve"> and Expresso have direct access to international connectivity.</w:t>
      </w:r>
    </w:p>
  </w:footnote>
  <w:footnote w:id="225">
    <w:p w14:paraId="6DA0DB74" w14:textId="77777777" w:rsidR="00B42297" w:rsidRPr="00B95753" w:rsidRDefault="00B42297" w:rsidP="006018AA">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hAnsi="Times New Roman" w:cs="Times New Roman"/>
          <w:i/>
          <w:sz w:val="20"/>
          <w:szCs w:val="20"/>
        </w:rPr>
        <w:t>See</w:t>
      </w:r>
      <w:r w:rsidRPr="00B95753">
        <w:rPr>
          <w:rFonts w:ascii="Times New Roman" w:hAnsi="Times New Roman" w:cs="Times New Roman"/>
          <w:sz w:val="20"/>
          <w:szCs w:val="20"/>
        </w:rPr>
        <w:t xml:space="preserve"> World Bank Group/African Competition Forum (‘ACF’), Breaking Down Barriers - Unlocking Africa’s Potential through Vigorous Competition Policy, 27 July 2016, p. 111.</w:t>
      </w:r>
    </w:p>
  </w:footnote>
  <w:footnote w:id="226">
    <w:p w14:paraId="4F0FD7DE" w14:textId="77777777" w:rsidR="00B42297" w:rsidRPr="00B95753" w:rsidRDefault="00B42297" w:rsidP="006018AA">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Working Paper No. 42, “Competition in International Voice Communications”, 2004, p. 7.</w:t>
      </w:r>
    </w:p>
  </w:footnote>
  <w:footnote w:id="227">
    <w:p w14:paraId="2DD93AB0" w14:textId="77777777" w:rsidR="00B42297" w:rsidRPr="00B95753" w:rsidRDefault="00B42297" w:rsidP="006018AA">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http://www.itu.int/itunews/manager/display.asp?lang=en&amp;year=2009&amp;issue=01&amp;ipage=26</w:t>
      </w:r>
    </w:p>
  </w:footnote>
  <w:footnote w:id="228">
    <w:p w14:paraId="6E7D9744" w14:textId="6BC6D097" w:rsidR="00B42297" w:rsidRPr="00B95753" w:rsidRDefault="00B42297" w:rsidP="00E70378">
      <w:pPr>
        <w:jc w:val="both"/>
        <w:rPr>
          <w:rFonts w:ascii="Times New Roman" w:hAnsi="Times New Roman" w:cs="Times New Roman"/>
          <w:b/>
          <w:sz w:val="20"/>
          <w:szCs w:val="20"/>
        </w:rPr>
      </w:pPr>
      <w:r w:rsidRPr="00970C76">
        <w:rPr>
          <w:rStyle w:val="FootnoteReference"/>
          <w:rFonts w:ascii="Times New Roman" w:hAnsi="Times New Roman" w:cs="Times New Roman"/>
          <w:sz w:val="20"/>
          <w:szCs w:val="20"/>
        </w:rPr>
        <w:footnoteRef/>
      </w:r>
      <w:r w:rsidRPr="00970C76">
        <w:rPr>
          <w:rFonts w:ascii="Times New Roman" w:hAnsi="Times New Roman" w:cs="Times New Roman"/>
          <w:sz w:val="20"/>
          <w:szCs w:val="20"/>
        </w:rPr>
        <w:t xml:space="preserve"> Competitive spectrum assignment is essential to limit the incumbent market power and to foster market entry in typically oligopolistic markets</w:t>
      </w:r>
      <w:r w:rsidRPr="00B95753">
        <w:rPr>
          <w:rFonts w:ascii="Times New Roman" w:hAnsi="Times New Roman" w:cs="Times New Roman"/>
          <w:sz w:val="20"/>
          <w:szCs w:val="20"/>
        </w:rPr>
        <w:t xml:space="preserve">. Hence, the price of the spectrum rights should be primarily determined by a market mechanism through an auction proceeding, instead of being administratively set by the Government. In addition, the procedure to assign radio spectrum should be open, non-discriminatory and transparent to achieve the goal of instilling competition in mobile markets. By subjecting the outcome of the tender to approval by incumbents, the </w:t>
      </w:r>
      <w:r>
        <w:rPr>
          <w:rFonts w:ascii="Times New Roman" w:hAnsi="Times New Roman" w:cs="Times New Roman"/>
          <w:sz w:val="20"/>
          <w:szCs w:val="20"/>
        </w:rPr>
        <w:t xml:space="preserve">Government </w:t>
      </w:r>
      <w:r w:rsidRPr="00B95753">
        <w:rPr>
          <w:rFonts w:ascii="Times New Roman" w:hAnsi="Times New Roman" w:cs="Times New Roman"/>
          <w:sz w:val="20"/>
          <w:szCs w:val="20"/>
        </w:rPr>
        <w:t>frustrates the goals of a competitive spectrum assignment and facilitates cartel behavior between incumbents to the detriment of Senegalese consumers.</w:t>
      </w:r>
    </w:p>
  </w:footnote>
  <w:footnote w:id="229">
    <w:p w14:paraId="63210649" w14:textId="77777777" w:rsidR="00B42297" w:rsidRPr="00C538DB" w:rsidRDefault="00B42297">
      <w:pPr>
        <w:pStyle w:val="FootnoteText"/>
        <w:rPr>
          <w:rFonts w:ascii="Times New Roman" w:hAnsi="Times New Roman" w:cs="Times New Roman"/>
          <w:i/>
          <w:sz w:val="20"/>
          <w:szCs w:val="20"/>
        </w:rPr>
      </w:pPr>
      <w:r w:rsidRPr="00C538DB">
        <w:rPr>
          <w:rStyle w:val="FootnoteReference"/>
          <w:rFonts w:ascii="Times New Roman" w:hAnsi="Times New Roman" w:cs="Times New Roman"/>
          <w:sz w:val="20"/>
          <w:szCs w:val="20"/>
        </w:rPr>
        <w:footnoteRef/>
      </w:r>
      <w:r w:rsidRPr="00C538DB">
        <w:rPr>
          <w:rFonts w:ascii="Times New Roman" w:hAnsi="Times New Roman" w:cs="Times New Roman"/>
          <w:sz w:val="20"/>
          <w:szCs w:val="20"/>
        </w:rPr>
        <w:t xml:space="preserve"> Laurent Benzoni and Pascal </w:t>
      </w:r>
      <w:proofErr w:type="spellStart"/>
      <w:r w:rsidRPr="00C538DB">
        <w:rPr>
          <w:rFonts w:ascii="Times New Roman" w:hAnsi="Times New Roman" w:cs="Times New Roman"/>
          <w:sz w:val="20"/>
          <w:szCs w:val="20"/>
        </w:rPr>
        <w:t>Dutru</w:t>
      </w:r>
      <w:proofErr w:type="spellEnd"/>
      <w:r w:rsidRPr="00C538DB">
        <w:rPr>
          <w:rFonts w:ascii="Times New Roman" w:hAnsi="Times New Roman" w:cs="Times New Roman"/>
          <w:sz w:val="20"/>
          <w:szCs w:val="20"/>
        </w:rPr>
        <w:t xml:space="preserve">, “The Radio Spectrum Ladder of Investment to promote Innovation and Competition in Mobile Markets”, </w:t>
      </w:r>
      <w:proofErr w:type="spellStart"/>
      <w:r w:rsidRPr="00C538DB">
        <w:rPr>
          <w:rFonts w:ascii="Times New Roman" w:hAnsi="Times New Roman" w:cs="Times New Roman"/>
          <w:i/>
          <w:sz w:val="20"/>
          <w:szCs w:val="20"/>
        </w:rPr>
        <w:t>Digiworld</w:t>
      </w:r>
      <w:proofErr w:type="spellEnd"/>
      <w:r w:rsidRPr="00C538DB">
        <w:rPr>
          <w:rFonts w:ascii="Times New Roman" w:hAnsi="Times New Roman" w:cs="Times New Roman"/>
          <w:i/>
          <w:sz w:val="20"/>
          <w:szCs w:val="20"/>
        </w:rPr>
        <w:t xml:space="preserve"> Economic Journal</w:t>
      </w:r>
      <w:r w:rsidRPr="00C538DB">
        <w:rPr>
          <w:rFonts w:ascii="Times New Roman" w:hAnsi="Times New Roman" w:cs="Times New Roman"/>
          <w:sz w:val="20"/>
          <w:szCs w:val="20"/>
        </w:rPr>
        <w:t>, No. 102, 2nd Q. 2016.</w:t>
      </w:r>
    </w:p>
  </w:footnote>
  <w:footnote w:id="230">
    <w:p w14:paraId="04FB15BC" w14:textId="77777777" w:rsidR="00B42297" w:rsidRPr="00284CA7" w:rsidRDefault="00B42297" w:rsidP="00284CA7">
      <w:pPr>
        <w:rPr>
          <w:rFonts w:ascii="Times New Roman" w:eastAsia="Times New Roman" w:hAnsi="Times New Roman" w:cs="Times New Roman"/>
          <w:sz w:val="20"/>
          <w:szCs w:val="20"/>
          <w:lang w:val="en-GB" w:eastAsia="en-GB"/>
        </w:rPr>
      </w:pPr>
      <w:r w:rsidRPr="007575D7">
        <w:rPr>
          <w:rStyle w:val="FootnoteReference"/>
          <w:rFonts w:ascii="Times New Roman" w:hAnsi="Times New Roman" w:cs="Times New Roman"/>
          <w:sz w:val="20"/>
          <w:szCs w:val="20"/>
        </w:rPr>
        <w:footnoteRef/>
      </w:r>
      <w:r w:rsidRPr="00284CA7">
        <w:rPr>
          <w:rFonts w:ascii="Times New Roman" w:hAnsi="Times New Roman" w:cs="Times New Roman"/>
          <w:sz w:val="20"/>
          <w:szCs w:val="20"/>
          <w:lang w:val="fr-FR"/>
        </w:rPr>
        <w:t xml:space="preserve"> Financial </w:t>
      </w:r>
      <w:proofErr w:type="spellStart"/>
      <w:r w:rsidRPr="00284CA7">
        <w:rPr>
          <w:rFonts w:ascii="Times New Roman" w:hAnsi="Times New Roman" w:cs="Times New Roman"/>
          <w:sz w:val="20"/>
          <w:szCs w:val="20"/>
          <w:lang w:val="fr-FR"/>
        </w:rPr>
        <w:t>Afrik</w:t>
      </w:r>
      <w:proofErr w:type="spellEnd"/>
      <w:r w:rsidRPr="00284CA7">
        <w:rPr>
          <w:rFonts w:ascii="Times New Roman" w:hAnsi="Times New Roman" w:cs="Times New Roman"/>
          <w:sz w:val="20"/>
          <w:szCs w:val="20"/>
          <w:lang w:val="fr-FR"/>
        </w:rPr>
        <w:t xml:space="preserve">. 2017. </w:t>
      </w:r>
      <w:r w:rsidRPr="00284CA7">
        <w:rPr>
          <w:rFonts w:ascii="Times New Roman" w:hAnsi="Times New Roman" w:cs="Times New Roman"/>
          <w:i/>
          <w:sz w:val="20"/>
          <w:szCs w:val="20"/>
          <w:lang w:val="fr-FR"/>
        </w:rPr>
        <w:t xml:space="preserve">3 Operateurs Retenus pour les </w:t>
      </w:r>
      <w:proofErr w:type="spellStart"/>
      <w:r w:rsidRPr="00284CA7">
        <w:rPr>
          <w:rFonts w:ascii="Times New Roman" w:hAnsi="Times New Roman" w:cs="Times New Roman"/>
          <w:i/>
          <w:sz w:val="20"/>
          <w:szCs w:val="20"/>
          <w:lang w:val="fr-FR"/>
        </w:rPr>
        <w:t>Licenses</w:t>
      </w:r>
      <w:proofErr w:type="spellEnd"/>
      <w:r w:rsidRPr="00284CA7">
        <w:rPr>
          <w:rFonts w:ascii="Times New Roman" w:hAnsi="Times New Roman" w:cs="Times New Roman"/>
          <w:i/>
          <w:sz w:val="20"/>
          <w:szCs w:val="20"/>
          <w:lang w:val="fr-FR"/>
        </w:rPr>
        <w:t xml:space="preserve"> MVNO</w:t>
      </w:r>
      <w:r w:rsidRPr="00284CA7">
        <w:rPr>
          <w:rFonts w:ascii="Times New Roman" w:hAnsi="Times New Roman" w:cs="Times New Roman"/>
          <w:sz w:val="20"/>
          <w:szCs w:val="20"/>
          <w:lang w:val="fr-FR"/>
        </w:rPr>
        <w:t xml:space="preserve">. </w:t>
      </w:r>
      <w:r w:rsidRPr="00284CA7">
        <w:rPr>
          <w:rFonts w:ascii="Times New Roman" w:hAnsi="Times New Roman" w:cs="Times New Roman"/>
          <w:sz w:val="20"/>
          <w:szCs w:val="20"/>
        </w:rPr>
        <w:t xml:space="preserve">Available at: </w:t>
      </w:r>
      <w:hyperlink r:id="rId17" w:tgtFrame="_blank" w:history="1">
        <w:r w:rsidRPr="00284CA7">
          <w:rPr>
            <w:rStyle w:val="Hyperlink"/>
            <w:rFonts w:ascii="Times New Roman" w:eastAsia="Times New Roman" w:hAnsi="Times New Roman" w:cs="Times New Roman"/>
            <w:sz w:val="20"/>
            <w:szCs w:val="20"/>
            <w:shd w:val="clear" w:color="auto" w:fill="FFFFFF"/>
          </w:rPr>
          <w:t>https://www.financialafrik.com/2017/06/12/senegal-3-operateurs-retenus-pour-les-licences-mvno/</w:t>
        </w:r>
      </w:hyperlink>
    </w:p>
  </w:footnote>
  <w:footnote w:id="231">
    <w:p w14:paraId="7CB39E3F" w14:textId="77777777" w:rsidR="00B42297" w:rsidRPr="00B95753" w:rsidRDefault="00B42297" w:rsidP="00AB4BD3">
      <w:pPr>
        <w:pStyle w:val="FootnoteText"/>
        <w:rPr>
          <w:rFonts w:ascii="Times New Roman" w:hAnsi="Times New Roman" w:cs="Times New Roman"/>
          <w:sz w:val="20"/>
          <w:szCs w:val="20"/>
        </w:rPr>
      </w:pPr>
      <w:r w:rsidRPr="00284CA7">
        <w:rPr>
          <w:rStyle w:val="FootnoteReference"/>
          <w:rFonts w:ascii="Times New Roman" w:hAnsi="Times New Roman" w:cs="Times New Roman"/>
          <w:sz w:val="20"/>
          <w:szCs w:val="20"/>
        </w:rPr>
        <w:footnoteRef/>
      </w:r>
      <w:r w:rsidRPr="00284CA7">
        <w:rPr>
          <w:rFonts w:ascii="Times New Roman" w:hAnsi="Times New Roman" w:cs="Times New Roman"/>
          <w:sz w:val="20"/>
          <w:szCs w:val="20"/>
        </w:rPr>
        <w:t xml:space="preserve"> See for example a recent decision by the French competition authorities regarding the retail market for natural gas.</w:t>
      </w:r>
      <w:r w:rsidRPr="00B95753">
        <w:rPr>
          <w:rFonts w:ascii="Times New Roman" w:hAnsi="Times New Roman" w:cs="Times New Roman"/>
          <w:sz w:val="20"/>
          <w:szCs w:val="20"/>
        </w:rPr>
        <w:t xml:space="preserve"> (</w:t>
      </w:r>
      <w:hyperlink r:id="rId18" w:history="1">
        <w:r w:rsidRPr="00B95753">
          <w:rPr>
            <w:rStyle w:val="Hyperlink"/>
            <w:rFonts w:ascii="Times New Roman" w:hAnsi="Times New Roman" w:cs="Times New Roman"/>
            <w:sz w:val="20"/>
            <w:szCs w:val="20"/>
          </w:rPr>
          <w:t>http://www.autoritedelaconcurrence.fr/user/standard.php?id_rub=662&amp;id_article=2960&amp;lang=fr</w:t>
        </w:r>
      </w:hyperlink>
      <w:r w:rsidRPr="00B95753">
        <w:rPr>
          <w:rFonts w:ascii="Times New Roman" w:hAnsi="Times New Roman" w:cs="Times New Roman"/>
          <w:sz w:val="20"/>
          <w:szCs w:val="20"/>
        </w:rPr>
        <w:t xml:space="preserve"> )</w:t>
      </w:r>
    </w:p>
  </w:footnote>
  <w:footnote w:id="232">
    <w:p w14:paraId="11CAC4E2"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Décision du 13 décembre 2012 relative à des pratiques mises en œuvre dans le secteur de la téléphonie mobile à destination de la clientèle résidentielle en France métropolitaine ; </w:t>
      </w:r>
      <w:hyperlink r:id="rId19" w:history="1">
        <w:r w:rsidRPr="007575D7">
          <w:rPr>
            <w:rStyle w:val="Hyperlink"/>
            <w:rFonts w:ascii="Times New Roman" w:hAnsi="Times New Roman" w:cs="Times New Roman"/>
            <w:sz w:val="20"/>
            <w:szCs w:val="20"/>
            <w:lang w:val="fr-FR"/>
          </w:rPr>
          <w:t>http://www.autoritedelaconcurrence.fr/user/avisdec.php?numero=12D24</w:t>
        </w:r>
      </w:hyperlink>
      <w:r w:rsidRPr="007575D7">
        <w:rPr>
          <w:rFonts w:ascii="Times New Roman" w:hAnsi="Times New Roman" w:cs="Times New Roman"/>
          <w:sz w:val="20"/>
          <w:szCs w:val="20"/>
          <w:lang w:val="fr-FR"/>
        </w:rPr>
        <w:t xml:space="preserve"> ; Décision du 9 décembre 2009 relative à des pratiques mises en œuvre par Orange Caraïbe et France Télécom sur différents marchés de services de communications électroniques dans les départements de la Martinique, de la Guadeloupe et de la Guyane ; </w:t>
      </w:r>
      <w:hyperlink r:id="rId20" w:history="1">
        <w:r w:rsidRPr="007575D7">
          <w:rPr>
            <w:rStyle w:val="Hyperlink"/>
            <w:rFonts w:ascii="Times New Roman" w:hAnsi="Times New Roman" w:cs="Times New Roman"/>
            <w:sz w:val="20"/>
            <w:szCs w:val="20"/>
            <w:lang w:val="fr-FR"/>
          </w:rPr>
          <w:t>http://www.autoritedelaconcurrence.fr/user/avisdec.php?numero=09-D-36</w:t>
        </w:r>
      </w:hyperlink>
    </w:p>
  </w:footnote>
  <w:footnote w:id="233">
    <w:p w14:paraId="2AEFDE75"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Décision du 25 septembre 2014 relative à des pratiques mises en œuvre dans le secteur des réseaux et des services de communications mobiles ; </w:t>
      </w:r>
      <w:hyperlink r:id="rId21" w:history="1">
        <w:r w:rsidRPr="007575D7">
          <w:rPr>
            <w:rStyle w:val="Hyperlink"/>
            <w:rFonts w:ascii="Times New Roman" w:hAnsi="Times New Roman" w:cs="Times New Roman"/>
            <w:sz w:val="20"/>
            <w:szCs w:val="20"/>
            <w:lang w:val="fr-FR"/>
          </w:rPr>
          <w:t>http://www.autoritedelaconcurrence.fr/user/avisdec.php?numero=14-D-10</w:t>
        </w:r>
      </w:hyperlink>
      <w:r w:rsidRPr="007575D7">
        <w:rPr>
          <w:rFonts w:ascii="Times New Roman" w:hAnsi="Times New Roman" w:cs="Times New Roman"/>
          <w:sz w:val="20"/>
          <w:szCs w:val="20"/>
          <w:lang w:val="fr-FR"/>
        </w:rPr>
        <w:t xml:space="preserve"> ; Conseil de la concurrence. - Décision n° 2009-P/K-10 du 26 mai 2009. - Affaire CONC-P/K-05/0065 ; </w:t>
      </w:r>
      <w:hyperlink r:id="rId22" w:history="1">
        <w:r w:rsidRPr="007575D7">
          <w:rPr>
            <w:rStyle w:val="Hyperlink"/>
            <w:rFonts w:ascii="Times New Roman" w:hAnsi="Times New Roman" w:cs="Times New Roman"/>
            <w:sz w:val="20"/>
            <w:szCs w:val="20"/>
            <w:lang w:val="fr-FR"/>
          </w:rPr>
          <w:t>http://www.etaamb.be/fr/rapport_n2009011265.html</w:t>
        </w:r>
      </w:hyperlink>
      <w:r w:rsidRPr="007575D7">
        <w:rPr>
          <w:rFonts w:ascii="Times New Roman" w:hAnsi="Times New Roman" w:cs="Times New Roman"/>
          <w:sz w:val="20"/>
          <w:szCs w:val="20"/>
          <w:lang w:val="fr-FR"/>
        </w:rPr>
        <w:t xml:space="preserve"> </w:t>
      </w:r>
    </w:p>
  </w:footnote>
  <w:footnote w:id="234">
    <w:p w14:paraId="4F35E580"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Telecommunications Management Group. 2011. </w:t>
      </w:r>
      <w:r w:rsidRPr="00B95753">
        <w:rPr>
          <w:rFonts w:ascii="Times New Roman" w:hAnsi="Times New Roman" w:cs="Times New Roman"/>
          <w:i/>
          <w:sz w:val="20"/>
          <w:szCs w:val="20"/>
        </w:rPr>
        <w:t>On-net/Off-net Price Differentiation: Review of International Precedent</w:t>
      </w:r>
      <w:r w:rsidRPr="00B95753">
        <w:rPr>
          <w:rFonts w:ascii="Times New Roman" w:hAnsi="Times New Roman" w:cs="Times New Roman"/>
          <w:sz w:val="20"/>
          <w:szCs w:val="20"/>
        </w:rPr>
        <w:t>, p. 9. Available at https://www.comcom.govt.nz/dmsdocument/7958</w:t>
      </w:r>
    </w:p>
  </w:footnote>
  <w:footnote w:id="235">
    <w:p w14:paraId="61B245C6"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Commission staff working document - Impact Assessment - Accompanying document to the Proposal for a Directive of the European Parliament and the Council amending European Parliament and Council Directives 2002/19/EC, 2002/20/EC and 202/21/EC - Accompanying document to the Proposal for a Directive of the European Parliament and the Council amending European Parliament and Council Directives 2002/22/EC and 2002/58/EC - Accompanying document to the Proposal for a Regulation of the European Parliament and the Council establishing the European Electronic Communications Markets Authority {COM(2007) 697 final}.</w:t>
      </w:r>
    </w:p>
  </w:footnote>
  <w:footnote w:id="236">
    <w:p w14:paraId="0F2BBAD0" w14:textId="77777777" w:rsidR="00B42297" w:rsidRPr="00EF78E4" w:rsidRDefault="00B42297" w:rsidP="006018AA">
      <w:pPr>
        <w:pStyle w:val="FootnoteText"/>
        <w:rPr>
          <w:rFonts w:ascii="Times New Roman" w:hAnsi="Times New Roman" w:cs="Times New Roman"/>
          <w:sz w:val="20"/>
          <w:szCs w:val="20"/>
        </w:rPr>
      </w:pPr>
      <w:r w:rsidRPr="00EF78E4">
        <w:rPr>
          <w:rStyle w:val="FootnoteReference"/>
          <w:rFonts w:ascii="Times New Roman" w:hAnsi="Times New Roman" w:cs="Times New Roman"/>
          <w:sz w:val="20"/>
          <w:szCs w:val="20"/>
        </w:rPr>
        <w:footnoteRef/>
      </w:r>
      <w:r w:rsidRPr="00EF78E4">
        <w:rPr>
          <w:rFonts w:ascii="Times New Roman" w:hAnsi="Times New Roman" w:cs="Times New Roman"/>
          <w:sz w:val="20"/>
          <w:szCs w:val="20"/>
        </w:rPr>
        <w:t xml:space="preserve"> Decree 2016-1988.</w:t>
      </w:r>
    </w:p>
  </w:footnote>
  <w:footnote w:id="237">
    <w:p w14:paraId="1BAA7709" w14:textId="77777777" w:rsidR="00B42297" w:rsidRPr="00693AF8" w:rsidRDefault="00B42297" w:rsidP="006018AA">
      <w:pPr>
        <w:pStyle w:val="FootnoteText"/>
        <w:rPr>
          <w:rFonts w:ascii="Times New Roman" w:hAnsi="Times New Roman" w:cs="Times New Roman"/>
          <w:sz w:val="20"/>
          <w:szCs w:val="20"/>
        </w:rPr>
      </w:pPr>
      <w:r w:rsidRPr="00693AF8">
        <w:rPr>
          <w:rStyle w:val="FootnoteReference"/>
          <w:rFonts w:ascii="Times New Roman" w:hAnsi="Times New Roman" w:cs="Times New Roman"/>
          <w:sz w:val="20"/>
          <w:szCs w:val="20"/>
        </w:rPr>
        <w:footnoteRef/>
      </w:r>
      <w:r w:rsidRPr="00693AF8">
        <w:rPr>
          <w:rFonts w:ascii="Times New Roman" w:hAnsi="Times New Roman" w:cs="Times New Roman"/>
          <w:sz w:val="20"/>
          <w:szCs w:val="20"/>
        </w:rPr>
        <w:t xml:space="preserve"> Decree 2016-1988.</w:t>
      </w:r>
    </w:p>
  </w:footnote>
  <w:footnote w:id="238">
    <w:p w14:paraId="75A553F5" w14:textId="77777777" w:rsidR="00B42297" w:rsidRPr="007575D7" w:rsidRDefault="00B42297" w:rsidP="00632BDA">
      <w:pPr>
        <w:pStyle w:val="FootnoteText"/>
        <w:rPr>
          <w:rFonts w:ascii="Times New Roman" w:hAnsi="Times New Roman" w:cs="Times New Roman"/>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New Article 32 </w:t>
      </w:r>
      <w:proofErr w:type="spellStart"/>
      <w:r w:rsidRPr="007575D7">
        <w:rPr>
          <w:rFonts w:ascii="Times New Roman" w:hAnsi="Times New Roman" w:cs="Times New Roman"/>
          <w:sz w:val="20"/>
          <w:szCs w:val="20"/>
        </w:rPr>
        <w:t>bis</w:t>
      </w:r>
      <w:proofErr w:type="spellEnd"/>
      <w:r w:rsidRPr="007575D7">
        <w:rPr>
          <w:rFonts w:ascii="Times New Roman" w:hAnsi="Times New Roman" w:cs="Times New Roman"/>
          <w:sz w:val="20"/>
          <w:szCs w:val="20"/>
        </w:rPr>
        <w:t xml:space="preserve"> of the Telecommunications Code (introduced by Law 2017-13).</w:t>
      </w:r>
    </w:p>
  </w:footnote>
  <w:footnote w:id="239">
    <w:p w14:paraId="6292C6FA"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These are the so-called </w:t>
      </w:r>
      <w:proofErr w:type="spellStart"/>
      <w:r w:rsidRPr="00B95753">
        <w:rPr>
          <w:rFonts w:ascii="Times New Roman" w:hAnsi="Times New Roman" w:cs="Times New Roman"/>
          <w:sz w:val="20"/>
          <w:szCs w:val="20"/>
        </w:rPr>
        <w:t>Altmark</w:t>
      </w:r>
      <w:proofErr w:type="spellEnd"/>
      <w:r w:rsidRPr="00B95753">
        <w:rPr>
          <w:rFonts w:ascii="Times New Roman" w:hAnsi="Times New Roman" w:cs="Times New Roman"/>
          <w:sz w:val="20"/>
          <w:szCs w:val="20"/>
        </w:rPr>
        <w:t xml:space="preserve"> criteria in the EU: Case C-280/00 </w:t>
      </w:r>
      <w:proofErr w:type="spellStart"/>
      <w:r w:rsidRPr="00B95753">
        <w:rPr>
          <w:rFonts w:ascii="Times New Roman" w:hAnsi="Times New Roman" w:cs="Times New Roman"/>
          <w:i/>
          <w:sz w:val="20"/>
          <w:szCs w:val="20"/>
        </w:rPr>
        <w:t>Altmark</w:t>
      </w:r>
      <w:proofErr w:type="spellEnd"/>
      <w:r w:rsidRPr="00B95753">
        <w:rPr>
          <w:rFonts w:ascii="Times New Roman" w:hAnsi="Times New Roman" w:cs="Times New Roman"/>
          <w:i/>
          <w:sz w:val="20"/>
          <w:szCs w:val="20"/>
        </w:rPr>
        <w:t xml:space="preserve"> Trans GmbH</w:t>
      </w:r>
      <w:r w:rsidRPr="00B95753">
        <w:rPr>
          <w:rFonts w:ascii="Times New Roman" w:hAnsi="Times New Roman" w:cs="Times New Roman"/>
          <w:sz w:val="20"/>
          <w:szCs w:val="20"/>
        </w:rPr>
        <w:t xml:space="preserve"> [2003] ECR I-7747, paras. 89-93.</w:t>
      </w:r>
    </w:p>
  </w:footnote>
  <w:footnote w:id="240">
    <w:p w14:paraId="33E85118" w14:textId="77777777" w:rsidR="00B42297" w:rsidRPr="00B95753" w:rsidRDefault="00B42297" w:rsidP="006018AA">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EU Guidelines for the application of State aid rules in relation to the rapid deployment of broadband networks (2013/C 25/01).</w:t>
      </w:r>
    </w:p>
  </w:footnote>
  <w:footnote w:id="241">
    <w:p w14:paraId="727BCB40" w14:textId="77777777" w:rsidR="00B42297" w:rsidRPr="00B95753" w:rsidRDefault="00B42297" w:rsidP="006018AA">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hAnsi="Times New Roman" w:cs="Times New Roman"/>
          <w:i/>
          <w:sz w:val="20"/>
          <w:szCs w:val="20"/>
        </w:rPr>
        <w:t>See</w:t>
      </w:r>
      <w:r w:rsidRPr="00B95753">
        <w:rPr>
          <w:rFonts w:ascii="Times New Roman" w:hAnsi="Times New Roman" w:cs="Times New Roman"/>
          <w:sz w:val="20"/>
          <w:szCs w:val="20"/>
        </w:rPr>
        <w:t xml:space="preserve"> http://ec.europa.eu/competition/sectors/telecommunications/broadband_decisions.pdf</w:t>
      </w:r>
    </w:p>
  </w:footnote>
  <w:footnote w:id="242">
    <w:p w14:paraId="123145AC" w14:textId="77777777" w:rsidR="00B42297" w:rsidRPr="00B95753" w:rsidRDefault="00B42297" w:rsidP="006018AA">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Case C 35/2005, Broadband development </w:t>
      </w:r>
      <w:proofErr w:type="spellStart"/>
      <w:r w:rsidRPr="00B95753">
        <w:rPr>
          <w:rFonts w:ascii="Times New Roman" w:hAnsi="Times New Roman" w:cs="Times New Roman"/>
          <w:sz w:val="20"/>
          <w:szCs w:val="20"/>
        </w:rPr>
        <w:t>Appingedam</w:t>
      </w:r>
      <w:proofErr w:type="spellEnd"/>
      <w:r w:rsidRPr="00B95753">
        <w:rPr>
          <w:rFonts w:ascii="Times New Roman" w:hAnsi="Times New Roman" w:cs="Times New Roman"/>
          <w:sz w:val="20"/>
          <w:szCs w:val="20"/>
        </w:rPr>
        <w:t>, Commission decision of 19.07.2006.</w:t>
      </w:r>
    </w:p>
  </w:footnote>
  <w:footnote w:id="243">
    <w:p w14:paraId="074A8EDC" w14:textId="77777777" w:rsidR="00B42297" w:rsidRPr="00B95753" w:rsidRDefault="00B42297" w:rsidP="00353C96">
      <w:pPr>
        <w:pStyle w:val="FootnoteText"/>
        <w:jc w:val="both"/>
        <w:rPr>
          <w:rFonts w:ascii="Times New Roman" w:hAnsi="Times New Roman" w:cs="Times New Roman"/>
          <w:i/>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B95753">
        <w:rPr>
          <w:rFonts w:ascii="Times New Roman" w:hAnsi="Times New Roman" w:cs="Times New Roman"/>
          <w:i/>
          <w:sz w:val="20"/>
          <w:szCs w:val="20"/>
        </w:rPr>
        <w:t xml:space="preserve">See </w:t>
      </w:r>
      <w:r w:rsidRPr="00B95753">
        <w:rPr>
          <w:rFonts w:ascii="Times New Roman" w:hAnsi="Times New Roman" w:cs="Times New Roman"/>
          <w:sz w:val="20"/>
          <w:szCs w:val="20"/>
        </w:rPr>
        <w:t xml:space="preserve">Martin Cave, “Encouraging infrastructure competition via the ladder of investment”, </w:t>
      </w:r>
      <w:r w:rsidRPr="00B95753">
        <w:rPr>
          <w:rFonts w:ascii="Times New Roman" w:hAnsi="Times New Roman" w:cs="Times New Roman"/>
          <w:i/>
          <w:sz w:val="20"/>
          <w:szCs w:val="20"/>
        </w:rPr>
        <w:t>Telecommunications Policy</w:t>
      </w:r>
      <w:r w:rsidRPr="00B95753">
        <w:rPr>
          <w:rFonts w:ascii="Times New Roman" w:hAnsi="Times New Roman" w:cs="Times New Roman"/>
          <w:sz w:val="20"/>
          <w:szCs w:val="20"/>
        </w:rPr>
        <w:t xml:space="preserve">, Volume 30, Issues 3–4, April–May 2006, Pages 223-237; </w:t>
      </w:r>
      <w:proofErr w:type="spellStart"/>
      <w:r w:rsidRPr="00B95753">
        <w:rPr>
          <w:rFonts w:ascii="Times New Roman" w:hAnsi="Times New Roman" w:cs="Times New Roman"/>
          <w:sz w:val="20"/>
          <w:szCs w:val="20"/>
        </w:rPr>
        <w:t>Bourreau</w:t>
      </w:r>
      <w:proofErr w:type="spellEnd"/>
      <w:r w:rsidRPr="00B95753">
        <w:rPr>
          <w:rFonts w:ascii="Times New Roman" w:hAnsi="Times New Roman" w:cs="Times New Roman"/>
          <w:sz w:val="20"/>
          <w:szCs w:val="20"/>
        </w:rPr>
        <w:t xml:space="preserve">, Marc, Pinar Doan, and Matthieu </w:t>
      </w:r>
      <w:proofErr w:type="spellStart"/>
      <w:r w:rsidRPr="00B95753">
        <w:rPr>
          <w:rFonts w:ascii="Times New Roman" w:hAnsi="Times New Roman" w:cs="Times New Roman"/>
          <w:sz w:val="20"/>
          <w:szCs w:val="20"/>
        </w:rPr>
        <w:t>Manant</w:t>
      </w:r>
      <w:proofErr w:type="spellEnd"/>
      <w:r w:rsidRPr="00B95753">
        <w:rPr>
          <w:rFonts w:ascii="Times New Roman" w:hAnsi="Times New Roman" w:cs="Times New Roman"/>
          <w:sz w:val="20"/>
          <w:szCs w:val="20"/>
        </w:rPr>
        <w:t xml:space="preserve">. 2010, “A Critical Review of the "Ladder Investment" Approach”, </w:t>
      </w:r>
      <w:r w:rsidRPr="00B95753">
        <w:rPr>
          <w:rFonts w:ascii="Times New Roman" w:hAnsi="Times New Roman" w:cs="Times New Roman"/>
          <w:i/>
          <w:sz w:val="20"/>
          <w:szCs w:val="20"/>
        </w:rPr>
        <w:t>Telecommunications Policy</w:t>
      </w:r>
      <w:r w:rsidRPr="00B95753">
        <w:rPr>
          <w:rFonts w:ascii="Times New Roman" w:hAnsi="Times New Roman" w:cs="Times New Roman"/>
          <w:sz w:val="20"/>
          <w:szCs w:val="20"/>
        </w:rPr>
        <w:t xml:space="preserve"> 34(11):683-696.</w:t>
      </w:r>
    </w:p>
  </w:footnote>
  <w:footnote w:id="244">
    <w:p w14:paraId="52574A50" w14:textId="77777777" w:rsidR="00B42297" w:rsidRPr="001A71EF" w:rsidRDefault="00B42297" w:rsidP="007107E0">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093A9A">
        <w:rPr>
          <w:rFonts w:ascii="Times New Roman" w:hAnsi="Times New Roman" w:cs="Times New Roman"/>
          <w:sz w:val="20"/>
          <w:szCs w:val="20"/>
        </w:rPr>
        <w:t xml:space="preserve"> Telecommunications Code, Article 23.</w:t>
      </w:r>
    </w:p>
  </w:footnote>
  <w:footnote w:id="245">
    <w:p w14:paraId="0B8FEAEC" w14:textId="77777777" w:rsidR="00B42297" w:rsidRPr="00B95753" w:rsidRDefault="00B42297" w:rsidP="005E569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F41149">
        <w:rPr>
          <w:rFonts w:ascii="Times New Roman" w:hAnsi="Times New Roman" w:cs="Times New Roman"/>
          <w:sz w:val="20"/>
          <w:szCs w:val="20"/>
          <w:lang w:val="fr-FR"/>
        </w:rPr>
        <w:t xml:space="preserve"> </w:t>
      </w:r>
      <w:proofErr w:type="spellStart"/>
      <w:r w:rsidRPr="00F41149">
        <w:rPr>
          <w:rFonts w:ascii="Times New Roman" w:hAnsi="Times New Roman" w:cs="Times New Roman"/>
          <w:sz w:val="20"/>
          <w:szCs w:val="20"/>
          <w:lang w:val="fr-FR"/>
        </w:rPr>
        <w:t>SocialNetLink</w:t>
      </w:r>
      <w:proofErr w:type="spellEnd"/>
      <w:r w:rsidRPr="00F41149">
        <w:rPr>
          <w:rFonts w:ascii="Times New Roman" w:hAnsi="Times New Roman" w:cs="Times New Roman"/>
          <w:sz w:val="20"/>
          <w:szCs w:val="20"/>
          <w:lang w:val="fr-FR"/>
        </w:rPr>
        <w:t xml:space="preserve">. 2017. </w:t>
      </w:r>
      <w:r w:rsidRPr="00F41149">
        <w:rPr>
          <w:rFonts w:ascii="Times New Roman" w:hAnsi="Times New Roman" w:cs="Times New Roman"/>
          <w:i/>
          <w:sz w:val="20"/>
          <w:szCs w:val="20"/>
          <w:lang w:val="fr-FR"/>
        </w:rPr>
        <w:t>Plus de 950 millions pour l’acquisition des trois licences FAI au Sénégal</w:t>
      </w:r>
      <w:r w:rsidRPr="00F41149">
        <w:rPr>
          <w:rFonts w:ascii="Times New Roman" w:hAnsi="Times New Roman" w:cs="Times New Roman"/>
          <w:sz w:val="20"/>
          <w:szCs w:val="20"/>
          <w:lang w:val="fr-FR"/>
        </w:rPr>
        <w:t xml:space="preserve">. </w:t>
      </w:r>
      <w:r w:rsidRPr="00B95753">
        <w:rPr>
          <w:rFonts w:ascii="Times New Roman" w:hAnsi="Times New Roman" w:cs="Times New Roman"/>
          <w:sz w:val="20"/>
          <w:szCs w:val="20"/>
        </w:rPr>
        <w:t>Available at https://www.socialnetlink.org/2017/02/plus-de-950-millions-pour-lacquisition-des-trois-licences-fai-au-senegal/</w:t>
      </w:r>
    </w:p>
  </w:footnote>
  <w:footnote w:id="246">
    <w:p w14:paraId="54847AB8"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Telecommunications</w:t>
      </w:r>
      <w:proofErr w:type="spellEnd"/>
      <w:r w:rsidRPr="007575D7">
        <w:rPr>
          <w:rFonts w:ascii="Times New Roman" w:hAnsi="Times New Roman" w:cs="Times New Roman"/>
          <w:sz w:val="20"/>
          <w:szCs w:val="20"/>
          <w:lang w:val="fr-FR"/>
        </w:rPr>
        <w:t xml:space="preserve"> Code, Article 72.</w:t>
      </w:r>
    </w:p>
  </w:footnote>
  <w:footnote w:id="247">
    <w:p w14:paraId="7964D9F4"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Telecommunications</w:t>
      </w:r>
      <w:proofErr w:type="spellEnd"/>
      <w:r w:rsidRPr="007575D7">
        <w:rPr>
          <w:rFonts w:ascii="Times New Roman" w:hAnsi="Times New Roman" w:cs="Times New Roman"/>
          <w:sz w:val="20"/>
          <w:szCs w:val="20"/>
          <w:lang w:val="fr-FR"/>
        </w:rPr>
        <w:t xml:space="preserve"> Code, Article 77.</w:t>
      </w:r>
    </w:p>
  </w:footnote>
  <w:footnote w:id="248">
    <w:p w14:paraId="2D0A622C"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Agence Ecofin. 2016. </w:t>
      </w:r>
      <w:r w:rsidRPr="007575D7">
        <w:rPr>
          <w:rFonts w:ascii="Times New Roman" w:hAnsi="Times New Roman" w:cs="Times New Roman"/>
          <w:i/>
          <w:sz w:val="20"/>
          <w:szCs w:val="20"/>
          <w:lang w:val="fr-FR"/>
        </w:rPr>
        <w:t>Selon Sonatel, la licence 4G au Sénégal vaut 14,5 milliards Fcfa et non 30 milliards Fcfa.</w:t>
      </w:r>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 xml:space="preserve">Available at </w:t>
      </w:r>
      <w:hyperlink r:id="rId23" w:history="1">
        <w:r w:rsidRPr="00B95753">
          <w:rPr>
            <w:rStyle w:val="Hyperlink"/>
            <w:rFonts w:ascii="Times New Roman" w:hAnsi="Times New Roman" w:cs="Times New Roman"/>
            <w:sz w:val="20"/>
            <w:szCs w:val="20"/>
          </w:rPr>
          <w:t>http://www.agenceecofin.com/operateur/2001-35241-selon-sonatel-la-licence-4g-au-senegal-vaut-14-5-milliards-fcfa-et-non-30-milliards-fcfa</w:t>
        </w:r>
      </w:hyperlink>
      <w:r w:rsidRPr="00B95753">
        <w:rPr>
          <w:rStyle w:val="Hyperlink"/>
          <w:rFonts w:ascii="Times New Roman" w:hAnsi="Times New Roman" w:cs="Times New Roman"/>
          <w:sz w:val="20"/>
          <w:szCs w:val="20"/>
        </w:rPr>
        <w:t xml:space="preserve">. </w:t>
      </w:r>
      <w:r w:rsidRPr="007575D7">
        <w:rPr>
          <w:rStyle w:val="Hyperlink"/>
          <w:rFonts w:ascii="Times New Roman" w:hAnsi="Times New Roman" w:cs="Times New Roman"/>
          <w:sz w:val="20"/>
          <w:szCs w:val="20"/>
          <w:lang w:val="fr-FR"/>
        </w:rPr>
        <w:t xml:space="preserve">The </w:t>
      </w:r>
      <w:proofErr w:type="spellStart"/>
      <w:r w:rsidRPr="007575D7">
        <w:rPr>
          <w:rStyle w:val="Hyperlink"/>
          <w:rFonts w:ascii="Times New Roman" w:hAnsi="Times New Roman" w:cs="Times New Roman"/>
          <w:sz w:val="20"/>
          <w:szCs w:val="20"/>
          <w:lang w:val="fr-FR"/>
        </w:rPr>
        <w:t>letter</w:t>
      </w:r>
      <w:proofErr w:type="spellEnd"/>
      <w:r w:rsidRPr="007575D7">
        <w:rPr>
          <w:rStyle w:val="Hyperlink"/>
          <w:rFonts w:ascii="Times New Roman" w:hAnsi="Times New Roman" w:cs="Times New Roman"/>
          <w:sz w:val="20"/>
          <w:szCs w:val="20"/>
          <w:lang w:val="fr-FR"/>
        </w:rPr>
        <w:t xml:space="preserve"> </w:t>
      </w:r>
      <w:proofErr w:type="spellStart"/>
      <w:proofErr w:type="gramStart"/>
      <w:r w:rsidRPr="007575D7">
        <w:rPr>
          <w:rStyle w:val="Hyperlink"/>
          <w:rFonts w:ascii="Times New Roman" w:hAnsi="Times New Roman" w:cs="Times New Roman"/>
          <w:sz w:val="20"/>
          <w:szCs w:val="20"/>
          <w:lang w:val="fr-FR"/>
        </w:rPr>
        <w:t>read</w:t>
      </w:r>
      <w:proofErr w:type="spellEnd"/>
      <w:r w:rsidRPr="007575D7">
        <w:rPr>
          <w:rStyle w:val="Hyperlink"/>
          <w:rFonts w:ascii="Times New Roman" w:hAnsi="Times New Roman" w:cs="Times New Roman"/>
          <w:sz w:val="20"/>
          <w:szCs w:val="20"/>
          <w:lang w:val="fr-FR"/>
        </w:rPr>
        <w:t>:</w:t>
      </w:r>
      <w:proofErr w:type="gramEnd"/>
      <w:r w:rsidRPr="007575D7">
        <w:rPr>
          <w:rStyle w:val="Hyperlink"/>
          <w:rFonts w:ascii="Times New Roman" w:hAnsi="Times New Roman" w:cs="Times New Roman"/>
          <w:sz w:val="20"/>
          <w:szCs w:val="20"/>
          <w:lang w:val="fr-FR"/>
        </w:rPr>
        <w:t xml:space="preserve"> « A titre d’exemple, au Maroc, 2 des 3 opérateurs ont payé l’équivalent de 30 milliards  FCFA alors que ce pays est 2,5 fois plus peuplé que le Sénégal et 3,5 fois plus riche. Sous ce rapport, le prix total des licences 4G au Sénégal serait évalué autour </w:t>
      </w:r>
      <w:proofErr w:type="gramStart"/>
      <w:r w:rsidRPr="007575D7">
        <w:rPr>
          <w:rStyle w:val="Hyperlink"/>
          <w:rFonts w:ascii="Times New Roman" w:hAnsi="Times New Roman" w:cs="Times New Roman"/>
          <w:sz w:val="20"/>
          <w:szCs w:val="20"/>
          <w:lang w:val="fr-FR"/>
        </w:rPr>
        <w:t>de  14</w:t>
      </w:r>
      <w:proofErr w:type="gramEnd"/>
      <w:r w:rsidRPr="007575D7">
        <w:rPr>
          <w:rStyle w:val="Hyperlink"/>
          <w:rFonts w:ascii="Times New Roman" w:hAnsi="Times New Roman" w:cs="Times New Roman"/>
          <w:sz w:val="20"/>
          <w:szCs w:val="20"/>
          <w:lang w:val="fr-FR"/>
        </w:rPr>
        <w:t>,5 milliards FCFA »</w:t>
      </w:r>
      <w:r w:rsidRPr="007575D7">
        <w:rPr>
          <w:rFonts w:ascii="Times New Roman" w:hAnsi="Times New Roman" w:cs="Times New Roman"/>
          <w:sz w:val="20"/>
          <w:szCs w:val="20"/>
          <w:lang w:val="fr-FR"/>
        </w:rPr>
        <w:t xml:space="preserve"> </w:t>
      </w:r>
    </w:p>
  </w:footnote>
  <w:footnote w:id="249">
    <w:p w14:paraId="026507A2"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Enquete</w:t>
      </w:r>
      <w:proofErr w:type="spellEnd"/>
      <w:r w:rsidRPr="007575D7">
        <w:rPr>
          <w:rFonts w:ascii="Times New Roman" w:hAnsi="Times New Roman" w:cs="Times New Roman"/>
          <w:sz w:val="20"/>
          <w:szCs w:val="20"/>
          <w:lang w:val="fr-FR"/>
        </w:rPr>
        <w:t xml:space="preserve"> Plus. 2016. </w:t>
      </w:r>
      <w:r w:rsidRPr="007575D7">
        <w:rPr>
          <w:rFonts w:ascii="Times New Roman" w:hAnsi="Times New Roman" w:cs="Times New Roman"/>
          <w:i/>
          <w:sz w:val="20"/>
          <w:szCs w:val="20"/>
          <w:lang w:val="fr-FR"/>
        </w:rPr>
        <w:t>Orange, Tigo et Expresso exclus du processus</w:t>
      </w:r>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 xml:space="preserve">Available at </w:t>
      </w:r>
      <w:hyperlink r:id="rId24" w:history="1">
        <w:r w:rsidRPr="00B95753">
          <w:rPr>
            <w:rStyle w:val="Hyperlink"/>
            <w:rFonts w:ascii="Times New Roman" w:hAnsi="Times New Roman" w:cs="Times New Roman"/>
            <w:sz w:val="20"/>
            <w:szCs w:val="20"/>
          </w:rPr>
          <w:t>http://www.enqueteplus.com/content/attribution-de-la-licence-4g-au-s%C3%A9n%C3%A9gal-orange-tigo-et-expresso-exclus-du-processus</w:t>
        </w:r>
      </w:hyperlink>
      <w:r w:rsidRPr="00B95753">
        <w:rPr>
          <w:rStyle w:val="Hyperlink"/>
          <w:rFonts w:ascii="Times New Roman" w:hAnsi="Times New Roman" w:cs="Times New Roman"/>
          <w:sz w:val="20"/>
          <w:szCs w:val="20"/>
        </w:rPr>
        <w:t xml:space="preserve"> </w:t>
      </w:r>
    </w:p>
  </w:footnote>
  <w:footnote w:id="250">
    <w:p w14:paraId="78E27690"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Décret n° 2016-1081 du 03 août 2016, cf. article 3. </w:t>
      </w:r>
      <w:r w:rsidRPr="00B95753">
        <w:rPr>
          <w:rFonts w:ascii="Times New Roman" w:hAnsi="Times New Roman" w:cs="Times New Roman"/>
          <w:sz w:val="20"/>
          <w:szCs w:val="20"/>
        </w:rPr>
        <w:t xml:space="preserve">Available at </w:t>
      </w:r>
      <w:hyperlink r:id="rId25" w:history="1">
        <w:r w:rsidRPr="00B95753">
          <w:rPr>
            <w:rStyle w:val="Hyperlink"/>
            <w:rFonts w:ascii="Times New Roman" w:hAnsi="Times New Roman" w:cs="Times New Roman"/>
            <w:sz w:val="20"/>
            <w:szCs w:val="20"/>
          </w:rPr>
          <w:t>http://www.jo.gouv.sn/spip.php?article10896</w:t>
        </w:r>
      </w:hyperlink>
    </w:p>
  </w:footnote>
  <w:footnote w:id="251">
    <w:p w14:paraId="22EB72AB" w14:textId="77777777" w:rsidR="00B42297" w:rsidRPr="00B95753" w:rsidRDefault="00B42297" w:rsidP="006018AA">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https://www.thisdaylive.com/index.php/2016/04/21/bitflux-begins-commercial-rollout-of-2-3ghz-services/</w:t>
      </w:r>
    </w:p>
  </w:footnote>
  <w:footnote w:id="252">
    <w:p w14:paraId="3D9ADA5F" w14:textId="77777777" w:rsidR="00B42297" w:rsidRPr="00B95753" w:rsidRDefault="00B42297" w:rsidP="006018AA">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https://manypossibilities.net/2017/04/the-failure-of-spectrum-auctions-in-africa/</w:t>
      </w:r>
    </w:p>
  </w:footnote>
  <w:footnote w:id="253">
    <w:p w14:paraId="78B83697" w14:textId="77777777" w:rsidR="00B42297" w:rsidRPr="007575D7" w:rsidRDefault="00B42297" w:rsidP="000E7834">
      <w:pPr>
        <w:pStyle w:val="FootnoteText"/>
        <w:rPr>
          <w:rFonts w:ascii="Times New Roman" w:hAnsi="Times New Roman" w:cs="Times New Roman"/>
          <w:sz w:val="20"/>
          <w:szCs w:val="20"/>
        </w:rPr>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Article 309(j)(3)(B) of the Communications Act of 1934, Pub. L. No. 73-416, 48 Stat. 1064 (codified with amendments in sections of 47 U.S.C.).</w:t>
      </w:r>
    </w:p>
  </w:footnote>
  <w:footnote w:id="254">
    <w:p w14:paraId="4E133504" w14:textId="77777777" w:rsidR="00B42297" w:rsidRDefault="00B42297" w:rsidP="000E7834">
      <w:pPr>
        <w:pStyle w:val="FootnoteText"/>
      </w:pPr>
      <w:r w:rsidRPr="007575D7">
        <w:rPr>
          <w:rStyle w:val="FootnoteReference"/>
          <w:rFonts w:ascii="Times New Roman" w:hAnsi="Times New Roman" w:cs="Times New Roman"/>
          <w:sz w:val="20"/>
          <w:szCs w:val="20"/>
        </w:rPr>
        <w:footnoteRef/>
      </w:r>
      <w:r w:rsidRPr="007575D7">
        <w:rPr>
          <w:rFonts w:ascii="Times New Roman" w:hAnsi="Times New Roman" w:cs="Times New Roman"/>
          <w:sz w:val="20"/>
          <w:szCs w:val="20"/>
        </w:rPr>
        <w:t xml:space="preserve"> FCC, Policies Regarding Mobile Spectrum Holdings, WT Docket No. 12-269, Report and Order, FCC 14-63, p. 105.</w:t>
      </w:r>
    </w:p>
  </w:footnote>
  <w:footnote w:id="255">
    <w:p w14:paraId="51E5C586" w14:textId="5051144F"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Union Économique et Monétaire Ouest Africaine (UEMOA)</w:t>
      </w:r>
    </w:p>
  </w:footnote>
  <w:footnote w:id="256">
    <w:p w14:paraId="76D7952C" w14:textId="7466E6A6"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Communauté économique des États de l'Afrique de l'Ouest (CEDEAO).</w:t>
      </w:r>
    </w:p>
  </w:footnote>
  <w:footnote w:id="257">
    <w:p w14:paraId="47829D9D" w14:textId="453D17E2" w:rsidR="00B42297" w:rsidRPr="00B95753" w:rsidRDefault="00B42297" w:rsidP="006018AA">
      <w:pPr>
        <w:pStyle w:val="FootnoteText"/>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See Box 1</w:t>
      </w:r>
      <w:r>
        <w:rPr>
          <w:rFonts w:ascii="Times New Roman" w:hAnsi="Times New Roman" w:cs="Times New Roman"/>
          <w:sz w:val="20"/>
          <w:szCs w:val="20"/>
        </w:rPr>
        <w:t>7</w:t>
      </w:r>
      <w:r w:rsidRPr="00B95753">
        <w:rPr>
          <w:rFonts w:ascii="Times New Roman" w:hAnsi="Times New Roman" w:cs="Times New Roman"/>
          <w:sz w:val="20"/>
          <w:szCs w:val="20"/>
        </w:rPr>
        <w:t xml:space="preserve"> above.</w:t>
      </w:r>
    </w:p>
  </w:footnote>
  <w:footnote w:id="258">
    <w:p w14:paraId="78E567C6"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Law No. 98–29 of 14 April 1998 on electricity in Senegal and Bill No. 2011–01 of 24 February 2011 concerning the Telecommunications Code. Pursuant to the latter: “in case of anticompetitive practices in the telecommunications sector and notwithstanding article 9 of Bill No. 94–63 of 22 August 1994 on prices, competition and economic disputes, without prejudice to the powers of WAEMU and ECOWAS Community institutions, operators are seizing the regulatory authority of such practices. The Regulatory Authority issues a decision on the reality of these anticompetitive practices after hearing concerned. The decision of the Regulatory Authority may be challenged before the High Administrative Court and before any competent Community institution after exhausting all domestic remedies.”</w:t>
      </w:r>
    </w:p>
  </w:footnote>
  <w:footnote w:id="259">
    <w:p w14:paraId="13CB0BAC"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Law No. 2002-23, Article 4.</w:t>
      </w:r>
    </w:p>
  </w:footnote>
  <w:footnote w:id="260">
    <w:p w14:paraId="6F8B78F5"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Law No. 2002-23, Article 5.</w:t>
      </w:r>
    </w:p>
  </w:footnote>
  <w:footnote w:id="261">
    <w:p w14:paraId="54AC470A"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Article 90 of the WAEMU Treaty.</w:t>
      </w:r>
    </w:p>
  </w:footnote>
  <w:footnote w:id="262">
    <w:p w14:paraId="702E242B"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352E8826" w14:textId="77777777" w:rsidR="00B42297" w:rsidRPr="007575D7" w:rsidRDefault="00B42297" w:rsidP="006018AA">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4</w:t>
      </w:r>
    </w:p>
  </w:footnote>
  <w:footnote w:id="263">
    <w:p w14:paraId="5529DD77"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4221F8E5" w14:textId="77777777" w:rsidR="00B42297" w:rsidRPr="00B95753" w:rsidRDefault="00B42297" w:rsidP="006018AA">
      <w:pPr>
        <w:pStyle w:val="FootnoteText"/>
        <w:jc w:val="both"/>
        <w:rPr>
          <w:rFonts w:ascii="Times New Roman" w:hAnsi="Times New Roman" w:cs="Times New Roman"/>
          <w:sz w:val="20"/>
          <w:szCs w:val="20"/>
        </w:rPr>
      </w:pPr>
      <w:r w:rsidRPr="007575D7">
        <w:rPr>
          <w:rFonts w:ascii="Times New Roman" w:hAnsi="Times New Roman" w:cs="Times New Roman"/>
          <w:sz w:val="20"/>
          <w:szCs w:val="20"/>
          <w:lang w:val="fr-FR"/>
        </w:rPr>
        <w:t xml:space="preserve">88, 89 et 90 du Traité de l’UEMOA, Article 5.2. </w:t>
      </w:r>
      <w:r w:rsidRPr="00B95753">
        <w:rPr>
          <w:rFonts w:ascii="Times New Roman" w:hAnsi="Times New Roman" w:cs="Times New Roman"/>
          <w:sz w:val="20"/>
          <w:szCs w:val="20"/>
        </w:rPr>
        <w:t>The Commission also has exclusive competence to investigate and adopt decisions on the matters referred in the Regulations: 02/2002/CM/UEMOA on anticompetitive practices within WAEMU; N° 03/2002/CM/UEMOA, on the procedural rules applicable to anticompetitive agreements and abuses of dominance within WAEMU; and N° 04/2002/CM/UEMOA regarding State aids within WAEMU and the criteria for applying Article 88 (c) of the WAEMU Treaty concerning illegal aid (Article 5.4).</w:t>
      </w:r>
    </w:p>
  </w:footnote>
  <w:footnote w:id="264">
    <w:p w14:paraId="2C563ACA"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28.4</w:t>
      </w:r>
    </w:p>
  </w:footnote>
  <w:footnote w:id="265">
    <w:p w14:paraId="031A29CF"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1DC2962F" w14:textId="77777777" w:rsidR="00B42297" w:rsidRPr="007575D7" w:rsidRDefault="00B42297" w:rsidP="006018AA">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3.1</w:t>
      </w:r>
    </w:p>
  </w:footnote>
  <w:footnote w:id="266">
    <w:p w14:paraId="4D085474"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539CCCA4" w14:textId="77777777" w:rsidR="00B42297" w:rsidRPr="007575D7" w:rsidRDefault="00B42297" w:rsidP="006018AA">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3.4</w:t>
      </w:r>
    </w:p>
  </w:footnote>
  <w:footnote w:id="267">
    <w:p w14:paraId="41639C00"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25647F79" w14:textId="77777777" w:rsidR="00B42297" w:rsidRPr="007575D7" w:rsidRDefault="00B42297" w:rsidP="006018AA">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5.3</w:t>
      </w:r>
    </w:p>
  </w:footnote>
  <w:footnote w:id="268">
    <w:p w14:paraId="1B7B05C6"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599934FA" w14:textId="77777777" w:rsidR="00B42297" w:rsidRPr="007575D7" w:rsidRDefault="00B42297" w:rsidP="006018AA">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3.3</w:t>
      </w:r>
    </w:p>
  </w:footnote>
  <w:footnote w:id="269">
    <w:p w14:paraId="65922F90"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75.</w:t>
      </w:r>
    </w:p>
  </w:footnote>
  <w:footnote w:id="270">
    <w:p w14:paraId="343791DD"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76.</w:t>
      </w:r>
    </w:p>
  </w:footnote>
  <w:footnote w:id="271">
    <w:p w14:paraId="52E38A00"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WBG, Republic of Senegal. 2016. </w:t>
      </w:r>
      <w:r w:rsidRPr="00B95753">
        <w:rPr>
          <w:rFonts w:ascii="Times New Roman" w:hAnsi="Times New Roman" w:cs="Times New Roman"/>
          <w:i/>
          <w:sz w:val="20"/>
          <w:szCs w:val="20"/>
        </w:rPr>
        <w:t xml:space="preserve">An Assessment of the </w:t>
      </w:r>
      <w:proofErr w:type="gramStart"/>
      <w:r w:rsidRPr="00B95753">
        <w:rPr>
          <w:rFonts w:ascii="Times New Roman" w:hAnsi="Times New Roman" w:cs="Times New Roman"/>
          <w:i/>
          <w:sz w:val="20"/>
          <w:szCs w:val="20"/>
        </w:rPr>
        <w:t>Short Term</w:t>
      </w:r>
      <w:proofErr w:type="gramEnd"/>
      <w:r w:rsidRPr="00B95753">
        <w:rPr>
          <w:rFonts w:ascii="Times New Roman" w:hAnsi="Times New Roman" w:cs="Times New Roman"/>
          <w:i/>
          <w:sz w:val="20"/>
          <w:szCs w:val="20"/>
        </w:rPr>
        <w:t xml:space="preserve"> Impact of the ECOWAS-CET and EU-EPA in Senegal</w:t>
      </w:r>
      <w:r w:rsidRPr="00B95753">
        <w:rPr>
          <w:rFonts w:ascii="Times New Roman" w:hAnsi="Times New Roman" w:cs="Times New Roman"/>
          <w:sz w:val="20"/>
          <w:szCs w:val="20"/>
        </w:rPr>
        <w:t>, p. 15</w:t>
      </w:r>
    </w:p>
  </w:footnote>
  <w:footnote w:id="272">
    <w:p w14:paraId="7E31FD1C"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Arguing that not a single domestic competition authority effectively enforced its national competition law even before WAEMU’s competition law became effective: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 7</w:t>
      </w:r>
    </w:p>
  </w:footnote>
  <w:footnote w:id="273">
    <w:p w14:paraId="5EC81694" w14:textId="77777777" w:rsidR="00B42297" w:rsidRPr="00B95753" w:rsidRDefault="00B42297" w:rsidP="006018AA">
      <w:pPr>
        <w:pStyle w:val="FootnoteText"/>
        <w:jc w:val="both"/>
        <w:rPr>
          <w:rFonts w:ascii="Times New Roman" w:hAnsi="Times New Roman" w:cs="Times New Roman"/>
          <w:i/>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Malick</w:t>
      </w:r>
      <w:proofErr w:type="spellEnd"/>
      <w:r w:rsidRPr="00B95753">
        <w:rPr>
          <w:rFonts w:ascii="Times New Roman" w:hAnsi="Times New Roman" w:cs="Times New Roman"/>
          <w:sz w:val="20"/>
          <w:szCs w:val="20"/>
        </w:rPr>
        <w:t xml:space="preserve"> Diallo. 2013. </w:t>
      </w:r>
      <w:r w:rsidRPr="00B95753">
        <w:rPr>
          <w:rFonts w:ascii="Times New Roman" w:hAnsi="Times New Roman" w:cs="Times New Roman"/>
          <w:i/>
          <w:sz w:val="20"/>
          <w:szCs w:val="20"/>
        </w:rPr>
        <w:t>Senegal: Competition Commission</w:t>
      </w:r>
      <w:r w:rsidRPr="00B95753">
        <w:rPr>
          <w:rFonts w:ascii="Times New Roman" w:hAnsi="Times New Roman" w:cs="Times New Roman"/>
          <w:sz w:val="20"/>
          <w:szCs w:val="20"/>
        </w:rPr>
        <w:t>, The African and Middle Eastern Antitrust Review 2014</w:t>
      </w:r>
    </w:p>
  </w:footnote>
  <w:footnote w:id="274">
    <w:p w14:paraId="3D170BE6"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Malick</w:t>
      </w:r>
      <w:proofErr w:type="spellEnd"/>
      <w:r w:rsidRPr="00B95753">
        <w:rPr>
          <w:rFonts w:ascii="Times New Roman" w:hAnsi="Times New Roman" w:cs="Times New Roman"/>
          <w:sz w:val="20"/>
          <w:szCs w:val="20"/>
        </w:rPr>
        <w:t xml:space="preserve"> Diallo. 2013. </w:t>
      </w:r>
      <w:r w:rsidRPr="00B95753">
        <w:rPr>
          <w:rFonts w:ascii="Times New Roman" w:hAnsi="Times New Roman" w:cs="Times New Roman"/>
          <w:i/>
          <w:sz w:val="20"/>
          <w:szCs w:val="20"/>
        </w:rPr>
        <w:t>Senegal: Competition Commission</w:t>
      </w:r>
      <w:r w:rsidRPr="00B95753">
        <w:rPr>
          <w:rFonts w:ascii="Times New Roman" w:hAnsi="Times New Roman" w:cs="Times New Roman"/>
          <w:sz w:val="20"/>
          <w:szCs w:val="20"/>
        </w:rPr>
        <w:t>, The African and Middle Eastern Antitrust Review 2014</w:t>
      </w:r>
    </w:p>
  </w:footnote>
  <w:footnote w:id="275">
    <w:p w14:paraId="3830521E"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Jeune Afrique. 2003. </w:t>
      </w:r>
      <w:r w:rsidRPr="007575D7">
        <w:rPr>
          <w:rFonts w:ascii="Times New Roman" w:hAnsi="Times New Roman" w:cs="Times New Roman"/>
          <w:i/>
          <w:sz w:val="20"/>
          <w:szCs w:val="20"/>
          <w:lang w:val="fr-FR"/>
        </w:rPr>
        <w:t>Air France condamnée au Sénégal</w:t>
      </w:r>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Available at http://www.jeuneafrique.com/68410/archives-thematique/air-france-condamn-e-au-s-n-gal/</w:t>
      </w:r>
    </w:p>
  </w:footnote>
  <w:footnote w:id="276">
    <w:p w14:paraId="30CB2164" w14:textId="77777777" w:rsidR="00B42297" w:rsidRPr="00B95753" w:rsidRDefault="00B42297" w:rsidP="006018AA">
      <w:pPr>
        <w:pStyle w:val="FootnoteText"/>
        <w:jc w:val="both"/>
        <w:rPr>
          <w:rFonts w:ascii="Times New Roman" w:hAnsi="Times New Roman" w:cs="Times New Roman"/>
          <w:i/>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Malick</w:t>
      </w:r>
      <w:proofErr w:type="spellEnd"/>
      <w:r w:rsidRPr="00B95753">
        <w:rPr>
          <w:rFonts w:ascii="Times New Roman" w:hAnsi="Times New Roman" w:cs="Times New Roman"/>
          <w:sz w:val="20"/>
          <w:szCs w:val="20"/>
        </w:rPr>
        <w:t xml:space="preserve"> Diallo. 2013. </w:t>
      </w:r>
      <w:r w:rsidRPr="00B95753">
        <w:rPr>
          <w:rFonts w:ascii="Times New Roman" w:hAnsi="Times New Roman" w:cs="Times New Roman"/>
          <w:i/>
          <w:sz w:val="20"/>
          <w:szCs w:val="20"/>
        </w:rPr>
        <w:t>Senegal: Competition Commission</w:t>
      </w:r>
      <w:r w:rsidRPr="00B95753">
        <w:rPr>
          <w:rFonts w:ascii="Times New Roman" w:hAnsi="Times New Roman" w:cs="Times New Roman"/>
          <w:sz w:val="20"/>
          <w:szCs w:val="20"/>
        </w:rPr>
        <w:t xml:space="preserve">, The African and Middle Eastern Antitrust Review 2014. </w:t>
      </w:r>
    </w:p>
  </w:footnote>
  <w:footnote w:id="277">
    <w:p w14:paraId="7BCCC0A8"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pp. 11-12.</w:t>
      </w:r>
    </w:p>
  </w:footnote>
  <w:footnote w:id="278">
    <w:p w14:paraId="7907EA3C" w14:textId="77777777"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Makhfou Mahécor DIOUF, Commissaire aux enquêtes économiques, Secrétaire général de la Commission de la Concurrence du Sénégal, “Plaidoyer pour le renforcement des politiques de la concurrence : le cas de la Commission nationale de la Concurrence du Sénégal”, 08 décembre 2016.</w:t>
      </w:r>
    </w:p>
  </w:footnote>
  <w:footnote w:id="279">
    <w:p w14:paraId="3FB1EDB8"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pp. 4-5.</w:t>
      </w:r>
    </w:p>
  </w:footnote>
  <w:footnote w:id="280">
    <w:p w14:paraId="27F9714E"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There are, however, two ongoing cases related to the abuse of dominance: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2011. </w:t>
      </w:r>
      <w:r w:rsidRPr="00B95753">
        <w:rPr>
          <w:rFonts w:ascii="Times New Roman" w:hAnsi="Times New Roman" w:cs="Times New Roman"/>
          <w:i/>
          <w:sz w:val="20"/>
          <w:szCs w:val="20"/>
        </w:rPr>
        <w:t>Institutional Coherence and Effectivity of a Regional Competition Policy: the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w:t>
      </w:r>
      <w:proofErr w:type="gramStart"/>
      <w:r w:rsidRPr="00B95753">
        <w:rPr>
          <w:rFonts w:ascii="Times New Roman" w:hAnsi="Times New Roman" w:cs="Times New Roman"/>
          <w:sz w:val="20"/>
          <w:szCs w:val="20"/>
        </w:rPr>
        <w:t>17,  p.</w:t>
      </w:r>
      <w:proofErr w:type="gramEnd"/>
      <w:r w:rsidRPr="00B95753">
        <w:rPr>
          <w:rFonts w:ascii="Times New Roman" w:hAnsi="Times New Roman" w:cs="Times New Roman"/>
          <w:sz w:val="20"/>
          <w:szCs w:val="20"/>
        </w:rPr>
        <w:t xml:space="preserve"> 12.</w:t>
      </w:r>
    </w:p>
  </w:footnote>
  <w:footnote w:id="281">
    <w:p w14:paraId="277C7F6D"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 13.</w:t>
      </w:r>
    </w:p>
  </w:footnote>
  <w:footnote w:id="282">
    <w:p w14:paraId="6E313403"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i/>
          <w:sz w:val="20"/>
          <w:szCs w:val="20"/>
          <w:lang w:val="fr-FR"/>
        </w:rPr>
        <w:t>See</w:t>
      </w:r>
      <w:proofErr w:type="spellEnd"/>
      <w:r w:rsidRPr="007575D7">
        <w:rPr>
          <w:rFonts w:ascii="Times New Roman" w:hAnsi="Times New Roman" w:cs="Times New Roman"/>
          <w:i/>
          <w:sz w:val="20"/>
          <w:szCs w:val="20"/>
          <w:lang w:val="fr-FR"/>
        </w:rPr>
        <w:t xml:space="preserve"> </w:t>
      </w:r>
      <w:r w:rsidRPr="007575D7">
        <w:rPr>
          <w:rFonts w:ascii="Times New Roman" w:hAnsi="Times New Roman" w:cs="Times New Roman"/>
          <w:sz w:val="20"/>
          <w:szCs w:val="20"/>
          <w:lang w:val="fr-FR"/>
        </w:rPr>
        <w:t>Rapport 2002-2003 de la Commission Nationale de la Concurrence du Sénégal, ex vi</w:t>
      </w:r>
      <w:r w:rsidRPr="007575D7">
        <w:rPr>
          <w:rFonts w:ascii="Times New Roman" w:hAnsi="Times New Roman" w:cs="Times New Roman"/>
          <w:i/>
          <w:sz w:val="20"/>
          <w:szCs w:val="20"/>
          <w:lang w:val="fr-FR"/>
        </w:rPr>
        <w:t xml:space="preserve"> </w:t>
      </w:r>
      <w:r w:rsidRPr="007575D7">
        <w:rPr>
          <w:rFonts w:ascii="Times New Roman" w:hAnsi="Times New Roman" w:cs="Times New Roman"/>
          <w:sz w:val="20"/>
          <w:szCs w:val="20"/>
          <w:lang w:val="fr-FR"/>
        </w:rPr>
        <w:t xml:space="preserve">Mor Bakhoum and Julia </w:t>
      </w:r>
      <w:proofErr w:type="spellStart"/>
      <w:r w:rsidRPr="007575D7">
        <w:rPr>
          <w:rFonts w:ascii="Times New Roman" w:hAnsi="Times New Roman" w:cs="Times New Roman"/>
          <w:sz w:val="20"/>
          <w:szCs w:val="20"/>
          <w:lang w:val="fr-FR"/>
        </w:rPr>
        <w:t>Molestina</w:t>
      </w:r>
      <w:proofErr w:type="spellEnd"/>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 xml:space="preserve">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 4</w:t>
      </w:r>
    </w:p>
  </w:footnote>
  <w:footnote w:id="283">
    <w:p w14:paraId="70A558DD" w14:textId="77777777" w:rsidR="00B42297" w:rsidRPr="00B95753" w:rsidRDefault="00B42297" w:rsidP="006018AA">
      <w:pPr>
        <w:pStyle w:val="FootnoteText"/>
        <w:jc w:val="both"/>
        <w:rPr>
          <w:rFonts w:ascii="Times New Roman" w:hAnsi="Times New Roman" w:cs="Times New Roman"/>
          <w:i/>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Malick</w:t>
      </w:r>
      <w:proofErr w:type="spellEnd"/>
      <w:r w:rsidRPr="00B95753">
        <w:rPr>
          <w:rFonts w:ascii="Times New Roman" w:hAnsi="Times New Roman" w:cs="Times New Roman"/>
          <w:sz w:val="20"/>
          <w:szCs w:val="20"/>
        </w:rPr>
        <w:t xml:space="preserve"> Diallo. 2013. </w:t>
      </w:r>
      <w:r w:rsidRPr="00B95753">
        <w:rPr>
          <w:rFonts w:ascii="Times New Roman" w:hAnsi="Times New Roman" w:cs="Times New Roman"/>
          <w:i/>
          <w:sz w:val="20"/>
          <w:szCs w:val="20"/>
        </w:rPr>
        <w:t>Senegal: Competition Commission</w:t>
      </w:r>
      <w:r w:rsidRPr="00B95753">
        <w:rPr>
          <w:rFonts w:ascii="Times New Roman" w:hAnsi="Times New Roman" w:cs="Times New Roman"/>
          <w:sz w:val="20"/>
          <w:szCs w:val="20"/>
        </w:rPr>
        <w:t xml:space="preserve">, GCRI African and Middle Eastern Antitrust Review 2014. </w:t>
      </w:r>
    </w:p>
  </w:footnote>
  <w:footnote w:id="284">
    <w:p w14:paraId="124F0735" w14:textId="77777777" w:rsidR="00B42297" w:rsidRPr="00B95753" w:rsidRDefault="00B42297" w:rsidP="006018AA">
      <w:pPr>
        <w:pStyle w:val="FootnoteText"/>
        <w:jc w:val="both"/>
        <w:rPr>
          <w:rFonts w:ascii="Times New Roman" w:hAnsi="Times New Roman" w:cs="Times New Roman"/>
          <w:i/>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Malick</w:t>
      </w:r>
      <w:proofErr w:type="spellEnd"/>
      <w:r w:rsidRPr="00B95753">
        <w:rPr>
          <w:rFonts w:ascii="Times New Roman" w:hAnsi="Times New Roman" w:cs="Times New Roman"/>
          <w:sz w:val="20"/>
          <w:szCs w:val="20"/>
        </w:rPr>
        <w:t xml:space="preserve"> Diallo. 2013. </w:t>
      </w:r>
      <w:r w:rsidRPr="00B95753">
        <w:rPr>
          <w:rFonts w:ascii="Times New Roman" w:hAnsi="Times New Roman" w:cs="Times New Roman"/>
          <w:i/>
          <w:sz w:val="20"/>
          <w:szCs w:val="20"/>
        </w:rPr>
        <w:t>Senegal: Competition Commission</w:t>
      </w:r>
      <w:r w:rsidRPr="00B95753">
        <w:rPr>
          <w:rFonts w:ascii="Times New Roman" w:hAnsi="Times New Roman" w:cs="Times New Roman"/>
          <w:sz w:val="20"/>
          <w:szCs w:val="20"/>
        </w:rPr>
        <w:t xml:space="preserve">, GCRI African and Middle Eastern Antitrust Review 2014. </w:t>
      </w:r>
    </w:p>
  </w:footnote>
  <w:footnote w:id="285">
    <w:p w14:paraId="7CD42589" w14:textId="77777777" w:rsidR="00B42297" w:rsidRPr="00B95753" w:rsidRDefault="00B42297" w:rsidP="006018AA">
      <w:pPr>
        <w:pStyle w:val="FootnoteText"/>
        <w:jc w:val="both"/>
        <w:rPr>
          <w:rFonts w:ascii="Times New Roman" w:hAnsi="Times New Roman" w:cs="Times New Roman"/>
          <w:i/>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Malick</w:t>
      </w:r>
      <w:proofErr w:type="spellEnd"/>
      <w:r w:rsidRPr="00B95753">
        <w:rPr>
          <w:rFonts w:ascii="Times New Roman" w:hAnsi="Times New Roman" w:cs="Times New Roman"/>
          <w:sz w:val="20"/>
          <w:szCs w:val="20"/>
        </w:rPr>
        <w:t xml:space="preserve"> Diallo, </w:t>
      </w:r>
      <w:r w:rsidRPr="00B95753">
        <w:rPr>
          <w:rFonts w:ascii="Times New Roman" w:hAnsi="Times New Roman" w:cs="Times New Roman"/>
          <w:i/>
          <w:sz w:val="20"/>
          <w:szCs w:val="20"/>
        </w:rPr>
        <w:t>Senegal: Competition Commission</w:t>
      </w:r>
      <w:r w:rsidRPr="00B95753">
        <w:rPr>
          <w:rFonts w:ascii="Times New Roman" w:hAnsi="Times New Roman" w:cs="Times New Roman"/>
          <w:sz w:val="20"/>
          <w:szCs w:val="20"/>
        </w:rPr>
        <w:t xml:space="preserve">, GCRI African and Middle Eastern Antitrust Review 2014, 31 October 2013. </w:t>
      </w:r>
    </w:p>
  </w:footnote>
  <w:footnote w:id="286">
    <w:p w14:paraId="71B0FC31"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pp. 10-11.</w:t>
      </w:r>
    </w:p>
  </w:footnote>
  <w:footnote w:id="287">
    <w:p w14:paraId="2DC7D4B8" w14:textId="1BB4D688" w:rsidR="00B42297" w:rsidRPr="007575D7" w:rsidRDefault="00B42297" w:rsidP="006018AA">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OECD. 2011. </w:t>
      </w:r>
      <w:r w:rsidRPr="007575D7">
        <w:rPr>
          <w:rFonts w:ascii="Times New Roman" w:hAnsi="Times New Roman" w:cs="Times New Roman"/>
          <w:i/>
          <w:sz w:val="20"/>
          <w:szCs w:val="20"/>
          <w:lang w:val="fr-FR"/>
        </w:rPr>
        <w:t xml:space="preserve">Table-Ronde sur le Contrôle des Fusions </w:t>
      </w:r>
      <w:proofErr w:type="gramStart"/>
      <w:r w:rsidRPr="007575D7">
        <w:rPr>
          <w:rFonts w:ascii="Times New Roman" w:hAnsi="Times New Roman" w:cs="Times New Roman"/>
          <w:i/>
          <w:sz w:val="20"/>
          <w:szCs w:val="20"/>
          <w:lang w:val="fr-FR"/>
        </w:rPr>
        <w:t>Transnationales:</w:t>
      </w:r>
      <w:proofErr w:type="gramEnd"/>
      <w:r w:rsidRPr="007575D7">
        <w:rPr>
          <w:rFonts w:ascii="Times New Roman" w:hAnsi="Times New Roman" w:cs="Times New Roman"/>
          <w:i/>
          <w:sz w:val="20"/>
          <w:szCs w:val="20"/>
          <w:lang w:val="fr-FR"/>
        </w:rPr>
        <w:t xml:space="preserve"> Défis à Relever par les Pays en Développement et les Économies Émergentes, Contribution de Sénégal</w:t>
      </w:r>
      <w:r w:rsidRPr="007575D7">
        <w:rPr>
          <w:rFonts w:ascii="Times New Roman" w:hAnsi="Times New Roman" w:cs="Times New Roman"/>
          <w:sz w:val="20"/>
          <w:szCs w:val="20"/>
          <w:lang w:val="fr-FR"/>
        </w:rPr>
        <w:t xml:space="preserve">, 27 </w:t>
      </w:r>
      <w:proofErr w:type="spellStart"/>
      <w:r w:rsidRPr="007575D7">
        <w:rPr>
          <w:rFonts w:ascii="Times New Roman" w:hAnsi="Times New Roman" w:cs="Times New Roman"/>
          <w:sz w:val="20"/>
          <w:szCs w:val="20"/>
          <w:lang w:val="fr-FR"/>
        </w:rPr>
        <w:t>January</w:t>
      </w:r>
      <w:proofErr w:type="spellEnd"/>
      <w:r w:rsidRPr="007575D7">
        <w:rPr>
          <w:rFonts w:ascii="Times New Roman" w:hAnsi="Times New Roman" w:cs="Times New Roman"/>
          <w:sz w:val="20"/>
          <w:szCs w:val="20"/>
          <w:lang w:val="fr-FR"/>
        </w:rPr>
        <w:t xml:space="preserve"> 2011, p. 2</w:t>
      </w:r>
    </w:p>
  </w:footnote>
  <w:footnote w:id="288">
    <w:p w14:paraId="6638667E"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24.</w:t>
      </w:r>
    </w:p>
  </w:footnote>
  <w:footnote w:id="289">
    <w:p w14:paraId="1CC0CCD6"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25.</w:t>
      </w:r>
    </w:p>
  </w:footnote>
  <w:footnote w:id="290">
    <w:p w14:paraId="2B7EF826"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Group/African Competition Forum. 2016. </w:t>
      </w:r>
      <w:r w:rsidRPr="00B95753">
        <w:rPr>
          <w:rFonts w:ascii="Times New Roman" w:hAnsi="Times New Roman" w:cs="Times New Roman"/>
          <w:i/>
          <w:sz w:val="20"/>
          <w:szCs w:val="20"/>
        </w:rPr>
        <w:t>Breaking Down Barriers: Unlocking Africa’s Potential through Vigorous Competition Policy</w:t>
      </w:r>
      <w:r w:rsidRPr="00B95753">
        <w:rPr>
          <w:rFonts w:ascii="Times New Roman" w:hAnsi="Times New Roman" w:cs="Times New Roman"/>
          <w:sz w:val="20"/>
          <w:szCs w:val="20"/>
        </w:rPr>
        <w:t>, p. 24.</w:t>
      </w:r>
    </w:p>
  </w:footnote>
  <w:footnote w:id="291">
    <w:p w14:paraId="41028B71"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26.</w:t>
      </w:r>
    </w:p>
  </w:footnote>
  <w:footnote w:id="292">
    <w:p w14:paraId="19AC4C63"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27.</w:t>
      </w:r>
    </w:p>
  </w:footnote>
  <w:footnote w:id="293">
    <w:p w14:paraId="01FB3FBF"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28.</w:t>
      </w:r>
    </w:p>
  </w:footnote>
  <w:footnote w:id="294">
    <w:p w14:paraId="1EC92455"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28.</w:t>
      </w:r>
    </w:p>
  </w:footnote>
  <w:footnote w:id="295">
    <w:p w14:paraId="25838F39" w14:textId="77777777" w:rsidR="00B42297" w:rsidRPr="00D64077" w:rsidRDefault="00B42297" w:rsidP="006018AA">
      <w:pPr>
        <w:pStyle w:val="FootnoteText"/>
        <w:jc w:val="both"/>
        <w:rPr>
          <w:rFonts w:ascii="Times New Roman" w:hAnsi="Times New Roman" w:cs="Times New Roman"/>
          <w:sz w:val="20"/>
          <w:szCs w:val="20"/>
        </w:rPr>
      </w:pPr>
      <w:r w:rsidRPr="00D64077">
        <w:rPr>
          <w:rStyle w:val="FootnoteReference"/>
          <w:rFonts w:ascii="Times New Roman" w:hAnsi="Times New Roman" w:cs="Times New Roman"/>
          <w:sz w:val="20"/>
          <w:szCs w:val="20"/>
        </w:rPr>
        <w:footnoteRef/>
      </w:r>
      <w:r w:rsidRPr="00D64077">
        <w:rPr>
          <w:rFonts w:ascii="Times New Roman" w:hAnsi="Times New Roman" w:cs="Times New Roman"/>
          <w:sz w:val="20"/>
          <w:szCs w:val="20"/>
        </w:rPr>
        <w:t xml:space="preserve"> Competition Act, Article 29.</w:t>
      </w:r>
    </w:p>
  </w:footnote>
  <w:footnote w:id="296">
    <w:p w14:paraId="431A4CFB" w14:textId="77777777" w:rsidR="00B42297" w:rsidRPr="00D64077" w:rsidRDefault="00B42297" w:rsidP="006018AA">
      <w:pPr>
        <w:pStyle w:val="FootnoteText"/>
        <w:jc w:val="both"/>
        <w:rPr>
          <w:rFonts w:ascii="Times New Roman" w:hAnsi="Times New Roman" w:cs="Times New Roman"/>
          <w:sz w:val="20"/>
          <w:szCs w:val="20"/>
        </w:rPr>
      </w:pPr>
      <w:r w:rsidRPr="00D64077">
        <w:rPr>
          <w:rStyle w:val="FootnoteReference"/>
          <w:rFonts w:ascii="Times New Roman" w:hAnsi="Times New Roman" w:cs="Times New Roman"/>
          <w:sz w:val="20"/>
          <w:szCs w:val="20"/>
        </w:rPr>
        <w:footnoteRef/>
      </w:r>
      <w:r w:rsidRPr="00D64077">
        <w:rPr>
          <w:rFonts w:ascii="Times New Roman" w:hAnsi="Times New Roman" w:cs="Times New Roman"/>
          <w:sz w:val="20"/>
          <w:szCs w:val="20"/>
        </w:rPr>
        <w:t xml:space="preserve"> Competition Act, Article 30.</w:t>
      </w:r>
    </w:p>
  </w:footnote>
  <w:footnote w:id="297">
    <w:p w14:paraId="630819C4" w14:textId="77777777" w:rsidR="00B42297" w:rsidRPr="00B95753" w:rsidRDefault="00B42297" w:rsidP="006018AA">
      <w:pPr>
        <w:pStyle w:val="FootnoteText"/>
        <w:jc w:val="both"/>
        <w:rPr>
          <w:rFonts w:ascii="Times New Roman" w:hAnsi="Times New Roman" w:cs="Times New Roman"/>
          <w:sz w:val="20"/>
          <w:szCs w:val="20"/>
        </w:rPr>
      </w:pPr>
      <w:r w:rsidRPr="00D64077">
        <w:rPr>
          <w:rStyle w:val="FootnoteReference"/>
          <w:rFonts w:ascii="Times New Roman" w:hAnsi="Times New Roman" w:cs="Times New Roman"/>
          <w:sz w:val="20"/>
          <w:szCs w:val="20"/>
        </w:rPr>
        <w:footnoteRef/>
      </w:r>
      <w:r w:rsidRPr="00D64077">
        <w:rPr>
          <w:rFonts w:ascii="Times New Roman" w:hAnsi="Times New Roman" w:cs="Times New Roman"/>
          <w:sz w:val="20"/>
          <w:szCs w:val="20"/>
        </w:rPr>
        <w:t xml:space="preserve"> UNCTAD, Model Law on Competition (2010) – Chapter II, p. 7.</w:t>
      </w:r>
      <w:r>
        <w:rPr>
          <w:rFonts w:ascii="Times New Roman" w:hAnsi="Times New Roman" w:cs="Times New Roman"/>
          <w:sz w:val="20"/>
          <w:szCs w:val="20"/>
        </w:rPr>
        <w:t>A dominant position is defined as follows:</w:t>
      </w:r>
      <w:r w:rsidRPr="00D64077">
        <w:rPr>
          <w:rFonts w:ascii="Times New Roman" w:hAnsi="Times New Roman" w:cs="Times New Roman"/>
          <w:bCs/>
          <w:sz w:val="20"/>
          <w:szCs w:val="20"/>
        </w:rPr>
        <w:t xml:space="preserve"> </w:t>
      </w:r>
      <w:r w:rsidRPr="00D64077">
        <w:rPr>
          <w:rFonts w:ascii="Times New Roman" w:hAnsi="Times New Roman" w:cs="Times New Roman"/>
          <w:i/>
          <w:sz w:val="20"/>
          <w:szCs w:val="20"/>
        </w:rPr>
        <w:t xml:space="preserve">“economic strength enjoyed by an undertaking, which enables it to prevent effective competition on a relevant market, by affording it the power to behave to an appreciable extent independently of its competitors, its customers and ultimately of consumers. In such a situation, the company in </w:t>
      </w:r>
      <w:r>
        <w:rPr>
          <w:rFonts w:ascii="Times New Roman" w:hAnsi="Times New Roman" w:cs="Times New Roman"/>
          <w:i/>
          <w:sz w:val="20"/>
          <w:szCs w:val="20"/>
        </w:rPr>
        <w:t xml:space="preserve">question has the </w:t>
      </w:r>
      <w:r w:rsidRPr="00D64077">
        <w:rPr>
          <w:rFonts w:ascii="Times New Roman" w:hAnsi="Times New Roman" w:cs="Times New Roman"/>
          <w:i/>
          <w:sz w:val="20"/>
          <w:szCs w:val="20"/>
        </w:rPr>
        <w:t>ability to raise prices consistently and profitably above competitive levels.</w:t>
      </w:r>
      <w:r>
        <w:rPr>
          <w:rFonts w:ascii="Times New Roman" w:hAnsi="Times New Roman" w:cs="Times New Roman"/>
          <w:i/>
          <w:sz w:val="20"/>
          <w:szCs w:val="20"/>
        </w:rPr>
        <w:t>”</w:t>
      </w:r>
    </w:p>
  </w:footnote>
  <w:footnote w:id="298">
    <w:p w14:paraId="48D15336"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Notwithstanding the regulatory framework set forth in Regulations 02 and 03/2002/CM/UEMOA.</w:t>
      </w:r>
    </w:p>
  </w:footnote>
  <w:footnote w:id="299">
    <w:p w14:paraId="217224BF"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Council Regulation (EC) No 139/2004 of 20 January 2004 on the control of concentrations between undertakings (the EC Merger Regulation), Official Journal L 24, 29.01.2004, p. 1-22.</w:t>
      </w:r>
    </w:p>
  </w:footnote>
  <w:footnote w:id="300">
    <w:p w14:paraId="32F87CF8"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Group/African Competition Forum. 2016. </w:t>
      </w:r>
      <w:r w:rsidRPr="00B95753">
        <w:rPr>
          <w:rFonts w:ascii="Times New Roman" w:hAnsi="Times New Roman" w:cs="Times New Roman"/>
          <w:i/>
          <w:sz w:val="20"/>
          <w:szCs w:val="20"/>
        </w:rPr>
        <w:t>Breaking Down Barriers: Unlocking Africa’s Potential through Vigorous Competition Policy</w:t>
      </w:r>
      <w:r w:rsidRPr="00B95753">
        <w:rPr>
          <w:rFonts w:ascii="Times New Roman" w:hAnsi="Times New Roman" w:cs="Times New Roman"/>
          <w:sz w:val="20"/>
          <w:szCs w:val="20"/>
        </w:rPr>
        <w:t>, p. ix.</w:t>
      </w:r>
    </w:p>
  </w:footnote>
  <w:footnote w:id="301">
    <w:p w14:paraId="01DEF7CF"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9.</w:t>
      </w:r>
    </w:p>
  </w:footnote>
  <w:footnote w:id="302">
    <w:p w14:paraId="61D57F23"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11.</w:t>
      </w:r>
    </w:p>
  </w:footnote>
  <w:footnote w:id="303">
    <w:p w14:paraId="567B51BC"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13.</w:t>
      </w:r>
    </w:p>
  </w:footnote>
  <w:footnote w:id="304">
    <w:p w14:paraId="53FB78FB"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Competition Act, Article 15.</w:t>
      </w:r>
    </w:p>
  </w:footnote>
  <w:footnote w:id="305">
    <w:p w14:paraId="715D0D4C"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Published in World Bank. 2017. </w:t>
      </w:r>
      <w:r w:rsidRPr="00B95753">
        <w:rPr>
          <w:rFonts w:ascii="Times New Roman" w:hAnsi="Times New Roman" w:cs="Times New Roman"/>
          <w:i/>
          <w:sz w:val="20"/>
          <w:szCs w:val="20"/>
        </w:rPr>
        <w:t>A Step Ahead: competition Policy for Shared Prosperity and Inclusive Growth</w:t>
      </w:r>
      <w:r w:rsidRPr="00B95753">
        <w:rPr>
          <w:rFonts w:ascii="Times New Roman" w:hAnsi="Times New Roman" w:cs="Times New Roman"/>
          <w:sz w:val="20"/>
          <w:szCs w:val="20"/>
        </w:rPr>
        <w:t>.</w:t>
      </w:r>
    </w:p>
  </w:footnote>
  <w:footnote w:id="306">
    <w:p w14:paraId="19D40DD4"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UNCTAD, Model Law on Competition (2015) – Revised chapter XI, p. 9.</w:t>
      </w:r>
    </w:p>
  </w:footnote>
  <w:footnote w:id="307">
    <w:p w14:paraId="7723432C" w14:textId="77777777" w:rsidR="00B42297" w:rsidRPr="00B95753" w:rsidRDefault="00B42297" w:rsidP="006018AA">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UNCTAD, Model Law on Competition (2015) – Revised chapter XI, p. 2.</w:t>
      </w:r>
    </w:p>
  </w:footnote>
  <w:footnote w:id="308">
    <w:p w14:paraId="1ED4E1ED" w14:textId="77777777" w:rsidR="00B42297" w:rsidRPr="005A26C7" w:rsidRDefault="00B42297" w:rsidP="00A933E4">
      <w:pPr>
        <w:pStyle w:val="FootnoteText"/>
        <w:jc w:val="both"/>
        <w:rPr>
          <w:rFonts w:ascii="Times New Roman" w:eastAsiaTheme="minorHAnsi" w:hAnsi="Times New Roman" w:cs="Times New Roman"/>
          <w:sz w:val="20"/>
          <w:szCs w:val="20"/>
        </w:rPr>
      </w:pPr>
      <w:r w:rsidRPr="00E36FD9">
        <w:rPr>
          <w:rStyle w:val="FootnoteReference"/>
          <w:rFonts w:ascii="Times New Roman" w:hAnsi="Times New Roman" w:cs="Times New Roman"/>
          <w:sz w:val="20"/>
          <w:szCs w:val="20"/>
        </w:rPr>
        <w:footnoteRef/>
      </w:r>
      <w:r w:rsidRPr="00E36FD9">
        <w:rPr>
          <w:rFonts w:ascii="Times New Roman" w:hAnsi="Times New Roman" w:cs="Times New Roman"/>
          <w:sz w:val="20"/>
          <w:szCs w:val="20"/>
        </w:rPr>
        <w:t xml:space="preserve"> </w:t>
      </w:r>
      <w:r w:rsidRPr="005A26C7">
        <w:rPr>
          <w:rFonts w:ascii="Times New Roman" w:hAnsi="Times New Roman" w:cs="Times New Roman"/>
          <w:sz w:val="20"/>
          <w:szCs w:val="20"/>
        </w:rPr>
        <w:t xml:space="preserve">World Bank Group (2012) Viewpoint, Public Policy for the private sector, </w:t>
      </w:r>
      <w:r w:rsidRPr="005A26C7">
        <w:rPr>
          <w:rFonts w:ascii="Times New Roman" w:hAnsi="Times New Roman" w:cs="Times New Roman"/>
          <w:i/>
          <w:iCs/>
          <w:sz w:val="20"/>
          <w:szCs w:val="20"/>
        </w:rPr>
        <w:t>Competition Policy: Encouraging Thriving Markets for Development</w:t>
      </w:r>
      <w:r w:rsidRPr="005A26C7">
        <w:rPr>
          <w:rFonts w:ascii="Times New Roman" w:hAnsi="Times New Roman" w:cs="Times New Roman"/>
          <w:sz w:val="20"/>
          <w:szCs w:val="20"/>
        </w:rPr>
        <w:t xml:space="preserve">. Note Num. 331 at p.5, available at </w:t>
      </w:r>
    </w:p>
    <w:p w14:paraId="67EC0D26" w14:textId="77777777" w:rsidR="00B42297" w:rsidRPr="00E36FD9" w:rsidRDefault="00B42297" w:rsidP="00A933E4">
      <w:pPr>
        <w:pStyle w:val="FootnoteText"/>
        <w:rPr>
          <w:rFonts w:ascii="Times New Roman" w:hAnsi="Times New Roman" w:cs="Times New Roman"/>
          <w:sz w:val="20"/>
          <w:szCs w:val="20"/>
        </w:rPr>
      </w:pPr>
      <w:hyperlink r:id="rId26" w:history="1">
        <w:r w:rsidRPr="005A26C7">
          <w:rPr>
            <w:rStyle w:val="Hyperlink"/>
            <w:rFonts w:ascii="Times New Roman" w:hAnsi="Times New Roman" w:cs="Times New Roman"/>
            <w:i/>
            <w:iCs/>
            <w:color w:val="auto"/>
            <w:sz w:val="20"/>
            <w:szCs w:val="20"/>
          </w:rPr>
          <w:t>http://siteresources.worldbank.org/EXTFINANCIALSECTOR/Resources/282884-1303327122200/VP331-Competition-Policy.pdf</w:t>
        </w:r>
      </w:hyperlink>
      <w:r w:rsidRPr="005A26C7">
        <w:rPr>
          <w:rFonts w:ascii="Times New Roman" w:hAnsi="Times New Roman" w:cs="Times New Roman"/>
          <w:i/>
          <w:iCs/>
          <w:sz w:val="20"/>
          <w:szCs w:val="20"/>
        </w:rPr>
        <w:t>.</w:t>
      </w:r>
    </w:p>
  </w:footnote>
  <w:footnote w:id="309">
    <w:p w14:paraId="65C152A7" w14:textId="77777777" w:rsidR="00B42297" w:rsidRPr="00446A16" w:rsidRDefault="00B42297" w:rsidP="00446A16">
      <w:pPr>
        <w:pStyle w:val="FootnoteText"/>
        <w:jc w:val="both"/>
        <w:rPr>
          <w:rFonts w:ascii="Times New Roman" w:hAnsi="Times New Roman" w:cs="Times New Roman"/>
        </w:rPr>
      </w:pPr>
      <w:r w:rsidRPr="00446A16">
        <w:rPr>
          <w:rStyle w:val="FootnoteReference"/>
          <w:rFonts w:ascii="Times New Roman" w:hAnsi="Times New Roman" w:cs="Times New Roman"/>
        </w:rPr>
        <w:footnoteRef/>
      </w:r>
      <w:r w:rsidRPr="00446A16">
        <w:rPr>
          <w:rFonts w:ascii="Times New Roman" w:hAnsi="Times New Roman" w:cs="Times New Roman"/>
        </w:rPr>
        <w:t xml:space="preserve"> </w:t>
      </w:r>
      <w:r w:rsidRPr="00446A16">
        <w:rPr>
          <w:rFonts w:ascii="Times New Roman" w:hAnsi="Times New Roman" w:cs="Times New Roman"/>
          <w:sz w:val="20"/>
          <w:szCs w:val="20"/>
        </w:rPr>
        <w:t xml:space="preserve">Based on Barone and </w:t>
      </w:r>
      <w:proofErr w:type="spellStart"/>
      <w:r w:rsidRPr="00446A16">
        <w:rPr>
          <w:rFonts w:ascii="Times New Roman" w:hAnsi="Times New Roman" w:cs="Times New Roman"/>
          <w:sz w:val="20"/>
          <w:szCs w:val="20"/>
        </w:rPr>
        <w:t>Cingano</w:t>
      </w:r>
      <w:proofErr w:type="spellEnd"/>
      <w:r w:rsidRPr="00446A16">
        <w:rPr>
          <w:rFonts w:ascii="Times New Roman" w:hAnsi="Times New Roman" w:cs="Times New Roman"/>
          <w:sz w:val="20"/>
          <w:szCs w:val="20"/>
        </w:rPr>
        <w:t xml:space="preserve"> (2011), the differential of growth in value added of industries at the 75</w:t>
      </w:r>
      <w:r w:rsidRPr="00446A16">
        <w:rPr>
          <w:rFonts w:ascii="Times New Roman" w:hAnsi="Times New Roman" w:cs="Times New Roman"/>
          <w:sz w:val="20"/>
          <w:szCs w:val="20"/>
          <w:vertAlign w:val="superscript"/>
        </w:rPr>
        <w:t>th</w:t>
      </w:r>
      <w:r w:rsidRPr="00446A16">
        <w:rPr>
          <w:rFonts w:ascii="Times New Roman" w:hAnsi="Times New Roman" w:cs="Times New Roman"/>
          <w:sz w:val="20"/>
          <w:szCs w:val="20"/>
        </w:rPr>
        <w:t xml:space="preserve"> and 25</w:t>
      </w:r>
      <w:r w:rsidRPr="00446A16">
        <w:rPr>
          <w:rFonts w:ascii="Times New Roman" w:hAnsi="Times New Roman" w:cs="Times New Roman"/>
          <w:sz w:val="20"/>
          <w:szCs w:val="20"/>
          <w:vertAlign w:val="superscript"/>
        </w:rPr>
        <w:t>th</w:t>
      </w:r>
      <w:r w:rsidRPr="00446A16">
        <w:rPr>
          <w:rFonts w:ascii="Times New Roman" w:hAnsi="Times New Roman" w:cs="Times New Roman"/>
          <w:sz w:val="20"/>
          <w:szCs w:val="20"/>
        </w:rPr>
        <w:t xml:space="preserve"> percentiles of intensity in professional services was estimated to be approximately 0.8 percentage points higher in a country at the 25</w:t>
      </w:r>
      <w:r w:rsidRPr="00446A16">
        <w:rPr>
          <w:rFonts w:ascii="Times New Roman" w:hAnsi="Times New Roman" w:cs="Times New Roman"/>
          <w:sz w:val="20"/>
          <w:szCs w:val="20"/>
          <w:vertAlign w:val="superscript"/>
        </w:rPr>
        <w:t>th</w:t>
      </w:r>
      <w:r w:rsidRPr="00446A16">
        <w:rPr>
          <w:rFonts w:ascii="Times New Roman" w:hAnsi="Times New Roman" w:cs="Times New Roman"/>
          <w:sz w:val="20"/>
          <w:szCs w:val="20"/>
        </w:rPr>
        <w:t xml:space="preserve"> than at the 75</w:t>
      </w:r>
      <w:r w:rsidRPr="00446A16">
        <w:rPr>
          <w:rFonts w:ascii="Times New Roman" w:hAnsi="Times New Roman" w:cs="Times New Roman"/>
          <w:sz w:val="20"/>
          <w:szCs w:val="20"/>
          <w:vertAlign w:val="superscript"/>
        </w:rPr>
        <w:t>th</w:t>
      </w:r>
      <w:r w:rsidRPr="00446A16">
        <w:rPr>
          <w:rFonts w:ascii="Times New Roman" w:hAnsi="Times New Roman" w:cs="Times New Roman"/>
          <w:sz w:val="20"/>
          <w:szCs w:val="20"/>
        </w:rPr>
        <w:t xml:space="preserve"> percentile of regulatory restrictiveness. Fixed prices and no supply constraints are assumed.</w:t>
      </w:r>
    </w:p>
  </w:footnote>
  <w:footnote w:id="310">
    <w:p w14:paraId="448CC76E"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World Bank Smallholder Farmers in Senegal Receive Support to Improve Agricultural Productivity</w:t>
      </w:r>
      <w:r w:rsidRPr="00B95753">
        <w:rPr>
          <w:rFonts w:ascii="Times New Roman" w:hAnsi="Times New Roman" w:cs="Times New Roman"/>
          <w:sz w:val="20"/>
          <w:szCs w:val="20"/>
        </w:rPr>
        <w:t>. Available at http://www.worldbank.org/en/news/press-release/2016/05/17/world-bank-smallholder-farmers-in-senegal-receive-support-to-improve-agricultural-productivity</w:t>
      </w:r>
    </w:p>
  </w:footnote>
  <w:footnote w:id="311">
    <w:p w14:paraId="67CB9CFA"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CIA. 2017. </w:t>
      </w:r>
      <w:r w:rsidRPr="00B95753">
        <w:rPr>
          <w:rFonts w:ascii="Times New Roman" w:hAnsi="Times New Roman" w:cs="Times New Roman"/>
          <w:i/>
          <w:sz w:val="20"/>
          <w:szCs w:val="20"/>
        </w:rPr>
        <w:t>World Factbook</w:t>
      </w:r>
      <w:r w:rsidRPr="00B95753">
        <w:rPr>
          <w:rFonts w:ascii="Times New Roman" w:hAnsi="Times New Roman" w:cs="Times New Roman"/>
          <w:sz w:val="20"/>
          <w:szCs w:val="20"/>
        </w:rPr>
        <w:t>. Available at https://www.cia.gov/library/publications/the-world-factbook/fields/2012.html</w:t>
      </w:r>
    </w:p>
  </w:footnote>
  <w:footnote w:id="312">
    <w:p w14:paraId="095210BE" w14:textId="77777777" w:rsidR="00B42297" w:rsidRPr="00324B00" w:rsidRDefault="00B42297" w:rsidP="007328E5">
      <w:pPr>
        <w:pStyle w:val="FootnoteText"/>
        <w:jc w:val="both"/>
        <w:rPr>
          <w:rFonts w:ascii="Times New Roman" w:hAnsi="Times New Roman" w:cs="Times New Roman"/>
          <w:sz w:val="20"/>
          <w:szCs w:val="20"/>
          <w:lang w:val="en-GB"/>
        </w:rPr>
      </w:pPr>
      <w:r w:rsidRPr="00B95753">
        <w:rPr>
          <w:rStyle w:val="FootnoteReference"/>
          <w:rFonts w:ascii="Times New Roman" w:hAnsi="Times New Roman" w:cs="Times New Roman"/>
          <w:sz w:val="20"/>
          <w:szCs w:val="20"/>
        </w:rPr>
        <w:footnoteRef/>
      </w:r>
      <w:r w:rsidRPr="00324B00">
        <w:rPr>
          <w:rFonts w:ascii="Times New Roman" w:hAnsi="Times New Roman" w:cs="Times New Roman"/>
          <w:sz w:val="20"/>
          <w:szCs w:val="20"/>
          <w:lang w:val="en-GB"/>
        </w:rPr>
        <w:t xml:space="preserve"> UN. 2017. </w:t>
      </w:r>
      <w:r w:rsidRPr="00324B00">
        <w:rPr>
          <w:rFonts w:ascii="Times New Roman" w:hAnsi="Times New Roman" w:cs="Times New Roman"/>
          <w:i/>
          <w:sz w:val="20"/>
          <w:szCs w:val="20"/>
          <w:lang w:val="en-GB"/>
        </w:rPr>
        <w:t xml:space="preserve">Senegal Country Profile. </w:t>
      </w:r>
      <w:r w:rsidRPr="00324B00">
        <w:rPr>
          <w:rFonts w:ascii="Times New Roman" w:hAnsi="Times New Roman" w:cs="Times New Roman"/>
          <w:sz w:val="20"/>
          <w:szCs w:val="20"/>
          <w:lang w:val="en-GB"/>
        </w:rPr>
        <w:t>Available at http://data.un.org/CountryProfile.aspx?crName=senegal</w:t>
      </w:r>
    </w:p>
  </w:footnote>
  <w:footnote w:id="313">
    <w:p w14:paraId="2C590E69" w14:textId="77777777" w:rsidR="00B42297" w:rsidRPr="00324B00" w:rsidRDefault="00B42297" w:rsidP="007328E5">
      <w:pPr>
        <w:pStyle w:val="FootnoteText"/>
        <w:jc w:val="both"/>
        <w:rPr>
          <w:rFonts w:ascii="Times New Roman" w:hAnsi="Times New Roman" w:cs="Times New Roman"/>
          <w:sz w:val="20"/>
          <w:szCs w:val="20"/>
          <w:lang w:val="en-GB"/>
        </w:rPr>
      </w:pPr>
      <w:r w:rsidRPr="00B95753">
        <w:rPr>
          <w:rStyle w:val="FootnoteReference"/>
          <w:rFonts w:ascii="Times New Roman" w:hAnsi="Times New Roman" w:cs="Times New Roman"/>
          <w:sz w:val="20"/>
          <w:szCs w:val="20"/>
        </w:rPr>
        <w:footnoteRef/>
      </w:r>
      <w:r w:rsidRPr="00324B00">
        <w:rPr>
          <w:rFonts w:ascii="Times New Roman" w:hAnsi="Times New Roman" w:cs="Times New Roman"/>
          <w:sz w:val="20"/>
          <w:szCs w:val="20"/>
          <w:lang w:val="en-GB"/>
        </w:rPr>
        <w:t xml:space="preserve"> Republic of Senegal. 2017. </w:t>
      </w:r>
      <w:r w:rsidRPr="00324B00">
        <w:rPr>
          <w:rFonts w:ascii="Times New Roman" w:hAnsi="Times New Roman" w:cs="Times New Roman"/>
          <w:i/>
          <w:sz w:val="20"/>
          <w:szCs w:val="20"/>
          <w:lang w:val="en-GB"/>
        </w:rPr>
        <w:t>April 2017 CPI</w:t>
      </w:r>
    </w:p>
  </w:footnote>
  <w:footnote w:id="314">
    <w:p w14:paraId="6F8A8D43" w14:textId="77777777" w:rsidR="00B42297" w:rsidRPr="00324B00" w:rsidRDefault="00B42297" w:rsidP="007328E5">
      <w:pPr>
        <w:pStyle w:val="FootnoteText"/>
        <w:jc w:val="both"/>
        <w:rPr>
          <w:rFonts w:ascii="Times New Roman" w:hAnsi="Times New Roman" w:cs="Times New Roman"/>
          <w:sz w:val="20"/>
          <w:szCs w:val="20"/>
          <w:lang w:val="en-GB"/>
        </w:rPr>
      </w:pPr>
      <w:r w:rsidRPr="00B95753">
        <w:rPr>
          <w:rStyle w:val="FootnoteReference"/>
          <w:rFonts w:ascii="Times New Roman" w:hAnsi="Times New Roman" w:cs="Times New Roman"/>
          <w:sz w:val="20"/>
          <w:szCs w:val="20"/>
        </w:rPr>
        <w:footnoteRef/>
      </w:r>
      <w:r w:rsidRPr="00324B00">
        <w:rPr>
          <w:rFonts w:ascii="Times New Roman" w:hAnsi="Times New Roman" w:cs="Times New Roman"/>
          <w:sz w:val="20"/>
          <w:szCs w:val="20"/>
          <w:lang w:val="en-GB"/>
        </w:rPr>
        <w:t xml:space="preserve"> UN. 2017. </w:t>
      </w:r>
      <w:r w:rsidRPr="00324B00">
        <w:rPr>
          <w:rFonts w:ascii="Times New Roman" w:hAnsi="Times New Roman" w:cs="Times New Roman"/>
          <w:i/>
          <w:sz w:val="20"/>
          <w:szCs w:val="20"/>
          <w:lang w:val="en-GB"/>
        </w:rPr>
        <w:t xml:space="preserve">Senegal Country Profile. </w:t>
      </w:r>
      <w:r w:rsidRPr="00324B00">
        <w:rPr>
          <w:rFonts w:ascii="Times New Roman" w:hAnsi="Times New Roman" w:cs="Times New Roman"/>
          <w:sz w:val="20"/>
          <w:szCs w:val="20"/>
          <w:lang w:val="en-GB"/>
        </w:rPr>
        <w:t>Available at http://data.un.org/CountryProfile.aspx?crName=senegal</w:t>
      </w:r>
    </w:p>
  </w:footnote>
  <w:footnote w:id="315">
    <w:p w14:paraId="315A293E"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w:t>
      </w:r>
      <w:r w:rsidRPr="00B95753">
        <w:rPr>
          <w:rFonts w:ascii="Times New Roman" w:hAnsi="Times New Roman" w:cs="Times New Roman"/>
          <w:i/>
          <w:sz w:val="20"/>
          <w:szCs w:val="20"/>
        </w:rPr>
        <w:t>WAPP – 2A Project Document</w:t>
      </w:r>
      <w:r w:rsidRPr="00B95753">
        <w:rPr>
          <w:rFonts w:ascii="Times New Roman" w:hAnsi="Times New Roman" w:cs="Times New Roman"/>
          <w:sz w:val="20"/>
          <w:szCs w:val="20"/>
        </w:rPr>
        <w:t>, p. 3</w:t>
      </w:r>
    </w:p>
  </w:footnote>
  <w:footnote w:id="316">
    <w:p w14:paraId="6AED0A8F"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Etude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16</w:t>
      </w:r>
    </w:p>
  </w:footnote>
  <w:footnote w:id="317">
    <w:p w14:paraId="22BB0464" w14:textId="77777777" w:rsidR="00B42297" w:rsidRPr="00324B00" w:rsidRDefault="00B42297" w:rsidP="007328E5">
      <w:pPr>
        <w:pStyle w:val="FootnoteText"/>
        <w:jc w:val="both"/>
        <w:rPr>
          <w:rFonts w:ascii="Times New Roman" w:hAnsi="Times New Roman" w:cs="Times New Roman"/>
          <w:sz w:val="20"/>
          <w:szCs w:val="20"/>
          <w:lang w:val="de-DE"/>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European</w:t>
      </w:r>
      <w:proofErr w:type="spellEnd"/>
      <w:r w:rsidRPr="007575D7">
        <w:rPr>
          <w:rFonts w:ascii="Times New Roman" w:hAnsi="Times New Roman" w:cs="Times New Roman"/>
          <w:sz w:val="20"/>
          <w:szCs w:val="20"/>
          <w:lang w:val="fr-FR"/>
        </w:rPr>
        <w:t xml:space="preserve"> Commission. </w:t>
      </w:r>
      <w:r w:rsidRPr="00324B00">
        <w:rPr>
          <w:rFonts w:ascii="Times New Roman" w:hAnsi="Times New Roman" w:cs="Times New Roman"/>
          <w:sz w:val="20"/>
          <w:szCs w:val="20"/>
          <w:lang w:val="de-DE"/>
        </w:rPr>
        <w:t xml:space="preserve">2016. </w:t>
      </w:r>
      <w:r w:rsidRPr="00324B00">
        <w:rPr>
          <w:rFonts w:ascii="Times New Roman" w:hAnsi="Times New Roman" w:cs="Times New Roman"/>
          <w:i/>
          <w:sz w:val="20"/>
          <w:szCs w:val="20"/>
          <w:lang w:val="de-DE"/>
        </w:rPr>
        <w:t>Analyse d'économie politique (PEA) des filières de l'arachide et du riz</w:t>
      </w:r>
      <w:r w:rsidRPr="00324B00">
        <w:rPr>
          <w:rFonts w:ascii="Times New Roman" w:hAnsi="Times New Roman" w:cs="Times New Roman"/>
          <w:sz w:val="20"/>
          <w:szCs w:val="20"/>
          <w:lang w:val="de-DE"/>
        </w:rPr>
        <w:t>, p. 27</w:t>
      </w:r>
    </w:p>
  </w:footnote>
  <w:footnote w:id="318">
    <w:p w14:paraId="7BA42E4A"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USDA. 2016. </w:t>
      </w:r>
      <w:r w:rsidRPr="00B95753">
        <w:rPr>
          <w:rFonts w:ascii="Times New Roman" w:hAnsi="Times New Roman" w:cs="Times New Roman"/>
          <w:i/>
          <w:sz w:val="20"/>
          <w:szCs w:val="20"/>
        </w:rPr>
        <w:t>Oilseeds and Products Annual 2016</w:t>
      </w:r>
      <w:r w:rsidRPr="00B95753">
        <w:rPr>
          <w:rFonts w:ascii="Times New Roman" w:hAnsi="Times New Roman" w:cs="Times New Roman"/>
          <w:sz w:val="20"/>
          <w:szCs w:val="20"/>
        </w:rPr>
        <w:t>. GAIN Report. Senegal., p. 2</w:t>
      </w:r>
    </w:p>
  </w:footnote>
  <w:footnote w:id="319">
    <w:p w14:paraId="6490D566"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2015. </w:t>
      </w:r>
      <w:r w:rsidRPr="007575D7">
        <w:rPr>
          <w:rFonts w:ascii="Times New Roman" w:hAnsi="Times New Roman" w:cs="Times New Roman"/>
          <w:i/>
          <w:sz w:val="20"/>
          <w:szCs w:val="20"/>
          <w:lang w:val="fr-FR"/>
        </w:rPr>
        <w:t>Etude Diagnostique de la Chaîne de valeurs arachide au Sénégal: Propositions de réformes</w:t>
      </w:r>
      <w:r w:rsidRPr="007575D7">
        <w:rPr>
          <w:rFonts w:ascii="Times New Roman" w:hAnsi="Times New Roman" w:cs="Times New Roman"/>
          <w:sz w:val="20"/>
          <w:szCs w:val="20"/>
          <w:lang w:val="fr-FR"/>
        </w:rPr>
        <w:t>, p. 41</w:t>
      </w:r>
    </w:p>
  </w:footnote>
  <w:footnote w:id="320">
    <w:p w14:paraId="2357A876"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Etude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10</w:t>
      </w:r>
    </w:p>
  </w:footnote>
  <w:footnote w:id="321">
    <w:p w14:paraId="74E67AC0"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Center for International Development. 2017. </w:t>
      </w:r>
      <w:r w:rsidRPr="00B95753">
        <w:rPr>
          <w:rFonts w:ascii="Times New Roman" w:hAnsi="Times New Roman" w:cs="Times New Roman"/>
          <w:i/>
          <w:sz w:val="20"/>
          <w:szCs w:val="20"/>
        </w:rPr>
        <w:t xml:space="preserve">Atlas of Economic Complexity – Senegal. </w:t>
      </w:r>
      <w:r w:rsidRPr="00B95753">
        <w:rPr>
          <w:rFonts w:ascii="Times New Roman" w:hAnsi="Times New Roman" w:cs="Times New Roman"/>
          <w:sz w:val="20"/>
          <w:szCs w:val="20"/>
        </w:rPr>
        <w:t>Available at http://atlas.media.mit.edu/en/visualize/network/hs92/export/sen/all/show/2013/</w:t>
      </w:r>
    </w:p>
  </w:footnote>
  <w:footnote w:id="322">
    <w:p w14:paraId="49000751"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Bank.2013. </w:t>
      </w:r>
      <w:r w:rsidRPr="007575D7">
        <w:rPr>
          <w:rFonts w:ascii="Times New Roman" w:hAnsi="Times New Roman" w:cs="Times New Roman"/>
          <w:i/>
          <w:sz w:val="20"/>
          <w:szCs w:val="20"/>
          <w:lang w:val="fr-FR"/>
        </w:rPr>
        <w:t>Étude Diagnostique sur l’Intégration du Commerce du Sénégal (DTIS)</w:t>
      </w:r>
    </w:p>
  </w:footnote>
  <w:footnote w:id="323">
    <w:p w14:paraId="21259A1A"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 2015. </w:t>
      </w:r>
      <w:r w:rsidRPr="007575D7">
        <w:rPr>
          <w:rFonts w:ascii="Times New Roman" w:hAnsi="Times New Roman" w:cs="Times New Roman"/>
          <w:i/>
          <w:sz w:val="20"/>
          <w:szCs w:val="20"/>
          <w:lang w:val="fr-FR"/>
        </w:rPr>
        <w:t xml:space="preserve">Etude Diagnostique de la Chaîne de valeurs arachide au </w:t>
      </w:r>
      <w:proofErr w:type="gramStart"/>
      <w:r w:rsidRPr="007575D7">
        <w:rPr>
          <w:rFonts w:ascii="Times New Roman" w:hAnsi="Times New Roman" w:cs="Times New Roman"/>
          <w:i/>
          <w:sz w:val="20"/>
          <w:szCs w:val="20"/>
          <w:lang w:val="fr-FR"/>
        </w:rPr>
        <w:t>Sénégal:</w:t>
      </w:r>
      <w:proofErr w:type="gramEnd"/>
      <w:r w:rsidRPr="007575D7">
        <w:rPr>
          <w:rFonts w:ascii="Times New Roman" w:hAnsi="Times New Roman" w:cs="Times New Roman"/>
          <w:i/>
          <w:sz w:val="20"/>
          <w:szCs w:val="20"/>
          <w:lang w:val="fr-FR"/>
        </w:rPr>
        <w:t xml:space="preserve"> Propositions de réformes</w:t>
      </w:r>
      <w:r w:rsidRPr="007575D7">
        <w:rPr>
          <w:rFonts w:ascii="Times New Roman" w:hAnsi="Times New Roman" w:cs="Times New Roman"/>
          <w:sz w:val="20"/>
          <w:szCs w:val="20"/>
          <w:lang w:val="fr-FR"/>
        </w:rPr>
        <w:t>, p. 16</w:t>
      </w:r>
    </w:p>
  </w:footnote>
  <w:footnote w:id="324">
    <w:p w14:paraId="3A958B99"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2014. </w:t>
      </w:r>
      <w:r w:rsidRPr="00B95753">
        <w:rPr>
          <w:rFonts w:ascii="Times New Roman" w:eastAsia="Times New Roman" w:hAnsi="Times New Roman" w:cs="Times New Roman"/>
          <w:i/>
          <w:sz w:val="20"/>
          <w:szCs w:val="20"/>
        </w:rPr>
        <w:t xml:space="preserve">Plan </w:t>
      </w:r>
      <w:proofErr w:type="spellStart"/>
      <w:r w:rsidRPr="00B95753">
        <w:rPr>
          <w:rFonts w:ascii="Times New Roman" w:eastAsia="Times New Roman" w:hAnsi="Times New Roman" w:cs="Times New Roman"/>
          <w:i/>
          <w:sz w:val="20"/>
          <w:szCs w:val="20"/>
        </w:rPr>
        <w:t>Sénégal</w:t>
      </w:r>
      <w:proofErr w:type="spellEnd"/>
      <w:r w:rsidRPr="00B95753">
        <w:rPr>
          <w:rFonts w:ascii="Times New Roman" w:eastAsia="Times New Roman" w:hAnsi="Times New Roman" w:cs="Times New Roman"/>
          <w:i/>
          <w:sz w:val="20"/>
          <w:szCs w:val="20"/>
        </w:rPr>
        <w:t xml:space="preserve"> Emergent</w:t>
      </w:r>
      <w:r w:rsidRPr="00B95753">
        <w:rPr>
          <w:rFonts w:ascii="Times New Roman" w:hAnsi="Times New Roman" w:cs="Times New Roman"/>
          <w:sz w:val="20"/>
          <w:szCs w:val="20"/>
        </w:rPr>
        <w:t>, p. 28</w:t>
      </w:r>
    </w:p>
  </w:footnote>
  <w:footnote w:id="325">
    <w:p w14:paraId="1619303F"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CPI Data</w:t>
      </w:r>
    </w:p>
  </w:footnote>
  <w:footnote w:id="326">
    <w:p w14:paraId="5F5C952F"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Michigan State </w:t>
      </w:r>
      <w:proofErr w:type="spellStart"/>
      <w:r w:rsidRPr="00B95753">
        <w:rPr>
          <w:rFonts w:ascii="Times New Roman" w:hAnsi="Times New Roman" w:cs="Times New Roman"/>
          <w:sz w:val="20"/>
          <w:szCs w:val="20"/>
        </w:rPr>
        <w:t>Universtity</w:t>
      </w:r>
      <w:proofErr w:type="spellEnd"/>
      <w:r w:rsidRPr="00B95753">
        <w:rPr>
          <w:rFonts w:ascii="Times New Roman" w:hAnsi="Times New Roman" w:cs="Times New Roman"/>
          <w:sz w:val="20"/>
          <w:szCs w:val="20"/>
        </w:rPr>
        <w:t xml:space="preserve">. </w:t>
      </w:r>
      <w:r w:rsidRPr="007575D7">
        <w:rPr>
          <w:rFonts w:ascii="Times New Roman" w:hAnsi="Times New Roman" w:cs="Times New Roman"/>
          <w:sz w:val="20"/>
          <w:szCs w:val="20"/>
          <w:lang w:val="fr-FR"/>
        </w:rPr>
        <w:t xml:space="preserve">2011. </w:t>
      </w:r>
      <w:r w:rsidRPr="007575D7">
        <w:rPr>
          <w:rFonts w:ascii="Times New Roman" w:hAnsi="Times New Roman" w:cs="Times New Roman"/>
          <w:i/>
          <w:sz w:val="20"/>
          <w:szCs w:val="20"/>
          <w:lang w:val="fr-FR"/>
        </w:rPr>
        <w:t>Etude sur la consommation alimentaire en Afrique de l’Ouest</w:t>
      </w:r>
      <w:r w:rsidRPr="007575D7">
        <w:rPr>
          <w:rFonts w:ascii="Times New Roman" w:hAnsi="Times New Roman" w:cs="Times New Roman"/>
          <w:sz w:val="20"/>
          <w:szCs w:val="20"/>
          <w:lang w:val="fr-FR"/>
        </w:rPr>
        <w:t xml:space="preserve">, p. 18 </w:t>
      </w:r>
      <w:proofErr w:type="spellStart"/>
      <w:r w:rsidRPr="007575D7">
        <w:rPr>
          <w:rFonts w:ascii="Times New Roman" w:hAnsi="Times New Roman" w:cs="Times New Roman"/>
          <w:sz w:val="20"/>
          <w:szCs w:val="20"/>
          <w:lang w:val="fr-FR"/>
        </w:rPr>
        <w:t>Available</w:t>
      </w:r>
      <w:proofErr w:type="spellEnd"/>
      <w:r w:rsidRPr="007575D7">
        <w:rPr>
          <w:rFonts w:ascii="Times New Roman" w:hAnsi="Times New Roman" w:cs="Times New Roman"/>
          <w:sz w:val="20"/>
          <w:szCs w:val="20"/>
          <w:lang w:val="fr-FR"/>
        </w:rPr>
        <w:t xml:space="preserve"> at http://fsg.afre.msu.edu/srai/Etude_consommation_rapport_regional_revue_diallo.pdf</w:t>
      </w:r>
    </w:p>
  </w:footnote>
  <w:footnote w:id="327">
    <w:p w14:paraId="7DD42408"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Bank.2013. </w:t>
      </w:r>
      <w:r w:rsidRPr="007575D7">
        <w:rPr>
          <w:rFonts w:ascii="Times New Roman" w:hAnsi="Times New Roman" w:cs="Times New Roman"/>
          <w:i/>
          <w:sz w:val="20"/>
          <w:szCs w:val="20"/>
          <w:lang w:val="fr-FR"/>
        </w:rPr>
        <w:t>Étude Diagnostique sur l’Intégration du Commerce du Sénégal (DTIS)</w:t>
      </w:r>
      <w:r w:rsidRPr="007575D7">
        <w:rPr>
          <w:rFonts w:ascii="Times New Roman" w:hAnsi="Times New Roman" w:cs="Times New Roman"/>
          <w:sz w:val="20"/>
          <w:szCs w:val="20"/>
          <w:lang w:val="fr-FR"/>
        </w:rPr>
        <w:t>, p. 60</w:t>
      </w:r>
    </w:p>
  </w:footnote>
  <w:footnote w:id="328">
    <w:p w14:paraId="4E773FB1"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2014. </w:t>
      </w:r>
      <w:r w:rsidRPr="00B95753">
        <w:rPr>
          <w:rFonts w:ascii="Times New Roman" w:eastAsia="Times New Roman" w:hAnsi="Times New Roman" w:cs="Times New Roman"/>
          <w:i/>
          <w:sz w:val="20"/>
          <w:szCs w:val="20"/>
        </w:rPr>
        <w:t xml:space="preserve">Plan </w:t>
      </w:r>
      <w:proofErr w:type="spellStart"/>
      <w:r w:rsidRPr="00B95753">
        <w:rPr>
          <w:rFonts w:ascii="Times New Roman" w:eastAsia="Times New Roman" w:hAnsi="Times New Roman" w:cs="Times New Roman"/>
          <w:i/>
          <w:sz w:val="20"/>
          <w:szCs w:val="20"/>
        </w:rPr>
        <w:t>Sénégal</w:t>
      </w:r>
      <w:proofErr w:type="spellEnd"/>
      <w:r w:rsidRPr="00B95753">
        <w:rPr>
          <w:rFonts w:ascii="Times New Roman" w:eastAsia="Times New Roman" w:hAnsi="Times New Roman" w:cs="Times New Roman"/>
          <w:i/>
          <w:sz w:val="20"/>
          <w:szCs w:val="20"/>
        </w:rPr>
        <w:t xml:space="preserve"> Emergent</w:t>
      </w:r>
      <w:r w:rsidRPr="00B95753">
        <w:rPr>
          <w:rFonts w:ascii="Times New Roman" w:hAnsi="Times New Roman" w:cs="Times New Roman"/>
          <w:sz w:val="20"/>
          <w:szCs w:val="20"/>
        </w:rPr>
        <w:t>, p. 29</w:t>
      </w:r>
    </w:p>
  </w:footnote>
  <w:footnote w:id="329">
    <w:p w14:paraId="4FD33BA5"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2014. </w:t>
      </w:r>
      <w:r w:rsidRPr="00B95753">
        <w:rPr>
          <w:rFonts w:ascii="Times New Roman" w:eastAsia="Times New Roman" w:hAnsi="Times New Roman" w:cs="Times New Roman"/>
          <w:i/>
          <w:sz w:val="20"/>
          <w:szCs w:val="20"/>
        </w:rPr>
        <w:t xml:space="preserve">Plan </w:t>
      </w:r>
      <w:proofErr w:type="spellStart"/>
      <w:r w:rsidRPr="00B95753">
        <w:rPr>
          <w:rFonts w:ascii="Times New Roman" w:eastAsia="Times New Roman" w:hAnsi="Times New Roman" w:cs="Times New Roman"/>
          <w:i/>
          <w:sz w:val="20"/>
          <w:szCs w:val="20"/>
        </w:rPr>
        <w:t>Sénégal</w:t>
      </w:r>
      <w:proofErr w:type="spellEnd"/>
      <w:r w:rsidRPr="00B95753">
        <w:rPr>
          <w:rFonts w:ascii="Times New Roman" w:eastAsia="Times New Roman" w:hAnsi="Times New Roman" w:cs="Times New Roman"/>
          <w:i/>
          <w:sz w:val="20"/>
          <w:szCs w:val="20"/>
        </w:rPr>
        <w:t xml:space="preserve"> Emergent</w:t>
      </w:r>
      <w:r w:rsidRPr="00B95753">
        <w:rPr>
          <w:rFonts w:ascii="Times New Roman" w:hAnsi="Times New Roman" w:cs="Times New Roman"/>
          <w:sz w:val="20"/>
          <w:szCs w:val="20"/>
        </w:rPr>
        <w:t>, p. 29</w:t>
      </w:r>
    </w:p>
  </w:footnote>
  <w:footnote w:id="330">
    <w:p w14:paraId="75A41AAE"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2014. </w:t>
      </w:r>
      <w:r w:rsidRPr="00B95753">
        <w:rPr>
          <w:rFonts w:ascii="Times New Roman" w:eastAsia="Times New Roman" w:hAnsi="Times New Roman" w:cs="Times New Roman"/>
          <w:i/>
          <w:sz w:val="20"/>
          <w:szCs w:val="20"/>
        </w:rPr>
        <w:t xml:space="preserve">Plan </w:t>
      </w:r>
      <w:proofErr w:type="spellStart"/>
      <w:r w:rsidRPr="00B95753">
        <w:rPr>
          <w:rFonts w:ascii="Times New Roman" w:eastAsia="Times New Roman" w:hAnsi="Times New Roman" w:cs="Times New Roman"/>
          <w:i/>
          <w:sz w:val="20"/>
          <w:szCs w:val="20"/>
        </w:rPr>
        <w:t>Sénégal</w:t>
      </w:r>
      <w:proofErr w:type="spellEnd"/>
      <w:r w:rsidRPr="00B95753">
        <w:rPr>
          <w:rFonts w:ascii="Times New Roman" w:eastAsia="Times New Roman" w:hAnsi="Times New Roman" w:cs="Times New Roman"/>
          <w:i/>
          <w:sz w:val="20"/>
          <w:szCs w:val="20"/>
        </w:rPr>
        <w:t xml:space="preserve"> Emergent</w:t>
      </w:r>
      <w:r w:rsidRPr="00B95753">
        <w:rPr>
          <w:rFonts w:ascii="Times New Roman" w:hAnsi="Times New Roman" w:cs="Times New Roman"/>
          <w:sz w:val="20"/>
          <w:szCs w:val="20"/>
        </w:rPr>
        <w:t>, p. 29</w:t>
      </w:r>
    </w:p>
  </w:footnote>
  <w:footnote w:id="331">
    <w:p w14:paraId="33A07B13"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World Bank.2013. </w:t>
      </w:r>
      <w:r w:rsidRPr="007575D7">
        <w:rPr>
          <w:rFonts w:ascii="Times New Roman" w:hAnsi="Times New Roman" w:cs="Times New Roman"/>
          <w:i/>
          <w:sz w:val="20"/>
          <w:szCs w:val="20"/>
          <w:lang w:val="fr-FR"/>
        </w:rPr>
        <w:t>Étude Diagnostique sur l’Intégration du Commerce du Sénégal (DTIS)</w:t>
      </w:r>
      <w:r w:rsidRPr="007575D7">
        <w:rPr>
          <w:rFonts w:ascii="Times New Roman" w:hAnsi="Times New Roman" w:cs="Times New Roman"/>
          <w:sz w:val="20"/>
          <w:szCs w:val="20"/>
          <w:lang w:val="fr-FR"/>
        </w:rPr>
        <w:t>, p. 60</w:t>
      </w:r>
    </w:p>
  </w:footnote>
  <w:footnote w:id="332">
    <w:p w14:paraId="2E9E571A" w14:textId="77777777" w:rsidR="00B42297" w:rsidRPr="00324B00" w:rsidRDefault="00B42297" w:rsidP="007328E5">
      <w:pPr>
        <w:pStyle w:val="FootnoteText"/>
        <w:jc w:val="both"/>
        <w:rPr>
          <w:rFonts w:ascii="Times New Roman" w:hAnsi="Times New Roman" w:cs="Times New Roman"/>
          <w:sz w:val="20"/>
          <w:szCs w:val="20"/>
          <w:lang w:val="en-GB"/>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r w:rsidRPr="00324B00">
        <w:rPr>
          <w:rFonts w:ascii="Times New Roman" w:hAnsi="Times New Roman" w:cs="Times New Roman"/>
          <w:sz w:val="20"/>
          <w:szCs w:val="20"/>
          <w:lang w:val="en-GB"/>
        </w:rPr>
        <w:t xml:space="preserve">Republic of Senegal. 2017. </w:t>
      </w:r>
      <w:r w:rsidRPr="00324B00">
        <w:rPr>
          <w:rFonts w:ascii="Times New Roman" w:hAnsi="Times New Roman" w:cs="Times New Roman"/>
          <w:i/>
          <w:sz w:val="20"/>
          <w:szCs w:val="20"/>
          <w:lang w:val="en-GB"/>
        </w:rPr>
        <w:t>April 2017 CPI</w:t>
      </w:r>
    </w:p>
  </w:footnote>
  <w:footnote w:id="333">
    <w:p w14:paraId="0B805A10"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Republic of Senegal. 2014. </w:t>
      </w:r>
      <w:r w:rsidRPr="00B95753">
        <w:rPr>
          <w:rFonts w:ascii="Times New Roman" w:eastAsia="Times New Roman" w:hAnsi="Times New Roman" w:cs="Times New Roman"/>
          <w:i/>
          <w:sz w:val="20"/>
          <w:szCs w:val="20"/>
        </w:rPr>
        <w:t xml:space="preserve">Plan </w:t>
      </w:r>
      <w:proofErr w:type="spellStart"/>
      <w:r w:rsidRPr="00B95753">
        <w:rPr>
          <w:rFonts w:ascii="Times New Roman" w:eastAsia="Times New Roman" w:hAnsi="Times New Roman" w:cs="Times New Roman"/>
          <w:i/>
          <w:sz w:val="20"/>
          <w:szCs w:val="20"/>
        </w:rPr>
        <w:t>Sénégal</w:t>
      </w:r>
      <w:proofErr w:type="spellEnd"/>
      <w:r w:rsidRPr="00B95753">
        <w:rPr>
          <w:rFonts w:ascii="Times New Roman" w:eastAsia="Times New Roman" w:hAnsi="Times New Roman" w:cs="Times New Roman"/>
          <w:i/>
          <w:sz w:val="20"/>
          <w:szCs w:val="20"/>
        </w:rPr>
        <w:t xml:space="preserve"> Emergent</w:t>
      </w:r>
      <w:r w:rsidRPr="00B95753">
        <w:rPr>
          <w:rFonts w:ascii="Times New Roman" w:hAnsi="Times New Roman" w:cs="Times New Roman"/>
          <w:sz w:val="20"/>
          <w:szCs w:val="20"/>
        </w:rPr>
        <w:t>, p. 30</w:t>
      </w:r>
    </w:p>
  </w:footnote>
  <w:footnote w:id="334">
    <w:p w14:paraId="560BD494" w14:textId="77777777" w:rsidR="00B42297" w:rsidRPr="00B95753" w:rsidRDefault="00B42297" w:rsidP="007328E5">
      <w:pPr>
        <w:pStyle w:val="FootnoteText"/>
        <w:jc w:val="both"/>
        <w:rPr>
          <w:rFonts w:ascii="Times New Roman" w:hAnsi="Times New Roman" w:cs="Times New Roman"/>
          <w:sz w:val="20"/>
          <w:szCs w:val="20"/>
          <w:lang w:val="de-DE"/>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Republic</w:t>
      </w:r>
      <w:proofErr w:type="spellEnd"/>
      <w:r w:rsidRPr="007575D7">
        <w:rPr>
          <w:rFonts w:ascii="Times New Roman" w:hAnsi="Times New Roman" w:cs="Times New Roman"/>
          <w:sz w:val="20"/>
          <w:szCs w:val="20"/>
          <w:lang w:val="fr-FR"/>
        </w:rPr>
        <w:t xml:space="preserve"> of Senegal. </w:t>
      </w:r>
      <w:r w:rsidRPr="00B95753">
        <w:rPr>
          <w:rFonts w:ascii="Times New Roman" w:hAnsi="Times New Roman" w:cs="Times New Roman"/>
          <w:sz w:val="20"/>
          <w:szCs w:val="20"/>
          <w:lang w:val="de-DE"/>
        </w:rPr>
        <w:t xml:space="preserve">2017. </w:t>
      </w:r>
      <w:r w:rsidRPr="00B95753">
        <w:rPr>
          <w:rFonts w:ascii="Times New Roman" w:hAnsi="Times New Roman" w:cs="Times New Roman"/>
          <w:i/>
          <w:sz w:val="20"/>
          <w:szCs w:val="20"/>
          <w:lang w:val="de-DE"/>
        </w:rPr>
        <w:t>April 2017 CPI</w:t>
      </w:r>
    </w:p>
  </w:footnote>
  <w:footnote w:id="335">
    <w:p w14:paraId="1EE71785"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Ministère des Postes et des Télécommunications. 2016.</w:t>
      </w:r>
      <w:r w:rsidRPr="007575D7">
        <w:rPr>
          <w:rFonts w:ascii="Times New Roman" w:hAnsi="Times New Roman" w:cs="Times New Roman"/>
          <w:i/>
          <w:sz w:val="20"/>
          <w:szCs w:val="20"/>
          <w:lang w:val="fr-FR"/>
        </w:rPr>
        <w:t xml:space="preserve"> Stratégie Sénégal Numérique 2016-2025</w:t>
      </w:r>
      <w:r w:rsidRPr="007575D7">
        <w:rPr>
          <w:rFonts w:ascii="Times New Roman" w:hAnsi="Times New Roman" w:cs="Times New Roman"/>
          <w:sz w:val="20"/>
          <w:szCs w:val="20"/>
          <w:lang w:val="fr-FR"/>
        </w:rPr>
        <w:t>, p. 9</w:t>
      </w:r>
    </w:p>
  </w:footnote>
  <w:footnote w:id="336">
    <w:p w14:paraId="227E166B"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Republic</w:t>
      </w:r>
      <w:proofErr w:type="spellEnd"/>
      <w:r w:rsidRPr="007575D7">
        <w:rPr>
          <w:rFonts w:ascii="Times New Roman" w:hAnsi="Times New Roman" w:cs="Times New Roman"/>
          <w:sz w:val="20"/>
          <w:szCs w:val="20"/>
          <w:lang w:val="fr-FR"/>
        </w:rPr>
        <w:t xml:space="preserve"> of Senegal. 2017. </w:t>
      </w:r>
      <w:r w:rsidRPr="007575D7">
        <w:rPr>
          <w:rFonts w:ascii="Times New Roman" w:hAnsi="Times New Roman" w:cs="Times New Roman"/>
          <w:i/>
          <w:sz w:val="20"/>
          <w:szCs w:val="20"/>
          <w:lang w:val="fr-FR"/>
        </w:rPr>
        <w:t>April 2017 CPI</w:t>
      </w:r>
    </w:p>
  </w:footnote>
  <w:footnote w:id="337">
    <w:p w14:paraId="5A2EDD30"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CPI Data</w:t>
      </w:r>
    </w:p>
  </w:footnote>
  <w:footnote w:id="338">
    <w:p w14:paraId="52E85DDE" w14:textId="77777777" w:rsidR="00B42297" w:rsidRPr="007575D7" w:rsidRDefault="00B42297" w:rsidP="007328E5">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Ministère des Postes et des Télécommunications. 2016.</w:t>
      </w:r>
      <w:r w:rsidRPr="007575D7">
        <w:rPr>
          <w:rFonts w:ascii="Times New Roman" w:hAnsi="Times New Roman" w:cs="Times New Roman"/>
          <w:i/>
          <w:sz w:val="20"/>
          <w:szCs w:val="20"/>
          <w:lang w:val="fr-FR"/>
        </w:rPr>
        <w:t xml:space="preserve"> Stratégie Sénégal Numérique 2016-2025</w:t>
      </w:r>
      <w:r w:rsidRPr="007575D7">
        <w:rPr>
          <w:rFonts w:ascii="Times New Roman" w:hAnsi="Times New Roman" w:cs="Times New Roman"/>
          <w:sz w:val="20"/>
          <w:szCs w:val="20"/>
          <w:lang w:val="fr-FR"/>
        </w:rPr>
        <w:t>, p. 10</w:t>
      </w:r>
    </w:p>
  </w:footnote>
  <w:footnote w:id="339">
    <w:p w14:paraId="3765E8E9" w14:textId="77777777" w:rsidR="00B42297" w:rsidRPr="00B95753" w:rsidRDefault="00B42297" w:rsidP="007328E5">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McKinsey Global Institute. </w:t>
      </w:r>
      <w:r w:rsidRPr="00B95753">
        <w:rPr>
          <w:rFonts w:ascii="Times New Roman" w:hAnsi="Times New Roman" w:cs="Times New Roman"/>
          <w:sz w:val="20"/>
          <w:szCs w:val="20"/>
        </w:rPr>
        <w:t xml:space="preserve">2013. </w:t>
      </w:r>
      <w:r w:rsidRPr="00B95753">
        <w:rPr>
          <w:rFonts w:ascii="Times New Roman" w:hAnsi="Times New Roman" w:cs="Times New Roman"/>
          <w:i/>
          <w:sz w:val="20"/>
          <w:szCs w:val="20"/>
        </w:rPr>
        <w:t>Lions go digital: The internet’s transformative potential in Africa.</w:t>
      </w:r>
      <w:r w:rsidRPr="00B95753">
        <w:rPr>
          <w:rFonts w:ascii="Times New Roman" w:hAnsi="Times New Roman" w:cs="Times New Roman"/>
          <w:sz w:val="20"/>
          <w:szCs w:val="20"/>
        </w:rPr>
        <w:t xml:space="preserve"> Available at http://www.mckinsey.com/industries/high-tech/our-insights/lions-go-digital-the-internets-transformative-potential-in-africa</w:t>
      </w:r>
    </w:p>
  </w:footnote>
  <w:footnote w:id="340">
    <w:p w14:paraId="5BA515A0" w14:textId="77777777" w:rsidR="00B42297" w:rsidRPr="007575D7" w:rsidRDefault="00B42297" w:rsidP="00F61864">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Statistiques sur les productions d’arachide et les subventions.</w:t>
      </w:r>
    </w:p>
  </w:footnote>
  <w:footnote w:id="341">
    <w:p w14:paraId="673B72F0"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 xml:space="preserve">Competitiveness and comparative advantage of the groundnut value chain in Senegal, </w:t>
      </w:r>
      <w:r w:rsidRPr="00B95753">
        <w:rPr>
          <w:rFonts w:ascii="Times New Roman" w:hAnsi="Times New Roman" w:cs="Times New Roman"/>
          <w:sz w:val="20"/>
          <w:szCs w:val="20"/>
        </w:rPr>
        <w:t>p. 14</w:t>
      </w:r>
    </w:p>
  </w:footnote>
  <w:footnote w:id="342">
    <w:p w14:paraId="6EB55CE4" w14:textId="77777777" w:rsidR="00B42297" w:rsidRPr="007575D7" w:rsidRDefault="00B42297" w:rsidP="00F61864">
      <w:pPr>
        <w:pStyle w:val="FootnoteText"/>
        <w:jc w:val="both"/>
        <w:rPr>
          <w:rFonts w:ascii="Times New Roman" w:hAnsi="Times New Roman" w:cs="Times New Roman"/>
          <w:i/>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w:t>
      </w:r>
    </w:p>
  </w:footnote>
  <w:footnote w:id="343">
    <w:p w14:paraId="3EB992C3"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Atlas of Economic Complexity</w:t>
      </w:r>
    </w:p>
  </w:footnote>
  <w:footnote w:id="344">
    <w:p w14:paraId="70400719"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WB. 2015. </w:t>
      </w:r>
      <w:r w:rsidRPr="00B95753">
        <w:rPr>
          <w:rFonts w:ascii="Times New Roman" w:hAnsi="Times New Roman" w:cs="Times New Roman"/>
          <w:i/>
          <w:sz w:val="20"/>
          <w:szCs w:val="20"/>
        </w:rPr>
        <w:t>Policies, Prices, and Poverty,</w:t>
      </w:r>
      <w:r w:rsidRPr="00B95753">
        <w:rPr>
          <w:rFonts w:ascii="Times New Roman" w:hAnsi="Times New Roman" w:cs="Times New Roman"/>
          <w:sz w:val="20"/>
          <w:szCs w:val="20"/>
        </w:rPr>
        <w:t xml:space="preserve"> p. 14.</w:t>
      </w:r>
    </w:p>
  </w:footnote>
  <w:footnote w:id="345">
    <w:p w14:paraId="635D3620"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WB. 2015. </w:t>
      </w:r>
      <w:r w:rsidRPr="00B95753">
        <w:rPr>
          <w:rFonts w:ascii="Times New Roman" w:hAnsi="Times New Roman" w:cs="Times New Roman"/>
          <w:i/>
          <w:sz w:val="20"/>
          <w:szCs w:val="20"/>
        </w:rPr>
        <w:t>Policies, Prices, and Poverty,</w:t>
      </w:r>
      <w:r w:rsidRPr="00B95753">
        <w:rPr>
          <w:rFonts w:ascii="Times New Roman" w:hAnsi="Times New Roman" w:cs="Times New Roman"/>
          <w:sz w:val="20"/>
          <w:szCs w:val="20"/>
        </w:rPr>
        <w:t xml:space="preserve"> p. 44</w:t>
      </w:r>
    </w:p>
  </w:footnote>
  <w:footnote w:id="346">
    <w:p w14:paraId="09F26722" w14:textId="77777777" w:rsidR="00B42297" w:rsidRPr="007575D7" w:rsidRDefault="00B42297" w:rsidP="00F61864">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w:t>
      </w:r>
    </w:p>
  </w:footnote>
  <w:footnote w:id="347">
    <w:p w14:paraId="336B4058"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World Bank. 2016. </w:t>
      </w:r>
      <w:r w:rsidRPr="00B95753">
        <w:rPr>
          <w:rFonts w:ascii="Times New Roman" w:hAnsi="Times New Roman" w:cs="Times New Roman"/>
          <w:i/>
          <w:sz w:val="20"/>
          <w:szCs w:val="20"/>
        </w:rPr>
        <w:t xml:space="preserve">Competitiveness and comparative advantage of the groundnut value chain in Senegal, </w:t>
      </w:r>
      <w:r w:rsidRPr="00B95753">
        <w:rPr>
          <w:rFonts w:ascii="Times New Roman" w:hAnsi="Times New Roman" w:cs="Times New Roman"/>
          <w:sz w:val="20"/>
          <w:szCs w:val="20"/>
        </w:rPr>
        <w:t>Annex 1, p. 7</w:t>
      </w:r>
    </w:p>
  </w:footnote>
  <w:footnote w:id="348">
    <w:p w14:paraId="34904444" w14:textId="77777777" w:rsidR="00B42297" w:rsidRPr="007575D7" w:rsidRDefault="00B42297" w:rsidP="00F61864">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w:t>
      </w:r>
    </w:p>
  </w:footnote>
  <w:footnote w:id="349">
    <w:p w14:paraId="1D97A572"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USDA. 2017. </w:t>
      </w:r>
      <w:r w:rsidRPr="00B95753">
        <w:rPr>
          <w:rFonts w:ascii="Times New Roman" w:hAnsi="Times New Roman" w:cs="Times New Roman"/>
          <w:i/>
          <w:sz w:val="20"/>
          <w:szCs w:val="20"/>
        </w:rPr>
        <w:t>Production, Supply and Distribution Database.</w:t>
      </w:r>
      <w:r w:rsidRPr="00B95753">
        <w:rPr>
          <w:rFonts w:ascii="Times New Roman" w:hAnsi="Times New Roman" w:cs="Times New Roman"/>
          <w:sz w:val="20"/>
          <w:szCs w:val="20"/>
        </w:rPr>
        <w:t xml:space="preserve"> Available at: </w:t>
      </w:r>
      <w:hyperlink r:id="rId27" w:anchor="/app/home" w:history="1">
        <w:r w:rsidRPr="00B95753">
          <w:rPr>
            <w:rStyle w:val="Hyperlink"/>
            <w:rFonts w:ascii="Times New Roman" w:hAnsi="Times New Roman" w:cs="Times New Roman"/>
            <w:sz w:val="20"/>
            <w:szCs w:val="20"/>
          </w:rPr>
          <w:t>https://apps.fas.usda.gov/psdonline/app/index.html#/app/home</w:t>
        </w:r>
      </w:hyperlink>
    </w:p>
  </w:footnote>
  <w:footnote w:id="350">
    <w:p w14:paraId="5DB2B77E"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Gain. 2016. Oilseeds and Products Annual 2016</w:t>
      </w:r>
    </w:p>
  </w:footnote>
  <w:footnote w:id="351">
    <w:p w14:paraId="2C3635A4" w14:textId="77777777" w:rsidR="00B42297" w:rsidRPr="007575D7" w:rsidRDefault="00B42297" w:rsidP="00F61864">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CNIA. 2017. </w:t>
      </w:r>
      <w:r w:rsidRPr="007575D7">
        <w:rPr>
          <w:rFonts w:ascii="Times New Roman" w:hAnsi="Times New Roman" w:cs="Times New Roman"/>
          <w:i/>
          <w:sz w:val="20"/>
          <w:szCs w:val="20"/>
          <w:lang w:val="fr-FR"/>
        </w:rPr>
        <w:t xml:space="preserve">Situation collecte </w:t>
      </w:r>
      <w:proofErr w:type="spellStart"/>
      <w:r w:rsidRPr="007575D7">
        <w:rPr>
          <w:rFonts w:ascii="Times New Roman" w:hAnsi="Times New Roman" w:cs="Times New Roman"/>
          <w:i/>
          <w:sz w:val="20"/>
          <w:szCs w:val="20"/>
          <w:lang w:val="fr-FR"/>
        </w:rPr>
        <w:t>commercialization</w:t>
      </w:r>
      <w:proofErr w:type="spellEnd"/>
      <w:r w:rsidRPr="007575D7">
        <w:rPr>
          <w:rFonts w:ascii="Times New Roman" w:hAnsi="Times New Roman" w:cs="Times New Roman"/>
          <w:i/>
          <w:sz w:val="20"/>
          <w:szCs w:val="20"/>
          <w:lang w:val="fr-FR"/>
        </w:rPr>
        <w:t xml:space="preserve"> des arachides 28eme semaine</w:t>
      </w:r>
    </w:p>
  </w:footnote>
  <w:footnote w:id="352">
    <w:p w14:paraId="36B49864"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USDA (2017)</w:t>
      </w:r>
    </w:p>
  </w:footnote>
  <w:footnote w:id="353">
    <w:p w14:paraId="4946F691"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USDA (2017)</w:t>
      </w:r>
    </w:p>
  </w:footnote>
  <w:footnote w:id="354">
    <w:p w14:paraId="426DE208"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Assuming a conversion rate between 1 liter = 912.98 gram of palm oil (http://www.webconversiononline.com/weightof.aspx?quantity=1&amp;measure=liter&amp;ingredient=palmoil)</w:t>
      </w:r>
    </w:p>
  </w:footnote>
  <w:footnote w:id="355">
    <w:p w14:paraId="0C852015" w14:textId="77777777" w:rsidR="00B42297" w:rsidRPr="00B95753" w:rsidRDefault="00B42297" w:rsidP="00F61864">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Presentation by Prof. Abd Karim Alias (https://www.youtube.com/watch?v=F71jVjBK6FU)</w:t>
      </w:r>
    </w:p>
  </w:footnote>
  <w:footnote w:id="356">
    <w:p w14:paraId="6A2C6A91"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Acte Additionnel A/SA.1/06/08 Portant Adoption des </w:t>
      </w:r>
      <w:proofErr w:type="spellStart"/>
      <w:r w:rsidRPr="007575D7">
        <w:rPr>
          <w:rFonts w:ascii="Times New Roman" w:hAnsi="Times New Roman" w:cs="Times New Roman"/>
          <w:sz w:val="20"/>
          <w:szCs w:val="20"/>
          <w:lang w:val="fr-FR"/>
        </w:rPr>
        <w:t>Regles</w:t>
      </w:r>
      <w:proofErr w:type="spellEnd"/>
      <w:r w:rsidRPr="007575D7">
        <w:rPr>
          <w:rFonts w:ascii="Times New Roman" w:hAnsi="Times New Roman" w:cs="Times New Roman"/>
          <w:sz w:val="20"/>
          <w:szCs w:val="20"/>
          <w:lang w:val="fr-FR"/>
        </w:rPr>
        <w:t xml:space="preserve"> Communautaires de la Concurrence et de Leurs Modalités D’Application au Sein de la CEDEAO, Article 4(1)</w:t>
      </w:r>
    </w:p>
  </w:footnote>
  <w:footnote w:id="357">
    <w:p w14:paraId="45012B92"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Acte Additionnel A/SA.2/06/08 Portant Création, Attributions et Fonctionnement de L’Autorité Régionale de la Concurrence de la CEDEAO.</w:t>
      </w:r>
    </w:p>
  </w:footnote>
  <w:footnote w:id="358">
    <w:p w14:paraId="58F15348"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Article 13(1) of Supplementary Act A/SA.1/06/08’ and Articles 2 and 7 of Supplementary Act A/SA.1/06/08.</w:t>
      </w:r>
    </w:p>
  </w:footnote>
  <w:footnote w:id="359">
    <w:p w14:paraId="3D14E9CB"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13(4).</w:t>
      </w:r>
    </w:p>
  </w:footnote>
  <w:footnote w:id="360">
    <w:p w14:paraId="6659D527"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13(5).</w:t>
      </w:r>
    </w:p>
  </w:footnote>
  <w:footnote w:id="361">
    <w:p w14:paraId="1F533327"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Article 14 of the WAEMU Treaty (WAEMU and ECOWAS overlap in dealing with the same geographic region (all members of the former are also members of the latter but not the other way around).</w:t>
      </w:r>
    </w:p>
  </w:footnote>
  <w:footnote w:id="362">
    <w:p w14:paraId="55DE2DEB"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Article 13(6) of Supplementary Act A/SA.1/06/08.</w:t>
      </w:r>
    </w:p>
  </w:footnote>
  <w:footnote w:id="363">
    <w:p w14:paraId="4794668A"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Article 12(2) of Supplementary Act A/SA.1/06/08.</w:t>
      </w:r>
    </w:p>
  </w:footnote>
  <w:footnote w:id="364">
    <w:p w14:paraId="232E91A1"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Article 4(1) of Supplementary Act A/SA.1/06/08.</w:t>
      </w:r>
    </w:p>
  </w:footnote>
  <w:footnote w:id="365">
    <w:p w14:paraId="4C958AA1"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5(3).</w:t>
      </w:r>
    </w:p>
  </w:footnote>
  <w:footnote w:id="366">
    <w:p w14:paraId="1FF424B9"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5(2).</w:t>
      </w:r>
    </w:p>
  </w:footnote>
  <w:footnote w:id="367">
    <w:p w14:paraId="743185B3"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5(3).</w:t>
      </w:r>
    </w:p>
  </w:footnote>
  <w:footnote w:id="368">
    <w:p w14:paraId="2AE32295"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5(2).</w:t>
      </w:r>
    </w:p>
  </w:footnote>
  <w:footnote w:id="369">
    <w:p w14:paraId="66B28006"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11(3).</w:t>
      </w:r>
    </w:p>
  </w:footnote>
  <w:footnote w:id="370">
    <w:p w14:paraId="68E65479"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7(1).</w:t>
      </w:r>
    </w:p>
  </w:footnote>
  <w:footnote w:id="371">
    <w:p w14:paraId="67438E2E"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A/SA.2/06/08, Article 4(2)(iv).</w:t>
      </w:r>
    </w:p>
  </w:footnote>
  <w:footnote w:id="372">
    <w:p w14:paraId="25B26DF4"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7(3).</w:t>
      </w:r>
    </w:p>
  </w:footnote>
  <w:footnote w:id="373">
    <w:p w14:paraId="4930EB0E"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A/SA.2/06/08, Article 4(3).</w:t>
      </w:r>
    </w:p>
  </w:footnote>
  <w:footnote w:id="374">
    <w:p w14:paraId="74B64183"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8(3).</w:t>
      </w:r>
    </w:p>
  </w:footnote>
  <w:footnote w:id="375">
    <w:p w14:paraId="0EFC3F18"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8(1).</w:t>
      </w:r>
    </w:p>
  </w:footnote>
  <w:footnote w:id="376">
    <w:p w14:paraId="7E0D42F9"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Supplementary Act A/SA.1/06/08, Article 8(2).</w:t>
      </w:r>
    </w:p>
  </w:footnote>
  <w:footnote w:id="377">
    <w:p w14:paraId="5DCF40B1"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WAEMU Treaty, Article 76(c).</w:t>
      </w:r>
    </w:p>
  </w:footnote>
  <w:footnote w:id="378">
    <w:p w14:paraId="72F1B86A"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WAEMU Treaty, Section III, paragraph 4.</w:t>
      </w:r>
    </w:p>
  </w:footnote>
  <w:footnote w:id="379">
    <w:p w14:paraId="3E3CACD9"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Pursuant to a two-thirds majority.</w:t>
      </w:r>
    </w:p>
  </w:footnote>
  <w:footnote w:id="380">
    <w:p w14:paraId="38BFE1DD"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02/2002/CM/UEMOA relatif aux pratiques anticoncurrentielles à l'intérieur de l'UEMOA, Article 2</w:t>
      </w:r>
    </w:p>
  </w:footnote>
  <w:footnote w:id="381">
    <w:p w14:paraId="3448BDBE"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02/2002/CM/UEMOA relatif aux pratiques anticoncurrentielles à l'intérieur de l'UEMOA, Article 7</w:t>
      </w:r>
    </w:p>
  </w:footnote>
  <w:footnote w:id="382">
    <w:p w14:paraId="65A3EF6C"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7</w:t>
      </w:r>
    </w:p>
  </w:footnote>
  <w:footnote w:id="383">
    <w:p w14:paraId="5D24F46C"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6.2</w:t>
      </w:r>
    </w:p>
  </w:footnote>
  <w:footnote w:id="384">
    <w:p w14:paraId="6DC1CC8A"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02/2002/CM/UEMOA relatif aux pratiques anticoncurrentielles à l'intérieur de l'UEMOA, Article 4.2</w:t>
      </w:r>
    </w:p>
  </w:footnote>
  <w:footnote w:id="385">
    <w:p w14:paraId="3ED0CD42"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02/2002/CM/UEMOA relatif aux pratiques anticoncurrentielles à l'intérieur de l'UEMOA, Article 4.1</w:t>
      </w:r>
    </w:p>
  </w:footnote>
  <w:footnote w:id="386">
    <w:p w14:paraId="6B5F3205"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02/2002/CM/UEMOA relatif aux pratiques anticoncurrentielles à l'intérieur de l'UEMOA, Article 4.3</w:t>
      </w:r>
    </w:p>
  </w:footnote>
  <w:footnote w:id="387">
    <w:p w14:paraId="3E0EC9E0"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02/2002/CM/UEMOA relatif aux pratiques anticoncurrentielles à l'intérieur de l'UEMOA, Article 5 and o</w:t>
      </w:r>
      <w:r w:rsidRPr="007575D7">
        <w:rPr>
          <w:rFonts w:ascii="Times New Roman" w:hAnsi="Times New Roman" w:cs="Times New Roman"/>
          <w:sz w:val="20"/>
          <w:szCs w:val="20"/>
          <w:lang w:val="fr-FR"/>
        </w:rPr>
        <w:tab/>
        <w:t>N° 04/2002/CM/UEMOA relatif aux aides d'Etat à l'intérieur de l'UEMOA et aux modalités d'application de l'article 88 (c) du Traité</w:t>
      </w:r>
    </w:p>
  </w:footnote>
  <w:footnote w:id="388">
    <w:p w14:paraId="58636B1E"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04/2002/CM/UEMOA relatif aux aides d'Etat à l'intérieur de l'UEMOA et aux modalités d'application de l'article 88 (c) du Traité, Article 5</w:t>
      </w:r>
    </w:p>
  </w:footnote>
  <w:footnote w:id="389">
    <w:p w14:paraId="79114871"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04/2002/CM/UEMOA relatif aux aides d'Etat à l'intérieur de l'UEMOA et aux modalités d'application de l'article 88 (c) du Traité, Article 6</w:t>
      </w:r>
    </w:p>
  </w:footnote>
  <w:footnote w:id="390">
    <w:p w14:paraId="2715227F"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04/2002/CM/UEMOA relatif aux aides d'Etat à l'intérieur de l'UEMOA et aux modalités d'application de l'article 88 (c) du Traité, Article 2.2</w:t>
      </w:r>
    </w:p>
  </w:footnote>
  <w:footnote w:id="391">
    <w:p w14:paraId="70D916F5"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04/2002/CM/UEMOA relatif aux aides d'Etat à l'intérieur de l'UEMOA et aux modalités d'application de l'article 88 (c) du Traité, Article 16</w:t>
      </w:r>
    </w:p>
  </w:footnote>
  <w:footnote w:id="392">
    <w:p w14:paraId="5352B761"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UNCTAD. 2007. Voluntary peer review of competition policy: West African Economic and Monetary Union, Benin and Senegal, pp. 16-17</w:t>
      </w:r>
    </w:p>
  </w:footnote>
  <w:footnote w:id="393">
    <w:p w14:paraId="2751E02D"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02/2002/CM/UEMOA relatif aux pratiques anticoncurrentielles à l'intérieur de l'UEMOA, Article 6.1</w:t>
      </w:r>
    </w:p>
  </w:footnote>
  <w:footnote w:id="394">
    <w:p w14:paraId="0B11F352"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02/2002/CM/UEMOA relatif aux pratiques anticoncurrentielles à l'intérieur de l'UEMOA, Article 6.2</w:t>
      </w:r>
    </w:p>
  </w:footnote>
  <w:footnote w:id="395">
    <w:p w14:paraId="4AB04384"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Article 90 of the WAEMU Treaty.</w:t>
      </w:r>
    </w:p>
  </w:footnote>
  <w:footnote w:id="396">
    <w:p w14:paraId="671AF7AB"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109C375C" w14:textId="77777777" w:rsidR="00B42297" w:rsidRPr="007575D7" w:rsidRDefault="00B42297" w:rsidP="008B5EA1">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4</w:t>
      </w:r>
    </w:p>
  </w:footnote>
  <w:footnote w:id="397">
    <w:p w14:paraId="54048EE6"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4DEAFC86" w14:textId="77777777" w:rsidR="00B42297" w:rsidRPr="00B95753" w:rsidRDefault="00B42297" w:rsidP="008B5EA1">
      <w:pPr>
        <w:pStyle w:val="FootnoteText"/>
        <w:jc w:val="both"/>
        <w:rPr>
          <w:rFonts w:ascii="Times New Roman" w:hAnsi="Times New Roman" w:cs="Times New Roman"/>
          <w:sz w:val="20"/>
          <w:szCs w:val="20"/>
        </w:rPr>
      </w:pPr>
      <w:r w:rsidRPr="007575D7">
        <w:rPr>
          <w:rFonts w:ascii="Times New Roman" w:hAnsi="Times New Roman" w:cs="Times New Roman"/>
          <w:sz w:val="20"/>
          <w:szCs w:val="20"/>
          <w:lang w:val="fr-FR"/>
        </w:rPr>
        <w:t xml:space="preserve">88, 89 et 90 du Traité de l’UEMOA, Article 5.2. </w:t>
      </w:r>
      <w:r w:rsidRPr="00B95753">
        <w:rPr>
          <w:rFonts w:ascii="Times New Roman" w:hAnsi="Times New Roman" w:cs="Times New Roman"/>
          <w:sz w:val="20"/>
          <w:szCs w:val="20"/>
        </w:rPr>
        <w:t>The Commission also has exclusive competence to investigate and adopt decisions on the matters referred in the Regulations: 02/2002/CM/UEMOA on anticompetitive practices within WAEMU; N° 03/2002/CM/UEMOA, on the procedural rules applicable to anticompetitive agreements and abuses of dominance within WAEMU; and N° 04/2002/CM/UEMOA regarding State aids within WAEMU and the criteria for applying Article 88 (c) of the WAEMU Treaty concerning illegal aid (Article 5.4).</w:t>
      </w:r>
    </w:p>
  </w:footnote>
  <w:footnote w:id="398">
    <w:p w14:paraId="4AE67AE5"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28.4</w:t>
      </w:r>
    </w:p>
  </w:footnote>
  <w:footnote w:id="399">
    <w:p w14:paraId="07057158"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76DA01C0" w14:textId="77777777" w:rsidR="00B42297" w:rsidRPr="007575D7" w:rsidRDefault="00B42297" w:rsidP="008B5EA1">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3.1</w:t>
      </w:r>
    </w:p>
  </w:footnote>
  <w:footnote w:id="400">
    <w:p w14:paraId="24821937"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2E0E0D34" w14:textId="77777777" w:rsidR="00B42297" w:rsidRPr="007575D7" w:rsidRDefault="00B42297" w:rsidP="008B5EA1">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3.4</w:t>
      </w:r>
    </w:p>
  </w:footnote>
  <w:footnote w:id="401">
    <w:p w14:paraId="6C1D3C89"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38A839E6" w14:textId="77777777" w:rsidR="00B42297" w:rsidRPr="007575D7" w:rsidRDefault="00B42297" w:rsidP="008B5EA1">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5.3</w:t>
      </w:r>
    </w:p>
  </w:footnote>
  <w:footnote w:id="402">
    <w:p w14:paraId="28C1F636"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340F3E4C" w14:textId="77777777" w:rsidR="00B42297" w:rsidRPr="007575D7" w:rsidRDefault="00B42297" w:rsidP="008B5EA1">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3.3</w:t>
      </w:r>
    </w:p>
  </w:footnote>
  <w:footnote w:id="403">
    <w:p w14:paraId="47D5CACB"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Institutional Coherence and Effectivity of a Regional Competition Policy: </w:t>
      </w:r>
      <w:proofErr w:type="gramStart"/>
      <w:r w:rsidRPr="00B95753">
        <w:rPr>
          <w:rFonts w:ascii="Times New Roman" w:hAnsi="Times New Roman" w:cs="Times New Roman"/>
          <w:sz w:val="20"/>
          <w:szCs w:val="20"/>
        </w:rPr>
        <w:t>the</w:t>
      </w:r>
      <w:proofErr w:type="gramEnd"/>
      <w:r w:rsidRPr="00B95753">
        <w:rPr>
          <w:rFonts w:ascii="Times New Roman" w:hAnsi="Times New Roman" w:cs="Times New Roman"/>
          <w:sz w:val="20"/>
          <w:szCs w:val="20"/>
        </w:rPr>
        <w:t xml:space="preserve"> Case of the West African Economic and Monetary Union (WAEMU), Max Planck Institute for Intellectual Property and Competition Law Research Paper No. 11-17, pp. 5-6</w:t>
      </w:r>
    </w:p>
  </w:footnote>
  <w:footnote w:id="404">
    <w:p w14:paraId="6FD197C6"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3</w:t>
      </w:r>
    </w:p>
  </w:footnote>
  <w:footnote w:id="405">
    <w:p w14:paraId="56B87273"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4.1</w:t>
      </w:r>
    </w:p>
  </w:footnote>
  <w:footnote w:id="406">
    <w:p w14:paraId="7D0B98CA"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4.3</w:t>
      </w:r>
    </w:p>
  </w:footnote>
  <w:footnote w:id="407">
    <w:p w14:paraId="40F1769E"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6.1</w:t>
      </w:r>
    </w:p>
  </w:footnote>
  <w:footnote w:id="408">
    <w:p w14:paraId="0A606158"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21</w:t>
      </w:r>
    </w:p>
  </w:footnote>
  <w:footnote w:id="409">
    <w:p w14:paraId="2E832D8F"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 6</w:t>
      </w:r>
    </w:p>
  </w:footnote>
  <w:footnote w:id="410">
    <w:p w14:paraId="79779073"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22.2</w:t>
      </w:r>
    </w:p>
  </w:footnote>
  <w:footnote w:id="411">
    <w:p w14:paraId="7AED933F"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22.1</w:t>
      </w:r>
    </w:p>
  </w:footnote>
  <w:footnote w:id="412">
    <w:p w14:paraId="0736C151"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14</w:t>
      </w:r>
    </w:p>
  </w:footnote>
  <w:footnote w:id="413">
    <w:p w14:paraId="5AA2E36A"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sz w:val="20"/>
          <w:szCs w:val="20"/>
          <w:lang w:val="fr-FR"/>
        </w:rPr>
        <w:t>Réglement</w:t>
      </w:r>
      <w:proofErr w:type="spellEnd"/>
      <w:r w:rsidRPr="007575D7">
        <w:rPr>
          <w:rFonts w:ascii="Times New Roman" w:hAnsi="Times New Roman" w:cs="Times New Roman"/>
          <w:sz w:val="20"/>
          <w:szCs w:val="20"/>
          <w:lang w:val="fr-FR"/>
        </w:rPr>
        <w:t xml:space="preserve"> N° 03/2002/CM/UEMOA relatif aux procédures applicables aux ententes et abus de position dominante à l'intérieur de l'UEMOA, Article 22.4</w:t>
      </w:r>
    </w:p>
  </w:footnote>
  <w:footnote w:id="414">
    <w:p w14:paraId="35FB530B"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Mor Bakhoum. 2005.</w:t>
      </w:r>
      <w:r w:rsidRPr="007575D7">
        <w:rPr>
          <w:rFonts w:ascii="Times New Roman" w:hAnsi="Times New Roman" w:cs="Times New Roman"/>
          <w:i/>
          <w:sz w:val="20"/>
          <w:szCs w:val="20"/>
          <w:lang w:val="fr-FR"/>
        </w:rPr>
        <w:t xml:space="preserve"> Répartition et Exercice des Compétences entre l’Union et les États Membres en Droit de la Concurrence dans l’Union Économique et Monétaire Ouest-Africaine (UEOMA),</w:t>
      </w:r>
      <w:r w:rsidRPr="007575D7">
        <w:rPr>
          <w:rFonts w:ascii="Times New Roman" w:hAnsi="Times New Roman" w:cs="Times New Roman"/>
          <w:sz w:val="20"/>
          <w:szCs w:val="20"/>
          <w:lang w:val="fr-FR"/>
        </w:rPr>
        <w:t xml:space="preserve"> p. 346</w:t>
      </w:r>
    </w:p>
  </w:footnote>
  <w:footnote w:id="415">
    <w:p w14:paraId="05AD984E"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Mor Bakhoum. 2005. </w:t>
      </w:r>
      <w:r w:rsidRPr="007575D7">
        <w:rPr>
          <w:rFonts w:ascii="Times New Roman" w:hAnsi="Times New Roman" w:cs="Times New Roman"/>
          <w:i/>
          <w:sz w:val="20"/>
          <w:szCs w:val="20"/>
          <w:lang w:val="fr-FR"/>
        </w:rPr>
        <w:t>Répartition et Exercice des Compétences entre l’Union et les États Membres en Droit de la Concurrence dans l’Union Économique et Monétaire Ouest-Africaine (UEOMA),</w:t>
      </w:r>
      <w:r w:rsidRPr="007575D7">
        <w:rPr>
          <w:rFonts w:ascii="Times New Roman" w:hAnsi="Times New Roman" w:cs="Times New Roman"/>
          <w:sz w:val="20"/>
          <w:szCs w:val="20"/>
          <w:lang w:val="fr-FR"/>
        </w:rPr>
        <w:t xml:space="preserve"> p. 324</w:t>
      </w:r>
    </w:p>
  </w:footnote>
  <w:footnote w:id="416">
    <w:p w14:paraId="6FB88A80"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Communauté économique des </w:t>
      </w:r>
      <w:proofErr w:type="spellStart"/>
      <w:r w:rsidRPr="007575D7">
        <w:rPr>
          <w:rFonts w:ascii="Times New Roman" w:hAnsi="Times New Roman" w:cs="Times New Roman"/>
          <w:sz w:val="20"/>
          <w:szCs w:val="20"/>
          <w:lang w:val="fr-FR"/>
        </w:rPr>
        <w:t>etats</w:t>
      </w:r>
      <w:proofErr w:type="spellEnd"/>
      <w:r w:rsidRPr="007575D7">
        <w:rPr>
          <w:rFonts w:ascii="Times New Roman" w:hAnsi="Times New Roman" w:cs="Times New Roman"/>
          <w:sz w:val="20"/>
          <w:szCs w:val="20"/>
          <w:lang w:val="fr-FR"/>
        </w:rPr>
        <w:t xml:space="preserve"> de </w:t>
      </w:r>
      <w:proofErr w:type="spellStart"/>
      <w:r w:rsidRPr="007575D7">
        <w:rPr>
          <w:rFonts w:ascii="Times New Roman" w:hAnsi="Times New Roman" w:cs="Times New Roman"/>
          <w:sz w:val="20"/>
          <w:szCs w:val="20"/>
          <w:lang w:val="fr-FR"/>
        </w:rPr>
        <w:t>l'afrique</w:t>
      </w:r>
      <w:proofErr w:type="spellEnd"/>
      <w:r w:rsidRPr="007575D7">
        <w:rPr>
          <w:rFonts w:ascii="Times New Roman" w:hAnsi="Times New Roman" w:cs="Times New Roman"/>
          <w:sz w:val="20"/>
          <w:szCs w:val="20"/>
          <w:lang w:val="fr-FR"/>
        </w:rPr>
        <w:t xml:space="preserve"> de l'ouest, Cour de justice, 27 juin 2000, décision n°003/2000, </w:t>
      </w:r>
      <w:proofErr w:type="spellStart"/>
      <w:r w:rsidRPr="007575D7">
        <w:rPr>
          <w:rFonts w:ascii="Times New Roman" w:hAnsi="Times New Roman" w:cs="Times New Roman"/>
          <w:sz w:val="20"/>
          <w:szCs w:val="20"/>
          <w:lang w:val="fr-FR"/>
        </w:rPr>
        <w:t>available</w:t>
      </w:r>
      <w:proofErr w:type="spellEnd"/>
      <w:r w:rsidRPr="007575D7">
        <w:rPr>
          <w:rFonts w:ascii="Times New Roman" w:hAnsi="Times New Roman" w:cs="Times New Roman"/>
          <w:sz w:val="20"/>
          <w:szCs w:val="20"/>
          <w:lang w:val="fr-FR"/>
        </w:rPr>
        <w:t xml:space="preserve"> </w:t>
      </w:r>
      <w:proofErr w:type="gramStart"/>
      <w:r w:rsidRPr="007575D7">
        <w:rPr>
          <w:rFonts w:ascii="Times New Roman" w:hAnsi="Times New Roman" w:cs="Times New Roman"/>
          <w:sz w:val="20"/>
          <w:szCs w:val="20"/>
          <w:lang w:val="fr-FR"/>
        </w:rPr>
        <w:t>at:</w:t>
      </w:r>
      <w:proofErr w:type="gramEnd"/>
      <w:r w:rsidRPr="007575D7">
        <w:rPr>
          <w:rFonts w:ascii="Times New Roman" w:hAnsi="Times New Roman" w:cs="Times New Roman"/>
          <w:sz w:val="20"/>
          <w:szCs w:val="20"/>
          <w:lang w:val="fr-FR"/>
        </w:rPr>
        <w:t xml:space="preserve"> http://www.juricaf.org/arret/UEMOA-COURDEJUSTICE-20000627-0032000</w:t>
      </w:r>
    </w:p>
  </w:footnote>
  <w:footnote w:id="417">
    <w:p w14:paraId="15A64A1D"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UNCTAD, Voluntary Peer Review of Competition Policy: West African Economic and Monetary Union, Benin and Senegal, 2007, p. 11</w:t>
      </w:r>
    </w:p>
  </w:footnote>
  <w:footnote w:id="418">
    <w:p w14:paraId="2775E685"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 3</w:t>
      </w:r>
    </w:p>
  </w:footnote>
  <w:footnote w:id="419">
    <w:p w14:paraId="711947B1"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71E04729" w14:textId="77777777" w:rsidR="00B42297" w:rsidRPr="007575D7" w:rsidRDefault="00B42297" w:rsidP="008B5EA1">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6.1</w:t>
      </w:r>
    </w:p>
  </w:footnote>
  <w:footnote w:id="420">
    <w:p w14:paraId="4416E575"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3D6D9332" w14:textId="77777777" w:rsidR="00B42297" w:rsidRPr="007575D7" w:rsidRDefault="00B42297" w:rsidP="008B5EA1">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6.2</w:t>
      </w:r>
    </w:p>
  </w:footnote>
  <w:footnote w:id="421">
    <w:p w14:paraId="2FB4A8E7"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WAEMU Treaty, Article 6.</w:t>
      </w:r>
    </w:p>
  </w:footnote>
  <w:footnote w:id="422">
    <w:p w14:paraId="40C06130"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UNCTAD, UNCTAD, Voluntary Peer Review of Competition Policy: West African Economic and Monetary Union, Benin and Senegal, 2007, p. 4.</w:t>
      </w:r>
    </w:p>
  </w:footnote>
  <w:footnote w:id="423">
    <w:p w14:paraId="2F5D3BEA"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Mor Bakhoum and Julia </w:t>
      </w:r>
      <w:proofErr w:type="spellStart"/>
      <w:r w:rsidRPr="00B95753">
        <w:rPr>
          <w:rFonts w:ascii="Times New Roman" w:hAnsi="Times New Roman" w:cs="Times New Roman"/>
          <w:sz w:val="20"/>
          <w:szCs w:val="20"/>
        </w:rPr>
        <w:t>Molestina</w:t>
      </w:r>
      <w:proofErr w:type="spellEnd"/>
      <w:r w:rsidRPr="00B95753">
        <w:rPr>
          <w:rFonts w:ascii="Times New Roman" w:hAnsi="Times New Roman" w:cs="Times New Roman"/>
          <w:sz w:val="20"/>
          <w:szCs w:val="20"/>
        </w:rPr>
        <w:t xml:space="preserve">. 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 10; Mor Bakhoum. </w:t>
      </w:r>
      <w:r w:rsidRPr="007575D7">
        <w:rPr>
          <w:rFonts w:ascii="Times New Roman" w:hAnsi="Times New Roman" w:cs="Times New Roman"/>
          <w:sz w:val="20"/>
          <w:szCs w:val="20"/>
        </w:rPr>
        <w:t xml:space="preserve">2005. </w:t>
      </w:r>
      <w:r w:rsidRPr="007575D7">
        <w:rPr>
          <w:rFonts w:ascii="Times New Roman" w:hAnsi="Times New Roman" w:cs="Times New Roman"/>
          <w:i/>
          <w:sz w:val="20"/>
          <w:szCs w:val="20"/>
          <w:lang w:val="fr-FR"/>
        </w:rPr>
        <w:t>Répartition et Exercice des Compétences entre l’Union et les États Membres en Droit de la Concurrence dans l’Union Économique et Monétaire Ouest-Africaine (UEOMA),</w:t>
      </w:r>
      <w:r w:rsidRPr="007575D7">
        <w:rPr>
          <w:rFonts w:ascii="Times New Roman" w:hAnsi="Times New Roman" w:cs="Times New Roman"/>
          <w:sz w:val="20"/>
          <w:szCs w:val="20"/>
          <w:lang w:val="fr-FR"/>
        </w:rPr>
        <w:t xml:space="preserve"> p. 337</w:t>
      </w:r>
    </w:p>
  </w:footnote>
  <w:footnote w:id="424">
    <w:p w14:paraId="26D052CE" w14:textId="77777777" w:rsidR="00B42297" w:rsidRPr="007575D7" w:rsidRDefault="00B42297" w:rsidP="008B5EA1">
      <w:pPr>
        <w:pStyle w:val="FootnoteText"/>
        <w:jc w:val="both"/>
        <w:rPr>
          <w:rFonts w:ascii="Times New Roman" w:hAnsi="Times New Roman" w:cs="Times New Roman"/>
          <w:sz w:val="20"/>
          <w:szCs w:val="20"/>
          <w:lang w:val="fr-FR"/>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Directive N° 02/2002/CM/UEMOA Relative à la Coopération entre la Commission et les Structures Nationales de Concurrence des États Membres pour l’Application des Articles </w:t>
      </w:r>
    </w:p>
    <w:p w14:paraId="210577AA" w14:textId="77777777" w:rsidR="00B42297" w:rsidRPr="007575D7" w:rsidRDefault="00B42297" w:rsidP="008B5EA1">
      <w:pPr>
        <w:pStyle w:val="FootnoteText"/>
        <w:jc w:val="both"/>
        <w:rPr>
          <w:rFonts w:ascii="Times New Roman" w:hAnsi="Times New Roman" w:cs="Times New Roman"/>
          <w:sz w:val="20"/>
          <w:szCs w:val="20"/>
          <w:lang w:val="fr-FR"/>
        </w:rPr>
      </w:pPr>
      <w:r w:rsidRPr="007575D7">
        <w:rPr>
          <w:rFonts w:ascii="Times New Roman" w:hAnsi="Times New Roman" w:cs="Times New Roman"/>
          <w:sz w:val="20"/>
          <w:szCs w:val="20"/>
          <w:lang w:val="fr-FR"/>
        </w:rPr>
        <w:t>88, 89 et 90 du Traité de l’UEMOA, Article 6.3.</w:t>
      </w:r>
    </w:p>
  </w:footnote>
  <w:footnote w:id="425">
    <w:p w14:paraId="69CC6B87" w14:textId="77777777" w:rsidR="00B42297" w:rsidRPr="00B95753" w:rsidRDefault="00B42297" w:rsidP="008B5EA1">
      <w:pPr>
        <w:pStyle w:val="FootnoteText"/>
        <w:jc w:val="both"/>
        <w:rPr>
          <w:rFonts w:ascii="Times New Roman" w:hAnsi="Times New Roman" w:cs="Times New Roman"/>
          <w:sz w:val="20"/>
          <w:szCs w:val="20"/>
        </w:rPr>
      </w:pPr>
      <w:r w:rsidRPr="00B95753">
        <w:rPr>
          <w:rStyle w:val="FootnoteReference"/>
          <w:rFonts w:ascii="Times New Roman" w:hAnsi="Times New Roman" w:cs="Times New Roman"/>
          <w:sz w:val="20"/>
          <w:szCs w:val="20"/>
        </w:rPr>
        <w:footnoteRef/>
      </w:r>
      <w:r w:rsidRPr="007575D7">
        <w:rPr>
          <w:rFonts w:ascii="Times New Roman" w:hAnsi="Times New Roman" w:cs="Times New Roman"/>
          <w:sz w:val="20"/>
          <w:szCs w:val="20"/>
          <w:lang w:val="fr-FR"/>
        </w:rPr>
        <w:t xml:space="preserve"> </w:t>
      </w:r>
      <w:proofErr w:type="spellStart"/>
      <w:r w:rsidRPr="007575D7">
        <w:rPr>
          <w:rFonts w:ascii="Times New Roman" w:hAnsi="Times New Roman" w:cs="Times New Roman"/>
          <w:i/>
          <w:sz w:val="20"/>
          <w:szCs w:val="20"/>
          <w:lang w:val="fr-FR"/>
        </w:rPr>
        <w:t>See</w:t>
      </w:r>
      <w:proofErr w:type="spellEnd"/>
      <w:r w:rsidRPr="007575D7">
        <w:rPr>
          <w:rFonts w:ascii="Times New Roman" w:hAnsi="Times New Roman" w:cs="Times New Roman"/>
          <w:i/>
          <w:sz w:val="20"/>
          <w:szCs w:val="20"/>
          <w:lang w:val="fr-FR"/>
        </w:rPr>
        <w:t xml:space="preserve"> </w:t>
      </w:r>
      <w:r w:rsidRPr="007575D7">
        <w:rPr>
          <w:rFonts w:ascii="Times New Roman" w:hAnsi="Times New Roman" w:cs="Times New Roman"/>
          <w:sz w:val="20"/>
          <w:szCs w:val="20"/>
          <w:lang w:val="fr-FR"/>
        </w:rPr>
        <w:t>Rapport 2002-2003 de la Commission Nationale de la Concurrence du Sénégal, ex vi</w:t>
      </w:r>
      <w:r w:rsidRPr="007575D7">
        <w:rPr>
          <w:rFonts w:ascii="Times New Roman" w:hAnsi="Times New Roman" w:cs="Times New Roman"/>
          <w:i/>
          <w:sz w:val="20"/>
          <w:szCs w:val="20"/>
          <w:lang w:val="fr-FR"/>
        </w:rPr>
        <w:t xml:space="preserve"> </w:t>
      </w:r>
      <w:r w:rsidRPr="007575D7">
        <w:rPr>
          <w:rFonts w:ascii="Times New Roman" w:hAnsi="Times New Roman" w:cs="Times New Roman"/>
          <w:sz w:val="20"/>
          <w:szCs w:val="20"/>
          <w:lang w:val="fr-FR"/>
        </w:rPr>
        <w:t xml:space="preserve">Mor Bakhoum and Julia </w:t>
      </w:r>
      <w:proofErr w:type="spellStart"/>
      <w:r w:rsidRPr="007575D7">
        <w:rPr>
          <w:rFonts w:ascii="Times New Roman" w:hAnsi="Times New Roman" w:cs="Times New Roman"/>
          <w:sz w:val="20"/>
          <w:szCs w:val="20"/>
          <w:lang w:val="fr-FR"/>
        </w:rPr>
        <w:t>Molestina</w:t>
      </w:r>
      <w:proofErr w:type="spellEnd"/>
      <w:r w:rsidRPr="007575D7">
        <w:rPr>
          <w:rFonts w:ascii="Times New Roman" w:hAnsi="Times New Roman" w:cs="Times New Roman"/>
          <w:sz w:val="20"/>
          <w:szCs w:val="20"/>
          <w:lang w:val="fr-FR"/>
        </w:rPr>
        <w:t xml:space="preserve">. </w:t>
      </w:r>
      <w:r w:rsidRPr="00B95753">
        <w:rPr>
          <w:rFonts w:ascii="Times New Roman" w:hAnsi="Times New Roman" w:cs="Times New Roman"/>
          <w:sz w:val="20"/>
          <w:szCs w:val="20"/>
        </w:rPr>
        <w:t xml:space="preserve">2011. </w:t>
      </w:r>
      <w:r w:rsidRPr="00B95753">
        <w:rPr>
          <w:rFonts w:ascii="Times New Roman" w:hAnsi="Times New Roman" w:cs="Times New Roman"/>
          <w:i/>
          <w:sz w:val="20"/>
          <w:szCs w:val="20"/>
        </w:rPr>
        <w:t xml:space="preserve">Institutional Coherence and Effectivity of a Regional Competition Policy: </w:t>
      </w:r>
      <w:proofErr w:type="gramStart"/>
      <w:r w:rsidRPr="00B95753">
        <w:rPr>
          <w:rFonts w:ascii="Times New Roman" w:hAnsi="Times New Roman" w:cs="Times New Roman"/>
          <w:i/>
          <w:sz w:val="20"/>
          <w:szCs w:val="20"/>
        </w:rPr>
        <w:t>the</w:t>
      </w:r>
      <w:proofErr w:type="gramEnd"/>
      <w:r w:rsidRPr="00B95753">
        <w:rPr>
          <w:rFonts w:ascii="Times New Roman" w:hAnsi="Times New Roman" w:cs="Times New Roman"/>
          <w:i/>
          <w:sz w:val="20"/>
          <w:szCs w:val="20"/>
        </w:rPr>
        <w:t xml:space="preserve"> Case of the West African Economic and Monetary Union (WAEMU),</w:t>
      </w:r>
      <w:r w:rsidRPr="00B95753">
        <w:rPr>
          <w:rFonts w:ascii="Times New Roman" w:hAnsi="Times New Roman" w:cs="Times New Roman"/>
          <w:sz w:val="20"/>
          <w:szCs w:val="20"/>
        </w:rPr>
        <w:t xml:space="preserve"> Max Planck Institute for Intellectual Property and Competition Law Research Paper No. 11-17, p. 4</w:t>
      </w:r>
    </w:p>
  </w:footnote>
  <w:footnote w:id="426">
    <w:p w14:paraId="624611C7" w14:textId="77777777" w:rsidR="00B42297" w:rsidRPr="00B95753" w:rsidRDefault="00B42297" w:rsidP="008B5EA1">
      <w:pPr>
        <w:pStyle w:val="FootnoteText"/>
        <w:jc w:val="both"/>
        <w:rPr>
          <w:rFonts w:ascii="Times New Roman" w:hAnsi="Times New Roman" w:cs="Times New Roman"/>
          <w:i/>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Malick</w:t>
      </w:r>
      <w:proofErr w:type="spellEnd"/>
      <w:r w:rsidRPr="00B95753">
        <w:rPr>
          <w:rFonts w:ascii="Times New Roman" w:hAnsi="Times New Roman" w:cs="Times New Roman"/>
          <w:sz w:val="20"/>
          <w:szCs w:val="20"/>
        </w:rPr>
        <w:t xml:space="preserve"> Diallo. 2013. </w:t>
      </w:r>
      <w:r w:rsidRPr="00B95753">
        <w:rPr>
          <w:rFonts w:ascii="Times New Roman" w:hAnsi="Times New Roman" w:cs="Times New Roman"/>
          <w:i/>
          <w:sz w:val="20"/>
          <w:szCs w:val="20"/>
        </w:rPr>
        <w:t>Senegal: Competition Commission</w:t>
      </w:r>
      <w:r w:rsidRPr="00B95753">
        <w:rPr>
          <w:rFonts w:ascii="Times New Roman" w:hAnsi="Times New Roman" w:cs="Times New Roman"/>
          <w:sz w:val="20"/>
          <w:szCs w:val="20"/>
        </w:rPr>
        <w:t xml:space="preserve">, GCRI African and Middle Eastern Antitrust Review 2014. </w:t>
      </w:r>
    </w:p>
  </w:footnote>
  <w:footnote w:id="427">
    <w:p w14:paraId="3524E32C" w14:textId="77777777" w:rsidR="00B42297" w:rsidRPr="00B95753" w:rsidRDefault="00B42297" w:rsidP="008B5EA1">
      <w:pPr>
        <w:pStyle w:val="FootnoteText"/>
        <w:jc w:val="both"/>
        <w:rPr>
          <w:rFonts w:ascii="Times New Roman" w:hAnsi="Times New Roman" w:cs="Times New Roman"/>
          <w:i/>
          <w:sz w:val="20"/>
          <w:szCs w:val="20"/>
        </w:rPr>
      </w:pPr>
      <w:r w:rsidRPr="00B95753">
        <w:rPr>
          <w:rStyle w:val="FootnoteReference"/>
          <w:rFonts w:ascii="Times New Roman" w:hAnsi="Times New Roman" w:cs="Times New Roman"/>
          <w:sz w:val="20"/>
          <w:szCs w:val="20"/>
        </w:rPr>
        <w:footnoteRef/>
      </w:r>
      <w:r w:rsidRPr="00B95753">
        <w:rPr>
          <w:rFonts w:ascii="Times New Roman" w:hAnsi="Times New Roman" w:cs="Times New Roman"/>
          <w:sz w:val="20"/>
          <w:szCs w:val="20"/>
        </w:rPr>
        <w:t xml:space="preserve"> </w:t>
      </w:r>
      <w:proofErr w:type="spellStart"/>
      <w:r w:rsidRPr="00B95753">
        <w:rPr>
          <w:rFonts w:ascii="Times New Roman" w:hAnsi="Times New Roman" w:cs="Times New Roman"/>
          <w:sz w:val="20"/>
          <w:szCs w:val="20"/>
        </w:rPr>
        <w:t>Malick</w:t>
      </w:r>
      <w:proofErr w:type="spellEnd"/>
      <w:r w:rsidRPr="00B95753">
        <w:rPr>
          <w:rFonts w:ascii="Times New Roman" w:hAnsi="Times New Roman" w:cs="Times New Roman"/>
          <w:sz w:val="20"/>
          <w:szCs w:val="20"/>
        </w:rPr>
        <w:t xml:space="preserve"> Diallo. 2013. </w:t>
      </w:r>
      <w:r w:rsidRPr="00B95753">
        <w:rPr>
          <w:rFonts w:ascii="Times New Roman" w:hAnsi="Times New Roman" w:cs="Times New Roman"/>
          <w:i/>
          <w:sz w:val="20"/>
          <w:szCs w:val="20"/>
        </w:rPr>
        <w:t>Senegal: Competition Commission</w:t>
      </w:r>
      <w:r w:rsidRPr="00B95753">
        <w:rPr>
          <w:rFonts w:ascii="Times New Roman" w:hAnsi="Times New Roman" w:cs="Times New Roman"/>
          <w:sz w:val="20"/>
          <w:szCs w:val="20"/>
        </w:rPr>
        <w:t xml:space="preserve">, GCRI African and Middle Eastern Antitrust Review 2014.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7DCD"/>
    <w:multiLevelType w:val="hybridMultilevel"/>
    <w:tmpl w:val="F2F67260"/>
    <w:lvl w:ilvl="0" w:tplc="6D0A6FF8">
      <w:start w:val="1"/>
      <w:numFmt w:val="bullet"/>
      <w:lvlText w:val="•"/>
      <w:lvlJc w:val="left"/>
      <w:pPr>
        <w:tabs>
          <w:tab w:val="num" w:pos="720"/>
        </w:tabs>
        <w:ind w:left="720" w:hanging="360"/>
      </w:pPr>
      <w:rPr>
        <w:rFonts w:ascii="Arial" w:hAnsi="Arial" w:cs="Times New Roman" w:hint="default"/>
      </w:rPr>
    </w:lvl>
    <w:lvl w:ilvl="1" w:tplc="134EDC24">
      <w:start w:val="1"/>
      <w:numFmt w:val="bullet"/>
      <w:lvlText w:val="•"/>
      <w:lvlJc w:val="left"/>
      <w:pPr>
        <w:tabs>
          <w:tab w:val="num" w:pos="1440"/>
        </w:tabs>
        <w:ind w:left="1440" w:hanging="360"/>
      </w:pPr>
      <w:rPr>
        <w:rFonts w:ascii="Arial" w:hAnsi="Arial" w:cs="Times New Roman" w:hint="default"/>
      </w:rPr>
    </w:lvl>
    <w:lvl w:ilvl="2" w:tplc="EDCA22E6">
      <w:start w:val="1"/>
      <w:numFmt w:val="bullet"/>
      <w:lvlText w:val="•"/>
      <w:lvlJc w:val="left"/>
      <w:pPr>
        <w:tabs>
          <w:tab w:val="num" w:pos="2160"/>
        </w:tabs>
        <w:ind w:left="2160" w:hanging="360"/>
      </w:pPr>
      <w:rPr>
        <w:rFonts w:ascii="Arial" w:hAnsi="Arial" w:cs="Times New Roman" w:hint="default"/>
      </w:rPr>
    </w:lvl>
    <w:lvl w:ilvl="3" w:tplc="160063CE">
      <w:start w:val="1"/>
      <w:numFmt w:val="bullet"/>
      <w:lvlText w:val="•"/>
      <w:lvlJc w:val="left"/>
      <w:pPr>
        <w:tabs>
          <w:tab w:val="num" w:pos="2880"/>
        </w:tabs>
        <w:ind w:left="2880" w:hanging="360"/>
      </w:pPr>
      <w:rPr>
        <w:rFonts w:ascii="Arial" w:hAnsi="Arial" w:cs="Times New Roman" w:hint="default"/>
      </w:rPr>
    </w:lvl>
    <w:lvl w:ilvl="4" w:tplc="3AEA6C92">
      <w:start w:val="1"/>
      <w:numFmt w:val="bullet"/>
      <w:lvlText w:val="•"/>
      <w:lvlJc w:val="left"/>
      <w:pPr>
        <w:tabs>
          <w:tab w:val="num" w:pos="3600"/>
        </w:tabs>
        <w:ind w:left="3600" w:hanging="360"/>
      </w:pPr>
      <w:rPr>
        <w:rFonts w:ascii="Arial" w:hAnsi="Arial" w:cs="Times New Roman" w:hint="default"/>
      </w:rPr>
    </w:lvl>
    <w:lvl w:ilvl="5" w:tplc="7AAA334A">
      <w:start w:val="1"/>
      <w:numFmt w:val="bullet"/>
      <w:lvlText w:val="•"/>
      <w:lvlJc w:val="left"/>
      <w:pPr>
        <w:tabs>
          <w:tab w:val="num" w:pos="4320"/>
        </w:tabs>
        <w:ind w:left="4320" w:hanging="360"/>
      </w:pPr>
      <w:rPr>
        <w:rFonts w:ascii="Arial" w:hAnsi="Arial" w:cs="Times New Roman" w:hint="default"/>
      </w:rPr>
    </w:lvl>
    <w:lvl w:ilvl="6" w:tplc="2F52AABC">
      <w:start w:val="1"/>
      <w:numFmt w:val="bullet"/>
      <w:lvlText w:val="•"/>
      <w:lvlJc w:val="left"/>
      <w:pPr>
        <w:tabs>
          <w:tab w:val="num" w:pos="5040"/>
        </w:tabs>
        <w:ind w:left="5040" w:hanging="360"/>
      </w:pPr>
      <w:rPr>
        <w:rFonts w:ascii="Arial" w:hAnsi="Arial" w:cs="Times New Roman" w:hint="default"/>
      </w:rPr>
    </w:lvl>
    <w:lvl w:ilvl="7" w:tplc="5B449D60">
      <w:start w:val="1"/>
      <w:numFmt w:val="bullet"/>
      <w:lvlText w:val="•"/>
      <w:lvlJc w:val="left"/>
      <w:pPr>
        <w:tabs>
          <w:tab w:val="num" w:pos="5760"/>
        </w:tabs>
        <w:ind w:left="5760" w:hanging="360"/>
      </w:pPr>
      <w:rPr>
        <w:rFonts w:ascii="Arial" w:hAnsi="Arial" w:cs="Times New Roman" w:hint="default"/>
      </w:rPr>
    </w:lvl>
    <w:lvl w:ilvl="8" w:tplc="F31AC22C">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02F3020"/>
    <w:multiLevelType w:val="hybridMultilevel"/>
    <w:tmpl w:val="F8907216"/>
    <w:lvl w:ilvl="0" w:tplc="A2367E4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38008B"/>
    <w:multiLevelType w:val="hybridMultilevel"/>
    <w:tmpl w:val="EC56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501168"/>
    <w:multiLevelType w:val="hybridMultilevel"/>
    <w:tmpl w:val="16D4367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1FF46F8"/>
    <w:multiLevelType w:val="hybridMultilevel"/>
    <w:tmpl w:val="95206790"/>
    <w:lvl w:ilvl="0" w:tplc="86E8D16A">
      <w:start w:val="1"/>
      <w:numFmt w:val="bullet"/>
      <w:lvlText w:val="•"/>
      <w:lvlJc w:val="left"/>
      <w:pPr>
        <w:tabs>
          <w:tab w:val="num" w:pos="720"/>
        </w:tabs>
        <w:ind w:left="720" w:hanging="360"/>
      </w:pPr>
      <w:rPr>
        <w:rFonts w:ascii="Arial" w:hAnsi="Arial" w:hint="default"/>
      </w:rPr>
    </w:lvl>
    <w:lvl w:ilvl="1" w:tplc="4F12FE0C" w:tentative="1">
      <w:start w:val="1"/>
      <w:numFmt w:val="bullet"/>
      <w:lvlText w:val="•"/>
      <w:lvlJc w:val="left"/>
      <w:pPr>
        <w:tabs>
          <w:tab w:val="num" w:pos="1440"/>
        </w:tabs>
        <w:ind w:left="1440" w:hanging="360"/>
      </w:pPr>
      <w:rPr>
        <w:rFonts w:ascii="Arial" w:hAnsi="Arial" w:hint="default"/>
      </w:rPr>
    </w:lvl>
    <w:lvl w:ilvl="2" w:tplc="CDF48A5E">
      <w:start w:val="1"/>
      <w:numFmt w:val="bullet"/>
      <w:lvlText w:val="•"/>
      <w:lvlJc w:val="left"/>
      <w:pPr>
        <w:tabs>
          <w:tab w:val="num" w:pos="2160"/>
        </w:tabs>
        <w:ind w:left="2160" w:hanging="360"/>
      </w:pPr>
      <w:rPr>
        <w:rFonts w:ascii="Arial" w:hAnsi="Arial" w:hint="default"/>
      </w:rPr>
    </w:lvl>
    <w:lvl w:ilvl="3" w:tplc="DF9ADB66">
      <w:numFmt w:val="bullet"/>
      <w:lvlText w:val="•"/>
      <w:lvlJc w:val="left"/>
      <w:pPr>
        <w:tabs>
          <w:tab w:val="num" w:pos="2880"/>
        </w:tabs>
        <w:ind w:left="2880" w:hanging="360"/>
      </w:pPr>
      <w:rPr>
        <w:rFonts w:ascii="Arial" w:hAnsi="Arial" w:hint="default"/>
      </w:rPr>
    </w:lvl>
    <w:lvl w:ilvl="4" w:tplc="60341360" w:tentative="1">
      <w:start w:val="1"/>
      <w:numFmt w:val="bullet"/>
      <w:lvlText w:val="•"/>
      <w:lvlJc w:val="left"/>
      <w:pPr>
        <w:tabs>
          <w:tab w:val="num" w:pos="3600"/>
        </w:tabs>
        <w:ind w:left="3600" w:hanging="360"/>
      </w:pPr>
      <w:rPr>
        <w:rFonts w:ascii="Arial" w:hAnsi="Arial" w:hint="default"/>
      </w:rPr>
    </w:lvl>
    <w:lvl w:ilvl="5" w:tplc="BF68A158" w:tentative="1">
      <w:start w:val="1"/>
      <w:numFmt w:val="bullet"/>
      <w:lvlText w:val="•"/>
      <w:lvlJc w:val="left"/>
      <w:pPr>
        <w:tabs>
          <w:tab w:val="num" w:pos="4320"/>
        </w:tabs>
        <w:ind w:left="4320" w:hanging="360"/>
      </w:pPr>
      <w:rPr>
        <w:rFonts w:ascii="Arial" w:hAnsi="Arial" w:hint="default"/>
      </w:rPr>
    </w:lvl>
    <w:lvl w:ilvl="6" w:tplc="5A84CC52" w:tentative="1">
      <w:start w:val="1"/>
      <w:numFmt w:val="bullet"/>
      <w:lvlText w:val="•"/>
      <w:lvlJc w:val="left"/>
      <w:pPr>
        <w:tabs>
          <w:tab w:val="num" w:pos="5040"/>
        </w:tabs>
        <w:ind w:left="5040" w:hanging="360"/>
      </w:pPr>
      <w:rPr>
        <w:rFonts w:ascii="Arial" w:hAnsi="Arial" w:hint="default"/>
      </w:rPr>
    </w:lvl>
    <w:lvl w:ilvl="7" w:tplc="DDD4A25A" w:tentative="1">
      <w:start w:val="1"/>
      <w:numFmt w:val="bullet"/>
      <w:lvlText w:val="•"/>
      <w:lvlJc w:val="left"/>
      <w:pPr>
        <w:tabs>
          <w:tab w:val="num" w:pos="5760"/>
        </w:tabs>
        <w:ind w:left="5760" w:hanging="360"/>
      </w:pPr>
      <w:rPr>
        <w:rFonts w:ascii="Arial" w:hAnsi="Arial" w:hint="default"/>
      </w:rPr>
    </w:lvl>
    <w:lvl w:ilvl="8" w:tplc="FD5EB1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2B51A1E"/>
    <w:multiLevelType w:val="hybridMultilevel"/>
    <w:tmpl w:val="4502F4EE"/>
    <w:lvl w:ilvl="0" w:tplc="DA9631C2">
      <w:start w:val="1"/>
      <w:numFmt w:val="bullet"/>
      <w:lvlText w:val="•"/>
      <w:lvlJc w:val="left"/>
      <w:pPr>
        <w:tabs>
          <w:tab w:val="num" w:pos="-86"/>
        </w:tabs>
        <w:ind w:left="-86" w:hanging="360"/>
      </w:pPr>
      <w:rPr>
        <w:rFonts w:ascii="Arial" w:hAnsi="Arial" w:hint="default"/>
      </w:rPr>
    </w:lvl>
    <w:lvl w:ilvl="1" w:tplc="2A7C6402" w:tentative="1">
      <w:start w:val="1"/>
      <w:numFmt w:val="bullet"/>
      <w:lvlText w:val="•"/>
      <w:lvlJc w:val="left"/>
      <w:pPr>
        <w:tabs>
          <w:tab w:val="num" w:pos="634"/>
        </w:tabs>
        <w:ind w:left="634" w:hanging="360"/>
      </w:pPr>
      <w:rPr>
        <w:rFonts w:ascii="Arial" w:hAnsi="Arial" w:hint="default"/>
      </w:rPr>
    </w:lvl>
    <w:lvl w:ilvl="2" w:tplc="1B841FA8" w:tentative="1">
      <w:start w:val="1"/>
      <w:numFmt w:val="bullet"/>
      <w:lvlText w:val="•"/>
      <w:lvlJc w:val="left"/>
      <w:pPr>
        <w:tabs>
          <w:tab w:val="num" w:pos="1354"/>
        </w:tabs>
        <w:ind w:left="1354" w:hanging="360"/>
      </w:pPr>
      <w:rPr>
        <w:rFonts w:ascii="Arial" w:hAnsi="Arial" w:hint="default"/>
      </w:rPr>
    </w:lvl>
    <w:lvl w:ilvl="3" w:tplc="D09EC6A0" w:tentative="1">
      <w:start w:val="1"/>
      <w:numFmt w:val="bullet"/>
      <w:lvlText w:val="•"/>
      <w:lvlJc w:val="left"/>
      <w:pPr>
        <w:tabs>
          <w:tab w:val="num" w:pos="2074"/>
        </w:tabs>
        <w:ind w:left="2074" w:hanging="360"/>
      </w:pPr>
      <w:rPr>
        <w:rFonts w:ascii="Arial" w:hAnsi="Arial" w:hint="default"/>
      </w:rPr>
    </w:lvl>
    <w:lvl w:ilvl="4" w:tplc="8072137C" w:tentative="1">
      <w:start w:val="1"/>
      <w:numFmt w:val="bullet"/>
      <w:lvlText w:val="•"/>
      <w:lvlJc w:val="left"/>
      <w:pPr>
        <w:tabs>
          <w:tab w:val="num" w:pos="2794"/>
        </w:tabs>
        <w:ind w:left="2794" w:hanging="360"/>
      </w:pPr>
      <w:rPr>
        <w:rFonts w:ascii="Arial" w:hAnsi="Arial" w:hint="default"/>
      </w:rPr>
    </w:lvl>
    <w:lvl w:ilvl="5" w:tplc="013837E8" w:tentative="1">
      <w:start w:val="1"/>
      <w:numFmt w:val="bullet"/>
      <w:lvlText w:val="•"/>
      <w:lvlJc w:val="left"/>
      <w:pPr>
        <w:tabs>
          <w:tab w:val="num" w:pos="3514"/>
        </w:tabs>
        <w:ind w:left="3514" w:hanging="360"/>
      </w:pPr>
      <w:rPr>
        <w:rFonts w:ascii="Arial" w:hAnsi="Arial" w:hint="default"/>
      </w:rPr>
    </w:lvl>
    <w:lvl w:ilvl="6" w:tplc="1152CD42" w:tentative="1">
      <w:start w:val="1"/>
      <w:numFmt w:val="bullet"/>
      <w:lvlText w:val="•"/>
      <w:lvlJc w:val="left"/>
      <w:pPr>
        <w:tabs>
          <w:tab w:val="num" w:pos="4234"/>
        </w:tabs>
        <w:ind w:left="4234" w:hanging="360"/>
      </w:pPr>
      <w:rPr>
        <w:rFonts w:ascii="Arial" w:hAnsi="Arial" w:hint="default"/>
      </w:rPr>
    </w:lvl>
    <w:lvl w:ilvl="7" w:tplc="07B64A92" w:tentative="1">
      <w:start w:val="1"/>
      <w:numFmt w:val="bullet"/>
      <w:lvlText w:val="•"/>
      <w:lvlJc w:val="left"/>
      <w:pPr>
        <w:tabs>
          <w:tab w:val="num" w:pos="4954"/>
        </w:tabs>
        <w:ind w:left="4954" w:hanging="360"/>
      </w:pPr>
      <w:rPr>
        <w:rFonts w:ascii="Arial" w:hAnsi="Arial" w:hint="default"/>
      </w:rPr>
    </w:lvl>
    <w:lvl w:ilvl="8" w:tplc="5B0C5C9E" w:tentative="1">
      <w:start w:val="1"/>
      <w:numFmt w:val="bullet"/>
      <w:lvlText w:val="•"/>
      <w:lvlJc w:val="left"/>
      <w:pPr>
        <w:tabs>
          <w:tab w:val="num" w:pos="5674"/>
        </w:tabs>
        <w:ind w:left="5674" w:hanging="360"/>
      </w:pPr>
      <w:rPr>
        <w:rFonts w:ascii="Arial" w:hAnsi="Arial" w:hint="default"/>
      </w:rPr>
    </w:lvl>
  </w:abstractNum>
  <w:abstractNum w:abstractNumId="6" w15:restartNumberingAfterBreak="0">
    <w:nsid w:val="02D84F9D"/>
    <w:multiLevelType w:val="hybridMultilevel"/>
    <w:tmpl w:val="0B74A5E6"/>
    <w:lvl w:ilvl="0" w:tplc="13FABAC4">
      <w:start w:val="1"/>
      <w:numFmt w:val="bullet"/>
      <w:lvlText w:val="-"/>
      <w:lvlJc w:val="left"/>
      <w:pPr>
        <w:tabs>
          <w:tab w:val="num" w:pos="720"/>
        </w:tabs>
        <w:ind w:left="720" w:hanging="360"/>
      </w:pPr>
      <w:rPr>
        <w:rFonts w:ascii="Arial" w:hAnsi="Arial" w:cs="Times New Roman" w:hint="default"/>
      </w:rPr>
    </w:lvl>
    <w:lvl w:ilvl="1" w:tplc="A17485BA">
      <w:start w:val="1"/>
      <w:numFmt w:val="bullet"/>
      <w:lvlText w:val="-"/>
      <w:lvlJc w:val="left"/>
      <w:pPr>
        <w:tabs>
          <w:tab w:val="num" w:pos="1440"/>
        </w:tabs>
        <w:ind w:left="1440" w:hanging="360"/>
      </w:pPr>
      <w:rPr>
        <w:rFonts w:ascii="Arial" w:hAnsi="Arial" w:cs="Times New Roman" w:hint="default"/>
      </w:rPr>
    </w:lvl>
    <w:lvl w:ilvl="2" w:tplc="B4F80EAE">
      <w:start w:val="1"/>
      <w:numFmt w:val="bullet"/>
      <w:lvlText w:val="-"/>
      <w:lvlJc w:val="left"/>
      <w:pPr>
        <w:tabs>
          <w:tab w:val="num" w:pos="2160"/>
        </w:tabs>
        <w:ind w:left="2160" w:hanging="360"/>
      </w:pPr>
      <w:rPr>
        <w:rFonts w:ascii="Arial" w:hAnsi="Arial" w:cs="Times New Roman" w:hint="default"/>
      </w:rPr>
    </w:lvl>
    <w:lvl w:ilvl="3" w:tplc="90323420">
      <w:start w:val="1"/>
      <w:numFmt w:val="bullet"/>
      <w:lvlText w:val="-"/>
      <w:lvlJc w:val="left"/>
      <w:pPr>
        <w:tabs>
          <w:tab w:val="num" w:pos="2880"/>
        </w:tabs>
        <w:ind w:left="2880" w:hanging="360"/>
      </w:pPr>
      <w:rPr>
        <w:rFonts w:ascii="Arial" w:hAnsi="Arial" w:cs="Times New Roman" w:hint="default"/>
      </w:rPr>
    </w:lvl>
    <w:lvl w:ilvl="4" w:tplc="013C947A">
      <w:start w:val="1"/>
      <w:numFmt w:val="bullet"/>
      <w:lvlText w:val="-"/>
      <w:lvlJc w:val="left"/>
      <w:pPr>
        <w:tabs>
          <w:tab w:val="num" w:pos="3600"/>
        </w:tabs>
        <w:ind w:left="3600" w:hanging="360"/>
      </w:pPr>
      <w:rPr>
        <w:rFonts w:ascii="Arial" w:hAnsi="Arial" w:cs="Times New Roman" w:hint="default"/>
      </w:rPr>
    </w:lvl>
    <w:lvl w:ilvl="5" w:tplc="AFF49E3E">
      <w:start w:val="1"/>
      <w:numFmt w:val="bullet"/>
      <w:lvlText w:val="-"/>
      <w:lvlJc w:val="left"/>
      <w:pPr>
        <w:tabs>
          <w:tab w:val="num" w:pos="4320"/>
        </w:tabs>
        <w:ind w:left="4320" w:hanging="360"/>
      </w:pPr>
      <w:rPr>
        <w:rFonts w:ascii="Arial" w:hAnsi="Arial" w:cs="Times New Roman" w:hint="default"/>
      </w:rPr>
    </w:lvl>
    <w:lvl w:ilvl="6" w:tplc="5C8E4E08">
      <w:start w:val="1"/>
      <w:numFmt w:val="bullet"/>
      <w:lvlText w:val="-"/>
      <w:lvlJc w:val="left"/>
      <w:pPr>
        <w:tabs>
          <w:tab w:val="num" w:pos="5040"/>
        </w:tabs>
        <w:ind w:left="5040" w:hanging="360"/>
      </w:pPr>
      <w:rPr>
        <w:rFonts w:ascii="Arial" w:hAnsi="Arial" w:cs="Times New Roman" w:hint="default"/>
      </w:rPr>
    </w:lvl>
    <w:lvl w:ilvl="7" w:tplc="E200D7A2">
      <w:start w:val="1"/>
      <w:numFmt w:val="bullet"/>
      <w:lvlText w:val="-"/>
      <w:lvlJc w:val="left"/>
      <w:pPr>
        <w:tabs>
          <w:tab w:val="num" w:pos="5760"/>
        </w:tabs>
        <w:ind w:left="5760" w:hanging="360"/>
      </w:pPr>
      <w:rPr>
        <w:rFonts w:ascii="Arial" w:hAnsi="Arial" w:cs="Times New Roman" w:hint="default"/>
      </w:rPr>
    </w:lvl>
    <w:lvl w:ilvl="8" w:tplc="113C960A">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036D13B5"/>
    <w:multiLevelType w:val="hybridMultilevel"/>
    <w:tmpl w:val="79204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93532D"/>
    <w:multiLevelType w:val="hybridMultilevel"/>
    <w:tmpl w:val="4BE02C6E"/>
    <w:lvl w:ilvl="0" w:tplc="ECE481C0">
      <w:start w:val="1"/>
      <w:numFmt w:val="bullet"/>
      <w:lvlText w:val="•"/>
      <w:lvlJc w:val="left"/>
      <w:pPr>
        <w:tabs>
          <w:tab w:val="num" w:pos="360"/>
        </w:tabs>
        <w:ind w:left="360" w:hanging="360"/>
      </w:pPr>
      <w:rPr>
        <w:rFonts w:ascii="Arial" w:hAnsi="Arial" w:hint="default"/>
      </w:rPr>
    </w:lvl>
    <w:lvl w:ilvl="1" w:tplc="0066A5D0" w:tentative="1">
      <w:start w:val="1"/>
      <w:numFmt w:val="bullet"/>
      <w:lvlText w:val="•"/>
      <w:lvlJc w:val="left"/>
      <w:pPr>
        <w:tabs>
          <w:tab w:val="num" w:pos="1080"/>
        </w:tabs>
        <w:ind w:left="1080" w:hanging="360"/>
      </w:pPr>
      <w:rPr>
        <w:rFonts w:ascii="Arial" w:hAnsi="Arial" w:hint="default"/>
      </w:rPr>
    </w:lvl>
    <w:lvl w:ilvl="2" w:tplc="9FC03424" w:tentative="1">
      <w:start w:val="1"/>
      <w:numFmt w:val="bullet"/>
      <w:lvlText w:val="•"/>
      <w:lvlJc w:val="left"/>
      <w:pPr>
        <w:tabs>
          <w:tab w:val="num" w:pos="1800"/>
        </w:tabs>
        <w:ind w:left="1800" w:hanging="360"/>
      </w:pPr>
      <w:rPr>
        <w:rFonts w:ascii="Arial" w:hAnsi="Arial" w:hint="default"/>
      </w:rPr>
    </w:lvl>
    <w:lvl w:ilvl="3" w:tplc="AFE095E8" w:tentative="1">
      <w:start w:val="1"/>
      <w:numFmt w:val="bullet"/>
      <w:lvlText w:val="•"/>
      <w:lvlJc w:val="left"/>
      <w:pPr>
        <w:tabs>
          <w:tab w:val="num" w:pos="2520"/>
        </w:tabs>
        <w:ind w:left="2520" w:hanging="360"/>
      </w:pPr>
      <w:rPr>
        <w:rFonts w:ascii="Arial" w:hAnsi="Arial" w:hint="default"/>
      </w:rPr>
    </w:lvl>
    <w:lvl w:ilvl="4" w:tplc="60341DDA" w:tentative="1">
      <w:start w:val="1"/>
      <w:numFmt w:val="bullet"/>
      <w:lvlText w:val="•"/>
      <w:lvlJc w:val="left"/>
      <w:pPr>
        <w:tabs>
          <w:tab w:val="num" w:pos="3240"/>
        </w:tabs>
        <w:ind w:left="3240" w:hanging="360"/>
      </w:pPr>
      <w:rPr>
        <w:rFonts w:ascii="Arial" w:hAnsi="Arial" w:hint="default"/>
      </w:rPr>
    </w:lvl>
    <w:lvl w:ilvl="5" w:tplc="8CE4ACA0" w:tentative="1">
      <w:start w:val="1"/>
      <w:numFmt w:val="bullet"/>
      <w:lvlText w:val="•"/>
      <w:lvlJc w:val="left"/>
      <w:pPr>
        <w:tabs>
          <w:tab w:val="num" w:pos="3960"/>
        </w:tabs>
        <w:ind w:left="3960" w:hanging="360"/>
      </w:pPr>
      <w:rPr>
        <w:rFonts w:ascii="Arial" w:hAnsi="Arial" w:hint="default"/>
      </w:rPr>
    </w:lvl>
    <w:lvl w:ilvl="6" w:tplc="2A42B048" w:tentative="1">
      <w:start w:val="1"/>
      <w:numFmt w:val="bullet"/>
      <w:lvlText w:val="•"/>
      <w:lvlJc w:val="left"/>
      <w:pPr>
        <w:tabs>
          <w:tab w:val="num" w:pos="4680"/>
        </w:tabs>
        <w:ind w:left="4680" w:hanging="360"/>
      </w:pPr>
      <w:rPr>
        <w:rFonts w:ascii="Arial" w:hAnsi="Arial" w:hint="default"/>
      </w:rPr>
    </w:lvl>
    <w:lvl w:ilvl="7" w:tplc="3A123800" w:tentative="1">
      <w:start w:val="1"/>
      <w:numFmt w:val="bullet"/>
      <w:lvlText w:val="•"/>
      <w:lvlJc w:val="left"/>
      <w:pPr>
        <w:tabs>
          <w:tab w:val="num" w:pos="5400"/>
        </w:tabs>
        <w:ind w:left="5400" w:hanging="360"/>
      </w:pPr>
      <w:rPr>
        <w:rFonts w:ascii="Arial" w:hAnsi="Arial" w:hint="default"/>
      </w:rPr>
    </w:lvl>
    <w:lvl w:ilvl="8" w:tplc="C9D6CD7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61178E1"/>
    <w:multiLevelType w:val="hybridMultilevel"/>
    <w:tmpl w:val="608443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F34932"/>
    <w:multiLevelType w:val="hybridMultilevel"/>
    <w:tmpl w:val="A82A019C"/>
    <w:lvl w:ilvl="0" w:tplc="1E889ABC">
      <w:start w:val="1"/>
      <w:numFmt w:val="bullet"/>
      <w:lvlText w:val="•"/>
      <w:lvlJc w:val="left"/>
      <w:pPr>
        <w:tabs>
          <w:tab w:val="num" w:pos="720"/>
        </w:tabs>
        <w:ind w:left="720" w:hanging="360"/>
      </w:pPr>
      <w:rPr>
        <w:rFonts w:ascii="Arial" w:hAnsi="Arial" w:hint="default"/>
      </w:rPr>
    </w:lvl>
    <w:lvl w:ilvl="1" w:tplc="C43E102C" w:tentative="1">
      <w:start w:val="1"/>
      <w:numFmt w:val="bullet"/>
      <w:lvlText w:val="•"/>
      <w:lvlJc w:val="left"/>
      <w:pPr>
        <w:tabs>
          <w:tab w:val="num" w:pos="1440"/>
        </w:tabs>
        <w:ind w:left="1440" w:hanging="360"/>
      </w:pPr>
      <w:rPr>
        <w:rFonts w:ascii="Arial" w:hAnsi="Arial" w:hint="default"/>
      </w:rPr>
    </w:lvl>
    <w:lvl w:ilvl="2" w:tplc="A8F690D8" w:tentative="1">
      <w:start w:val="1"/>
      <w:numFmt w:val="bullet"/>
      <w:lvlText w:val="•"/>
      <w:lvlJc w:val="left"/>
      <w:pPr>
        <w:tabs>
          <w:tab w:val="num" w:pos="2160"/>
        </w:tabs>
        <w:ind w:left="2160" w:hanging="360"/>
      </w:pPr>
      <w:rPr>
        <w:rFonts w:ascii="Arial" w:hAnsi="Arial" w:hint="default"/>
      </w:rPr>
    </w:lvl>
    <w:lvl w:ilvl="3" w:tplc="289C6042" w:tentative="1">
      <w:start w:val="1"/>
      <w:numFmt w:val="bullet"/>
      <w:lvlText w:val="•"/>
      <w:lvlJc w:val="left"/>
      <w:pPr>
        <w:tabs>
          <w:tab w:val="num" w:pos="2880"/>
        </w:tabs>
        <w:ind w:left="2880" w:hanging="360"/>
      </w:pPr>
      <w:rPr>
        <w:rFonts w:ascii="Arial" w:hAnsi="Arial" w:hint="default"/>
      </w:rPr>
    </w:lvl>
    <w:lvl w:ilvl="4" w:tplc="2F821084" w:tentative="1">
      <w:start w:val="1"/>
      <w:numFmt w:val="bullet"/>
      <w:lvlText w:val="•"/>
      <w:lvlJc w:val="left"/>
      <w:pPr>
        <w:tabs>
          <w:tab w:val="num" w:pos="3600"/>
        </w:tabs>
        <w:ind w:left="3600" w:hanging="360"/>
      </w:pPr>
      <w:rPr>
        <w:rFonts w:ascii="Arial" w:hAnsi="Arial" w:hint="default"/>
      </w:rPr>
    </w:lvl>
    <w:lvl w:ilvl="5" w:tplc="0CBAB860" w:tentative="1">
      <w:start w:val="1"/>
      <w:numFmt w:val="bullet"/>
      <w:lvlText w:val="•"/>
      <w:lvlJc w:val="left"/>
      <w:pPr>
        <w:tabs>
          <w:tab w:val="num" w:pos="4320"/>
        </w:tabs>
        <w:ind w:left="4320" w:hanging="360"/>
      </w:pPr>
      <w:rPr>
        <w:rFonts w:ascii="Arial" w:hAnsi="Arial" w:hint="default"/>
      </w:rPr>
    </w:lvl>
    <w:lvl w:ilvl="6" w:tplc="B1407CE0" w:tentative="1">
      <w:start w:val="1"/>
      <w:numFmt w:val="bullet"/>
      <w:lvlText w:val="•"/>
      <w:lvlJc w:val="left"/>
      <w:pPr>
        <w:tabs>
          <w:tab w:val="num" w:pos="5040"/>
        </w:tabs>
        <w:ind w:left="5040" w:hanging="360"/>
      </w:pPr>
      <w:rPr>
        <w:rFonts w:ascii="Arial" w:hAnsi="Arial" w:hint="default"/>
      </w:rPr>
    </w:lvl>
    <w:lvl w:ilvl="7" w:tplc="2A66D4C2" w:tentative="1">
      <w:start w:val="1"/>
      <w:numFmt w:val="bullet"/>
      <w:lvlText w:val="•"/>
      <w:lvlJc w:val="left"/>
      <w:pPr>
        <w:tabs>
          <w:tab w:val="num" w:pos="5760"/>
        </w:tabs>
        <w:ind w:left="5760" w:hanging="360"/>
      </w:pPr>
      <w:rPr>
        <w:rFonts w:ascii="Arial" w:hAnsi="Arial" w:hint="default"/>
      </w:rPr>
    </w:lvl>
    <w:lvl w:ilvl="8" w:tplc="992242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8A540B1"/>
    <w:multiLevelType w:val="hybridMultilevel"/>
    <w:tmpl w:val="34726244"/>
    <w:lvl w:ilvl="0" w:tplc="4A18EC28">
      <w:start w:val="1"/>
      <w:numFmt w:val="bullet"/>
      <w:lvlText w:val="•"/>
      <w:lvlJc w:val="left"/>
      <w:pPr>
        <w:tabs>
          <w:tab w:val="num" w:pos="360"/>
        </w:tabs>
        <w:ind w:left="360" w:hanging="360"/>
      </w:pPr>
      <w:rPr>
        <w:rFonts w:ascii="Arial" w:hAnsi="Arial" w:hint="default"/>
      </w:rPr>
    </w:lvl>
    <w:lvl w:ilvl="1" w:tplc="7444F1C4" w:tentative="1">
      <w:start w:val="1"/>
      <w:numFmt w:val="bullet"/>
      <w:lvlText w:val="•"/>
      <w:lvlJc w:val="left"/>
      <w:pPr>
        <w:tabs>
          <w:tab w:val="num" w:pos="1080"/>
        </w:tabs>
        <w:ind w:left="1080" w:hanging="360"/>
      </w:pPr>
      <w:rPr>
        <w:rFonts w:ascii="Arial" w:hAnsi="Arial" w:hint="default"/>
      </w:rPr>
    </w:lvl>
    <w:lvl w:ilvl="2" w:tplc="A8B23372" w:tentative="1">
      <w:start w:val="1"/>
      <w:numFmt w:val="bullet"/>
      <w:lvlText w:val="•"/>
      <w:lvlJc w:val="left"/>
      <w:pPr>
        <w:tabs>
          <w:tab w:val="num" w:pos="1800"/>
        </w:tabs>
        <w:ind w:left="1800" w:hanging="360"/>
      </w:pPr>
      <w:rPr>
        <w:rFonts w:ascii="Arial" w:hAnsi="Arial" w:hint="default"/>
      </w:rPr>
    </w:lvl>
    <w:lvl w:ilvl="3" w:tplc="E81ABF0C" w:tentative="1">
      <w:start w:val="1"/>
      <w:numFmt w:val="bullet"/>
      <w:lvlText w:val="•"/>
      <w:lvlJc w:val="left"/>
      <w:pPr>
        <w:tabs>
          <w:tab w:val="num" w:pos="2520"/>
        </w:tabs>
        <w:ind w:left="2520" w:hanging="360"/>
      </w:pPr>
      <w:rPr>
        <w:rFonts w:ascii="Arial" w:hAnsi="Arial" w:hint="default"/>
      </w:rPr>
    </w:lvl>
    <w:lvl w:ilvl="4" w:tplc="C5B08DEE" w:tentative="1">
      <w:start w:val="1"/>
      <w:numFmt w:val="bullet"/>
      <w:lvlText w:val="•"/>
      <w:lvlJc w:val="left"/>
      <w:pPr>
        <w:tabs>
          <w:tab w:val="num" w:pos="3240"/>
        </w:tabs>
        <w:ind w:left="3240" w:hanging="360"/>
      </w:pPr>
      <w:rPr>
        <w:rFonts w:ascii="Arial" w:hAnsi="Arial" w:hint="default"/>
      </w:rPr>
    </w:lvl>
    <w:lvl w:ilvl="5" w:tplc="89DE6E04" w:tentative="1">
      <w:start w:val="1"/>
      <w:numFmt w:val="bullet"/>
      <w:lvlText w:val="•"/>
      <w:lvlJc w:val="left"/>
      <w:pPr>
        <w:tabs>
          <w:tab w:val="num" w:pos="3960"/>
        </w:tabs>
        <w:ind w:left="3960" w:hanging="360"/>
      </w:pPr>
      <w:rPr>
        <w:rFonts w:ascii="Arial" w:hAnsi="Arial" w:hint="default"/>
      </w:rPr>
    </w:lvl>
    <w:lvl w:ilvl="6" w:tplc="30243138" w:tentative="1">
      <w:start w:val="1"/>
      <w:numFmt w:val="bullet"/>
      <w:lvlText w:val="•"/>
      <w:lvlJc w:val="left"/>
      <w:pPr>
        <w:tabs>
          <w:tab w:val="num" w:pos="4680"/>
        </w:tabs>
        <w:ind w:left="4680" w:hanging="360"/>
      </w:pPr>
      <w:rPr>
        <w:rFonts w:ascii="Arial" w:hAnsi="Arial" w:hint="default"/>
      </w:rPr>
    </w:lvl>
    <w:lvl w:ilvl="7" w:tplc="A1360968" w:tentative="1">
      <w:start w:val="1"/>
      <w:numFmt w:val="bullet"/>
      <w:lvlText w:val="•"/>
      <w:lvlJc w:val="left"/>
      <w:pPr>
        <w:tabs>
          <w:tab w:val="num" w:pos="5400"/>
        </w:tabs>
        <w:ind w:left="5400" w:hanging="360"/>
      </w:pPr>
      <w:rPr>
        <w:rFonts w:ascii="Arial" w:hAnsi="Arial" w:hint="default"/>
      </w:rPr>
    </w:lvl>
    <w:lvl w:ilvl="8" w:tplc="4610628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08BF312B"/>
    <w:multiLevelType w:val="hybridMultilevel"/>
    <w:tmpl w:val="00528206"/>
    <w:lvl w:ilvl="0" w:tplc="BC8A6910">
      <w:start w:val="1"/>
      <w:numFmt w:val="bullet"/>
      <w:lvlText w:val="•"/>
      <w:lvlJc w:val="left"/>
      <w:pPr>
        <w:tabs>
          <w:tab w:val="num" w:pos="360"/>
        </w:tabs>
        <w:ind w:left="360" w:hanging="360"/>
      </w:pPr>
      <w:rPr>
        <w:rFonts w:ascii="Arial" w:hAnsi="Arial" w:hint="default"/>
      </w:rPr>
    </w:lvl>
    <w:lvl w:ilvl="1" w:tplc="EE0498A8" w:tentative="1">
      <w:start w:val="1"/>
      <w:numFmt w:val="bullet"/>
      <w:lvlText w:val="•"/>
      <w:lvlJc w:val="left"/>
      <w:pPr>
        <w:tabs>
          <w:tab w:val="num" w:pos="1080"/>
        </w:tabs>
        <w:ind w:left="1080" w:hanging="360"/>
      </w:pPr>
      <w:rPr>
        <w:rFonts w:ascii="Arial" w:hAnsi="Arial" w:hint="default"/>
      </w:rPr>
    </w:lvl>
    <w:lvl w:ilvl="2" w:tplc="ED66095C" w:tentative="1">
      <w:start w:val="1"/>
      <w:numFmt w:val="bullet"/>
      <w:lvlText w:val="•"/>
      <w:lvlJc w:val="left"/>
      <w:pPr>
        <w:tabs>
          <w:tab w:val="num" w:pos="1800"/>
        </w:tabs>
        <w:ind w:left="1800" w:hanging="360"/>
      </w:pPr>
      <w:rPr>
        <w:rFonts w:ascii="Arial" w:hAnsi="Arial" w:hint="default"/>
      </w:rPr>
    </w:lvl>
    <w:lvl w:ilvl="3" w:tplc="5E44D888" w:tentative="1">
      <w:start w:val="1"/>
      <w:numFmt w:val="bullet"/>
      <w:lvlText w:val="•"/>
      <w:lvlJc w:val="left"/>
      <w:pPr>
        <w:tabs>
          <w:tab w:val="num" w:pos="2520"/>
        </w:tabs>
        <w:ind w:left="2520" w:hanging="360"/>
      </w:pPr>
      <w:rPr>
        <w:rFonts w:ascii="Arial" w:hAnsi="Arial" w:hint="default"/>
      </w:rPr>
    </w:lvl>
    <w:lvl w:ilvl="4" w:tplc="6FC40EA6" w:tentative="1">
      <w:start w:val="1"/>
      <w:numFmt w:val="bullet"/>
      <w:lvlText w:val="•"/>
      <w:lvlJc w:val="left"/>
      <w:pPr>
        <w:tabs>
          <w:tab w:val="num" w:pos="3240"/>
        </w:tabs>
        <w:ind w:left="3240" w:hanging="360"/>
      </w:pPr>
      <w:rPr>
        <w:rFonts w:ascii="Arial" w:hAnsi="Arial" w:hint="default"/>
      </w:rPr>
    </w:lvl>
    <w:lvl w:ilvl="5" w:tplc="7A0E0EF8" w:tentative="1">
      <w:start w:val="1"/>
      <w:numFmt w:val="bullet"/>
      <w:lvlText w:val="•"/>
      <w:lvlJc w:val="left"/>
      <w:pPr>
        <w:tabs>
          <w:tab w:val="num" w:pos="3960"/>
        </w:tabs>
        <w:ind w:left="3960" w:hanging="360"/>
      </w:pPr>
      <w:rPr>
        <w:rFonts w:ascii="Arial" w:hAnsi="Arial" w:hint="default"/>
      </w:rPr>
    </w:lvl>
    <w:lvl w:ilvl="6" w:tplc="B776A97E" w:tentative="1">
      <w:start w:val="1"/>
      <w:numFmt w:val="bullet"/>
      <w:lvlText w:val="•"/>
      <w:lvlJc w:val="left"/>
      <w:pPr>
        <w:tabs>
          <w:tab w:val="num" w:pos="4680"/>
        </w:tabs>
        <w:ind w:left="4680" w:hanging="360"/>
      </w:pPr>
      <w:rPr>
        <w:rFonts w:ascii="Arial" w:hAnsi="Arial" w:hint="default"/>
      </w:rPr>
    </w:lvl>
    <w:lvl w:ilvl="7" w:tplc="D2B64030" w:tentative="1">
      <w:start w:val="1"/>
      <w:numFmt w:val="bullet"/>
      <w:lvlText w:val="•"/>
      <w:lvlJc w:val="left"/>
      <w:pPr>
        <w:tabs>
          <w:tab w:val="num" w:pos="5400"/>
        </w:tabs>
        <w:ind w:left="5400" w:hanging="360"/>
      </w:pPr>
      <w:rPr>
        <w:rFonts w:ascii="Arial" w:hAnsi="Arial" w:hint="default"/>
      </w:rPr>
    </w:lvl>
    <w:lvl w:ilvl="8" w:tplc="062C0EE4"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08F83C0E"/>
    <w:multiLevelType w:val="hybridMultilevel"/>
    <w:tmpl w:val="7278D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533B12"/>
    <w:multiLevelType w:val="hybridMultilevel"/>
    <w:tmpl w:val="A05EC824"/>
    <w:lvl w:ilvl="0" w:tplc="A9128090">
      <w:start w:val="1"/>
      <w:numFmt w:val="bullet"/>
      <w:lvlText w:val="•"/>
      <w:lvlJc w:val="left"/>
      <w:pPr>
        <w:tabs>
          <w:tab w:val="num" w:pos="720"/>
        </w:tabs>
        <w:ind w:left="720" w:hanging="360"/>
      </w:pPr>
      <w:rPr>
        <w:rFonts w:ascii="Arial" w:hAnsi="Arial" w:hint="default"/>
      </w:rPr>
    </w:lvl>
    <w:lvl w:ilvl="1" w:tplc="A3822752" w:tentative="1">
      <w:start w:val="1"/>
      <w:numFmt w:val="bullet"/>
      <w:lvlText w:val="•"/>
      <w:lvlJc w:val="left"/>
      <w:pPr>
        <w:tabs>
          <w:tab w:val="num" w:pos="1440"/>
        </w:tabs>
        <w:ind w:left="1440" w:hanging="360"/>
      </w:pPr>
      <w:rPr>
        <w:rFonts w:ascii="Arial" w:hAnsi="Arial" w:hint="default"/>
      </w:rPr>
    </w:lvl>
    <w:lvl w:ilvl="2" w:tplc="E9CE2CCE" w:tentative="1">
      <w:start w:val="1"/>
      <w:numFmt w:val="bullet"/>
      <w:lvlText w:val="•"/>
      <w:lvlJc w:val="left"/>
      <w:pPr>
        <w:tabs>
          <w:tab w:val="num" w:pos="2160"/>
        </w:tabs>
        <w:ind w:left="2160" w:hanging="360"/>
      </w:pPr>
      <w:rPr>
        <w:rFonts w:ascii="Arial" w:hAnsi="Arial" w:hint="default"/>
      </w:rPr>
    </w:lvl>
    <w:lvl w:ilvl="3" w:tplc="2152B178" w:tentative="1">
      <w:start w:val="1"/>
      <w:numFmt w:val="bullet"/>
      <w:lvlText w:val="•"/>
      <w:lvlJc w:val="left"/>
      <w:pPr>
        <w:tabs>
          <w:tab w:val="num" w:pos="2880"/>
        </w:tabs>
        <w:ind w:left="2880" w:hanging="360"/>
      </w:pPr>
      <w:rPr>
        <w:rFonts w:ascii="Arial" w:hAnsi="Arial" w:hint="default"/>
      </w:rPr>
    </w:lvl>
    <w:lvl w:ilvl="4" w:tplc="DFF4316C" w:tentative="1">
      <w:start w:val="1"/>
      <w:numFmt w:val="bullet"/>
      <w:lvlText w:val="•"/>
      <w:lvlJc w:val="left"/>
      <w:pPr>
        <w:tabs>
          <w:tab w:val="num" w:pos="3600"/>
        </w:tabs>
        <w:ind w:left="3600" w:hanging="360"/>
      </w:pPr>
      <w:rPr>
        <w:rFonts w:ascii="Arial" w:hAnsi="Arial" w:hint="default"/>
      </w:rPr>
    </w:lvl>
    <w:lvl w:ilvl="5" w:tplc="4E521CDA" w:tentative="1">
      <w:start w:val="1"/>
      <w:numFmt w:val="bullet"/>
      <w:lvlText w:val="•"/>
      <w:lvlJc w:val="left"/>
      <w:pPr>
        <w:tabs>
          <w:tab w:val="num" w:pos="4320"/>
        </w:tabs>
        <w:ind w:left="4320" w:hanging="360"/>
      </w:pPr>
      <w:rPr>
        <w:rFonts w:ascii="Arial" w:hAnsi="Arial" w:hint="default"/>
      </w:rPr>
    </w:lvl>
    <w:lvl w:ilvl="6" w:tplc="5A1C5738" w:tentative="1">
      <w:start w:val="1"/>
      <w:numFmt w:val="bullet"/>
      <w:lvlText w:val="•"/>
      <w:lvlJc w:val="left"/>
      <w:pPr>
        <w:tabs>
          <w:tab w:val="num" w:pos="5040"/>
        </w:tabs>
        <w:ind w:left="5040" w:hanging="360"/>
      </w:pPr>
      <w:rPr>
        <w:rFonts w:ascii="Arial" w:hAnsi="Arial" w:hint="default"/>
      </w:rPr>
    </w:lvl>
    <w:lvl w:ilvl="7" w:tplc="5C408FB0" w:tentative="1">
      <w:start w:val="1"/>
      <w:numFmt w:val="bullet"/>
      <w:lvlText w:val="•"/>
      <w:lvlJc w:val="left"/>
      <w:pPr>
        <w:tabs>
          <w:tab w:val="num" w:pos="5760"/>
        </w:tabs>
        <w:ind w:left="5760" w:hanging="360"/>
      </w:pPr>
      <w:rPr>
        <w:rFonts w:ascii="Arial" w:hAnsi="Arial" w:hint="default"/>
      </w:rPr>
    </w:lvl>
    <w:lvl w:ilvl="8" w:tplc="BB0C48D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B6F55C1"/>
    <w:multiLevelType w:val="hybridMultilevel"/>
    <w:tmpl w:val="EAE85C6C"/>
    <w:lvl w:ilvl="0" w:tplc="C2E0BE20">
      <w:start w:val="6"/>
      <w:numFmt w:val="decimal"/>
      <w:lvlText w:val="%1."/>
      <w:lvlJc w:val="left"/>
      <w:pPr>
        <w:ind w:left="990" w:hanging="360"/>
      </w:pPr>
      <w:rPr>
        <w:rFonts w:ascii="Times New Roman" w:hAnsi="Times New Roman" w:cs="Times New Roman" w:hint="default"/>
        <w:b/>
        <w:i w:val="0"/>
        <w:vertAlign w:val="baseline"/>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0BFF55AD"/>
    <w:multiLevelType w:val="hybridMultilevel"/>
    <w:tmpl w:val="4C5CE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CDA33CE"/>
    <w:multiLevelType w:val="hybridMultilevel"/>
    <w:tmpl w:val="01C05DA4"/>
    <w:lvl w:ilvl="0" w:tplc="CB924A7C">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36DE3"/>
    <w:multiLevelType w:val="hybridMultilevel"/>
    <w:tmpl w:val="18A4B424"/>
    <w:lvl w:ilvl="0" w:tplc="2F229D74">
      <w:start w:val="8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642D6A"/>
    <w:multiLevelType w:val="hybridMultilevel"/>
    <w:tmpl w:val="72F22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C21A54"/>
    <w:multiLevelType w:val="hybridMultilevel"/>
    <w:tmpl w:val="9FAE57AE"/>
    <w:lvl w:ilvl="0" w:tplc="1CD0B716">
      <w:start w:val="1"/>
      <w:numFmt w:val="bullet"/>
      <w:lvlText w:val="•"/>
      <w:lvlJc w:val="left"/>
      <w:pPr>
        <w:tabs>
          <w:tab w:val="num" w:pos="720"/>
        </w:tabs>
        <w:ind w:left="720" w:hanging="360"/>
      </w:pPr>
      <w:rPr>
        <w:rFonts w:ascii="Arial" w:hAnsi="Arial" w:hint="default"/>
      </w:rPr>
    </w:lvl>
    <w:lvl w:ilvl="1" w:tplc="5F827174" w:tentative="1">
      <w:start w:val="1"/>
      <w:numFmt w:val="bullet"/>
      <w:lvlText w:val="•"/>
      <w:lvlJc w:val="left"/>
      <w:pPr>
        <w:tabs>
          <w:tab w:val="num" w:pos="1440"/>
        </w:tabs>
        <w:ind w:left="1440" w:hanging="360"/>
      </w:pPr>
      <w:rPr>
        <w:rFonts w:ascii="Arial" w:hAnsi="Arial" w:hint="default"/>
      </w:rPr>
    </w:lvl>
    <w:lvl w:ilvl="2" w:tplc="D52A667E" w:tentative="1">
      <w:start w:val="1"/>
      <w:numFmt w:val="bullet"/>
      <w:lvlText w:val="•"/>
      <w:lvlJc w:val="left"/>
      <w:pPr>
        <w:tabs>
          <w:tab w:val="num" w:pos="2160"/>
        </w:tabs>
        <w:ind w:left="2160" w:hanging="360"/>
      </w:pPr>
      <w:rPr>
        <w:rFonts w:ascii="Arial" w:hAnsi="Arial" w:hint="default"/>
      </w:rPr>
    </w:lvl>
    <w:lvl w:ilvl="3" w:tplc="69C87664" w:tentative="1">
      <w:start w:val="1"/>
      <w:numFmt w:val="bullet"/>
      <w:lvlText w:val="•"/>
      <w:lvlJc w:val="left"/>
      <w:pPr>
        <w:tabs>
          <w:tab w:val="num" w:pos="2880"/>
        </w:tabs>
        <w:ind w:left="2880" w:hanging="360"/>
      </w:pPr>
      <w:rPr>
        <w:rFonts w:ascii="Arial" w:hAnsi="Arial" w:hint="default"/>
      </w:rPr>
    </w:lvl>
    <w:lvl w:ilvl="4" w:tplc="489E4F84" w:tentative="1">
      <w:start w:val="1"/>
      <w:numFmt w:val="bullet"/>
      <w:lvlText w:val="•"/>
      <w:lvlJc w:val="left"/>
      <w:pPr>
        <w:tabs>
          <w:tab w:val="num" w:pos="3600"/>
        </w:tabs>
        <w:ind w:left="3600" w:hanging="360"/>
      </w:pPr>
      <w:rPr>
        <w:rFonts w:ascii="Arial" w:hAnsi="Arial" w:hint="default"/>
      </w:rPr>
    </w:lvl>
    <w:lvl w:ilvl="5" w:tplc="E8A0E92E" w:tentative="1">
      <w:start w:val="1"/>
      <w:numFmt w:val="bullet"/>
      <w:lvlText w:val="•"/>
      <w:lvlJc w:val="left"/>
      <w:pPr>
        <w:tabs>
          <w:tab w:val="num" w:pos="4320"/>
        </w:tabs>
        <w:ind w:left="4320" w:hanging="360"/>
      </w:pPr>
      <w:rPr>
        <w:rFonts w:ascii="Arial" w:hAnsi="Arial" w:hint="default"/>
      </w:rPr>
    </w:lvl>
    <w:lvl w:ilvl="6" w:tplc="4B38F902" w:tentative="1">
      <w:start w:val="1"/>
      <w:numFmt w:val="bullet"/>
      <w:lvlText w:val="•"/>
      <w:lvlJc w:val="left"/>
      <w:pPr>
        <w:tabs>
          <w:tab w:val="num" w:pos="5040"/>
        </w:tabs>
        <w:ind w:left="5040" w:hanging="360"/>
      </w:pPr>
      <w:rPr>
        <w:rFonts w:ascii="Arial" w:hAnsi="Arial" w:hint="default"/>
      </w:rPr>
    </w:lvl>
    <w:lvl w:ilvl="7" w:tplc="7D8493E2" w:tentative="1">
      <w:start w:val="1"/>
      <w:numFmt w:val="bullet"/>
      <w:lvlText w:val="•"/>
      <w:lvlJc w:val="left"/>
      <w:pPr>
        <w:tabs>
          <w:tab w:val="num" w:pos="5760"/>
        </w:tabs>
        <w:ind w:left="5760" w:hanging="360"/>
      </w:pPr>
      <w:rPr>
        <w:rFonts w:ascii="Arial" w:hAnsi="Arial" w:hint="default"/>
      </w:rPr>
    </w:lvl>
    <w:lvl w:ilvl="8" w:tplc="C7C45D4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29D49A8"/>
    <w:multiLevelType w:val="hybridMultilevel"/>
    <w:tmpl w:val="1004C052"/>
    <w:lvl w:ilvl="0" w:tplc="95264BB0">
      <w:start w:val="1"/>
      <w:numFmt w:val="bullet"/>
      <w:lvlText w:val="•"/>
      <w:lvlJc w:val="left"/>
      <w:pPr>
        <w:tabs>
          <w:tab w:val="num" w:pos="360"/>
        </w:tabs>
        <w:ind w:left="360" w:hanging="360"/>
      </w:pPr>
      <w:rPr>
        <w:rFonts w:ascii="Arial" w:hAnsi="Arial" w:hint="default"/>
      </w:rPr>
    </w:lvl>
    <w:lvl w:ilvl="1" w:tplc="1DD03112" w:tentative="1">
      <w:start w:val="1"/>
      <w:numFmt w:val="bullet"/>
      <w:lvlText w:val="•"/>
      <w:lvlJc w:val="left"/>
      <w:pPr>
        <w:tabs>
          <w:tab w:val="num" w:pos="1080"/>
        </w:tabs>
        <w:ind w:left="1080" w:hanging="360"/>
      </w:pPr>
      <w:rPr>
        <w:rFonts w:ascii="Arial" w:hAnsi="Arial" w:hint="default"/>
      </w:rPr>
    </w:lvl>
    <w:lvl w:ilvl="2" w:tplc="EFC272B2" w:tentative="1">
      <w:start w:val="1"/>
      <w:numFmt w:val="bullet"/>
      <w:lvlText w:val="•"/>
      <w:lvlJc w:val="left"/>
      <w:pPr>
        <w:tabs>
          <w:tab w:val="num" w:pos="1800"/>
        </w:tabs>
        <w:ind w:left="1800" w:hanging="360"/>
      </w:pPr>
      <w:rPr>
        <w:rFonts w:ascii="Arial" w:hAnsi="Arial" w:hint="default"/>
      </w:rPr>
    </w:lvl>
    <w:lvl w:ilvl="3" w:tplc="A11083C6" w:tentative="1">
      <w:start w:val="1"/>
      <w:numFmt w:val="bullet"/>
      <w:lvlText w:val="•"/>
      <w:lvlJc w:val="left"/>
      <w:pPr>
        <w:tabs>
          <w:tab w:val="num" w:pos="2520"/>
        </w:tabs>
        <w:ind w:left="2520" w:hanging="360"/>
      </w:pPr>
      <w:rPr>
        <w:rFonts w:ascii="Arial" w:hAnsi="Arial" w:hint="default"/>
      </w:rPr>
    </w:lvl>
    <w:lvl w:ilvl="4" w:tplc="E9C25064" w:tentative="1">
      <w:start w:val="1"/>
      <w:numFmt w:val="bullet"/>
      <w:lvlText w:val="•"/>
      <w:lvlJc w:val="left"/>
      <w:pPr>
        <w:tabs>
          <w:tab w:val="num" w:pos="3240"/>
        </w:tabs>
        <w:ind w:left="3240" w:hanging="360"/>
      </w:pPr>
      <w:rPr>
        <w:rFonts w:ascii="Arial" w:hAnsi="Arial" w:hint="default"/>
      </w:rPr>
    </w:lvl>
    <w:lvl w:ilvl="5" w:tplc="6910E5C6" w:tentative="1">
      <w:start w:val="1"/>
      <w:numFmt w:val="bullet"/>
      <w:lvlText w:val="•"/>
      <w:lvlJc w:val="left"/>
      <w:pPr>
        <w:tabs>
          <w:tab w:val="num" w:pos="3960"/>
        </w:tabs>
        <w:ind w:left="3960" w:hanging="360"/>
      </w:pPr>
      <w:rPr>
        <w:rFonts w:ascii="Arial" w:hAnsi="Arial" w:hint="default"/>
      </w:rPr>
    </w:lvl>
    <w:lvl w:ilvl="6" w:tplc="9844EB1C" w:tentative="1">
      <w:start w:val="1"/>
      <w:numFmt w:val="bullet"/>
      <w:lvlText w:val="•"/>
      <w:lvlJc w:val="left"/>
      <w:pPr>
        <w:tabs>
          <w:tab w:val="num" w:pos="4680"/>
        </w:tabs>
        <w:ind w:left="4680" w:hanging="360"/>
      </w:pPr>
      <w:rPr>
        <w:rFonts w:ascii="Arial" w:hAnsi="Arial" w:hint="default"/>
      </w:rPr>
    </w:lvl>
    <w:lvl w:ilvl="7" w:tplc="3C12D654" w:tentative="1">
      <w:start w:val="1"/>
      <w:numFmt w:val="bullet"/>
      <w:lvlText w:val="•"/>
      <w:lvlJc w:val="left"/>
      <w:pPr>
        <w:tabs>
          <w:tab w:val="num" w:pos="5400"/>
        </w:tabs>
        <w:ind w:left="5400" w:hanging="360"/>
      </w:pPr>
      <w:rPr>
        <w:rFonts w:ascii="Arial" w:hAnsi="Arial" w:hint="default"/>
      </w:rPr>
    </w:lvl>
    <w:lvl w:ilvl="8" w:tplc="DF0096E8"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131D7D3C"/>
    <w:multiLevelType w:val="hybridMultilevel"/>
    <w:tmpl w:val="46CEA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3C17A56"/>
    <w:multiLevelType w:val="hybridMultilevel"/>
    <w:tmpl w:val="26224548"/>
    <w:lvl w:ilvl="0" w:tplc="4D262ADC">
      <w:start w:val="1"/>
      <w:numFmt w:val="bullet"/>
      <w:lvlText w:val="•"/>
      <w:lvlJc w:val="left"/>
      <w:pPr>
        <w:tabs>
          <w:tab w:val="num" w:pos="360"/>
        </w:tabs>
        <w:ind w:left="360" w:hanging="360"/>
      </w:pPr>
      <w:rPr>
        <w:rFonts w:ascii="Arial" w:hAnsi="Arial" w:hint="default"/>
      </w:rPr>
    </w:lvl>
    <w:lvl w:ilvl="1" w:tplc="B0C63C40" w:tentative="1">
      <w:start w:val="1"/>
      <w:numFmt w:val="bullet"/>
      <w:lvlText w:val="•"/>
      <w:lvlJc w:val="left"/>
      <w:pPr>
        <w:tabs>
          <w:tab w:val="num" w:pos="1080"/>
        </w:tabs>
        <w:ind w:left="1080" w:hanging="360"/>
      </w:pPr>
      <w:rPr>
        <w:rFonts w:ascii="Arial" w:hAnsi="Arial" w:hint="default"/>
      </w:rPr>
    </w:lvl>
    <w:lvl w:ilvl="2" w:tplc="B04E0D3A" w:tentative="1">
      <w:start w:val="1"/>
      <w:numFmt w:val="bullet"/>
      <w:lvlText w:val="•"/>
      <w:lvlJc w:val="left"/>
      <w:pPr>
        <w:tabs>
          <w:tab w:val="num" w:pos="1800"/>
        </w:tabs>
        <w:ind w:left="1800" w:hanging="360"/>
      </w:pPr>
      <w:rPr>
        <w:rFonts w:ascii="Arial" w:hAnsi="Arial" w:hint="default"/>
      </w:rPr>
    </w:lvl>
    <w:lvl w:ilvl="3" w:tplc="B5BC5AD4" w:tentative="1">
      <w:start w:val="1"/>
      <w:numFmt w:val="bullet"/>
      <w:lvlText w:val="•"/>
      <w:lvlJc w:val="left"/>
      <w:pPr>
        <w:tabs>
          <w:tab w:val="num" w:pos="2520"/>
        </w:tabs>
        <w:ind w:left="2520" w:hanging="360"/>
      </w:pPr>
      <w:rPr>
        <w:rFonts w:ascii="Arial" w:hAnsi="Arial" w:hint="default"/>
      </w:rPr>
    </w:lvl>
    <w:lvl w:ilvl="4" w:tplc="0C8A55AC" w:tentative="1">
      <w:start w:val="1"/>
      <w:numFmt w:val="bullet"/>
      <w:lvlText w:val="•"/>
      <w:lvlJc w:val="left"/>
      <w:pPr>
        <w:tabs>
          <w:tab w:val="num" w:pos="3240"/>
        </w:tabs>
        <w:ind w:left="3240" w:hanging="360"/>
      </w:pPr>
      <w:rPr>
        <w:rFonts w:ascii="Arial" w:hAnsi="Arial" w:hint="default"/>
      </w:rPr>
    </w:lvl>
    <w:lvl w:ilvl="5" w:tplc="398C2C00" w:tentative="1">
      <w:start w:val="1"/>
      <w:numFmt w:val="bullet"/>
      <w:lvlText w:val="•"/>
      <w:lvlJc w:val="left"/>
      <w:pPr>
        <w:tabs>
          <w:tab w:val="num" w:pos="3960"/>
        </w:tabs>
        <w:ind w:left="3960" w:hanging="360"/>
      </w:pPr>
      <w:rPr>
        <w:rFonts w:ascii="Arial" w:hAnsi="Arial" w:hint="default"/>
      </w:rPr>
    </w:lvl>
    <w:lvl w:ilvl="6" w:tplc="5644CB42" w:tentative="1">
      <w:start w:val="1"/>
      <w:numFmt w:val="bullet"/>
      <w:lvlText w:val="•"/>
      <w:lvlJc w:val="left"/>
      <w:pPr>
        <w:tabs>
          <w:tab w:val="num" w:pos="4680"/>
        </w:tabs>
        <w:ind w:left="4680" w:hanging="360"/>
      </w:pPr>
      <w:rPr>
        <w:rFonts w:ascii="Arial" w:hAnsi="Arial" w:hint="default"/>
      </w:rPr>
    </w:lvl>
    <w:lvl w:ilvl="7" w:tplc="25103776" w:tentative="1">
      <w:start w:val="1"/>
      <w:numFmt w:val="bullet"/>
      <w:lvlText w:val="•"/>
      <w:lvlJc w:val="left"/>
      <w:pPr>
        <w:tabs>
          <w:tab w:val="num" w:pos="5400"/>
        </w:tabs>
        <w:ind w:left="5400" w:hanging="360"/>
      </w:pPr>
      <w:rPr>
        <w:rFonts w:ascii="Arial" w:hAnsi="Arial" w:hint="default"/>
      </w:rPr>
    </w:lvl>
    <w:lvl w:ilvl="8" w:tplc="F32A2164"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14152500"/>
    <w:multiLevelType w:val="hybridMultilevel"/>
    <w:tmpl w:val="653E84A2"/>
    <w:lvl w:ilvl="0" w:tplc="E5627056">
      <w:start w:val="1"/>
      <w:numFmt w:val="bullet"/>
      <w:lvlText w:val="•"/>
      <w:lvlJc w:val="left"/>
      <w:pPr>
        <w:tabs>
          <w:tab w:val="num" w:pos="720"/>
        </w:tabs>
        <w:ind w:left="720" w:hanging="360"/>
      </w:pPr>
      <w:rPr>
        <w:rFonts w:ascii="Arial" w:hAnsi="Arial" w:cs="Times New Roman" w:hint="default"/>
      </w:rPr>
    </w:lvl>
    <w:lvl w:ilvl="1" w:tplc="1CD47510">
      <w:start w:val="1"/>
      <w:numFmt w:val="bullet"/>
      <w:lvlText w:val="•"/>
      <w:lvlJc w:val="left"/>
      <w:pPr>
        <w:tabs>
          <w:tab w:val="num" w:pos="1440"/>
        </w:tabs>
        <w:ind w:left="1440" w:hanging="360"/>
      </w:pPr>
      <w:rPr>
        <w:rFonts w:ascii="Arial" w:hAnsi="Arial" w:cs="Times New Roman" w:hint="default"/>
      </w:rPr>
    </w:lvl>
    <w:lvl w:ilvl="2" w:tplc="8646B6DE">
      <w:start w:val="1"/>
      <w:numFmt w:val="bullet"/>
      <w:lvlText w:val="•"/>
      <w:lvlJc w:val="left"/>
      <w:pPr>
        <w:tabs>
          <w:tab w:val="num" w:pos="2160"/>
        </w:tabs>
        <w:ind w:left="2160" w:hanging="360"/>
      </w:pPr>
      <w:rPr>
        <w:rFonts w:ascii="Arial" w:hAnsi="Arial" w:cs="Times New Roman" w:hint="default"/>
      </w:rPr>
    </w:lvl>
    <w:lvl w:ilvl="3" w:tplc="F286A1D4">
      <w:start w:val="1"/>
      <w:numFmt w:val="bullet"/>
      <w:lvlText w:val="•"/>
      <w:lvlJc w:val="left"/>
      <w:pPr>
        <w:tabs>
          <w:tab w:val="num" w:pos="2880"/>
        </w:tabs>
        <w:ind w:left="2880" w:hanging="360"/>
      </w:pPr>
      <w:rPr>
        <w:rFonts w:ascii="Arial" w:hAnsi="Arial" w:cs="Times New Roman" w:hint="default"/>
      </w:rPr>
    </w:lvl>
    <w:lvl w:ilvl="4" w:tplc="B176A57C">
      <w:start w:val="1"/>
      <w:numFmt w:val="bullet"/>
      <w:lvlText w:val="•"/>
      <w:lvlJc w:val="left"/>
      <w:pPr>
        <w:tabs>
          <w:tab w:val="num" w:pos="3600"/>
        </w:tabs>
        <w:ind w:left="3600" w:hanging="360"/>
      </w:pPr>
      <w:rPr>
        <w:rFonts w:ascii="Arial" w:hAnsi="Arial" w:cs="Times New Roman" w:hint="default"/>
      </w:rPr>
    </w:lvl>
    <w:lvl w:ilvl="5" w:tplc="F282E410">
      <w:start w:val="1"/>
      <w:numFmt w:val="bullet"/>
      <w:lvlText w:val="•"/>
      <w:lvlJc w:val="left"/>
      <w:pPr>
        <w:tabs>
          <w:tab w:val="num" w:pos="4320"/>
        </w:tabs>
        <w:ind w:left="4320" w:hanging="360"/>
      </w:pPr>
      <w:rPr>
        <w:rFonts w:ascii="Arial" w:hAnsi="Arial" w:cs="Times New Roman" w:hint="default"/>
      </w:rPr>
    </w:lvl>
    <w:lvl w:ilvl="6" w:tplc="F6409A8C">
      <w:start w:val="1"/>
      <w:numFmt w:val="bullet"/>
      <w:lvlText w:val="•"/>
      <w:lvlJc w:val="left"/>
      <w:pPr>
        <w:tabs>
          <w:tab w:val="num" w:pos="5040"/>
        </w:tabs>
        <w:ind w:left="5040" w:hanging="360"/>
      </w:pPr>
      <w:rPr>
        <w:rFonts w:ascii="Arial" w:hAnsi="Arial" w:cs="Times New Roman" w:hint="default"/>
      </w:rPr>
    </w:lvl>
    <w:lvl w:ilvl="7" w:tplc="52B2F57C">
      <w:start w:val="1"/>
      <w:numFmt w:val="bullet"/>
      <w:lvlText w:val="•"/>
      <w:lvlJc w:val="left"/>
      <w:pPr>
        <w:tabs>
          <w:tab w:val="num" w:pos="5760"/>
        </w:tabs>
        <w:ind w:left="5760" w:hanging="360"/>
      </w:pPr>
      <w:rPr>
        <w:rFonts w:ascii="Arial" w:hAnsi="Arial" w:cs="Times New Roman" w:hint="default"/>
      </w:rPr>
    </w:lvl>
    <w:lvl w:ilvl="8" w:tplc="2408B26E">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16544AA1"/>
    <w:multiLevelType w:val="hybridMultilevel"/>
    <w:tmpl w:val="247C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5960C3"/>
    <w:multiLevelType w:val="hybridMultilevel"/>
    <w:tmpl w:val="B1C2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681B0A"/>
    <w:multiLevelType w:val="hybridMultilevel"/>
    <w:tmpl w:val="C85298B0"/>
    <w:lvl w:ilvl="0" w:tplc="46D48D92">
      <w:start w:val="1"/>
      <w:numFmt w:val="lowerRoman"/>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8605AA9"/>
    <w:multiLevelType w:val="hybridMultilevel"/>
    <w:tmpl w:val="B114C880"/>
    <w:lvl w:ilvl="0" w:tplc="DE5C257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A167C1"/>
    <w:multiLevelType w:val="hybridMultilevel"/>
    <w:tmpl w:val="4E404144"/>
    <w:lvl w:ilvl="0" w:tplc="188C271C">
      <w:start w:val="1"/>
      <w:numFmt w:val="bullet"/>
      <w:lvlText w:val="•"/>
      <w:lvlJc w:val="left"/>
      <w:pPr>
        <w:tabs>
          <w:tab w:val="num" w:pos="720"/>
        </w:tabs>
        <w:ind w:left="720" w:hanging="360"/>
      </w:pPr>
      <w:rPr>
        <w:rFonts w:ascii="Arial" w:hAnsi="Arial" w:cs="Times New Roman" w:hint="default"/>
      </w:rPr>
    </w:lvl>
    <w:lvl w:ilvl="1" w:tplc="D2580864">
      <w:start w:val="1"/>
      <w:numFmt w:val="bullet"/>
      <w:lvlText w:val="•"/>
      <w:lvlJc w:val="left"/>
      <w:pPr>
        <w:tabs>
          <w:tab w:val="num" w:pos="1440"/>
        </w:tabs>
        <w:ind w:left="1440" w:hanging="360"/>
      </w:pPr>
      <w:rPr>
        <w:rFonts w:ascii="Arial" w:hAnsi="Arial" w:cs="Times New Roman" w:hint="default"/>
      </w:rPr>
    </w:lvl>
    <w:lvl w:ilvl="2" w:tplc="43EC0208">
      <w:start w:val="1"/>
      <w:numFmt w:val="bullet"/>
      <w:lvlText w:val="•"/>
      <w:lvlJc w:val="left"/>
      <w:pPr>
        <w:tabs>
          <w:tab w:val="num" w:pos="2160"/>
        </w:tabs>
        <w:ind w:left="2160" w:hanging="360"/>
      </w:pPr>
      <w:rPr>
        <w:rFonts w:ascii="Arial" w:hAnsi="Arial" w:cs="Times New Roman" w:hint="default"/>
      </w:rPr>
    </w:lvl>
    <w:lvl w:ilvl="3" w:tplc="6C42B4D0">
      <w:start w:val="1"/>
      <w:numFmt w:val="bullet"/>
      <w:lvlText w:val="•"/>
      <w:lvlJc w:val="left"/>
      <w:pPr>
        <w:tabs>
          <w:tab w:val="num" w:pos="2880"/>
        </w:tabs>
        <w:ind w:left="2880" w:hanging="360"/>
      </w:pPr>
      <w:rPr>
        <w:rFonts w:ascii="Arial" w:hAnsi="Arial" w:cs="Times New Roman" w:hint="default"/>
      </w:rPr>
    </w:lvl>
    <w:lvl w:ilvl="4" w:tplc="0C9AB0FC">
      <w:start w:val="1"/>
      <w:numFmt w:val="bullet"/>
      <w:lvlText w:val="•"/>
      <w:lvlJc w:val="left"/>
      <w:pPr>
        <w:tabs>
          <w:tab w:val="num" w:pos="3600"/>
        </w:tabs>
        <w:ind w:left="3600" w:hanging="360"/>
      </w:pPr>
      <w:rPr>
        <w:rFonts w:ascii="Arial" w:hAnsi="Arial" w:cs="Times New Roman" w:hint="default"/>
      </w:rPr>
    </w:lvl>
    <w:lvl w:ilvl="5" w:tplc="4FA00D72">
      <w:start w:val="1"/>
      <w:numFmt w:val="bullet"/>
      <w:lvlText w:val="•"/>
      <w:lvlJc w:val="left"/>
      <w:pPr>
        <w:tabs>
          <w:tab w:val="num" w:pos="4320"/>
        </w:tabs>
        <w:ind w:left="4320" w:hanging="360"/>
      </w:pPr>
      <w:rPr>
        <w:rFonts w:ascii="Arial" w:hAnsi="Arial" w:cs="Times New Roman" w:hint="default"/>
      </w:rPr>
    </w:lvl>
    <w:lvl w:ilvl="6" w:tplc="50F0893C">
      <w:start w:val="1"/>
      <w:numFmt w:val="bullet"/>
      <w:lvlText w:val="•"/>
      <w:lvlJc w:val="left"/>
      <w:pPr>
        <w:tabs>
          <w:tab w:val="num" w:pos="5040"/>
        </w:tabs>
        <w:ind w:left="5040" w:hanging="360"/>
      </w:pPr>
      <w:rPr>
        <w:rFonts w:ascii="Arial" w:hAnsi="Arial" w:cs="Times New Roman" w:hint="default"/>
      </w:rPr>
    </w:lvl>
    <w:lvl w:ilvl="7" w:tplc="2FFEAD9A">
      <w:start w:val="1"/>
      <w:numFmt w:val="bullet"/>
      <w:lvlText w:val="•"/>
      <w:lvlJc w:val="left"/>
      <w:pPr>
        <w:tabs>
          <w:tab w:val="num" w:pos="5760"/>
        </w:tabs>
        <w:ind w:left="5760" w:hanging="360"/>
      </w:pPr>
      <w:rPr>
        <w:rFonts w:ascii="Arial" w:hAnsi="Arial" w:cs="Times New Roman" w:hint="default"/>
      </w:rPr>
    </w:lvl>
    <w:lvl w:ilvl="8" w:tplc="82DE1E5E">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1A113EF1"/>
    <w:multiLevelType w:val="hybridMultilevel"/>
    <w:tmpl w:val="BD004434"/>
    <w:lvl w:ilvl="0" w:tplc="E3D64B20">
      <w:start w:val="1"/>
      <w:numFmt w:val="bullet"/>
      <w:lvlText w:val="-"/>
      <w:lvlJc w:val="left"/>
      <w:pPr>
        <w:tabs>
          <w:tab w:val="num" w:pos="720"/>
        </w:tabs>
        <w:ind w:left="720" w:hanging="360"/>
      </w:pPr>
      <w:rPr>
        <w:rFonts w:ascii="Arial" w:hAnsi="Arial" w:cs="Times New Roman" w:hint="default"/>
      </w:rPr>
    </w:lvl>
    <w:lvl w:ilvl="1" w:tplc="84F07FCE">
      <w:start w:val="1"/>
      <w:numFmt w:val="bullet"/>
      <w:lvlText w:val="-"/>
      <w:lvlJc w:val="left"/>
      <w:pPr>
        <w:tabs>
          <w:tab w:val="num" w:pos="1440"/>
        </w:tabs>
        <w:ind w:left="1440" w:hanging="360"/>
      </w:pPr>
      <w:rPr>
        <w:rFonts w:ascii="Arial" w:hAnsi="Arial" w:cs="Times New Roman" w:hint="default"/>
      </w:rPr>
    </w:lvl>
    <w:lvl w:ilvl="2" w:tplc="76F62960">
      <w:start w:val="1"/>
      <w:numFmt w:val="bullet"/>
      <w:lvlText w:val="-"/>
      <w:lvlJc w:val="left"/>
      <w:pPr>
        <w:tabs>
          <w:tab w:val="num" w:pos="2160"/>
        </w:tabs>
        <w:ind w:left="2160" w:hanging="360"/>
      </w:pPr>
      <w:rPr>
        <w:rFonts w:ascii="Arial" w:hAnsi="Arial" w:cs="Times New Roman" w:hint="default"/>
      </w:rPr>
    </w:lvl>
    <w:lvl w:ilvl="3" w:tplc="A468A4FC">
      <w:start w:val="1"/>
      <w:numFmt w:val="bullet"/>
      <w:lvlText w:val="-"/>
      <w:lvlJc w:val="left"/>
      <w:pPr>
        <w:tabs>
          <w:tab w:val="num" w:pos="2880"/>
        </w:tabs>
        <w:ind w:left="2880" w:hanging="360"/>
      </w:pPr>
      <w:rPr>
        <w:rFonts w:ascii="Arial" w:hAnsi="Arial" w:cs="Times New Roman" w:hint="default"/>
      </w:rPr>
    </w:lvl>
    <w:lvl w:ilvl="4" w:tplc="F8129390">
      <w:start w:val="1"/>
      <w:numFmt w:val="bullet"/>
      <w:lvlText w:val="-"/>
      <w:lvlJc w:val="left"/>
      <w:pPr>
        <w:tabs>
          <w:tab w:val="num" w:pos="3600"/>
        </w:tabs>
        <w:ind w:left="3600" w:hanging="360"/>
      </w:pPr>
      <w:rPr>
        <w:rFonts w:ascii="Arial" w:hAnsi="Arial" w:cs="Times New Roman" w:hint="default"/>
      </w:rPr>
    </w:lvl>
    <w:lvl w:ilvl="5" w:tplc="81EEEC40">
      <w:start w:val="1"/>
      <w:numFmt w:val="bullet"/>
      <w:lvlText w:val="-"/>
      <w:lvlJc w:val="left"/>
      <w:pPr>
        <w:tabs>
          <w:tab w:val="num" w:pos="4320"/>
        </w:tabs>
        <w:ind w:left="4320" w:hanging="360"/>
      </w:pPr>
      <w:rPr>
        <w:rFonts w:ascii="Arial" w:hAnsi="Arial" w:cs="Times New Roman" w:hint="default"/>
      </w:rPr>
    </w:lvl>
    <w:lvl w:ilvl="6" w:tplc="F8F43936">
      <w:start w:val="1"/>
      <w:numFmt w:val="bullet"/>
      <w:lvlText w:val="-"/>
      <w:lvlJc w:val="left"/>
      <w:pPr>
        <w:tabs>
          <w:tab w:val="num" w:pos="5040"/>
        </w:tabs>
        <w:ind w:left="5040" w:hanging="360"/>
      </w:pPr>
      <w:rPr>
        <w:rFonts w:ascii="Arial" w:hAnsi="Arial" w:cs="Times New Roman" w:hint="default"/>
      </w:rPr>
    </w:lvl>
    <w:lvl w:ilvl="7" w:tplc="27EABEDE">
      <w:start w:val="1"/>
      <w:numFmt w:val="bullet"/>
      <w:lvlText w:val="-"/>
      <w:lvlJc w:val="left"/>
      <w:pPr>
        <w:tabs>
          <w:tab w:val="num" w:pos="5760"/>
        </w:tabs>
        <w:ind w:left="5760" w:hanging="360"/>
      </w:pPr>
      <w:rPr>
        <w:rFonts w:ascii="Arial" w:hAnsi="Arial" w:cs="Times New Roman" w:hint="default"/>
      </w:rPr>
    </w:lvl>
    <w:lvl w:ilvl="8" w:tplc="DAB01968">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1A3A58DA"/>
    <w:multiLevelType w:val="hybridMultilevel"/>
    <w:tmpl w:val="63ECBC38"/>
    <w:lvl w:ilvl="0" w:tplc="70444916">
      <w:start w:val="2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2713BC"/>
    <w:multiLevelType w:val="hybridMultilevel"/>
    <w:tmpl w:val="8B98A7BC"/>
    <w:lvl w:ilvl="0" w:tplc="89027F8A">
      <w:start w:val="1"/>
      <w:numFmt w:val="bullet"/>
      <w:lvlText w:val="•"/>
      <w:lvlJc w:val="left"/>
      <w:pPr>
        <w:tabs>
          <w:tab w:val="num" w:pos="720"/>
        </w:tabs>
        <w:ind w:left="720" w:hanging="360"/>
      </w:pPr>
      <w:rPr>
        <w:rFonts w:ascii="Arial" w:hAnsi="Arial" w:cs="Times New Roman" w:hint="default"/>
      </w:rPr>
    </w:lvl>
    <w:lvl w:ilvl="1" w:tplc="30686AFC">
      <w:start w:val="1"/>
      <w:numFmt w:val="bullet"/>
      <w:lvlText w:val="•"/>
      <w:lvlJc w:val="left"/>
      <w:pPr>
        <w:tabs>
          <w:tab w:val="num" w:pos="1440"/>
        </w:tabs>
        <w:ind w:left="1440" w:hanging="360"/>
      </w:pPr>
      <w:rPr>
        <w:rFonts w:ascii="Arial" w:hAnsi="Arial" w:cs="Times New Roman" w:hint="default"/>
      </w:rPr>
    </w:lvl>
    <w:lvl w:ilvl="2" w:tplc="D66453D4">
      <w:start w:val="1"/>
      <w:numFmt w:val="bullet"/>
      <w:lvlText w:val="•"/>
      <w:lvlJc w:val="left"/>
      <w:pPr>
        <w:tabs>
          <w:tab w:val="num" w:pos="2160"/>
        </w:tabs>
        <w:ind w:left="2160" w:hanging="360"/>
      </w:pPr>
      <w:rPr>
        <w:rFonts w:ascii="Arial" w:hAnsi="Arial" w:cs="Times New Roman" w:hint="default"/>
      </w:rPr>
    </w:lvl>
    <w:lvl w:ilvl="3" w:tplc="8716DA10">
      <w:start w:val="1"/>
      <w:numFmt w:val="bullet"/>
      <w:lvlText w:val="•"/>
      <w:lvlJc w:val="left"/>
      <w:pPr>
        <w:tabs>
          <w:tab w:val="num" w:pos="2880"/>
        </w:tabs>
        <w:ind w:left="2880" w:hanging="360"/>
      </w:pPr>
      <w:rPr>
        <w:rFonts w:ascii="Arial" w:hAnsi="Arial" w:cs="Times New Roman" w:hint="default"/>
      </w:rPr>
    </w:lvl>
    <w:lvl w:ilvl="4" w:tplc="23ACF12A">
      <w:start w:val="1"/>
      <w:numFmt w:val="bullet"/>
      <w:lvlText w:val="•"/>
      <w:lvlJc w:val="left"/>
      <w:pPr>
        <w:tabs>
          <w:tab w:val="num" w:pos="3600"/>
        </w:tabs>
        <w:ind w:left="3600" w:hanging="360"/>
      </w:pPr>
      <w:rPr>
        <w:rFonts w:ascii="Arial" w:hAnsi="Arial" w:cs="Times New Roman" w:hint="default"/>
      </w:rPr>
    </w:lvl>
    <w:lvl w:ilvl="5" w:tplc="92DEB1C6">
      <w:start w:val="1"/>
      <w:numFmt w:val="bullet"/>
      <w:lvlText w:val="•"/>
      <w:lvlJc w:val="left"/>
      <w:pPr>
        <w:tabs>
          <w:tab w:val="num" w:pos="4320"/>
        </w:tabs>
        <w:ind w:left="4320" w:hanging="360"/>
      </w:pPr>
      <w:rPr>
        <w:rFonts w:ascii="Arial" w:hAnsi="Arial" w:cs="Times New Roman" w:hint="default"/>
      </w:rPr>
    </w:lvl>
    <w:lvl w:ilvl="6" w:tplc="71A67FB6">
      <w:start w:val="1"/>
      <w:numFmt w:val="bullet"/>
      <w:lvlText w:val="•"/>
      <w:lvlJc w:val="left"/>
      <w:pPr>
        <w:tabs>
          <w:tab w:val="num" w:pos="5040"/>
        </w:tabs>
        <w:ind w:left="5040" w:hanging="360"/>
      </w:pPr>
      <w:rPr>
        <w:rFonts w:ascii="Arial" w:hAnsi="Arial" w:cs="Times New Roman" w:hint="default"/>
      </w:rPr>
    </w:lvl>
    <w:lvl w:ilvl="7" w:tplc="CD30627E">
      <w:start w:val="1"/>
      <w:numFmt w:val="bullet"/>
      <w:lvlText w:val="•"/>
      <w:lvlJc w:val="left"/>
      <w:pPr>
        <w:tabs>
          <w:tab w:val="num" w:pos="5760"/>
        </w:tabs>
        <w:ind w:left="5760" w:hanging="360"/>
      </w:pPr>
      <w:rPr>
        <w:rFonts w:ascii="Arial" w:hAnsi="Arial" w:cs="Times New Roman" w:hint="default"/>
      </w:rPr>
    </w:lvl>
    <w:lvl w:ilvl="8" w:tplc="1638CA44">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1E723B98"/>
    <w:multiLevelType w:val="hybridMultilevel"/>
    <w:tmpl w:val="DC14A5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1EB248F0"/>
    <w:multiLevelType w:val="hybridMultilevel"/>
    <w:tmpl w:val="BD1C85B0"/>
    <w:lvl w:ilvl="0" w:tplc="36DE3FF0">
      <w:start w:val="1"/>
      <w:numFmt w:val="bullet"/>
      <w:lvlText w:val="•"/>
      <w:lvlJc w:val="left"/>
      <w:pPr>
        <w:tabs>
          <w:tab w:val="num" w:pos="720"/>
        </w:tabs>
        <w:ind w:left="720" w:hanging="360"/>
      </w:pPr>
      <w:rPr>
        <w:rFonts w:ascii="Arial" w:hAnsi="Arial" w:cs="Times New Roman" w:hint="default"/>
      </w:rPr>
    </w:lvl>
    <w:lvl w:ilvl="1" w:tplc="544436D6">
      <w:start w:val="1"/>
      <w:numFmt w:val="bullet"/>
      <w:lvlText w:val="•"/>
      <w:lvlJc w:val="left"/>
      <w:pPr>
        <w:tabs>
          <w:tab w:val="num" w:pos="1440"/>
        </w:tabs>
        <w:ind w:left="1440" w:hanging="360"/>
      </w:pPr>
      <w:rPr>
        <w:rFonts w:ascii="Arial" w:hAnsi="Arial" w:cs="Times New Roman" w:hint="default"/>
      </w:rPr>
    </w:lvl>
    <w:lvl w:ilvl="2" w:tplc="3D788174">
      <w:start w:val="1"/>
      <w:numFmt w:val="bullet"/>
      <w:lvlText w:val="•"/>
      <w:lvlJc w:val="left"/>
      <w:pPr>
        <w:tabs>
          <w:tab w:val="num" w:pos="2160"/>
        </w:tabs>
        <w:ind w:left="2160" w:hanging="360"/>
      </w:pPr>
      <w:rPr>
        <w:rFonts w:ascii="Arial" w:hAnsi="Arial" w:cs="Times New Roman" w:hint="default"/>
      </w:rPr>
    </w:lvl>
    <w:lvl w:ilvl="3" w:tplc="B6A20C6C">
      <w:start w:val="1"/>
      <w:numFmt w:val="bullet"/>
      <w:lvlText w:val="•"/>
      <w:lvlJc w:val="left"/>
      <w:pPr>
        <w:tabs>
          <w:tab w:val="num" w:pos="2880"/>
        </w:tabs>
        <w:ind w:left="2880" w:hanging="360"/>
      </w:pPr>
      <w:rPr>
        <w:rFonts w:ascii="Arial" w:hAnsi="Arial" w:cs="Times New Roman" w:hint="default"/>
      </w:rPr>
    </w:lvl>
    <w:lvl w:ilvl="4" w:tplc="C95AF732">
      <w:start w:val="1"/>
      <w:numFmt w:val="bullet"/>
      <w:lvlText w:val="•"/>
      <w:lvlJc w:val="left"/>
      <w:pPr>
        <w:tabs>
          <w:tab w:val="num" w:pos="3600"/>
        </w:tabs>
        <w:ind w:left="3600" w:hanging="360"/>
      </w:pPr>
      <w:rPr>
        <w:rFonts w:ascii="Arial" w:hAnsi="Arial" w:cs="Times New Roman" w:hint="default"/>
      </w:rPr>
    </w:lvl>
    <w:lvl w:ilvl="5" w:tplc="F0F0E30E">
      <w:start w:val="1"/>
      <w:numFmt w:val="bullet"/>
      <w:lvlText w:val="•"/>
      <w:lvlJc w:val="left"/>
      <w:pPr>
        <w:tabs>
          <w:tab w:val="num" w:pos="4320"/>
        </w:tabs>
        <w:ind w:left="4320" w:hanging="360"/>
      </w:pPr>
      <w:rPr>
        <w:rFonts w:ascii="Arial" w:hAnsi="Arial" w:cs="Times New Roman" w:hint="default"/>
      </w:rPr>
    </w:lvl>
    <w:lvl w:ilvl="6" w:tplc="457409C8">
      <w:start w:val="1"/>
      <w:numFmt w:val="bullet"/>
      <w:lvlText w:val="•"/>
      <w:lvlJc w:val="left"/>
      <w:pPr>
        <w:tabs>
          <w:tab w:val="num" w:pos="5040"/>
        </w:tabs>
        <w:ind w:left="5040" w:hanging="360"/>
      </w:pPr>
      <w:rPr>
        <w:rFonts w:ascii="Arial" w:hAnsi="Arial" w:cs="Times New Roman" w:hint="default"/>
      </w:rPr>
    </w:lvl>
    <w:lvl w:ilvl="7" w:tplc="986836D8">
      <w:start w:val="1"/>
      <w:numFmt w:val="bullet"/>
      <w:lvlText w:val="•"/>
      <w:lvlJc w:val="left"/>
      <w:pPr>
        <w:tabs>
          <w:tab w:val="num" w:pos="5760"/>
        </w:tabs>
        <w:ind w:left="5760" w:hanging="360"/>
      </w:pPr>
      <w:rPr>
        <w:rFonts w:ascii="Arial" w:hAnsi="Arial" w:cs="Times New Roman" w:hint="default"/>
      </w:rPr>
    </w:lvl>
    <w:lvl w:ilvl="8" w:tplc="54E42BC2">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1ECC275B"/>
    <w:multiLevelType w:val="hybridMultilevel"/>
    <w:tmpl w:val="D588433C"/>
    <w:lvl w:ilvl="0" w:tplc="4888E19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1F5D6A1C"/>
    <w:multiLevelType w:val="hybridMultilevel"/>
    <w:tmpl w:val="022CA87C"/>
    <w:lvl w:ilvl="0" w:tplc="5CD8378E">
      <w:start w:val="1"/>
      <w:numFmt w:val="decimal"/>
      <w:lvlText w:val="%1."/>
      <w:lvlJc w:val="left"/>
      <w:pPr>
        <w:ind w:left="5760" w:hanging="360"/>
      </w:pPr>
      <w:rPr>
        <w:rFonts w:ascii="Times New Roman" w:hAnsi="Times New Roman" w:cs="Times New Roman" w:hint="default"/>
        <w:b/>
        <w:sz w:val="24"/>
        <w:szCs w:val="24"/>
      </w:rPr>
    </w:lvl>
    <w:lvl w:ilvl="1" w:tplc="04090017">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23DC5AA3"/>
    <w:multiLevelType w:val="hybridMultilevel"/>
    <w:tmpl w:val="38F2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5B1895"/>
    <w:multiLevelType w:val="hybridMultilevel"/>
    <w:tmpl w:val="87E2561C"/>
    <w:lvl w:ilvl="0" w:tplc="F2EABE8A">
      <w:start w:val="1"/>
      <w:numFmt w:val="bullet"/>
      <w:lvlText w:val="•"/>
      <w:lvlJc w:val="left"/>
      <w:pPr>
        <w:tabs>
          <w:tab w:val="num" w:pos="720"/>
        </w:tabs>
        <w:ind w:left="720" w:hanging="360"/>
      </w:pPr>
      <w:rPr>
        <w:rFonts w:ascii="Arial" w:hAnsi="Arial" w:hint="default"/>
      </w:rPr>
    </w:lvl>
    <w:lvl w:ilvl="1" w:tplc="4D5E7A2C" w:tentative="1">
      <w:start w:val="1"/>
      <w:numFmt w:val="bullet"/>
      <w:lvlText w:val="•"/>
      <w:lvlJc w:val="left"/>
      <w:pPr>
        <w:tabs>
          <w:tab w:val="num" w:pos="1440"/>
        </w:tabs>
        <w:ind w:left="1440" w:hanging="360"/>
      </w:pPr>
      <w:rPr>
        <w:rFonts w:ascii="Arial" w:hAnsi="Arial" w:hint="default"/>
      </w:rPr>
    </w:lvl>
    <w:lvl w:ilvl="2" w:tplc="5AFCD394" w:tentative="1">
      <w:start w:val="1"/>
      <w:numFmt w:val="bullet"/>
      <w:lvlText w:val="•"/>
      <w:lvlJc w:val="left"/>
      <w:pPr>
        <w:tabs>
          <w:tab w:val="num" w:pos="2160"/>
        </w:tabs>
        <w:ind w:left="2160" w:hanging="360"/>
      </w:pPr>
      <w:rPr>
        <w:rFonts w:ascii="Arial" w:hAnsi="Arial" w:hint="default"/>
      </w:rPr>
    </w:lvl>
    <w:lvl w:ilvl="3" w:tplc="8C32DE3C" w:tentative="1">
      <w:start w:val="1"/>
      <w:numFmt w:val="bullet"/>
      <w:lvlText w:val="•"/>
      <w:lvlJc w:val="left"/>
      <w:pPr>
        <w:tabs>
          <w:tab w:val="num" w:pos="2880"/>
        </w:tabs>
        <w:ind w:left="2880" w:hanging="360"/>
      </w:pPr>
      <w:rPr>
        <w:rFonts w:ascii="Arial" w:hAnsi="Arial" w:hint="default"/>
      </w:rPr>
    </w:lvl>
    <w:lvl w:ilvl="4" w:tplc="5ECC2CBA" w:tentative="1">
      <w:start w:val="1"/>
      <w:numFmt w:val="bullet"/>
      <w:lvlText w:val="•"/>
      <w:lvlJc w:val="left"/>
      <w:pPr>
        <w:tabs>
          <w:tab w:val="num" w:pos="3600"/>
        </w:tabs>
        <w:ind w:left="3600" w:hanging="360"/>
      </w:pPr>
      <w:rPr>
        <w:rFonts w:ascii="Arial" w:hAnsi="Arial" w:hint="default"/>
      </w:rPr>
    </w:lvl>
    <w:lvl w:ilvl="5" w:tplc="6242E4D2" w:tentative="1">
      <w:start w:val="1"/>
      <w:numFmt w:val="bullet"/>
      <w:lvlText w:val="•"/>
      <w:lvlJc w:val="left"/>
      <w:pPr>
        <w:tabs>
          <w:tab w:val="num" w:pos="4320"/>
        </w:tabs>
        <w:ind w:left="4320" w:hanging="360"/>
      </w:pPr>
      <w:rPr>
        <w:rFonts w:ascii="Arial" w:hAnsi="Arial" w:hint="default"/>
      </w:rPr>
    </w:lvl>
    <w:lvl w:ilvl="6" w:tplc="089ED3D2" w:tentative="1">
      <w:start w:val="1"/>
      <w:numFmt w:val="bullet"/>
      <w:lvlText w:val="•"/>
      <w:lvlJc w:val="left"/>
      <w:pPr>
        <w:tabs>
          <w:tab w:val="num" w:pos="5040"/>
        </w:tabs>
        <w:ind w:left="5040" w:hanging="360"/>
      </w:pPr>
      <w:rPr>
        <w:rFonts w:ascii="Arial" w:hAnsi="Arial" w:hint="default"/>
      </w:rPr>
    </w:lvl>
    <w:lvl w:ilvl="7" w:tplc="D9C6FFE4" w:tentative="1">
      <w:start w:val="1"/>
      <w:numFmt w:val="bullet"/>
      <w:lvlText w:val="•"/>
      <w:lvlJc w:val="left"/>
      <w:pPr>
        <w:tabs>
          <w:tab w:val="num" w:pos="5760"/>
        </w:tabs>
        <w:ind w:left="5760" w:hanging="360"/>
      </w:pPr>
      <w:rPr>
        <w:rFonts w:ascii="Arial" w:hAnsi="Arial" w:hint="default"/>
      </w:rPr>
    </w:lvl>
    <w:lvl w:ilvl="8" w:tplc="58F08A6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267A5A34"/>
    <w:multiLevelType w:val="hybridMultilevel"/>
    <w:tmpl w:val="928EE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A6156B"/>
    <w:multiLevelType w:val="hybridMultilevel"/>
    <w:tmpl w:val="5D723F90"/>
    <w:lvl w:ilvl="0" w:tplc="3FCE4FF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BD673D"/>
    <w:multiLevelType w:val="hybridMultilevel"/>
    <w:tmpl w:val="C9E26528"/>
    <w:lvl w:ilvl="0" w:tplc="24205F08">
      <w:start w:val="1"/>
      <w:numFmt w:val="bullet"/>
      <w:lvlText w:val="•"/>
      <w:lvlJc w:val="left"/>
      <w:pPr>
        <w:tabs>
          <w:tab w:val="num" w:pos="720"/>
        </w:tabs>
        <w:ind w:left="720" w:hanging="360"/>
      </w:pPr>
      <w:rPr>
        <w:rFonts w:ascii="Arial" w:hAnsi="Arial" w:hint="default"/>
      </w:rPr>
    </w:lvl>
    <w:lvl w:ilvl="1" w:tplc="23CCC986" w:tentative="1">
      <w:start w:val="1"/>
      <w:numFmt w:val="bullet"/>
      <w:lvlText w:val="•"/>
      <w:lvlJc w:val="left"/>
      <w:pPr>
        <w:tabs>
          <w:tab w:val="num" w:pos="1440"/>
        </w:tabs>
        <w:ind w:left="1440" w:hanging="360"/>
      </w:pPr>
      <w:rPr>
        <w:rFonts w:ascii="Arial" w:hAnsi="Arial" w:hint="default"/>
      </w:rPr>
    </w:lvl>
    <w:lvl w:ilvl="2" w:tplc="B80058F8" w:tentative="1">
      <w:start w:val="1"/>
      <w:numFmt w:val="bullet"/>
      <w:lvlText w:val="•"/>
      <w:lvlJc w:val="left"/>
      <w:pPr>
        <w:tabs>
          <w:tab w:val="num" w:pos="2160"/>
        </w:tabs>
        <w:ind w:left="2160" w:hanging="360"/>
      </w:pPr>
      <w:rPr>
        <w:rFonts w:ascii="Arial" w:hAnsi="Arial" w:hint="default"/>
      </w:rPr>
    </w:lvl>
    <w:lvl w:ilvl="3" w:tplc="8A2428AA" w:tentative="1">
      <w:start w:val="1"/>
      <w:numFmt w:val="bullet"/>
      <w:lvlText w:val="•"/>
      <w:lvlJc w:val="left"/>
      <w:pPr>
        <w:tabs>
          <w:tab w:val="num" w:pos="2880"/>
        </w:tabs>
        <w:ind w:left="2880" w:hanging="360"/>
      </w:pPr>
      <w:rPr>
        <w:rFonts w:ascii="Arial" w:hAnsi="Arial" w:hint="default"/>
      </w:rPr>
    </w:lvl>
    <w:lvl w:ilvl="4" w:tplc="909AF9C6" w:tentative="1">
      <w:start w:val="1"/>
      <w:numFmt w:val="bullet"/>
      <w:lvlText w:val="•"/>
      <w:lvlJc w:val="left"/>
      <w:pPr>
        <w:tabs>
          <w:tab w:val="num" w:pos="3600"/>
        </w:tabs>
        <w:ind w:left="3600" w:hanging="360"/>
      </w:pPr>
      <w:rPr>
        <w:rFonts w:ascii="Arial" w:hAnsi="Arial" w:hint="default"/>
      </w:rPr>
    </w:lvl>
    <w:lvl w:ilvl="5" w:tplc="E724EFB0" w:tentative="1">
      <w:start w:val="1"/>
      <w:numFmt w:val="bullet"/>
      <w:lvlText w:val="•"/>
      <w:lvlJc w:val="left"/>
      <w:pPr>
        <w:tabs>
          <w:tab w:val="num" w:pos="4320"/>
        </w:tabs>
        <w:ind w:left="4320" w:hanging="360"/>
      </w:pPr>
      <w:rPr>
        <w:rFonts w:ascii="Arial" w:hAnsi="Arial" w:hint="default"/>
      </w:rPr>
    </w:lvl>
    <w:lvl w:ilvl="6" w:tplc="CB3C4652" w:tentative="1">
      <w:start w:val="1"/>
      <w:numFmt w:val="bullet"/>
      <w:lvlText w:val="•"/>
      <w:lvlJc w:val="left"/>
      <w:pPr>
        <w:tabs>
          <w:tab w:val="num" w:pos="5040"/>
        </w:tabs>
        <w:ind w:left="5040" w:hanging="360"/>
      </w:pPr>
      <w:rPr>
        <w:rFonts w:ascii="Arial" w:hAnsi="Arial" w:hint="default"/>
      </w:rPr>
    </w:lvl>
    <w:lvl w:ilvl="7" w:tplc="1084138E" w:tentative="1">
      <w:start w:val="1"/>
      <w:numFmt w:val="bullet"/>
      <w:lvlText w:val="•"/>
      <w:lvlJc w:val="left"/>
      <w:pPr>
        <w:tabs>
          <w:tab w:val="num" w:pos="5760"/>
        </w:tabs>
        <w:ind w:left="5760" w:hanging="360"/>
      </w:pPr>
      <w:rPr>
        <w:rFonts w:ascii="Arial" w:hAnsi="Arial" w:hint="default"/>
      </w:rPr>
    </w:lvl>
    <w:lvl w:ilvl="8" w:tplc="7CB6B7A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A9266FE"/>
    <w:multiLevelType w:val="hybridMultilevel"/>
    <w:tmpl w:val="E6863CCE"/>
    <w:lvl w:ilvl="0" w:tplc="8CC28E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140FA0"/>
    <w:multiLevelType w:val="multilevel"/>
    <w:tmpl w:val="2996CFA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D2174C9"/>
    <w:multiLevelType w:val="hybridMultilevel"/>
    <w:tmpl w:val="D2E2C1DE"/>
    <w:lvl w:ilvl="0" w:tplc="4888E19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19D0E78"/>
    <w:multiLevelType w:val="hybridMultilevel"/>
    <w:tmpl w:val="A90E2A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EF4BB6"/>
    <w:multiLevelType w:val="multilevel"/>
    <w:tmpl w:val="6D8273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323761B"/>
    <w:multiLevelType w:val="hybridMultilevel"/>
    <w:tmpl w:val="7B92334C"/>
    <w:lvl w:ilvl="0" w:tplc="030E8C0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40A10C5"/>
    <w:multiLevelType w:val="hybridMultilevel"/>
    <w:tmpl w:val="320E9AAA"/>
    <w:lvl w:ilvl="0" w:tplc="F36ADD48">
      <w:start w:val="1"/>
      <w:numFmt w:val="bullet"/>
      <w:lvlText w:val="•"/>
      <w:lvlJc w:val="left"/>
      <w:pPr>
        <w:tabs>
          <w:tab w:val="num" w:pos="720"/>
        </w:tabs>
        <w:ind w:left="720" w:hanging="360"/>
      </w:pPr>
      <w:rPr>
        <w:rFonts w:ascii="Arial" w:hAnsi="Arial" w:hint="default"/>
      </w:rPr>
    </w:lvl>
    <w:lvl w:ilvl="1" w:tplc="BBFE8F3E" w:tentative="1">
      <w:start w:val="1"/>
      <w:numFmt w:val="bullet"/>
      <w:lvlText w:val="•"/>
      <w:lvlJc w:val="left"/>
      <w:pPr>
        <w:tabs>
          <w:tab w:val="num" w:pos="1440"/>
        </w:tabs>
        <w:ind w:left="1440" w:hanging="360"/>
      </w:pPr>
      <w:rPr>
        <w:rFonts w:ascii="Arial" w:hAnsi="Arial" w:hint="default"/>
      </w:rPr>
    </w:lvl>
    <w:lvl w:ilvl="2" w:tplc="A3847AF8" w:tentative="1">
      <w:start w:val="1"/>
      <w:numFmt w:val="bullet"/>
      <w:lvlText w:val="•"/>
      <w:lvlJc w:val="left"/>
      <w:pPr>
        <w:tabs>
          <w:tab w:val="num" w:pos="2160"/>
        </w:tabs>
        <w:ind w:left="2160" w:hanging="360"/>
      </w:pPr>
      <w:rPr>
        <w:rFonts w:ascii="Arial" w:hAnsi="Arial" w:hint="default"/>
      </w:rPr>
    </w:lvl>
    <w:lvl w:ilvl="3" w:tplc="F09E889A" w:tentative="1">
      <w:start w:val="1"/>
      <w:numFmt w:val="bullet"/>
      <w:lvlText w:val="•"/>
      <w:lvlJc w:val="left"/>
      <w:pPr>
        <w:tabs>
          <w:tab w:val="num" w:pos="2880"/>
        </w:tabs>
        <w:ind w:left="2880" w:hanging="360"/>
      </w:pPr>
      <w:rPr>
        <w:rFonts w:ascii="Arial" w:hAnsi="Arial" w:hint="default"/>
      </w:rPr>
    </w:lvl>
    <w:lvl w:ilvl="4" w:tplc="0A583C78" w:tentative="1">
      <w:start w:val="1"/>
      <w:numFmt w:val="bullet"/>
      <w:lvlText w:val="•"/>
      <w:lvlJc w:val="left"/>
      <w:pPr>
        <w:tabs>
          <w:tab w:val="num" w:pos="3600"/>
        </w:tabs>
        <w:ind w:left="3600" w:hanging="360"/>
      </w:pPr>
      <w:rPr>
        <w:rFonts w:ascii="Arial" w:hAnsi="Arial" w:hint="default"/>
      </w:rPr>
    </w:lvl>
    <w:lvl w:ilvl="5" w:tplc="361630E0" w:tentative="1">
      <w:start w:val="1"/>
      <w:numFmt w:val="bullet"/>
      <w:lvlText w:val="•"/>
      <w:lvlJc w:val="left"/>
      <w:pPr>
        <w:tabs>
          <w:tab w:val="num" w:pos="4320"/>
        </w:tabs>
        <w:ind w:left="4320" w:hanging="360"/>
      </w:pPr>
      <w:rPr>
        <w:rFonts w:ascii="Arial" w:hAnsi="Arial" w:hint="default"/>
      </w:rPr>
    </w:lvl>
    <w:lvl w:ilvl="6" w:tplc="4ABEC06A" w:tentative="1">
      <w:start w:val="1"/>
      <w:numFmt w:val="bullet"/>
      <w:lvlText w:val="•"/>
      <w:lvlJc w:val="left"/>
      <w:pPr>
        <w:tabs>
          <w:tab w:val="num" w:pos="5040"/>
        </w:tabs>
        <w:ind w:left="5040" w:hanging="360"/>
      </w:pPr>
      <w:rPr>
        <w:rFonts w:ascii="Arial" w:hAnsi="Arial" w:hint="default"/>
      </w:rPr>
    </w:lvl>
    <w:lvl w:ilvl="7" w:tplc="38160B38" w:tentative="1">
      <w:start w:val="1"/>
      <w:numFmt w:val="bullet"/>
      <w:lvlText w:val="•"/>
      <w:lvlJc w:val="left"/>
      <w:pPr>
        <w:tabs>
          <w:tab w:val="num" w:pos="5760"/>
        </w:tabs>
        <w:ind w:left="5760" w:hanging="360"/>
      </w:pPr>
      <w:rPr>
        <w:rFonts w:ascii="Arial" w:hAnsi="Arial" w:hint="default"/>
      </w:rPr>
    </w:lvl>
    <w:lvl w:ilvl="8" w:tplc="DC1A753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42C4CA6"/>
    <w:multiLevelType w:val="multilevel"/>
    <w:tmpl w:val="F760B8D0"/>
    <w:lvl w:ilvl="0">
      <w:start w:val="1"/>
      <w:numFmt w:val="decimal"/>
      <w:lvlText w:val="%1."/>
      <w:lvlJc w:val="left"/>
      <w:pPr>
        <w:ind w:left="360" w:firstLine="0"/>
      </w:pPr>
      <w:rPr>
        <w:b w:val="0"/>
        <w:i w:val="0"/>
        <w:vertAlign w:val="baseline"/>
      </w:rPr>
    </w:lvl>
    <w:lvl w:ilvl="1">
      <w:start w:val="1"/>
      <w:numFmt w:val="lowerLetter"/>
      <w:lvlText w:val="%2."/>
      <w:lvlJc w:val="left"/>
      <w:pPr>
        <w:ind w:left="1506" w:firstLine="1146"/>
      </w:pPr>
      <w:rPr>
        <w:vertAlign w:val="baseline"/>
      </w:rPr>
    </w:lvl>
    <w:lvl w:ilvl="2">
      <w:start w:val="1"/>
      <w:numFmt w:val="lowerLetter"/>
      <w:lvlText w:val="%3)"/>
      <w:lvlJc w:val="left"/>
      <w:pPr>
        <w:ind w:left="2406" w:firstLine="2046"/>
      </w:pPr>
      <w:rPr>
        <w:vertAlign w:val="baseline"/>
      </w:rPr>
    </w:lvl>
    <w:lvl w:ilvl="3">
      <w:start w:val="1"/>
      <w:numFmt w:val="lowerLetter"/>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50" w15:restartNumberingAfterBreak="0">
    <w:nsid w:val="34816FB0"/>
    <w:multiLevelType w:val="hybridMultilevel"/>
    <w:tmpl w:val="1CDC6E1C"/>
    <w:lvl w:ilvl="0" w:tplc="A4946ABC">
      <w:start w:val="1"/>
      <w:numFmt w:val="bullet"/>
      <w:lvlText w:val="•"/>
      <w:lvlJc w:val="left"/>
      <w:pPr>
        <w:tabs>
          <w:tab w:val="num" w:pos="360"/>
        </w:tabs>
        <w:ind w:left="360" w:hanging="360"/>
      </w:pPr>
      <w:rPr>
        <w:rFonts w:ascii="Arial" w:hAnsi="Arial" w:hint="default"/>
      </w:rPr>
    </w:lvl>
    <w:lvl w:ilvl="1" w:tplc="04C66EFE" w:tentative="1">
      <w:start w:val="1"/>
      <w:numFmt w:val="bullet"/>
      <w:lvlText w:val="•"/>
      <w:lvlJc w:val="left"/>
      <w:pPr>
        <w:tabs>
          <w:tab w:val="num" w:pos="1080"/>
        </w:tabs>
        <w:ind w:left="1080" w:hanging="360"/>
      </w:pPr>
      <w:rPr>
        <w:rFonts w:ascii="Arial" w:hAnsi="Arial" w:hint="default"/>
      </w:rPr>
    </w:lvl>
    <w:lvl w:ilvl="2" w:tplc="818C5ACE" w:tentative="1">
      <w:start w:val="1"/>
      <w:numFmt w:val="bullet"/>
      <w:lvlText w:val="•"/>
      <w:lvlJc w:val="left"/>
      <w:pPr>
        <w:tabs>
          <w:tab w:val="num" w:pos="1800"/>
        </w:tabs>
        <w:ind w:left="1800" w:hanging="360"/>
      </w:pPr>
      <w:rPr>
        <w:rFonts w:ascii="Arial" w:hAnsi="Arial" w:hint="default"/>
      </w:rPr>
    </w:lvl>
    <w:lvl w:ilvl="3" w:tplc="1E201890" w:tentative="1">
      <w:start w:val="1"/>
      <w:numFmt w:val="bullet"/>
      <w:lvlText w:val="•"/>
      <w:lvlJc w:val="left"/>
      <w:pPr>
        <w:tabs>
          <w:tab w:val="num" w:pos="2520"/>
        </w:tabs>
        <w:ind w:left="2520" w:hanging="360"/>
      </w:pPr>
      <w:rPr>
        <w:rFonts w:ascii="Arial" w:hAnsi="Arial" w:hint="default"/>
      </w:rPr>
    </w:lvl>
    <w:lvl w:ilvl="4" w:tplc="A198E116" w:tentative="1">
      <w:start w:val="1"/>
      <w:numFmt w:val="bullet"/>
      <w:lvlText w:val="•"/>
      <w:lvlJc w:val="left"/>
      <w:pPr>
        <w:tabs>
          <w:tab w:val="num" w:pos="3240"/>
        </w:tabs>
        <w:ind w:left="3240" w:hanging="360"/>
      </w:pPr>
      <w:rPr>
        <w:rFonts w:ascii="Arial" w:hAnsi="Arial" w:hint="default"/>
      </w:rPr>
    </w:lvl>
    <w:lvl w:ilvl="5" w:tplc="BA1EB860" w:tentative="1">
      <w:start w:val="1"/>
      <w:numFmt w:val="bullet"/>
      <w:lvlText w:val="•"/>
      <w:lvlJc w:val="left"/>
      <w:pPr>
        <w:tabs>
          <w:tab w:val="num" w:pos="3960"/>
        </w:tabs>
        <w:ind w:left="3960" w:hanging="360"/>
      </w:pPr>
      <w:rPr>
        <w:rFonts w:ascii="Arial" w:hAnsi="Arial" w:hint="default"/>
      </w:rPr>
    </w:lvl>
    <w:lvl w:ilvl="6" w:tplc="D5CEF864" w:tentative="1">
      <w:start w:val="1"/>
      <w:numFmt w:val="bullet"/>
      <w:lvlText w:val="•"/>
      <w:lvlJc w:val="left"/>
      <w:pPr>
        <w:tabs>
          <w:tab w:val="num" w:pos="4680"/>
        </w:tabs>
        <w:ind w:left="4680" w:hanging="360"/>
      </w:pPr>
      <w:rPr>
        <w:rFonts w:ascii="Arial" w:hAnsi="Arial" w:hint="default"/>
      </w:rPr>
    </w:lvl>
    <w:lvl w:ilvl="7" w:tplc="C5C22014" w:tentative="1">
      <w:start w:val="1"/>
      <w:numFmt w:val="bullet"/>
      <w:lvlText w:val="•"/>
      <w:lvlJc w:val="left"/>
      <w:pPr>
        <w:tabs>
          <w:tab w:val="num" w:pos="5400"/>
        </w:tabs>
        <w:ind w:left="5400" w:hanging="360"/>
      </w:pPr>
      <w:rPr>
        <w:rFonts w:ascii="Arial" w:hAnsi="Arial" w:hint="default"/>
      </w:rPr>
    </w:lvl>
    <w:lvl w:ilvl="8" w:tplc="0C3A7C7A"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36564BFA"/>
    <w:multiLevelType w:val="hybridMultilevel"/>
    <w:tmpl w:val="0BC49E1E"/>
    <w:lvl w:ilvl="0" w:tplc="73F60B4C">
      <w:start w:val="1"/>
      <w:numFmt w:val="bullet"/>
      <w:lvlText w:val="•"/>
      <w:lvlJc w:val="left"/>
      <w:pPr>
        <w:tabs>
          <w:tab w:val="num" w:pos="720"/>
        </w:tabs>
        <w:ind w:left="720" w:hanging="360"/>
      </w:pPr>
      <w:rPr>
        <w:rFonts w:ascii="Arial" w:hAnsi="Arial" w:cs="Times New Roman" w:hint="default"/>
      </w:rPr>
    </w:lvl>
    <w:lvl w:ilvl="1" w:tplc="C72C9D2E">
      <w:start w:val="1"/>
      <w:numFmt w:val="bullet"/>
      <w:lvlText w:val="•"/>
      <w:lvlJc w:val="left"/>
      <w:pPr>
        <w:tabs>
          <w:tab w:val="num" w:pos="1440"/>
        </w:tabs>
        <w:ind w:left="1440" w:hanging="360"/>
      </w:pPr>
      <w:rPr>
        <w:rFonts w:ascii="Arial" w:hAnsi="Arial" w:cs="Times New Roman" w:hint="default"/>
      </w:rPr>
    </w:lvl>
    <w:lvl w:ilvl="2" w:tplc="68A2A982">
      <w:start w:val="1"/>
      <w:numFmt w:val="bullet"/>
      <w:lvlText w:val="•"/>
      <w:lvlJc w:val="left"/>
      <w:pPr>
        <w:tabs>
          <w:tab w:val="num" w:pos="2160"/>
        </w:tabs>
        <w:ind w:left="2160" w:hanging="360"/>
      </w:pPr>
      <w:rPr>
        <w:rFonts w:ascii="Arial" w:hAnsi="Arial" w:cs="Times New Roman" w:hint="default"/>
      </w:rPr>
    </w:lvl>
    <w:lvl w:ilvl="3" w:tplc="8DDA54DC">
      <w:start w:val="1"/>
      <w:numFmt w:val="bullet"/>
      <w:lvlText w:val="•"/>
      <w:lvlJc w:val="left"/>
      <w:pPr>
        <w:tabs>
          <w:tab w:val="num" w:pos="2880"/>
        </w:tabs>
        <w:ind w:left="2880" w:hanging="360"/>
      </w:pPr>
      <w:rPr>
        <w:rFonts w:ascii="Arial" w:hAnsi="Arial" w:cs="Times New Roman" w:hint="default"/>
      </w:rPr>
    </w:lvl>
    <w:lvl w:ilvl="4" w:tplc="DBAE4A9A">
      <w:start w:val="1"/>
      <w:numFmt w:val="bullet"/>
      <w:lvlText w:val="•"/>
      <w:lvlJc w:val="left"/>
      <w:pPr>
        <w:tabs>
          <w:tab w:val="num" w:pos="3600"/>
        </w:tabs>
        <w:ind w:left="3600" w:hanging="360"/>
      </w:pPr>
      <w:rPr>
        <w:rFonts w:ascii="Arial" w:hAnsi="Arial" w:cs="Times New Roman" w:hint="default"/>
      </w:rPr>
    </w:lvl>
    <w:lvl w:ilvl="5" w:tplc="7B6EA396">
      <w:start w:val="1"/>
      <w:numFmt w:val="bullet"/>
      <w:lvlText w:val="•"/>
      <w:lvlJc w:val="left"/>
      <w:pPr>
        <w:tabs>
          <w:tab w:val="num" w:pos="4320"/>
        </w:tabs>
        <w:ind w:left="4320" w:hanging="360"/>
      </w:pPr>
      <w:rPr>
        <w:rFonts w:ascii="Arial" w:hAnsi="Arial" w:cs="Times New Roman" w:hint="default"/>
      </w:rPr>
    </w:lvl>
    <w:lvl w:ilvl="6" w:tplc="2346945A">
      <w:start w:val="1"/>
      <w:numFmt w:val="bullet"/>
      <w:lvlText w:val="•"/>
      <w:lvlJc w:val="left"/>
      <w:pPr>
        <w:tabs>
          <w:tab w:val="num" w:pos="5040"/>
        </w:tabs>
        <w:ind w:left="5040" w:hanging="360"/>
      </w:pPr>
      <w:rPr>
        <w:rFonts w:ascii="Arial" w:hAnsi="Arial" w:cs="Times New Roman" w:hint="default"/>
      </w:rPr>
    </w:lvl>
    <w:lvl w:ilvl="7" w:tplc="C6DED6BA">
      <w:start w:val="1"/>
      <w:numFmt w:val="bullet"/>
      <w:lvlText w:val="•"/>
      <w:lvlJc w:val="left"/>
      <w:pPr>
        <w:tabs>
          <w:tab w:val="num" w:pos="5760"/>
        </w:tabs>
        <w:ind w:left="5760" w:hanging="360"/>
      </w:pPr>
      <w:rPr>
        <w:rFonts w:ascii="Arial" w:hAnsi="Arial" w:cs="Times New Roman" w:hint="default"/>
      </w:rPr>
    </w:lvl>
    <w:lvl w:ilvl="8" w:tplc="400ED91C">
      <w:start w:val="1"/>
      <w:numFmt w:val="bullet"/>
      <w:lvlText w:val="•"/>
      <w:lvlJc w:val="left"/>
      <w:pPr>
        <w:tabs>
          <w:tab w:val="num" w:pos="6480"/>
        </w:tabs>
        <w:ind w:left="6480" w:hanging="360"/>
      </w:pPr>
      <w:rPr>
        <w:rFonts w:ascii="Arial" w:hAnsi="Arial" w:cs="Times New Roman" w:hint="default"/>
      </w:rPr>
    </w:lvl>
  </w:abstractNum>
  <w:abstractNum w:abstractNumId="52" w15:restartNumberingAfterBreak="0">
    <w:nsid w:val="366F0CFC"/>
    <w:multiLevelType w:val="hybridMultilevel"/>
    <w:tmpl w:val="C6E4A5F6"/>
    <w:lvl w:ilvl="0" w:tplc="54CA2366">
      <w:start w:val="1"/>
      <w:numFmt w:val="bullet"/>
      <w:lvlText w:val="•"/>
      <w:lvlJc w:val="left"/>
      <w:pPr>
        <w:tabs>
          <w:tab w:val="num" w:pos="360"/>
        </w:tabs>
        <w:ind w:left="360" w:hanging="360"/>
      </w:pPr>
      <w:rPr>
        <w:rFonts w:ascii="Arial" w:hAnsi="Arial" w:hint="default"/>
      </w:rPr>
    </w:lvl>
    <w:lvl w:ilvl="1" w:tplc="6D8C1418" w:tentative="1">
      <w:start w:val="1"/>
      <w:numFmt w:val="bullet"/>
      <w:lvlText w:val="•"/>
      <w:lvlJc w:val="left"/>
      <w:pPr>
        <w:tabs>
          <w:tab w:val="num" w:pos="1080"/>
        </w:tabs>
        <w:ind w:left="1080" w:hanging="360"/>
      </w:pPr>
      <w:rPr>
        <w:rFonts w:ascii="Arial" w:hAnsi="Arial" w:hint="default"/>
      </w:rPr>
    </w:lvl>
    <w:lvl w:ilvl="2" w:tplc="27068F4C" w:tentative="1">
      <w:start w:val="1"/>
      <w:numFmt w:val="bullet"/>
      <w:lvlText w:val="•"/>
      <w:lvlJc w:val="left"/>
      <w:pPr>
        <w:tabs>
          <w:tab w:val="num" w:pos="1800"/>
        </w:tabs>
        <w:ind w:left="1800" w:hanging="360"/>
      </w:pPr>
      <w:rPr>
        <w:rFonts w:ascii="Arial" w:hAnsi="Arial" w:hint="default"/>
      </w:rPr>
    </w:lvl>
    <w:lvl w:ilvl="3" w:tplc="D51E7698" w:tentative="1">
      <w:start w:val="1"/>
      <w:numFmt w:val="bullet"/>
      <w:lvlText w:val="•"/>
      <w:lvlJc w:val="left"/>
      <w:pPr>
        <w:tabs>
          <w:tab w:val="num" w:pos="2520"/>
        </w:tabs>
        <w:ind w:left="2520" w:hanging="360"/>
      </w:pPr>
      <w:rPr>
        <w:rFonts w:ascii="Arial" w:hAnsi="Arial" w:hint="default"/>
      </w:rPr>
    </w:lvl>
    <w:lvl w:ilvl="4" w:tplc="2B20E2D0" w:tentative="1">
      <w:start w:val="1"/>
      <w:numFmt w:val="bullet"/>
      <w:lvlText w:val="•"/>
      <w:lvlJc w:val="left"/>
      <w:pPr>
        <w:tabs>
          <w:tab w:val="num" w:pos="3240"/>
        </w:tabs>
        <w:ind w:left="3240" w:hanging="360"/>
      </w:pPr>
      <w:rPr>
        <w:rFonts w:ascii="Arial" w:hAnsi="Arial" w:hint="default"/>
      </w:rPr>
    </w:lvl>
    <w:lvl w:ilvl="5" w:tplc="C53AFF76" w:tentative="1">
      <w:start w:val="1"/>
      <w:numFmt w:val="bullet"/>
      <w:lvlText w:val="•"/>
      <w:lvlJc w:val="left"/>
      <w:pPr>
        <w:tabs>
          <w:tab w:val="num" w:pos="3960"/>
        </w:tabs>
        <w:ind w:left="3960" w:hanging="360"/>
      </w:pPr>
      <w:rPr>
        <w:rFonts w:ascii="Arial" w:hAnsi="Arial" w:hint="default"/>
      </w:rPr>
    </w:lvl>
    <w:lvl w:ilvl="6" w:tplc="E5CC416A" w:tentative="1">
      <w:start w:val="1"/>
      <w:numFmt w:val="bullet"/>
      <w:lvlText w:val="•"/>
      <w:lvlJc w:val="left"/>
      <w:pPr>
        <w:tabs>
          <w:tab w:val="num" w:pos="4680"/>
        </w:tabs>
        <w:ind w:left="4680" w:hanging="360"/>
      </w:pPr>
      <w:rPr>
        <w:rFonts w:ascii="Arial" w:hAnsi="Arial" w:hint="default"/>
      </w:rPr>
    </w:lvl>
    <w:lvl w:ilvl="7" w:tplc="FB72E568" w:tentative="1">
      <w:start w:val="1"/>
      <w:numFmt w:val="bullet"/>
      <w:lvlText w:val="•"/>
      <w:lvlJc w:val="left"/>
      <w:pPr>
        <w:tabs>
          <w:tab w:val="num" w:pos="5400"/>
        </w:tabs>
        <w:ind w:left="5400" w:hanging="360"/>
      </w:pPr>
      <w:rPr>
        <w:rFonts w:ascii="Arial" w:hAnsi="Arial" w:hint="default"/>
      </w:rPr>
    </w:lvl>
    <w:lvl w:ilvl="8" w:tplc="4C5E2BF2"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37F02C1D"/>
    <w:multiLevelType w:val="hybridMultilevel"/>
    <w:tmpl w:val="3724D8AE"/>
    <w:lvl w:ilvl="0" w:tplc="370ADA56">
      <w:start w:val="1"/>
      <w:numFmt w:val="bullet"/>
      <w:lvlText w:val="•"/>
      <w:lvlJc w:val="left"/>
      <w:pPr>
        <w:tabs>
          <w:tab w:val="num" w:pos="360"/>
        </w:tabs>
        <w:ind w:left="360" w:hanging="360"/>
      </w:pPr>
      <w:rPr>
        <w:rFonts w:ascii="Arial" w:hAnsi="Arial" w:hint="default"/>
      </w:rPr>
    </w:lvl>
    <w:lvl w:ilvl="1" w:tplc="C09A5A98" w:tentative="1">
      <w:start w:val="1"/>
      <w:numFmt w:val="bullet"/>
      <w:lvlText w:val="•"/>
      <w:lvlJc w:val="left"/>
      <w:pPr>
        <w:tabs>
          <w:tab w:val="num" w:pos="1080"/>
        </w:tabs>
        <w:ind w:left="1080" w:hanging="360"/>
      </w:pPr>
      <w:rPr>
        <w:rFonts w:ascii="Arial" w:hAnsi="Arial" w:hint="default"/>
      </w:rPr>
    </w:lvl>
    <w:lvl w:ilvl="2" w:tplc="F92CB188" w:tentative="1">
      <w:start w:val="1"/>
      <w:numFmt w:val="bullet"/>
      <w:lvlText w:val="•"/>
      <w:lvlJc w:val="left"/>
      <w:pPr>
        <w:tabs>
          <w:tab w:val="num" w:pos="1800"/>
        </w:tabs>
        <w:ind w:left="1800" w:hanging="360"/>
      </w:pPr>
      <w:rPr>
        <w:rFonts w:ascii="Arial" w:hAnsi="Arial" w:hint="default"/>
      </w:rPr>
    </w:lvl>
    <w:lvl w:ilvl="3" w:tplc="516886F2" w:tentative="1">
      <w:start w:val="1"/>
      <w:numFmt w:val="bullet"/>
      <w:lvlText w:val="•"/>
      <w:lvlJc w:val="left"/>
      <w:pPr>
        <w:tabs>
          <w:tab w:val="num" w:pos="2520"/>
        </w:tabs>
        <w:ind w:left="2520" w:hanging="360"/>
      </w:pPr>
      <w:rPr>
        <w:rFonts w:ascii="Arial" w:hAnsi="Arial" w:hint="default"/>
      </w:rPr>
    </w:lvl>
    <w:lvl w:ilvl="4" w:tplc="71821992" w:tentative="1">
      <w:start w:val="1"/>
      <w:numFmt w:val="bullet"/>
      <w:lvlText w:val="•"/>
      <w:lvlJc w:val="left"/>
      <w:pPr>
        <w:tabs>
          <w:tab w:val="num" w:pos="3240"/>
        </w:tabs>
        <w:ind w:left="3240" w:hanging="360"/>
      </w:pPr>
      <w:rPr>
        <w:rFonts w:ascii="Arial" w:hAnsi="Arial" w:hint="default"/>
      </w:rPr>
    </w:lvl>
    <w:lvl w:ilvl="5" w:tplc="5BE25DDA" w:tentative="1">
      <w:start w:val="1"/>
      <w:numFmt w:val="bullet"/>
      <w:lvlText w:val="•"/>
      <w:lvlJc w:val="left"/>
      <w:pPr>
        <w:tabs>
          <w:tab w:val="num" w:pos="3960"/>
        </w:tabs>
        <w:ind w:left="3960" w:hanging="360"/>
      </w:pPr>
      <w:rPr>
        <w:rFonts w:ascii="Arial" w:hAnsi="Arial" w:hint="default"/>
      </w:rPr>
    </w:lvl>
    <w:lvl w:ilvl="6" w:tplc="F5F0B3B8" w:tentative="1">
      <w:start w:val="1"/>
      <w:numFmt w:val="bullet"/>
      <w:lvlText w:val="•"/>
      <w:lvlJc w:val="left"/>
      <w:pPr>
        <w:tabs>
          <w:tab w:val="num" w:pos="4680"/>
        </w:tabs>
        <w:ind w:left="4680" w:hanging="360"/>
      </w:pPr>
      <w:rPr>
        <w:rFonts w:ascii="Arial" w:hAnsi="Arial" w:hint="default"/>
      </w:rPr>
    </w:lvl>
    <w:lvl w:ilvl="7" w:tplc="44E8C7F2" w:tentative="1">
      <w:start w:val="1"/>
      <w:numFmt w:val="bullet"/>
      <w:lvlText w:val="•"/>
      <w:lvlJc w:val="left"/>
      <w:pPr>
        <w:tabs>
          <w:tab w:val="num" w:pos="5400"/>
        </w:tabs>
        <w:ind w:left="5400" w:hanging="360"/>
      </w:pPr>
      <w:rPr>
        <w:rFonts w:ascii="Arial" w:hAnsi="Arial" w:hint="default"/>
      </w:rPr>
    </w:lvl>
    <w:lvl w:ilvl="8" w:tplc="44828506" w:tentative="1">
      <w:start w:val="1"/>
      <w:numFmt w:val="bullet"/>
      <w:lvlText w:val="•"/>
      <w:lvlJc w:val="left"/>
      <w:pPr>
        <w:tabs>
          <w:tab w:val="num" w:pos="6120"/>
        </w:tabs>
        <w:ind w:left="6120" w:hanging="360"/>
      </w:pPr>
      <w:rPr>
        <w:rFonts w:ascii="Arial" w:hAnsi="Arial" w:hint="default"/>
      </w:rPr>
    </w:lvl>
  </w:abstractNum>
  <w:abstractNum w:abstractNumId="54" w15:restartNumberingAfterBreak="0">
    <w:nsid w:val="3AF61EE2"/>
    <w:multiLevelType w:val="hybridMultilevel"/>
    <w:tmpl w:val="06A0678C"/>
    <w:lvl w:ilvl="0" w:tplc="CB1A1912">
      <w:start w:val="1"/>
      <w:numFmt w:val="bullet"/>
      <w:lvlText w:val="•"/>
      <w:lvlJc w:val="left"/>
      <w:pPr>
        <w:tabs>
          <w:tab w:val="num" w:pos="720"/>
        </w:tabs>
        <w:ind w:left="720" w:hanging="360"/>
      </w:pPr>
      <w:rPr>
        <w:rFonts w:ascii="Arial" w:hAnsi="Arial" w:hint="default"/>
      </w:rPr>
    </w:lvl>
    <w:lvl w:ilvl="1" w:tplc="086A4BC8" w:tentative="1">
      <w:start w:val="1"/>
      <w:numFmt w:val="bullet"/>
      <w:lvlText w:val="•"/>
      <w:lvlJc w:val="left"/>
      <w:pPr>
        <w:tabs>
          <w:tab w:val="num" w:pos="1440"/>
        </w:tabs>
        <w:ind w:left="1440" w:hanging="360"/>
      </w:pPr>
      <w:rPr>
        <w:rFonts w:ascii="Arial" w:hAnsi="Arial" w:hint="default"/>
      </w:rPr>
    </w:lvl>
    <w:lvl w:ilvl="2" w:tplc="C5EA5310" w:tentative="1">
      <w:start w:val="1"/>
      <w:numFmt w:val="bullet"/>
      <w:lvlText w:val="•"/>
      <w:lvlJc w:val="left"/>
      <w:pPr>
        <w:tabs>
          <w:tab w:val="num" w:pos="2160"/>
        </w:tabs>
        <w:ind w:left="2160" w:hanging="360"/>
      </w:pPr>
      <w:rPr>
        <w:rFonts w:ascii="Arial" w:hAnsi="Arial" w:hint="default"/>
      </w:rPr>
    </w:lvl>
    <w:lvl w:ilvl="3" w:tplc="036A6520" w:tentative="1">
      <w:start w:val="1"/>
      <w:numFmt w:val="bullet"/>
      <w:lvlText w:val="•"/>
      <w:lvlJc w:val="left"/>
      <w:pPr>
        <w:tabs>
          <w:tab w:val="num" w:pos="2880"/>
        </w:tabs>
        <w:ind w:left="2880" w:hanging="360"/>
      </w:pPr>
      <w:rPr>
        <w:rFonts w:ascii="Arial" w:hAnsi="Arial" w:hint="default"/>
      </w:rPr>
    </w:lvl>
    <w:lvl w:ilvl="4" w:tplc="D6844186" w:tentative="1">
      <w:start w:val="1"/>
      <w:numFmt w:val="bullet"/>
      <w:lvlText w:val="•"/>
      <w:lvlJc w:val="left"/>
      <w:pPr>
        <w:tabs>
          <w:tab w:val="num" w:pos="3600"/>
        </w:tabs>
        <w:ind w:left="3600" w:hanging="360"/>
      </w:pPr>
      <w:rPr>
        <w:rFonts w:ascii="Arial" w:hAnsi="Arial" w:hint="default"/>
      </w:rPr>
    </w:lvl>
    <w:lvl w:ilvl="5" w:tplc="11449F5C" w:tentative="1">
      <w:start w:val="1"/>
      <w:numFmt w:val="bullet"/>
      <w:lvlText w:val="•"/>
      <w:lvlJc w:val="left"/>
      <w:pPr>
        <w:tabs>
          <w:tab w:val="num" w:pos="4320"/>
        </w:tabs>
        <w:ind w:left="4320" w:hanging="360"/>
      </w:pPr>
      <w:rPr>
        <w:rFonts w:ascii="Arial" w:hAnsi="Arial" w:hint="default"/>
      </w:rPr>
    </w:lvl>
    <w:lvl w:ilvl="6" w:tplc="0142A388" w:tentative="1">
      <w:start w:val="1"/>
      <w:numFmt w:val="bullet"/>
      <w:lvlText w:val="•"/>
      <w:lvlJc w:val="left"/>
      <w:pPr>
        <w:tabs>
          <w:tab w:val="num" w:pos="5040"/>
        </w:tabs>
        <w:ind w:left="5040" w:hanging="360"/>
      </w:pPr>
      <w:rPr>
        <w:rFonts w:ascii="Arial" w:hAnsi="Arial" w:hint="default"/>
      </w:rPr>
    </w:lvl>
    <w:lvl w:ilvl="7" w:tplc="24762A22" w:tentative="1">
      <w:start w:val="1"/>
      <w:numFmt w:val="bullet"/>
      <w:lvlText w:val="•"/>
      <w:lvlJc w:val="left"/>
      <w:pPr>
        <w:tabs>
          <w:tab w:val="num" w:pos="5760"/>
        </w:tabs>
        <w:ind w:left="5760" w:hanging="360"/>
      </w:pPr>
      <w:rPr>
        <w:rFonts w:ascii="Arial" w:hAnsi="Arial" w:hint="default"/>
      </w:rPr>
    </w:lvl>
    <w:lvl w:ilvl="8" w:tplc="E8C2FEE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B12705A"/>
    <w:multiLevelType w:val="hybridMultilevel"/>
    <w:tmpl w:val="F9B095E2"/>
    <w:lvl w:ilvl="0" w:tplc="A1607902">
      <w:start w:val="1"/>
      <w:numFmt w:val="bullet"/>
      <w:lvlText w:val="•"/>
      <w:lvlJc w:val="left"/>
      <w:pPr>
        <w:tabs>
          <w:tab w:val="num" w:pos="720"/>
        </w:tabs>
        <w:ind w:left="720" w:hanging="360"/>
      </w:pPr>
      <w:rPr>
        <w:rFonts w:ascii="Arial" w:hAnsi="Arial" w:hint="default"/>
      </w:rPr>
    </w:lvl>
    <w:lvl w:ilvl="1" w:tplc="D804AFAE">
      <w:start w:val="1"/>
      <w:numFmt w:val="bullet"/>
      <w:lvlText w:val="•"/>
      <w:lvlJc w:val="left"/>
      <w:pPr>
        <w:tabs>
          <w:tab w:val="num" w:pos="1440"/>
        </w:tabs>
        <w:ind w:left="1440" w:hanging="360"/>
      </w:pPr>
      <w:rPr>
        <w:rFonts w:ascii="Arial" w:hAnsi="Arial" w:hint="default"/>
      </w:rPr>
    </w:lvl>
    <w:lvl w:ilvl="2" w:tplc="547479CE" w:tentative="1">
      <w:start w:val="1"/>
      <w:numFmt w:val="bullet"/>
      <w:lvlText w:val="•"/>
      <w:lvlJc w:val="left"/>
      <w:pPr>
        <w:tabs>
          <w:tab w:val="num" w:pos="2160"/>
        </w:tabs>
        <w:ind w:left="2160" w:hanging="360"/>
      </w:pPr>
      <w:rPr>
        <w:rFonts w:ascii="Arial" w:hAnsi="Arial" w:hint="default"/>
      </w:rPr>
    </w:lvl>
    <w:lvl w:ilvl="3" w:tplc="3BF6D648" w:tentative="1">
      <w:start w:val="1"/>
      <w:numFmt w:val="bullet"/>
      <w:lvlText w:val="•"/>
      <w:lvlJc w:val="left"/>
      <w:pPr>
        <w:tabs>
          <w:tab w:val="num" w:pos="2880"/>
        </w:tabs>
        <w:ind w:left="2880" w:hanging="360"/>
      </w:pPr>
      <w:rPr>
        <w:rFonts w:ascii="Arial" w:hAnsi="Arial" w:hint="default"/>
      </w:rPr>
    </w:lvl>
    <w:lvl w:ilvl="4" w:tplc="2BEA0FCA" w:tentative="1">
      <w:start w:val="1"/>
      <w:numFmt w:val="bullet"/>
      <w:lvlText w:val="•"/>
      <w:lvlJc w:val="left"/>
      <w:pPr>
        <w:tabs>
          <w:tab w:val="num" w:pos="3600"/>
        </w:tabs>
        <w:ind w:left="3600" w:hanging="360"/>
      </w:pPr>
      <w:rPr>
        <w:rFonts w:ascii="Arial" w:hAnsi="Arial" w:hint="default"/>
      </w:rPr>
    </w:lvl>
    <w:lvl w:ilvl="5" w:tplc="1CEAB6DE" w:tentative="1">
      <w:start w:val="1"/>
      <w:numFmt w:val="bullet"/>
      <w:lvlText w:val="•"/>
      <w:lvlJc w:val="left"/>
      <w:pPr>
        <w:tabs>
          <w:tab w:val="num" w:pos="4320"/>
        </w:tabs>
        <w:ind w:left="4320" w:hanging="360"/>
      </w:pPr>
      <w:rPr>
        <w:rFonts w:ascii="Arial" w:hAnsi="Arial" w:hint="default"/>
      </w:rPr>
    </w:lvl>
    <w:lvl w:ilvl="6" w:tplc="154A14A4" w:tentative="1">
      <w:start w:val="1"/>
      <w:numFmt w:val="bullet"/>
      <w:lvlText w:val="•"/>
      <w:lvlJc w:val="left"/>
      <w:pPr>
        <w:tabs>
          <w:tab w:val="num" w:pos="5040"/>
        </w:tabs>
        <w:ind w:left="5040" w:hanging="360"/>
      </w:pPr>
      <w:rPr>
        <w:rFonts w:ascii="Arial" w:hAnsi="Arial" w:hint="default"/>
      </w:rPr>
    </w:lvl>
    <w:lvl w:ilvl="7" w:tplc="361ADE44" w:tentative="1">
      <w:start w:val="1"/>
      <w:numFmt w:val="bullet"/>
      <w:lvlText w:val="•"/>
      <w:lvlJc w:val="left"/>
      <w:pPr>
        <w:tabs>
          <w:tab w:val="num" w:pos="5760"/>
        </w:tabs>
        <w:ind w:left="5760" w:hanging="360"/>
      </w:pPr>
      <w:rPr>
        <w:rFonts w:ascii="Arial" w:hAnsi="Arial" w:hint="default"/>
      </w:rPr>
    </w:lvl>
    <w:lvl w:ilvl="8" w:tplc="621C636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B3118CD"/>
    <w:multiLevelType w:val="hybridMultilevel"/>
    <w:tmpl w:val="8BE8EF68"/>
    <w:lvl w:ilvl="0" w:tplc="211469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503561"/>
    <w:multiLevelType w:val="hybridMultilevel"/>
    <w:tmpl w:val="CD025356"/>
    <w:lvl w:ilvl="0" w:tplc="284656E4">
      <w:start w:val="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BF44D9D"/>
    <w:multiLevelType w:val="hybridMultilevel"/>
    <w:tmpl w:val="D6448C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C2928DB"/>
    <w:multiLevelType w:val="hybridMultilevel"/>
    <w:tmpl w:val="3D08DF92"/>
    <w:lvl w:ilvl="0" w:tplc="5E704CAE">
      <w:start w:val="1"/>
      <w:numFmt w:val="bullet"/>
      <w:lvlText w:val="•"/>
      <w:lvlJc w:val="left"/>
      <w:pPr>
        <w:tabs>
          <w:tab w:val="num" w:pos="720"/>
        </w:tabs>
        <w:ind w:left="720" w:hanging="360"/>
      </w:pPr>
      <w:rPr>
        <w:rFonts w:ascii="Arial" w:hAnsi="Arial" w:hint="default"/>
      </w:rPr>
    </w:lvl>
    <w:lvl w:ilvl="1" w:tplc="FD72C556" w:tentative="1">
      <w:start w:val="1"/>
      <w:numFmt w:val="bullet"/>
      <w:lvlText w:val="•"/>
      <w:lvlJc w:val="left"/>
      <w:pPr>
        <w:tabs>
          <w:tab w:val="num" w:pos="1440"/>
        </w:tabs>
        <w:ind w:left="1440" w:hanging="360"/>
      </w:pPr>
      <w:rPr>
        <w:rFonts w:ascii="Arial" w:hAnsi="Arial" w:hint="default"/>
      </w:rPr>
    </w:lvl>
    <w:lvl w:ilvl="2" w:tplc="01126354" w:tentative="1">
      <w:start w:val="1"/>
      <w:numFmt w:val="bullet"/>
      <w:lvlText w:val="•"/>
      <w:lvlJc w:val="left"/>
      <w:pPr>
        <w:tabs>
          <w:tab w:val="num" w:pos="2160"/>
        </w:tabs>
        <w:ind w:left="2160" w:hanging="360"/>
      </w:pPr>
      <w:rPr>
        <w:rFonts w:ascii="Arial" w:hAnsi="Arial" w:hint="default"/>
      </w:rPr>
    </w:lvl>
    <w:lvl w:ilvl="3" w:tplc="F716A0A6" w:tentative="1">
      <w:start w:val="1"/>
      <w:numFmt w:val="bullet"/>
      <w:lvlText w:val="•"/>
      <w:lvlJc w:val="left"/>
      <w:pPr>
        <w:tabs>
          <w:tab w:val="num" w:pos="2880"/>
        </w:tabs>
        <w:ind w:left="2880" w:hanging="360"/>
      </w:pPr>
      <w:rPr>
        <w:rFonts w:ascii="Arial" w:hAnsi="Arial" w:hint="default"/>
      </w:rPr>
    </w:lvl>
    <w:lvl w:ilvl="4" w:tplc="9AFC1FC8" w:tentative="1">
      <w:start w:val="1"/>
      <w:numFmt w:val="bullet"/>
      <w:lvlText w:val="•"/>
      <w:lvlJc w:val="left"/>
      <w:pPr>
        <w:tabs>
          <w:tab w:val="num" w:pos="3600"/>
        </w:tabs>
        <w:ind w:left="3600" w:hanging="360"/>
      </w:pPr>
      <w:rPr>
        <w:rFonts w:ascii="Arial" w:hAnsi="Arial" w:hint="default"/>
      </w:rPr>
    </w:lvl>
    <w:lvl w:ilvl="5" w:tplc="BCA8FAC8" w:tentative="1">
      <w:start w:val="1"/>
      <w:numFmt w:val="bullet"/>
      <w:lvlText w:val="•"/>
      <w:lvlJc w:val="left"/>
      <w:pPr>
        <w:tabs>
          <w:tab w:val="num" w:pos="4320"/>
        </w:tabs>
        <w:ind w:left="4320" w:hanging="360"/>
      </w:pPr>
      <w:rPr>
        <w:rFonts w:ascii="Arial" w:hAnsi="Arial" w:hint="default"/>
      </w:rPr>
    </w:lvl>
    <w:lvl w:ilvl="6" w:tplc="7734632C" w:tentative="1">
      <w:start w:val="1"/>
      <w:numFmt w:val="bullet"/>
      <w:lvlText w:val="•"/>
      <w:lvlJc w:val="left"/>
      <w:pPr>
        <w:tabs>
          <w:tab w:val="num" w:pos="5040"/>
        </w:tabs>
        <w:ind w:left="5040" w:hanging="360"/>
      </w:pPr>
      <w:rPr>
        <w:rFonts w:ascii="Arial" w:hAnsi="Arial" w:hint="default"/>
      </w:rPr>
    </w:lvl>
    <w:lvl w:ilvl="7" w:tplc="E50ECEFA" w:tentative="1">
      <w:start w:val="1"/>
      <w:numFmt w:val="bullet"/>
      <w:lvlText w:val="•"/>
      <w:lvlJc w:val="left"/>
      <w:pPr>
        <w:tabs>
          <w:tab w:val="num" w:pos="5760"/>
        </w:tabs>
        <w:ind w:left="5760" w:hanging="360"/>
      </w:pPr>
      <w:rPr>
        <w:rFonts w:ascii="Arial" w:hAnsi="Arial" w:hint="default"/>
      </w:rPr>
    </w:lvl>
    <w:lvl w:ilvl="8" w:tplc="04C4451A"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DAB0489"/>
    <w:multiLevelType w:val="hybridMultilevel"/>
    <w:tmpl w:val="69E84694"/>
    <w:lvl w:ilvl="0" w:tplc="03FC13DE">
      <w:start w:val="1"/>
      <w:numFmt w:val="bullet"/>
      <w:lvlText w:val="•"/>
      <w:lvlJc w:val="left"/>
      <w:pPr>
        <w:tabs>
          <w:tab w:val="num" w:pos="720"/>
        </w:tabs>
        <w:ind w:left="720" w:hanging="360"/>
      </w:pPr>
      <w:rPr>
        <w:rFonts w:ascii="Arial" w:hAnsi="Arial" w:hint="default"/>
      </w:rPr>
    </w:lvl>
    <w:lvl w:ilvl="1" w:tplc="7744D330" w:tentative="1">
      <w:start w:val="1"/>
      <w:numFmt w:val="bullet"/>
      <w:lvlText w:val="•"/>
      <w:lvlJc w:val="left"/>
      <w:pPr>
        <w:tabs>
          <w:tab w:val="num" w:pos="1440"/>
        </w:tabs>
        <w:ind w:left="1440" w:hanging="360"/>
      </w:pPr>
      <w:rPr>
        <w:rFonts w:ascii="Arial" w:hAnsi="Arial" w:hint="default"/>
      </w:rPr>
    </w:lvl>
    <w:lvl w:ilvl="2" w:tplc="5778FA70" w:tentative="1">
      <w:start w:val="1"/>
      <w:numFmt w:val="bullet"/>
      <w:lvlText w:val="•"/>
      <w:lvlJc w:val="left"/>
      <w:pPr>
        <w:tabs>
          <w:tab w:val="num" w:pos="2160"/>
        </w:tabs>
        <w:ind w:left="2160" w:hanging="360"/>
      </w:pPr>
      <w:rPr>
        <w:rFonts w:ascii="Arial" w:hAnsi="Arial" w:hint="default"/>
      </w:rPr>
    </w:lvl>
    <w:lvl w:ilvl="3" w:tplc="4720F2F2" w:tentative="1">
      <w:start w:val="1"/>
      <w:numFmt w:val="bullet"/>
      <w:lvlText w:val="•"/>
      <w:lvlJc w:val="left"/>
      <w:pPr>
        <w:tabs>
          <w:tab w:val="num" w:pos="2880"/>
        </w:tabs>
        <w:ind w:left="2880" w:hanging="360"/>
      </w:pPr>
      <w:rPr>
        <w:rFonts w:ascii="Arial" w:hAnsi="Arial" w:hint="default"/>
      </w:rPr>
    </w:lvl>
    <w:lvl w:ilvl="4" w:tplc="AEF6B1A0" w:tentative="1">
      <w:start w:val="1"/>
      <w:numFmt w:val="bullet"/>
      <w:lvlText w:val="•"/>
      <w:lvlJc w:val="left"/>
      <w:pPr>
        <w:tabs>
          <w:tab w:val="num" w:pos="3600"/>
        </w:tabs>
        <w:ind w:left="3600" w:hanging="360"/>
      </w:pPr>
      <w:rPr>
        <w:rFonts w:ascii="Arial" w:hAnsi="Arial" w:hint="default"/>
      </w:rPr>
    </w:lvl>
    <w:lvl w:ilvl="5" w:tplc="EA54502E" w:tentative="1">
      <w:start w:val="1"/>
      <w:numFmt w:val="bullet"/>
      <w:lvlText w:val="•"/>
      <w:lvlJc w:val="left"/>
      <w:pPr>
        <w:tabs>
          <w:tab w:val="num" w:pos="4320"/>
        </w:tabs>
        <w:ind w:left="4320" w:hanging="360"/>
      </w:pPr>
      <w:rPr>
        <w:rFonts w:ascii="Arial" w:hAnsi="Arial" w:hint="default"/>
      </w:rPr>
    </w:lvl>
    <w:lvl w:ilvl="6" w:tplc="8E70CBB0" w:tentative="1">
      <w:start w:val="1"/>
      <w:numFmt w:val="bullet"/>
      <w:lvlText w:val="•"/>
      <w:lvlJc w:val="left"/>
      <w:pPr>
        <w:tabs>
          <w:tab w:val="num" w:pos="5040"/>
        </w:tabs>
        <w:ind w:left="5040" w:hanging="360"/>
      </w:pPr>
      <w:rPr>
        <w:rFonts w:ascii="Arial" w:hAnsi="Arial" w:hint="default"/>
      </w:rPr>
    </w:lvl>
    <w:lvl w:ilvl="7" w:tplc="B3D21818" w:tentative="1">
      <w:start w:val="1"/>
      <w:numFmt w:val="bullet"/>
      <w:lvlText w:val="•"/>
      <w:lvlJc w:val="left"/>
      <w:pPr>
        <w:tabs>
          <w:tab w:val="num" w:pos="5760"/>
        </w:tabs>
        <w:ind w:left="5760" w:hanging="360"/>
      </w:pPr>
      <w:rPr>
        <w:rFonts w:ascii="Arial" w:hAnsi="Arial" w:hint="default"/>
      </w:rPr>
    </w:lvl>
    <w:lvl w:ilvl="8" w:tplc="8FD0B93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DB51A3E"/>
    <w:multiLevelType w:val="hybridMultilevel"/>
    <w:tmpl w:val="C5D8AC52"/>
    <w:lvl w:ilvl="0" w:tplc="3A6CCCCA">
      <w:start w:val="1"/>
      <w:numFmt w:val="bullet"/>
      <w:lvlText w:val="•"/>
      <w:lvlJc w:val="left"/>
      <w:pPr>
        <w:tabs>
          <w:tab w:val="num" w:pos="1080"/>
        </w:tabs>
        <w:ind w:left="1080" w:hanging="360"/>
      </w:pPr>
      <w:rPr>
        <w:rFonts w:ascii="Arial" w:hAnsi="Arial" w:hint="default"/>
      </w:rPr>
    </w:lvl>
    <w:lvl w:ilvl="1" w:tplc="D6B2E432">
      <w:numFmt w:val="bullet"/>
      <w:lvlText w:val="•"/>
      <w:lvlJc w:val="left"/>
      <w:pPr>
        <w:tabs>
          <w:tab w:val="num" w:pos="1800"/>
        </w:tabs>
        <w:ind w:left="1800" w:hanging="360"/>
      </w:pPr>
      <w:rPr>
        <w:rFonts w:ascii="Arial" w:hAnsi="Arial" w:hint="default"/>
      </w:rPr>
    </w:lvl>
    <w:lvl w:ilvl="2" w:tplc="13B8EC2C" w:tentative="1">
      <w:start w:val="1"/>
      <w:numFmt w:val="bullet"/>
      <w:lvlText w:val="•"/>
      <w:lvlJc w:val="left"/>
      <w:pPr>
        <w:tabs>
          <w:tab w:val="num" w:pos="2520"/>
        </w:tabs>
        <w:ind w:left="2520" w:hanging="360"/>
      </w:pPr>
      <w:rPr>
        <w:rFonts w:ascii="Arial" w:hAnsi="Arial" w:hint="default"/>
      </w:rPr>
    </w:lvl>
    <w:lvl w:ilvl="3" w:tplc="0FB634F4" w:tentative="1">
      <w:start w:val="1"/>
      <w:numFmt w:val="bullet"/>
      <w:lvlText w:val="•"/>
      <w:lvlJc w:val="left"/>
      <w:pPr>
        <w:tabs>
          <w:tab w:val="num" w:pos="3240"/>
        </w:tabs>
        <w:ind w:left="3240" w:hanging="360"/>
      </w:pPr>
      <w:rPr>
        <w:rFonts w:ascii="Arial" w:hAnsi="Arial" w:hint="default"/>
      </w:rPr>
    </w:lvl>
    <w:lvl w:ilvl="4" w:tplc="BD9815E8" w:tentative="1">
      <w:start w:val="1"/>
      <w:numFmt w:val="bullet"/>
      <w:lvlText w:val="•"/>
      <w:lvlJc w:val="left"/>
      <w:pPr>
        <w:tabs>
          <w:tab w:val="num" w:pos="3960"/>
        </w:tabs>
        <w:ind w:left="3960" w:hanging="360"/>
      </w:pPr>
      <w:rPr>
        <w:rFonts w:ascii="Arial" w:hAnsi="Arial" w:hint="default"/>
      </w:rPr>
    </w:lvl>
    <w:lvl w:ilvl="5" w:tplc="BA246900" w:tentative="1">
      <w:start w:val="1"/>
      <w:numFmt w:val="bullet"/>
      <w:lvlText w:val="•"/>
      <w:lvlJc w:val="left"/>
      <w:pPr>
        <w:tabs>
          <w:tab w:val="num" w:pos="4680"/>
        </w:tabs>
        <w:ind w:left="4680" w:hanging="360"/>
      </w:pPr>
      <w:rPr>
        <w:rFonts w:ascii="Arial" w:hAnsi="Arial" w:hint="default"/>
      </w:rPr>
    </w:lvl>
    <w:lvl w:ilvl="6" w:tplc="A008DE9E" w:tentative="1">
      <w:start w:val="1"/>
      <w:numFmt w:val="bullet"/>
      <w:lvlText w:val="•"/>
      <w:lvlJc w:val="left"/>
      <w:pPr>
        <w:tabs>
          <w:tab w:val="num" w:pos="5400"/>
        </w:tabs>
        <w:ind w:left="5400" w:hanging="360"/>
      </w:pPr>
      <w:rPr>
        <w:rFonts w:ascii="Arial" w:hAnsi="Arial" w:hint="default"/>
      </w:rPr>
    </w:lvl>
    <w:lvl w:ilvl="7" w:tplc="17D48C28" w:tentative="1">
      <w:start w:val="1"/>
      <w:numFmt w:val="bullet"/>
      <w:lvlText w:val="•"/>
      <w:lvlJc w:val="left"/>
      <w:pPr>
        <w:tabs>
          <w:tab w:val="num" w:pos="6120"/>
        </w:tabs>
        <w:ind w:left="6120" w:hanging="360"/>
      </w:pPr>
      <w:rPr>
        <w:rFonts w:ascii="Arial" w:hAnsi="Arial" w:hint="default"/>
      </w:rPr>
    </w:lvl>
    <w:lvl w:ilvl="8" w:tplc="3DDC749E" w:tentative="1">
      <w:start w:val="1"/>
      <w:numFmt w:val="bullet"/>
      <w:lvlText w:val="•"/>
      <w:lvlJc w:val="left"/>
      <w:pPr>
        <w:tabs>
          <w:tab w:val="num" w:pos="6840"/>
        </w:tabs>
        <w:ind w:left="6840" w:hanging="360"/>
      </w:pPr>
      <w:rPr>
        <w:rFonts w:ascii="Arial" w:hAnsi="Arial" w:hint="default"/>
      </w:rPr>
    </w:lvl>
  </w:abstractNum>
  <w:abstractNum w:abstractNumId="62" w15:restartNumberingAfterBreak="0">
    <w:nsid w:val="3E417272"/>
    <w:multiLevelType w:val="hybridMultilevel"/>
    <w:tmpl w:val="A1888600"/>
    <w:lvl w:ilvl="0" w:tplc="4D7E6D8C">
      <w:start w:val="1"/>
      <w:numFmt w:val="bullet"/>
      <w:lvlText w:val="•"/>
      <w:lvlJc w:val="left"/>
      <w:pPr>
        <w:tabs>
          <w:tab w:val="num" w:pos="720"/>
        </w:tabs>
        <w:ind w:left="720" w:hanging="360"/>
      </w:pPr>
      <w:rPr>
        <w:rFonts w:ascii="Arial" w:hAnsi="Arial" w:cs="Times New Roman" w:hint="default"/>
      </w:rPr>
    </w:lvl>
    <w:lvl w:ilvl="1" w:tplc="14DC925C">
      <w:start w:val="1"/>
      <w:numFmt w:val="bullet"/>
      <w:lvlText w:val="•"/>
      <w:lvlJc w:val="left"/>
      <w:pPr>
        <w:tabs>
          <w:tab w:val="num" w:pos="1440"/>
        </w:tabs>
        <w:ind w:left="1440" w:hanging="360"/>
      </w:pPr>
      <w:rPr>
        <w:rFonts w:ascii="Arial" w:hAnsi="Arial" w:cs="Times New Roman" w:hint="default"/>
      </w:rPr>
    </w:lvl>
    <w:lvl w:ilvl="2" w:tplc="3AE00820">
      <w:start w:val="1"/>
      <w:numFmt w:val="bullet"/>
      <w:lvlText w:val="•"/>
      <w:lvlJc w:val="left"/>
      <w:pPr>
        <w:tabs>
          <w:tab w:val="num" w:pos="2160"/>
        </w:tabs>
        <w:ind w:left="2160" w:hanging="360"/>
      </w:pPr>
      <w:rPr>
        <w:rFonts w:ascii="Arial" w:hAnsi="Arial" w:cs="Times New Roman" w:hint="default"/>
      </w:rPr>
    </w:lvl>
    <w:lvl w:ilvl="3" w:tplc="EF8EB576">
      <w:start w:val="1"/>
      <w:numFmt w:val="bullet"/>
      <w:lvlText w:val="•"/>
      <w:lvlJc w:val="left"/>
      <w:pPr>
        <w:tabs>
          <w:tab w:val="num" w:pos="2880"/>
        </w:tabs>
        <w:ind w:left="2880" w:hanging="360"/>
      </w:pPr>
      <w:rPr>
        <w:rFonts w:ascii="Arial" w:hAnsi="Arial" w:cs="Times New Roman" w:hint="default"/>
      </w:rPr>
    </w:lvl>
    <w:lvl w:ilvl="4" w:tplc="FC864DE0">
      <w:start w:val="1"/>
      <w:numFmt w:val="bullet"/>
      <w:lvlText w:val="•"/>
      <w:lvlJc w:val="left"/>
      <w:pPr>
        <w:tabs>
          <w:tab w:val="num" w:pos="3600"/>
        </w:tabs>
        <w:ind w:left="3600" w:hanging="360"/>
      </w:pPr>
      <w:rPr>
        <w:rFonts w:ascii="Arial" w:hAnsi="Arial" w:cs="Times New Roman" w:hint="default"/>
      </w:rPr>
    </w:lvl>
    <w:lvl w:ilvl="5" w:tplc="F0EE6318">
      <w:start w:val="1"/>
      <w:numFmt w:val="bullet"/>
      <w:lvlText w:val="•"/>
      <w:lvlJc w:val="left"/>
      <w:pPr>
        <w:tabs>
          <w:tab w:val="num" w:pos="4320"/>
        </w:tabs>
        <w:ind w:left="4320" w:hanging="360"/>
      </w:pPr>
      <w:rPr>
        <w:rFonts w:ascii="Arial" w:hAnsi="Arial" w:cs="Times New Roman" w:hint="default"/>
      </w:rPr>
    </w:lvl>
    <w:lvl w:ilvl="6" w:tplc="F6663B9A">
      <w:start w:val="1"/>
      <w:numFmt w:val="bullet"/>
      <w:lvlText w:val="•"/>
      <w:lvlJc w:val="left"/>
      <w:pPr>
        <w:tabs>
          <w:tab w:val="num" w:pos="5040"/>
        </w:tabs>
        <w:ind w:left="5040" w:hanging="360"/>
      </w:pPr>
      <w:rPr>
        <w:rFonts w:ascii="Arial" w:hAnsi="Arial" w:cs="Times New Roman" w:hint="default"/>
      </w:rPr>
    </w:lvl>
    <w:lvl w:ilvl="7" w:tplc="CC2C4A0A">
      <w:start w:val="1"/>
      <w:numFmt w:val="bullet"/>
      <w:lvlText w:val="•"/>
      <w:lvlJc w:val="left"/>
      <w:pPr>
        <w:tabs>
          <w:tab w:val="num" w:pos="5760"/>
        </w:tabs>
        <w:ind w:left="5760" w:hanging="360"/>
      </w:pPr>
      <w:rPr>
        <w:rFonts w:ascii="Arial" w:hAnsi="Arial" w:cs="Times New Roman" w:hint="default"/>
      </w:rPr>
    </w:lvl>
    <w:lvl w:ilvl="8" w:tplc="CECCDD78">
      <w:start w:val="1"/>
      <w:numFmt w:val="bullet"/>
      <w:lvlText w:val="•"/>
      <w:lvlJc w:val="left"/>
      <w:pPr>
        <w:tabs>
          <w:tab w:val="num" w:pos="6480"/>
        </w:tabs>
        <w:ind w:left="6480" w:hanging="360"/>
      </w:pPr>
      <w:rPr>
        <w:rFonts w:ascii="Arial" w:hAnsi="Arial" w:cs="Times New Roman" w:hint="default"/>
      </w:rPr>
    </w:lvl>
  </w:abstractNum>
  <w:abstractNum w:abstractNumId="63" w15:restartNumberingAfterBreak="0">
    <w:nsid w:val="3F13049C"/>
    <w:multiLevelType w:val="hybridMultilevel"/>
    <w:tmpl w:val="F634BBFE"/>
    <w:lvl w:ilvl="0" w:tplc="B7827DDA">
      <w:start w:val="1"/>
      <w:numFmt w:val="bullet"/>
      <w:lvlText w:val="•"/>
      <w:lvlJc w:val="left"/>
      <w:pPr>
        <w:tabs>
          <w:tab w:val="num" w:pos="360"/>
        </w:tabs>
        <w:ind w:left="360" w:hanging="360"/>
      </w:pPr>
      <w:rPr>
        <w:rFonts w:ascii="Arial" w:hAnsi="Arial" w:hint="default"/>
      </w:rPr>
    </w:lvl>
    <w:lvl w:ilvl="1" w:tplc="B3C4175E" w:tentative="1">
      <w:start w:val="1"/>
      <w:numFmt w:val="bullet"/>
      <w:lvlText w:val="•"/>
      <w:lvlJc w:val="left"/>
      <w:pPr>
        <w:tabs>
          <w:tab w:val="num" w:pos="1080"/>
        </w:tabs>
        <w:ind w:left="1080" w:hanging="360"/>
      </w:pPr>
      <w:rPr>
        <w:rFonts w:ascii="Arial" w:hAnsi="Arial" w:hint="default"/>
      </w:rPr>
    </w:lvl>
    <w:lvl w:ilvl="2" w:tplc="B358D3AC" w:tentative="1">
      <w:start w:val="1"/>
      <w:numFmt w:val="bullet"/>
      <w:lvlText w:val="•"/>
      <w:lvlJc w:val="left"/>
      <w:pPr>
        <w:tabs>
          <w:tab w:val="num" w:pos="1800"/>
        </w:tabs>
        <w:ind w:left="1800" w:hanging="360"/>
      </w:pPr>
      <w:rPr>
        <w:rFonts w:ascii="Arial" w:hAnsi="Arial" w:hint="default"/>
      </w:rPr>
    </w:lvl>
    <w:lvl w:ilvl="3" w:tplc="13E6A522" w:tentative="1">
      <w:start w:val="1"/>
      <w:numFmt w:val="bullet"/>
      <w:lvlText w:val="•"/>
      <w:lvlJc w:val="left"/>
      <w:pPr>
        <w:tabs>
          <w:tab w:val="num" w:pos="2520"/>
        </w:tabs>
        <w:ind w:left="2520" w:hanging="360"/>
      </w:pPr>
      <w:rPr>
        <w:rFonts w:ascii="Arial" w:hAnsi="Arial" w:hint="default"/>
      </w:rPr>
    </w:lvl>
    <w:lvl w:ilvl="4" w:tplc="92926D64" w:tentative="1">
      <w:start w:val="1"/>
      <w:numFmt w:val="bullet"/>
      <w:lvlText w:val="•"/>
      <w:lvlJc w:val="left"/>
      <w:pPr>
        <w:tabs>
          <w:tab w:val="num" w:pos="3240"/>
        </w:tabs>
        <w:ind w:left="3240" w:hanging="360"/>
      </w:pPr>
      <w:rPr>
        <w:rFonts w:ascii="Arial" w:hAnsi="Arial" w:hint="default"/>
      </w:rPr>
    </w:lvl>
    <w:lvl w:ilvl="5" w:tplc="F4585EB2" w:tentative="1">
      <w:start w:val="1"/>
      <w:numFmt w:val="bullet"/>
      <w:lvlText w:val="•"/>
      <w:lvlJc w:val="left"/>
      <w:pPr>
        <w:tabs>
          <w:tab w:val="num" w:pos="3960"/>
        </w:tabs>
        <w:ind w:left="3960" w:hanging="360"/>
      </w:pPr>
      <w:rPr>
        <w:rFonts w:ascii="Arial" w:hAnsi="Arial" w:hint="default"/>
      </w:rPr>
    </w:lvl>
    <w:lvl w:ilvl="6" w:tplc="4F782AF8" w:tentative="1">
      <w:start w:val="1"/>
      <w:numFmt w:val="bullet"/>
      <w:lvlText w:val="•"/>
      <w:lvlJc w:val="left"/>
      <w:pPr>
        <w:tabs>
          <w:tab w:val="num" w:pos="4680"/>
        </w:tabs>
        <w:ind w:left="4680" w:hanging="360"/>
      </w:pPr>
      <w:rPr>
        <w:rFonts w:ascii="Arial" w:hAnsi="Arial" w:hint="default"/>
      </w:rPr>
    </w:lvl>
    <w:lvl w:ilvl="7" w:tplc="DD98BF0C" w:tentative="1">
      <w:start w:val="1"/>
      <w:numFmt w:val="bullet"/>
      <w:lvlText w:val="•"/>
      <w:lvlJc w:val="left"/>
      <w:pPr>
        <w:tabs>
          <w:tab w:val="num" w:pos="5400"/>
        </w:tabs>
        <w:ind w:left="5400" w:hanging="360"/>
      </w:pPr>
      <w:rPr>
        <w:rFonts w:ascii="Arial" w:hAnsi="Arial" w:hint="default"/>
      </w:rPr>
    </w:lvl>
    <w:lvl w:ilvl="8" w:tplc="AADA1FAA" w:tentative="1">
      <w:start w:val="1"/>
      <w:numFmt w:val="bullet"/>
      <w:lvlText w:val="•"/>
      <w:lvlJc w:val="left"/>
      <w:pPr>
        <w:tabs>
          <w:tab w:val="num" w:pos="6120"/>
        </w:tabs>
        <w:ind w:left="6120" w:hanging="360"/>
      </w:pPr>
      <w:rPr>
        <w:rFonts w:ascii="Arial" w:hAnsi="Arial" w:hint="default"/>
      </w:rPr>
    </w:lvl>
  </w:abstractNum>
  <w:abstractNum w:abstractNumId="64" w15:restartNumberingAfterBreak="0">
    <w:nsid w:val="3F433357"/>
    <w:multiLevelType w:val="hybridMultilevel"/>
    <w:tmpl w:val="23F6122A"/>
    <w:lvl w:ilvl="0" w:tplc="E8D2461C">
      <w:start w:val="2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F04A61"/>
    <w:multiLevelType w:val="hybridMultilevel"/>
    <w:tmpl w:val="6F5EF964"/>
    <w:lvl w:ilvl="0" w:tplc="F4167AD2">
      <w:start w:val="1"/>
      <w:numFmt w:val="bullet"/>
      <w:lvlText w:val="•"/>
      <w:lvlJc w:val="left"/>
      <w:pPr>
        <w:tabs>
          <w:tab w:val="num" w:pos="360"/>
        </w:tabs>
        <w:ind w:left="360" w:hanging="360"/>
      </w:pPr>
      <w:rPr>
        <w:rFonts w:ascii="Arial" w:hAnsi="Arial" w:hint="default"/>
      </w:rPr>
    </w:lvl>
    <w:lvl w:ilvl="1" w:tplc="2FA2C05E" w:tentative="1">
      <w:start w:val="1"/>
      <w:numFmt w:val="bullet"/>
      <w:lvlText w:val="•"/>
      <w:lvlJc w:val="left"/>
      <w:pPr>
        <w:tabs>
          <w:tab w:val="num" w:pos="1080"/>
        </w:tabs>
        <w:ind w:left="1080" w:hanging="360"/>
      </w:pPr>
      <w:rPr>
        <w:rFonts w:ascii="Arial" w:hAnsi="Arial" w:hint="default"/>
      </w:rPr>
    </w:lvl>
    <w:lvl w:ilvl="2" w:tplc="79F4F758" w:tentative="1">
      <w:start w:val="1"/>
      <w:numFmt w:val="bullet"/>
      <w:lvlText w:val="•"/>
      <w:lvlJc w:val="left"/>
      <w:pPr>
        <w:tabs>
          <w:tab w:val="num" w:pos="1800"/>
        </w:tabs>
        <w:ind w:left="1800" w:hanging="360"/>
      </w:pPr>
      <w:rPr>
        <w:rFonts w:ascii="Arial" w:hAnsi="Arial" w:hint="default"/>
      </w:rPr>
    </w:lvl>
    <w:lvl w:ilvl="3" w:tplc="9B7E961A" w:tentative="1">
      <w:start w:val="1"/>
      <w:numFmt w:val="bullet"/>
      <w:lvlText w:val="•"/>
      <w:lvlJc w:val="left"/>
      <w:pPr>
        <w:tabs>
          <w:tab w:val="num" w:pos="2520"/>
        </w:tabs>
        <w:ind w:left="2520" w:hanging="360"/>
      </w:pPr>
      <w:rPr>
        <w:rFonts w:ascii="Arial" w:hAnsi="Arial" w:hint="default"/>
      </w:rPr>
    </w:lvl>
    <w:lvl w:ilvl="4" w:tplc="CF8E376A" w:tentative="1">
      <w:start w:val="1"/>
      <w:numFmt w:val="bullet"/>
      <w:lvlText w:val="•"/>
      <w:lvlJc w:val="left"/>
      <w:pPr>
        <w:tabs>
          <w:tab w:val="num" w:pos="3240"/>
        </w:tabs>
        <w:ind w:left="3240" w:hanging="360"/>
      </w:pPr>
      <w:rPr>
        <w:rFonts w:ascii="Arial" w:hAnsi="Arial" w:hint="default"/>
      </w:rPr>
    </w:lvl>
    <w:lvl w:ilvl="5" w:tplc="32683974" w:tentative="1">
      <w:start w:val="1"/>
      <w:numFmt w:val="bullet"/>
      <w:lvlText w:val="•"/>
      <w:lvlJc w:val="left"/>
      <w:pPr>
        <w:tabs>
          <w:tab w:val="num" w:pos="3960"/>
        </w:tabs>
        <w:ind w:left="3960" w:hanging="360"/>
      </w:pPr>
      <w:rPr>
        <w:rFonts w:ascii="Arial" w:hAnsi="Arial" w:hint="default"/>
      </w:rPr>
    </w:lvl>
    <w:lvl w:ilvl="6" w:tplc="7AD4964A" w:tentative="1">
      <w:start w:val="1"/>
      <w:numFmt w:val="bullet"/>
      <w:lvlText w:val="•"/>
      <w:lvlJc w:val="left"/>
      <w:pPr>
        <w:tabs>
          <w:tab w:val="num" w:pos="4680"/>
        </w:tabs>
        <w:ind w:left="4680" w:hanging="360"/>
      </w:pPr>
      <w:rPr>
        <w:rFonts w:ascii="Arial" w:hAnsi="Arial" w:hint="default"/>
      </w:rPr>
    </w:lvl>
    <w:lvl w:ilvl="7" w:tplc="10BA1560" w:tentative="1">
      <w:start w:val="1"/>
      <w:numFmt w:val="bullet"/>
      <w:lvlText w:val="•"/>
      <w:lvlJc w:val="left"/>
      <w:pPr>
        <w:tabs>
          <w:tab w:val="num" w:pos="5400"/>
        </w:tabs>
        <w:ind w:left="5400" w:hanging="360"/>
      </w:pPr>
      <w:rPr>
        <w:rFonts w:ascii="Arial" w:hAnsi="Arial" w:hint="default"/>
      </w:rPr>
    </w:lvl>
    <w:lvl w:ilvl="8" w:tplc="5CD845B2" w:tentative="1">
      <w:start w:val="1"/>
      <w:numFmt w:val="bullet"/>
      <w:lvlText w:val="•"/>
      <w:lvlJc w:val="left"/>
      <w:pPr>
        <w:tabs>
          <w:tab w:val="num" w:pos="6120"/>
        </w:tabs>
        <w:ind w:left="6120" w:hanging="360"/>
      </w:pPr>
      <w:rPr>
        <w:rFonts w:ascii="Arial" w:hAnsi="Arial" w:hint="default"/>
      </w:rPr>
    </w:lvl>
  </w:abstractNum>
  <w:abstractNum w:abstractNumId="66" w15:restartNumberingAfterBreak="0">
    <w:nsid w:val="45947ABD"/>
    <w:multiLevelType w:val="hybridMultilevel"/>
    <w:tmpl w:val="D7FA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B73FC7"/>
    <w:multiLevelType w:val="hybridMultilevel"/>
    <w:tmpl w:val="5A18C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73B630F"/>
    <w:multiLevelType w:val="hybridMultilevel"/>
    <w:tmpl w:val="2556A3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79631D"/>
    <w:multiLevelType w:val="hybridMultilevel"/>
    <w:tmpl w:val="2E0CF946"/>
    <w:lvl w:ilvl="0" w:tplc="09EC232E">
      <w:start w:val="1"/>
      <w:numFmt w:val="decimal"/>
      <w:lvlText w:val="%1."/>
      <w:lvlJc w:val="left"/>
      <w:pPr>
        <w:ind w:left="360" w:firstLine="0"/>
      </w:pPr>
      <w:rPr>
        <w:rFonts w:ascii="Times New Roman" w:hAnsi="Times New Roman" w:hint="default"/>
        <w:b/>
        <w:i w:val="0"/>
        <w:color w:val="auto"/>
        <w:sz w:val="24"/>
        <w:szCs w:val="24"/>
      </w:rPr>
    </w:lvl>
    <w:lvl w:ilvl="1" w:tplc="B754B746">
      <w:start w:val="1"/>
      <w:numFmt w:val="lowerLetter"/>
      <w:lvlText w:val="%2."/>
      <w:lvlJc w:val="left"/>
      <w:pPr>
        <w:ind w:left="1440" w:hanging="360"/>
      </w:pPr>
      <w:rPr>
        <w:b/>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3E4A7D"/>
    <w:multiLevelType w:val="hybridMultilevel"/>
    <w:tmpl w:val="D8582CC2"/>
    <w:lvl w:ilvl="0" w:tplc="90A8E70E">
      <w:start w:val="1"/>
      <w:numFmt w:val="bullet"/>
      <w:lvlText w:val="•"/>
      <w:lvlJc w:val="left"/>
      <w:pPr>
        <w:tabs>
          <w:tab w:val="num" w:pos="360"/>
        </w:tabs>
        <w:ind w:left="360" w:hanging="360"/>
      </w:pPr>
      <w:rPr>
        <w:rFonts w:ascii="Arial" w:hAnsi="Arial" w:hint="default"/>
      </w:rPr>
    </w:lvl>
    <w:lvl w:ilvl="1" w:tplc="966E659A" w:tentative="1">
      <w:start w:val="1"/>
      <w:numFmt w:val="bullet"/>
      <w:lvlText w:val="•"/>
      <w:lvlJc w:val="left"/>
      <w:pPr>
        <w:tabs>
          <w:tab w:val="num" w:pos="1080"/>
        </w:tabs>
        <w:ind w:left="1080" w:hanging="360"/>
      </w:pPr>
      <w:rPr>
        <w:rFonts w:ascii="Arial" w:hAnsi="Arial" w:hint="default"/>
      </w:rPr>
    </w:lvl>
    <w:lvl w:ilvl="2" w:tplc="3AE00DBA" w:tentative="1">
      <w:start w:val="1"/>
      <w:numFmt w:val="bullet"/>
      <w:lvlText w:val="•"/>
      <w:lvlJc w:val="left"/>
      <w:pPr>
        <w:tabs>
          <w:tab w:val="num" w:pos="1800"/>
        </w:tabs>
        <w:ind w:left="1800" w:hanging="360"/>
      </w:pPr>
      <w:rPr>
        <w:rFonts w:ascii="Arial" w:hAnsi="Arial" w:hint="default"/>
      </w:rPr>
    </w:lvl>
    <w:lvl w:ilvl="3" w:tplc="EFB49540" w:tentative="1">
      <w:start w:val="1"/>
      <w:numFmt w:val="bullet"/>
      <w:lvlText w:val="•"/>
      <w:lvlJc w:val="left"/>
      <w:pPr>
        <w:tabs>
          <w:tab w:val="num" w:pos="2520"/>
        </w:tabs>
        <w:ind w:left="2520" w:hanging="360"/>
      </w:pPr>
      <w:rPr>
        <w:rFonts w:ascii="Arial" w:hAnsi="Arial" w:hint="default"/>
      </w:rPr>
    </w:lvl>
    <w:lvl w:ilvl="4" w:tplc="35902D1A" w:tentative="1">
      <w:start w:val="1"/>
      <w:numFmt w:val="bullet"/>
      <w:lvlText w:val="•"/>
      <w:lvlJc w:val="left"/>
      <w:pPr>
        <w:tabs>
          <w:tab w:val="num" w:pos="3240"/>
        </w:tabs>
        <w:ind w:left="3240" w:hanging="360"/>
      </w:pPr>
      <w:rPr>
        <w:rFonts w:ascii="Arial" w:hAnsi="Arial" w:hint="default"/>
      </w:rPr>
    </w:lvl>
    <w:lvl w:ilvl="5" w:tplc="CD5A9EBC" w:tentative="1">
      <w:start w:val="1"/>
      <w:numFmt w:val="bullet"/>
      <w:lvlText w:val="•"/>
      <w:lvlJc w:val="left"/>
      <w:pPr>
        <w:tabs>
          <w:tab w:val="num" w:pos="3960"/>
        </w:tabs>
        <w:ind w:left="3960" w:hanging="360"/>
      </w:pPr>
      <w:rPr>
        <w:rFonts w:ascii="Arial" w:hAnsi="Arial" w:hint="default"/>
      </w:rPr>
    </w:lvl>
    <w:lvl w:ilvl="6" w:tplc="1FBCECBE" w:tentative="1">
      <w:start w:val="1"/>
      <w:numFmt w:val="bullet"/>
      <w:lvlText w:val="•"/>
      <w:lvlJc w:val="left"/>
      <w:pPr>
        <w:tabs>
          <w:tab w:val="num" w:pos="4680"/>
        </w:tabs>
        <w:ind w:left="4680" w:hanging="360"/>
      </w:pPr>
      <w:rPr>
        <w:rFonts w:ascii="Arial" w:hAnsi="Arial" w:hint="default"/>
      </w:rPr>
    </w:lvl>
    <w:lvl w:ilvl="7" w:tplc="D32A908C" w:tentative="1">
      <w:start w:val="1"/>
      <w:numFmt w:val="bullet"/>
      <w:lvlText w:val="•"/>
      <w:lvlJc w:val="left"/>
      <w:pPr>
        <w:tabs>
          <w:tab w:val="num" w:pos="5400"/>
        </w:tabs>
        <w:ind w:left="5400" w:hanging="360"/>
      </w:pPr>
      <w:rPr>
        <w:rFonts w:ascii="Arial" w:hAnsi="Arial" w:hint="default"/>
      </w:rPr>
    </w:lvl>
    <w:lvl w:ilvl="8" w:tplc="DC3A2E2C" w:tentative="1">
      <w:start w:val="1"/>
      <w:numFmt w:val="bullet"/>
      <w:lvlText w:val="•"/>
      <w:lvlJc w:val="left"/>
      <w:pPr>
        <w:tabs>
          <w:tab w:val="num" w:pos="6120"/>
        </w:tabs>
        <w:ind w:left="6120" w:hanging="360"/>
      </w:pPr>
      <w:rPr>
        <w:rFonts w:ascii="Arial" w:hAnsi="Arial" w:hint="default"/>
      </w:rPr>
    </w:lvl>
  </w:abstractNum>
  <w:abstractNum w:abstractNumId="71" w15:restartNumberingAfterBreak="0">
    <w:nsid w:val="4C1631A9"/>
    <w:multiLevelType w:val="hybridMultilevel"/>
    <w:tmpl w:val="D7847BB6"/>
    <w:lvl w:ilvl="0" w:tplc="8DAC8E2C">
      <w:start w:val="1"/>
      <w:numFmt w:val="bullet"/>
      <w:lvlText w:val="•"/>
      <w:lvlJc w:val="left"/>
      <w:pPr>
        <w:tabs>
          <w:tab w:val="num" w:pos="720"/>
        </w:tabs>
        <w:ind w:left="720" w:hanging="360"/>
      </w:pPr>
      <w:rPr>
        <w:rFonts w:ascii="Arial" w:hAnsi="Arial" w:cs="Times New Roman" w:hint="default"/>
      </w:rPr>
    </w:lvl>
    <w:lvl w:ilvl="1" w:tplc="BA8CFB1C">
      <w:start w:val="1"/>
      <w:numFmt w:val="bullet"/>
      <w:lvlText w:val="•"/>
      <w:lvlJc w:val="left"/>
      <w:pPr>
        <w:tabs>
          <w:tab w:val="num" w:pos="1440"/>
        </w:tabs>
        <w:ind w:left="1440" w:hanging="360"/>
      </w:pPr>
      <w:rPr>
        <w:rFonts w:ascii="Arial" w:hAnsi="Arial" w:cs="Times New Roman" w:hint="default"/>
      </w:rPr>
    </w:lvl>
    <w:lvl w:ilvl="2" w:tplc="E4B8EAFC">
      <w:start w:val="1"/>
      <w:numFmt w:val="bullet"/>
      <w:lvlText w:val="•"/>
      <w:lvlJc w:val="left"/>
      <w:pPr>
        <w:tabs>
          <w:tab w:val="num" w:pos="2160"/>
        </w:tabs>
        <w:ind w:left="2160" w:hanging="360"/>
      </w:pPr>
      <w:rPr>
        <w:rFonts w:ascii="Arial" w:hAnsi="Arial" w:cs="Times New Roman" w:hint="default"/>
      </w:rPr>
    </w:lvl>
    <w:lvl w:ilvl="3" w:tplc="4D6EC28C">
      <w:start w:val="1"/>
      <w:numFmt w:val="bullet"/>
      <w:lvlText w:val="•"/>
      <w:lvlJc w:val="left"/>
      <w:pPr>
        <w:tabs>
          <w:tab w:val="num" w:pos="2880"/>
        </w:tabs>
        <w:ind w:left="2880" w:hanging="360"/>
      </w:pPr>
      <w:rPr>
        <w:rFonts w:ascii="Arial" w:hAnsi="Arial" w:cs="Times New Roman" w:hint="default"/>
      </w:rPr>
    </w:lvl>
    <w:lvl w:ilvl="4" w:tplc="13BEB5DE">
      <w:start w:val="1"/>
      <w:numFmt w:val="bullet"/>
      <w:lvlText w:val="•"/>
      <w:lvlJc w:val="left"/>
      <w:pPr>
        <w:tabs>
          <w:tab w:val="num" w:pos="3600"/>
        </w:tabs>
        <w:ind w:left="3600" w:hanging="360"/>
      </w:pPr>
      <w:rPr>
        <w:rFonts w:ascii="Arial" w:hAnsi="Arial" w:cs="Times New Roman" w:hint="default"/>
      </w:rPr>
    </w:lvl>
    <w:lvl w:ilvl="5" w:tplc="8682CF7E">
      <w:start w:val="1"/>
      <w:numFmt w:val="bullet"/>
      <w:lvlText w:val="•"/>
      <w:lvlJc w:val="left"/>
      <w:pPr>
        <w:tabs>
          <w:tab w:val="num" w:pos="4320"/>
        </w:tabs>
        <w:ind w:left="4320" w:hanging="360"/>
      </w:pPr>
      <w:rPr>
        <w:rFonts w:ascii="Arial" w:hAnsi="Arial" w:cs="Times New Roman" w:hint="default"/>
      </w:rPr>
    </w:lvl>
    <w:lvl w:ilvl="6" w:tplc="911A0EFE">
      <w:start w:val="1"/>
      <w:numFmt w:val="bullet"/>
      <w:lvlText w:val="•"/>
      <w:lvlJc w:val="left"/>
      <w:pPr>
        <w:tabs>
          <w:tab w:val="num" w:pos="5040"/>
        </w:tabs>
        <w:ind w:left="5040" w:hanging="360"/>
      </w:pPr>
      <w:rPr>
        <w:rFonts w:ascii="Arial" w:hAnsi="Arial" w:cs="Times New Roman" w:hint="default"/>
      </w:rPr>
    </w:lvl>
    <w:lvl w:ilvl="7" w:tplc="90A2110A">
      <w:start w:val="1"/>
      <w:numFmt w:val="bullet"/>
      <w:lvlText w:val="•"/>
      <w:lvlJc w:val="left"/>
      <w:pPr>
        <w:tabs>
          <w:tab w:val="num" w:pos="5760"/>
        </w:tabs>
        <w:ind w:left="5760" w:hanging="360"/>
      </w:pPr>
      <w:rPr>
        <w:rFonts w:ascii="Arial" w:hAnsi="Arial" w:cs="Times New Roman" w:hint="default"/>
      </w:rPr>
    </w:lvl>
    <w:lvl w:ilvl="8" w:tplc="F7B6B154">
      <w:start w:val="1"/>
      <w:numFmt w:val="bullet"/>
      <w:lvlText w:val="•"/>
      <w:lvlJc w:val="left"/>
      <w:pPr>
        <w:tabs>
          <w:tab w:val="num" w:pos="6480"/>
        </w:tabs>
        <w:ind w:left="6480" w:hanging="360"/>
      </w:pPr>
      <w:rPr>
        <w:rFonts w:ascii="Arial" w:hAnsi="Arial" w:cs="Times New Roman" w:hint="default"/>
      </w:rPr>
    </w:lvl>
  </w:abstractNum>
  <w:abstractNum w:abstractNumId="72" w15:restartNumberingAfterBreak="0">
    <w:nsid w:val="4CEB1512"/>
    <w:multiLevelType w:val="multilevel"/>
    <w:tmpl w:val="3270717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4D102EEF"/>
    <w:multiLevelType w:val="hybridMultilevel"/>
    <w:tmpl w:val="9D48841A"/>
    <w:lvl w:ilvl="0" w:tplc="7E40C8D4">
      <w:start w:val="1"/>
      <w:numFmt w:val="bullet"/>
      <w:lvlText w:val="•"/>
      <w:lvlJc w:val="left"/>
      <w:pPr>
        <w:tabs>
          <w:tab w:val="num" w:pos="360"/>
        </w:tabs>
        <w:ind w:left="360" w:hanging="360"/>
      </w:pPr>
      <w:rPr>
        <w:rFonts w:ascii="Arial" w:hAnsi="Arial" w:hint="default"/>
      </w:rPr>
    </w:lvl>
    <w:lvl w:ilvl="1" w:tplc="075247F0" w:tentative="1">
      <w:start w:val="1"/>
      <w:numFmt w:val="bullet"/>
      <w:lvlText w:val="•"/>
      <w:lvlJc w:val="left"/>
      <w:pPr>
        <w:tabs>
          <w:tab w:val="num" w:pos="1080"/>
        </w:tabs>
        <w:ind w:left="1080" w:hanging="360"/>
      </w:pPr>
      <w:rPr>
        <w:rFonts w:ascii="Arial" w:hAnsi="Arial" w:hint="default"/>
      </w:rPr>
    </w:lvl>
    <w:lvl w:ilvl="2" w:tplc="2822E86A" w:tentative="1">
      <w:start w:val="1"/>
      <w:numFmt w:val="bullet"/>
      <w:lvlText w:val="•"/>
      <w:lvlJc w:val="left"/>
      <w:pPr>
        <w:tabs>
          <w:tab w:val="num" w:pos="1800"/>
        </w:tabs>
        <w:ind w:left="1800" w:hanging="360"/>
      </w:pPr>
      <w:rPr>
        <w:rFonts w:ascii="Arial" w:hAnsi="Arial" w:hint="default"/>
      </w:rPr>
    </w:lvl>
    <w:lvl w:ilvl="3" w:tplc="AA8420DE" w:tentative="1">
      <w:start w:val="1"/>
      <w:numFmt w:val="bullet"/>
      <w:lvlText w:val="•"/>
      <w:lvlJc w:val="left"/>
      <w:pPr>
        <w:tabs>
          <w:tab w:val="num" w:pos="2520"/>
        </w:tabs>
        <w:ind w:left="2520" w:hanging="360"/>
      </w:pPr>
      <w:rPr>
        <w:rFonts w:ascii="Arial" w:hAnsi="Arial" w:hint="default"/>
      </w:rPr>
    </w:lvl>
    <w:lvl w:ilvl="4" w:tplc="68F640B0" w:tentative="1">
      <w:start w:val="1"/>
      <w:numFmt w:val="bullet"/>
      <w:lvlText w:val="•"/>
      <w:lvlJc w:val="left"/>
      <w:pPr>
        <w:tabs>
          <w:tab w:val="num" w:pos="3240"/>
        </w:tabs>
        <w:ind w:left="3240" w:hanging="360"/>
      </w:pPr>
      <w:rPr>
        <w:rFonts w:ascii="Arial" w:hAnsi="Arial" w:hint="default"/>
      </w:rPr>
    </w:lvl>
    <w:lvl w:ilvl="5" w:tplc="246CA7B0" w:tentative="1">
      <w:start w:val="1"/>
      <w:numFmt w:val="bullet"/>
      <w:lvlText w:val="•"/>
      <w:lvlJc w:val="left"/>
      <w:pPr>
        <w:tabs>
          <w:tab w:val="num" w:pos="3960"/>
        </w:tabs>
        <w:ind w:left="3960" w:hanging="360"/>
      </w:pPr>
      <w:rPr>
        <w:rFonts w:ascii="Arial" w:hAnsi="Arial" w:hint="default"/>
      </w:rPr>
    </w:lvl>
    <w:lvl w:ilvl="6" w:tplc="905EE8D0" w:tentative="1">
      <w:start w:val="1"/>
      <w:numFmt w:val="bullet"/>
      <w:lvlText w:val="•"/>
      <w:lvlJc w:val="left"/>
      <w:pPr>
        <w:tabs>
          <w:tab w:val="num" w:pos="4680"/>
        </w:tabs>
        <w:ind w:left="4680" w:hanging="360"/>
      </w:pPr>
      <w:rPr>
        <w:rFonts w:ascii="Arial" w:hAnsi="Arial" w:hint="default"/>
      </w:rPr>
    </w:lvl>
    <w:lvl w:ilvl="7" w:tplc="0A40B726" w:tentative="1">
      <w:start w:val="1"/>
      <w:numFmt w:val="bullet"/>
      <w:lvlText w:val="•"/>
      <w:lvlJc w:val="left"/>
      <w:pPr>
        <w:tabs>
          <w:tab w:val="num" w:pos="5400"/>
        </w:tabs>
        <w:ind w:left="5400" w:hanging="360"/>
      </w:pPr>
      <w:rPr>
        <w:rFonts w:ascii="Arial" w:hAnsi="Arial" w:hint="default"/>
      </w:rPr>
    </w:lvl>
    <w:lvl w:ilvl="8" w:tplc="CDBC401A" w:tentative="1">
      <w:start w:val="1"/>
      <w:numFmt w:val="bullet"/>
      <w:lvlText w:val="•"/>
      <w:lvlJc w:val="left"/>
      <w:pPr>
        <w:tabs>
          <w:tab w:val="num" w:pos="6120"/>
        </w:tabs>
        <w:ind w:left="6120" w:hanging="360"/>
      </w:pPr>
      <w:rPr>
        <w:rFonts w:ascii="Arial" w:hAnsi="Arial" w:hint="default"/>
      </w:rPr>
    </w:lvl>
  </w:abstractNum>
  <w:abstractNum w:abstractNumId="74" w15:restartNumberingAfterBreak="0">
    <w:nsid w:val="4EF55E20"/>
    <w:multiLevelType w:val="hybridMultilevel"/>
    <w:tmpl w:val="778C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D10081"/>
    <w:multiLevelType w:val="hybridMultilevel"/>
    <w:tmpl w:val="0EC4F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070C13"/>
    <w:multiLevelType w:val="hybridMultilevel"/>
    <w:tmpl w:val="EE909296"/>
    <w:lvl w:ilvl="0" w:tplc="F9608F04">
      <w:start w:val="1"/>
      <w:numFmt w:val="bullet"/>
      <w:lvlText w:val="•"/>
      <w:lvlJc w:val="left"/>
      <w:pPr>
        <w:tabs>
          <w:tab w:val="num" w:pos="360"/>
        </w:tabs>
        <w:ind w:left="360" w:hanging="360"/>
      </w:pPr>
      <w:rPr>
        <w:rFonts w:ascii="Arial" w:hAnsi="Arial" w:hint="default"/>
      </w:rPr>
    </w:lvl>
    <w:lvl w:ilvl="1" w:tplc="F17851DC" w:tentative="1">
      <w:start w:val="1"/>
      <w:numFmt w:val="bullet"/>
      <w:lvlText w:val="•"/>
      <w:lvlJc w:val="left"/>
      <w:pPr>
        <w:tabs>
          <w:tab w:val="num" w:pos="1080"/>
        </w:tabs>
        <w:ind w:left="1080" w:hanging="360"/>
      </w:pPr>
      <w:rPr>
        <w:rFonts w:ascii="Arial" w:hAnsi="Arial" w:hint="default"/>
      </w:rPr>
    </w:lvl>
    <w:lvl w:ilvl="2" w:tplc="F71C7720" w:tentative="1">
      <w:start w:val="1"/>
      <w:numFmt w:val="bullet"/>
      <w:lvlText w:val="•"/>
      <w:lvlJc w:val="left"/>
      <w:pPr>
        <w:tabs>
          <w:tab w:val="num" w:pos="1800"/>
        </w:tabs>
        <w:ind w:left="1800" w:hanging="360"/>
      </w:pPr>
      <w:rPr>
        <w:rFonts w:ascii="Arial" w:hAnsi="Arial" w:hint="default"/>
      </w:rPr>
    </w:lvl>
    <w:lvl w:ilvl="3" w:tplc="A9A462E4" w:tentative="1">
      <w:start w:val="1"/>
      <w:numFmt w:val="bullet"/>
      <w:lvlText w:val="•"/>
      <w:lvlJc w:val="left"/>
      <w:pPr>
        <w:tabs>
          <w:tab w:val="num" w:pos="2520"/>
        </w:tabs>
        <w:ind w:left="2520" w:hanging="360"/>
      </w:pPr>
      <w:rPr>
        <w:rFonts w:ascii="Arial" w:hAnsi="Arial" w:hint="default"/>
      </w:rPr>
    </w:lvl>
    <w:lvl w:ilvl="4" w:tplc="3B30FA40" w:tentative="1">
      <w:start w:val="1"/>
      <w:numFmt w:val="bullet"/>
      <w:lvlText w:val="•"/>
      <w:lvlJc w:val="left"/>
      <w:pPr>
        <w:tabs>
          <w:tab w:val="num" w:pos="3240"/>
        </w:tabs>
        <w:ind w:left="3240" w:hanging="360"/>
      </w:pPr>
      <w:rPr>
        <w:rFonts w:ascii="Arial" w:hAnsi="Arial" w:hint="default"/>
      </w:rPr>
    </w:lvl>
    <w:lvl w:ilvl="5" w:tplc="25720524" w:tentative="1">
      <w:start w:val="1"/>
      <w:numFmt w:val="bullet"/>
      <w:lvlText w:val="•"/>
      <w:lvlJc w:val="left"/>
      <w:pPr>
        <w:tabs>
          <w:tab w:val="num" w:pos="3960"/>
        </w:tabs>
        <w:ind w:left="3960" w:hanging="360"/>
      </w:pPr>
      <w:rPr>
        <w:rFonts w:ascii="Arial" w:hAnsi="Arial" w:hint="default"/>
      </w:rPr>
    </w:lvl>
    <w:lvl w:ilvl="6" w:tplc="B89018B6" w:tentative="1">
      <w:start w:val="1"/>
      <w:numFmt w:val="bullet"/>
      <w:lvlText w:val="•"/>
      <w:lvlJc w:val="left"/>
      <w:pPr>
        <w:tabs>
          <w:tab w:val="num" w:pos="4680"/>
        </w:tabs>
        <w:ind w:left="4680" w:hanging="360"/>
      </w:pPr>
      <w:rPr>
        <w:rFonts w:ascii="Arial" w:hAnsi="Arial" w:hint="default"/>
      </w:rPr>
    </w:lvl>
    <w:lvl w:ilvl="7" w:tplc="8280F866" w:tentative="1">
      <w:start w:val="1"/>
      <w:numFmt w:val="bullet"/>
      <w:lvlText w:val="•"/>
      <w:lvlJc w:val="left"/>
      <w:pPr>
        <w:tabs>
          <w:tab w:val="num" w:pos="5400"/>
        </w:tabs>
        <w:ind w:left="5400" w:hanging="360"/>
      </w:pPr>
      <w:rPr>
        <w:rFonts w:ascii="Arial" w:hAnsi="Arial" w:hint="default"/>
      </w:rPr>
    </w:lvl>
    <w:lvl w:ilvl="8" w:tplc="136A1AA6" w:tentative="1">
      <w:start w:val="1"/>
      <w:numFmt w:val="bullet"/>
      <w:lvlText w:val="•"/>
      <w:lvlJc w:val="left"/>
      <w:pPr>
        <w:tabs>
          <w:tab w:val="num" w:pos="6120"/>
        </w:tabs>
        <w:ind w:left="6120" w:hanging="360"/>
      </w:pPr>
      <w:rPr>
        <w:rFonts w:ascii="Arial" w:hAnsi="Arial" w:hint="default"/>
      </w:rPr>
    </w:lvl>
  </w:abstractNum>
  <w:abstractNum w:abstractNumId="77" w15:restartNumberingAfterBreak="0">
    <w:nsid w:val="52461ABB"/>
    <w:multiLevelType w:val="hybridMultilevel"/>
    <w:tmpl w:val="5F5A94E0"/>
    <w:lvl w:ilvl="0" w:tplc="D18A51A2">
      <w:start w:val="1"/>
      <w:numFmt w:val="bullet"/>
      <w:lvlText w:val="•"/>
      <w:lvlJc w:val="left"/>
      <w:pPr>
        <w:tabs>
          <w:tab w:val="num" w:pos="360"/>
        </w:tabs>
        <w:ind w:left="360" w:hanging="360"/>
      </w:pPr>
      <w:rPr>
        <w:rFonts w:ascii="Arial" w:hAnsi="Arial" w:hint="default"/>
      </w:rPr>
    </w:lvl>
    <w:lvl w:ilvl="1" w:tplc="19C86E40" w:tentative="1">
      <w:start w:val="1"/>
      <w:numFmt w:val="bullet"/>
      <w:lvlText w:val="•"/>
      <w:lvlJc w:val="left"/>
      <w:pPr>
        <w:tabs>
          <w:tab w:val="num" w:pos="1080"/>
        </w:tabs>
        <w:ind w:left="1080" w:hanging="360"/>
      </w:pPr>
      <w:rPr>
        <w:rFonts w:ascii="Arial" w:hAnsi="Arial" w:hint="default"/>
      </w:rPr>
    </w:lvl>
    <w:lvl w:ilvl="2" w:tplc="E8D4BC6A" w:tentative="1">
      <w:start w:val="1"/>
      <w:numFmt w:val="bullet"/>
      <w:lvlText w:val="•"/>
      <w:lvlJc w:val="left"/>
      <w:pPr>
        <w:tabs>
          <w:tab w:val="num" w:pos="1800"/>
        </w:tabs>
        <w:ind w:left="1800" w:hanging="360"/>
      </w:pPr>
      <w:rPr>
        <w:rFonts w:ascii="Arial" w:hAnsi="Arial" w:hint="default"/>
      </w:rPr>
    </w:lvl>
    <w:lvl w:ilvl="3" w:tplc="D0BEBBF6" w:tentative="1">
      <w:start w:val="1"/>
      <w:numFmt w:val="bullet"/>
      <w:lvlText w:val="•"/>
      <w:lvlJc w:val="left"/>
      <w:pPr>
        <w:tabs>
          <w:tab w:val="num" w:pos="2520"/>
        </w:tabs>
        <w:ind w:left="2520" w:hanging="360"/>
      </w:pPr>
      <w:rPr>
        <w:rFonts w:ascii="Arial" w:hAnsi="Arial" w:hint="default"/>
      </w:rPr>
    </w:lvl>
    <w:lvl w:ilvl="4" w:tplc="53484CE8" w:tentative="1">
      <w:start w:val="1"/>
      <w:numFmt w:val="bullet"/>
      <w:lvlText w:val="•"/>
      <w:lvlJc w:val="left"/>
      <w:pPr>
        <w:tabs>
          <w:tab w:val="num" w:pos="3240"/>
        </w:tabs>
        <w:ind w:left="3240" w:hanging="360"/>
      </w:pPr>
      <w:rPr>
        <w:rFonts w:ascii="Arial" w:hAnsi="Arial" w:hint="default"/>
      </w:rPr>
    </w:lvl>
    <w:lvl w:ilvl="5" w:tplc="C2222326" w:tentative="1">
      <w:start w:val="1"/>
      <w:numFmt w:val="bullet"/>
      <w:lvlText w:val="•"/>
      <w:lvlJc w:val="left"/>
      <w:pPr>
        <w:tabs>
          <w:tab w:val="num" w:pos="3960"/>
        </w:tabs>
        <w:ind w:left="3960" w:hanging="360"/>
      </w:pPr>
      <w:rPr>
        <w:rFonts w:ascii="Arial" w:hAnsi="Arial" w:hint="default"/>
      </w:rPr>
    </w:lvl>
    <w:lvl w:ilvl="6" w:tplc="B1FEDE76" w:tentative="1">
      <w:start w:val="1"/>
      <w:numFmt w:val="bullet"/>
      <w:lvlText w:val="•"/>
      <w:lvlJc w:val="left"/>
      <w:pPr>
        <w:tabs>
          <w:tab w:val="num" w:pos="4680"/>
        </w:tabs>
        <w:ind w:left="4680" w:hanging="360"/>
      </w:pPr>
      <w:rPr>
        <w:rFonts w:ascii="Arial" w:hAnsi="Arial" w:hint="default"/>
      </w:rPr>
    </w:lvl>
    <w:lvl w:ilvl="7" w:tplc="F0022010" w:tentative="1">
      <w:start w:val="1"/>
      <w:numFmt w:val="bullet"/>
      <w:lvlText w:val="•"/>
      <w:lvlJc w:val="left"/>
      <w:pPr>
        <w:tabs>
          <w:tab w:val="num" w:pos="5400"/>
        </w:tabs>
        <w:ind w:left="5400" w:hanging="360"/>
      </w:pPr>
      <w:rPr>
        <w:rFonts w:ascii="Arial" w:hAnsi="Arial" w:hint="default"/>
      </w:rPr>
    </w:lvl>
    <w:lvl w:ilvl="8" w:tplc="6A967B38" w:tentative="1">
      <w:start w:val="1"/>
      <w:numFmt w:val="bullet"/>
      <w:lvlText w:val="•"/>
      <w:lvlJc w:val="left"/>
      <w:pPr>
        <w:tabs>
          <w:tab w:val="num" w:pos="6120"/>
        </w:tabs>
        <w:ind w:left="6120" w:hanging="360"/>
      </w:pPr>
      <w:rPr>
        <w:rFonts w:ascii="Arial" w:hAnsi="Arial" w:hint="default"/>
      </w:rPr>
    </w:lvl>
  </w:abstractNum>
  <w:abstractNum w:abstractNumId="78" w15:restartNumberingAfterBreak="0">
    <w:nsid w:val="527060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3CA4052"/>
    <w:multiLevelType w:val="hybridMultilevel"/>
    <w:tmpl w:val="91DE702E"/>
    <w:lvl w:ilvl="0" w:tplc="F3FCA8E8">
      <w:start w:val="1"/>
      <w:numFmt w:val="bullet"/>
      <w:lvlText w:val="•"/>
      <w:lvlJc w:val="left"/>
      <w:pPr>
        <w:tabs>
          <w:tab w:val="num" w:pos="-86"/>
        </w:tabs>
        <w:ind w:left="-86" w:hanging="360"/>
      </w:pPr>
      <w:rPr>
        <w:rFonts w:ascii="Arial" w:hAnsi="Arial" w:hint="default"/>
      </w:rPr>
    </w:lvl>
    <w:lvl w:ilvl="1" w:tplc="3D9E5918" w:tentative="1">
      <w:start w:val="1"/>
      <w:numFmt w:val="bullet"/>
      <w:lvlText w:val="•"/>
      <w:lvlJc w:val="left"/>
      <w:pPr>
        <w:tabs>
          <w:tab w:val="num" w:pos="634"/>
        </w:tabs>
        <w:ind w:left="634" w:hanging="360"/>
      </w:pPr>
      <w:rPr>
        <w:rFonts w:ascii="Arial" w:hAnsi="Arial" w:hint="default"/>
      </w:rPr>
    </w:lvl>
    <w:lvl w:ilvl="2" w:tplc="41FE287E" w:tentative="1">
      <w:start w:val="1"/>
      <w:numFmt w:val="bullet"/>
      <w:lvlText w:val="•"/>
      <w:lvlJc w:val="left"/>
      <w:pPr>
        <w:tabs>
          <w:tab w:val="num" w:pos="1354"/>
        </w:tabs>
        <w:ind w:left="1354" w:hanging="360"/>
      </w:pPr>
      <w:rPr>
        <w:rFonts w:ascii="Arial" w:hAnsi="Arial" w:hint="default"/>
      </w:rPr>
    </w:lvl>
    <w:lvl w:ilvl="3" w:tplc="EDAA30FC" w:tentative="1">
      <w:start w:val="1"/>
      <w:numFmt w:val="bullet"/>
      <w:lvlText w:val="•"/>
      <w:lvlJc w:val="left"/>
      <w:pPr>
        <w:tabs>
          <w:tab w:val="num" w:pos="2074"/>
        </w:tabs>
        <w:ind w:left="2074" w:hanging="360"/>
      </w:pPr>
      <w:rPr>
        <w:rFonts w:ascii="Arial" w:hAnsi="Arial" w:hint="default"/>
      </w:rPr>
    </w:lvl>
    <w:lvl w:ilvl="4" w:tplc="B90EC832" w:tentative="1">
      <w:start w:val="1"/>
      <w:numFmt w:val="bullet"/>
      <w:lvlText w:val="•"/>
      <w:lvlJc w:val="left"/>
      <w:pPr>
        <w:tabs>
          <w:tab w:val="num" w:pos="2794"/>
        </w:tabs>
        <w:ind w:left="2794" w:hanging="360"/>
      </w:pPr>
      <w:rPr>
        <w:rFonts w:ascii="Arial" w:hAnsi="Arial" w:hint="default"/>
      </w:rPr>
    </w:lvl>
    <w:lvl w:ilvl="5" w:tplc="AE14E6BC" w:tentative="1">
      <w:start w:val="1"/>
      <w:numFmt w:val="bullet"/>
      <w:lvlText w:val="•"/>
      <w:lvlJc w:val="left"/>
      <w:pPr>
        <w:tabs>
          <w:tab w:val="num" w:pos="3514"/>
        </w:tabs>
        <w:ind w:left="3514" w:hanging="360"/>
      </w:pPr>
      <w:rPr>
        <w:rFonts w:ascii="Arial" w:hAnsi="Arial" w:hint="default"/>
      </w:rPr>
    </w:lvl>
    <w:lvl w:ilvl="6" w:tplc="3A66E7EC" w:tentative="1">
      <w:start w:val="1"/>
      <w:numFmt w:val="bullet"/>
      <w:lvlText w:val="•"/>
      <w:lvlJc w:val="left"/>
      <w:pPr>
        <w:tabs>
          <w:tab w:val="num" w:pos="4234"/>
        </w:tabs>
        <w:ind w:left="4234" w:hanging="360"/>
      </w:pPr>
      <w:rPr>
        <w:rFonts w:ascii="Arial" w:hAnsi="Arial" w:hint="default"/>
      </w:rPr>
    </w:lvl>
    <w:lvl w:ilvl="7" w:tplc="F47CC0A2" w:tentative="1">
      <w:start w:val="1"/>
      <w:numFmt w:val="bullet"/>
      <w:lvlText w:val="•"/>
      <w:lvlJc w:val="left"/>
      <w:pPr>
        <w:tabs>
          <w:tab w:val="num" w:pos="4954"/>
        </w:tabs>
        <w:ind w:left="4954" w:hanging="360"/>
      </w:pPr>
      <w:rPr>
        <w:rFonts w:ascii="Arial" w:hAnsi="Arial" w:hint="default"/>
      </w:rPr>
    </w:lvl>
    <w:lvl w:ilvl="8" w:tplc="BAE8E47E" w:tentative="1">
      <w:start w:val="1"/>
      <w:numFmt w:val="bullet"/>
      <w:lvlText w:val="•"/>
      <w:lvlJc w:val="left"/>
      <w:pPr>
        <w:tabs>
          <w:tab w:val="num" w:pos="5674"/>
        </w:tabs>
        <w:ind w:left="5674" w:hanging="360"/>
      </w:pPr>
      <w:rPr>
        <w:rFonts w:ascii="Arial" w:hAnsi="Arial" w:hint="default"/>
      </w:rPr>
    </w:lvl>
  </w:abstractNum>
  <w:abstractNum w:abstractNumId="80" w15:restartNumberingAfterBreak="0">
    <w:nsid w:val="555E393C"/>
    <w:multiLevelType w:val="hybridMultilevel"/>
    <w:tmpl w:val="F11EC406"/>
    <w:lvl w:ilvl="0" w:tplc="CF3E319C">
      <w:start w:val="1"/>
      <w:numFmt w:val="bullet"/>
      <w:lvlText w:val="•"/>
      <w:lvlJc w:val="left"/>
      <w:pPr>
        <w:tabs>
          <w:tab w:val="num" w:pos="360"/>
        </w:tabs>
        <w:ind w:left="360" w:hanging="360"/>
      </w:pPr>
      <w:rPr>
        <w:rFonts w:ascii="Arial" w:hAnsi="Arial" w:hint="default"/>
      </w:rPr>
    </w:lvl>
    <w:lvl w:ilvl="1" w:tplc="BA5E48D6" w:tentative="1">
      <w:start w:val="1"/>
      <w:numFmt w:val="bullet"/>
      <w:lvlText w:val="•"/>
      <w:lvlJc w:val="left"/>
      <w:pPr>
        <w:tabs>
          <w:tab w:val="num" w:pos="1080"/>
        </w:tabs>
        <w:ind w:left="1080" w:hanging="360"/>
      </w:pPr>
      <w:rPr>
        <w:rFonts w:ascii="Arial" w:hAnsi="Arial" w:hint="default"/>
      </w:rPr>
    </w:lvl>
    <w:lvl w:ilvl="2" w:tplc="98BCD8D4" w:tentative="1">
      <w:start w:val="1"/>
      <w:numFmt w:val="bullet"/>
      <w:lvlText w:val="•"/>
      <w:lvlJc w:val="left"/>
      <w:pPr>
        <w:tabs>
          <w:tab w:val="num" w:pos="1800"/>
        </w:tabs>
        <w:ind w:left="1800" w:hanging="360"/>
      </w:pPr>
      <w:rPr>
        <w:rFonts w:ascii="Arial" w:hAnsi="Arial" w:hint="default"/>
      </w:rPr>
    </w:lvl>
    <w:lvl w:ilvl="3" w:tplc="DA98A0F8" w:tentative="1">
      <w:start w:val="1"/>
      <w:numFmt w:val="bullet"/>
      <w:lvlText w:val="•"/>
      <w:lvlJc w:val="left"/>
      <w:pPr>
        <w:tabs>
          <w:tab w:val="num" w:pos="2520"/>
        </w:tabs>
        <w:ind w:left="2520" w:hanging="360"/>
      </w:pPr>
      <w:rPr>
        <w:rFonts w:ascii="Arial" w:hAnsi="Arial" w:hint="default"/>
      </w:rPr>
    </w:lvl>
    <w:lvl w:ilvl="4" w:tplc="CCCC3786" w:tentative="1">
      <w:start w:val="1"/>
      <w:numFmt w:val="bullet"/>
      <w:lvlText w:val="•"/>
      <w:lvlJc w:val="left"/>
      <w:pPr>
        <w:tabs>
          <w:tab w:val="num" w:pos="3240"/>
        </w:tabs>
        <w:ind w:left="3240" w:hanging="360"/>
      </w:pPr>
      <w:rPr>
        <w:rFonts w:ascii="Arial" w:hAnsi="Arial" w:hint="default"/>
      </w:rPr>
    </w:lvl>
    <w:lvl w:ilvl="5" w:tplc="9A8441F4" w:tentative="1">
      <w:start w:val="1"/>
      <w:numFmt w:val="bullet"/>
      <w:lvlText w:val="•"/>
      <w:lvlJc w:val="left"/>
      <w:pPr>
        <w:tabs>
          <w:tab w:val="num" w:pos="3960"/>
        </w:tabs>
        <w:ind w:left="3960" w:hanging="360"/>
      </w:pPr>
      <w:rPr>
        <w:rFonts w:ascii="Arial" w:hAnsi="Arial" w:hint="default"/>
      </w:rPr>
    </w:lvl>
    <w:lvl w:ilvl="6" w:tplc="BA1088FA" w:tentative="1">
      <w:start w:val="1"/>
      <w:numFmt w:val="bullet"/>
      <w:lvlText w:val="•"/>
      <w:lvlJc w:val="left"/>
      <w:pPr>
        <w:tabs>
          <w:tab w:val="num" w:pos="4680"/>
        </w:tabs>
        <w:ind w:left="4680" w:hanging="360"/>
      </w:pPr>
      <w:rPr>
        <w:rFonts w:ascii="Arial" w:hAnsi="Arial" w:hint="default"/>
      </w:rPr>
    </w:lvl>
    <w:lvl w:ilvl="7" w:tplc="780A9ECC" w:tentative="1">
      <w:start w:val="1"/>
      <w:numFmt w:val="bullet"/>
      <w:lvlText w:val="•"/>
      <w:lvlJc w:val="left"/>
      <w:pPr>
        <w:tabs>
          <w:tab w:val="num" w:pos="5400"/>
        </w:tabs>
        <w:ind w:left="5400" w:hanging="360"/>
      </w:pPr>
      <w:rPr>
        <w:rFonts w:ascii="Arial" w:hAnsi="Arial" w:hint="default"/>
      </w:rPr>
    </w:lvl>
    <w:lvl w:ilvl="8" w:tplc="8192623E" w:tentative="1">
      <w:start w:val="1"/>
      <w:numFmt w:val="bullet"/>
      <w:lvlText w:val="•"/>
      <w:lvlJc w:val="left"/>
      <w:pPr>
        <w:tabs>
          <w:tab w:val="num" w:pos="6120"/>
        </w:tabs>
        <w:ind w:left="6120" w:hanging="360"/>
      </w:pPr>
      <w:rPr>
        <w:rFonts w:ascii="Arial" w:hAnsi="Arial" w:hint="default"/>
      </w:rPr>
    </w:lvl>
  </w:abstractNum>
  <w:abstractNum w:abstractNumId="81" w15:restartNumberingAfterBreak="0">
    <w:nsid w:val="5713458A"/>
    <w:multiLevelType w:val="hybridMultilevel"/>
    <w:tmpl w:val="71BA57E2"/>
    <w:lvl w:ilvl="0" w:tplc="5920BAC4">
      <w:start w:val="157"/>
      <w:numFmt w:val="decimal"/>
      <w:lvlText w:val="%1."/>
      <w:lvlJc w:val="left"/>
      <w:pPr>
        <w:ind w:left="780" w:hanging="4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72747D1"/>
    <w:multiLevelType w:val="hybridMultilevel"/>
    <w:tmpl w:val="BEBCC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4663E1"/>
    <w:multiLevelType w:val="hybridMultilevel"/>
    <w:tmpl w:val="D88A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92402F3"/>
    <w:multiLevelType w:val="hybridMultilevel"/>
    <w:tmpl w:val="B7DCF7B8"/>
    <w:lvl w:ilvl="0" w:tplc="123C04F0">
      <w:start w:val="1"/>
      <w:numFmt w:val="bullet"/>
      <w:lvlText w:val="•"/>
      <w:lvlJc w:val="left"/>
      <w:pPr>
        <w:tabs>
          <w:tab w:val="num" w:pos="720"/>
        </w:tabs>
        <w:ind w:left="720" w:hanging="360"/>
      </w:pPr>
      <w:rPr>
        <w:rFonts w:ascii="Arial" w:hAnsi="Arial" w:hint="default"/>
      </w:rPr>
    </w:lvl>
    <w:lvl w:ilvl="1" w:tplc="CE5E786C" w:tentative="1">
      <w:start w:val="1"/>
      <w:numFmt w:val="bullet"/>
      <w:lvlText w:val="•"/>
      <w:lvlJc w:val="left"/>
      <w:pPr>
        <w:tabs>
          <w:tab w:val="num" w:pos="1440"/>
        </w:tabs>
        <w:ind w:left="1440" w:hanging="360"/>
      </w:pPr>
      <w:rPr>
        <w:rFonts w:ascii="Arial" w:hAnsi="Arial" w:hint="default"/>
      </w:rPr>
    </w:lvl>
    <w:lvl w:ilvl="2" w:tplc="618EDEBA" w:tentative="1">
      <w:start w:val="1"/>
      <w:numFmt w:val="bullet"/>
      <w:lvlText w:val="•"/>
      <w:lvlJc w:val="left"/>
      <w:pPr>
        <w:tabs>
          <w:tab w:val="num" w:pos="2160"/>
        </w:tabs>
        <w:ind w:left="2160" w:hanging="360"/>
      </w:pPr>
      <w:rPr>
        <w:rFonts w:ascii="Arial" w:hAnsi="Arial" w:hint="default"/>
      </w:rPr>
    </w:lvl>
    <w:lvl w:ilvl="3" w:tplc="40B4CDC2" w:tentative="1">
      <w:start w:val="1"/>
      <w:numFmt w:val="bullet"/>
      <w:lvlText w:val="•"/>
      <w:lvlJc w:val="left"/>
      <w:pPr>
        <w:tabs>
          <w:tab w:val="num" w:pos="2880"/>
        </w:tabs>
        <w:ind w:left="2880" w:hanging="360"/>
      </w:pPr>
      <w:rPr>
        <w:rFonts w:ascii="Arial" w:hAnsi="Arial" w:hint="default"/>
      </w:rPr>
    </w:lvl>
    <w:lvl w:ilvl="4" w:tplc="0DDCFD10" w:tentative="1">
      <w:start w:val="1"/>
      <w:numFmt w:val="bullet"/>
      <w:lvlText w:val="•"/>
      <w:lvlJc w:val="left"/>
      <w:pPr>
        <w:tabs>
          <w:tab w:val="num" w:pos="3600"/>
        </w:tabs>
        <w:ind w:left="3600" w:hanging="360"/>
      </w:pPr>
      <w:rPr>
        <w:rFonts w:ascii="Arial" w:hAnsi="Arial" w:hint="default"/>
      </w:rPr>
    </w:lvl>
    <w:lvl w:ilvl="5" w:tplc="EE4C6C7C" w:tentative="1">
      <w:start w:val="1"/>
      <w:numFmt w:val="bullet"/>
      <w:lvlText w:val="•"/>
      <w:lvlJc w:val="left"/>
      <w:pPr>
        <w:tabs>
          <w:tab w:val="num" w:pos="4320"/>
        </w:tabs>
        <w:ind w:left="4320" w:hanging="360"/>
      </w:pPr>
      <w:rPr>
        <w:rFonts w:ascii="Arial" w:hAnsi="Arial" w:hint="default"/>
      </w:rPr>
    </w:lvl>
    <w:lvl w:ilvl="6" w:tplc="63400552" w:tentative="1">
      <w:start w:val="1"/>
      <w:numFmt w:val="bullet"/>
      <w:lvlText w:val="•"/>
      <w:lvlJc w:val="left"/>
      <w:pPr>
        <w:tabs>
          <w:tab w:val="num" w:pos="5040"/>
        </w:tabs>
        <w:ind w:left="5040" w:hanging="360"/>
      </w:pPr>
      <w:rPr>
        <w:rFonts w:ascii="Arial" w:hAnsi="Arial" w:hint="default"/>
      </w:rPr>
    </w:lvl>
    <w:lvl w:ilvl="7" w:tplc="6F00E3E2" w:tentative="1">
      <w:start w:val="1"/>
      <w:numFmt w:val="bullet"/>
      <w:lvlText w:val="•"/>
      <w:lvlJc w:val="left"/>
      <w:pPr>
        <w:tabs>
          <w:tab w:val="num" w:pos="5760"/>
        </w:tabs>
        <w:ind w:left="5760" w:hanging="360"/>
      </w:pPr>
      <w:rPr>
        <w:rFonts w:ascii="Arial" w:hAnsi="Arial" w:hint="default"/>
      </w:rPr>
    </w:lvl>
    <w:lvl w:ilvl="8" w:tplc="F196C0B0"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59597811"/>
    <w:multiLevelType w:val="hybridMultilevel"/>
    <w:tmpl w:val="DAE04438"/>
    <w:lvl w:ilvl="0" w:tplc="94089C48">
      <w:start w:val="1"/>
      <w:numFmt w:val="bullet"/>
      <w:lvlText w:val="•"/>
      <w:lvlJc w:val="left"/>
      <w:pPr>
        <w:tabs>
          <w:tab w:val="num" w:pos="360"/>
        </w:tabs>
        <w:ind w:left="360" w:hanging="360"/>
      </w:pPr>
      <w:rPr>
        <w:rFonts w:ascii="Arial" w:hAnsi="Arial" w:hint="default"/>
      </w:rPr>
    </w:lvl>
    <w:lvl w:ilvl="1" w:tplc="05F84D76">
      <w:start w:val="1"/>
      <w:numFmt w:val="bullet"/>
      <w:lvlText w:val="•"/>
      <w:lvlJc w:val="left"/>
      <w:pPr>
        <w:tabs>
          <w:tab w:val="num" w:pos="1080"/>
        </w:tabs>
        <w:ind w:left="1080" w:hanging="360"/>
      </w:pPr>
      <w:rPr>
        <w:rFonts w:ascii="Arial" w:hAnsi="Arial" w:hint="default"/>
      </w:rPr>
    </w:lvl>
    <w:lvl w:ilvl="2" w:tplc="0DBEA296" w:tentative="1">
      <w:start w:val="1"/>
      <w:numFmt w:val="bullet"/>
      <w:lvlText w:val="•"/>
      <w:lvlJc w:val="left"/>
      <w:pPr>
        <w:tabs>
          <w:tab w:val="num" w:pos="1800"/>
        </w:tabs>
        <w:ind w:left="1800" w:hanging="360"/>
      </w:pPr>
      <w:rPr>
        <w:rFonts w:ascii="Arial" w:hAnsi="Arial" w:hint="default"/>
      </w:rPr>
    </w:lvl>
    <w:lvl w:ilvl="3" w:tplc="D1A4349E" w:tentative="1">
      <w:start w:val="1"/>
      <w:numFmt w:val="bullet"/>
      <w:lvlText w:val="•"/>
      <w:lvlJc w:val="left"/>
      <w:pPr>
        <w:tabs>
          <w:tab w:val="num" w:pos="2520"/>
        </w:tabs>
        <w:ind w:left="2520" w:hanging="360"/>
      </w:pPr>
      <w:rPr>
        <w:rFonts w:ascii="Arial" w:hAnsi="Arial" w:hint="default"/>
      </w:rPr>
    </w:lvl>
    <w:lvl w:ilvl="4" w:tplc="EA463E8C" w:tentative="1">
      <w:start w:val="1"/>
      <w:numFmt w:val="bullet"/>
      <w:lvlText w:val="•"/>
      <w:lvlJc w:val="left"/>
      <w:pPr>
        <w:tabs>
          <w:tab w:val="num" w:pos="3240"/>
        </w:tabs>
        <w:ind w:left="3240" w:hanging="360"/>
      </w:pPr>
      <w:rPr>
        <w:rFonts w:ascii="Arial" w:hAnsi="Arial" w:hint="default"/>
      </w:rPr>
    </w:lvl>
    <w:lvl w:ilvl="5" w:tplc="F086F2A2" w:tentative="1">
      <w:start w:val="1"/>
      <w:numFmt w:val="bullet"/>
      <w:lvlText w:val="•"/>
      <w:lvlJc w:val="left"/>
      <w:pPr>
        <w:tabs>
          <w:tab w:val="num" w:pos="3960"/>
        </w:tabs>
        <w:ind w:left="3960" w:hanging="360"/>
      </w:pPr>
      <w:rPr>
        <w:rFonts w:ascii="Arial" w:hAnsi="Arial" w:hint="default"/>
      </w:rPr>
    </w:lvl>
    <w:lvl w:ilvl="6" w:tplc="B636C898" w:tentative="1">
      <w:start w:val="1"/>
      <w:numFmt w:val="bullet"/>
      <w:lvlText w:val="•"/>
      <w:lvlJc w:val="left"/>
      <w:pPr>
        <w:tabs>
          <w:tab w:val="num" w:pos="4680"/>
        </w:tabs>
        <w:ind w:left="4680" w:hanging="360"/>
      </w:pPr>
      <w:rPr>
        <w:rFonts w:ascii="Arial" w:hAnsi="Arial" w:hint="default"/>
      </w:rPr>
    </w:lvl>
    <w:lvl w:ilvl="7" w:tplc="09288BA2" w:tentative="1">
      <w:start w:val="1"/>
      <w:numFmt w:val="bullet"/>
      <w:lvlText w:val="•"/>
      <w:lvlJc w:val="left"/>
      <w:pPr>
        <w:tabs>
          <w:tab w:val="num" w:pos="5400"/>
        </w:tabs>
        <w:ind w:left="5400" w:hanging="360"/>
      </w:pPr>
      <w:rPr>
        <w:rFonts w:ascii="Arial" w:hAnsi="Arial" w:hint="default"/>
      </w:rPr>
    </w:lvl>
    <w:lvl w:ilvl="8" w:tplc="3C4C9D1C" w:tentative="1">
      <w:start w:val="1"/>
      <w:numFmt w:val="bullet"/>
      <w:lvlText w:val="•"/>
      <w:lvlJc w:val="left"/>
      <w:pPr>
        <w:tabs>
          <w:tab w:val="num" w:pos="6120"/>
        </w:tabs>
        <w:ind w:left="6120" w:hanging="360"/>
      </w:pPr>
      <w:rPr>
        <w:rFonts w:ascii="Arial" w:hAnsi="Arial" w:hint="default"/>
      </w:rPr>
    </w:lvl>
  </w:abstractNum>
  <w:abstractNum w:abstractNumId="86" w15:restartNumberingAfterBreak="0">
    <w:nsid w:val="5C637C44"/>
    <w:multiLevelType w:val="hybridMultilevel"/>
    <w:tmpl w:val="0A8AC7A0"/>
    <w:lvl w:ilvl="0" w:tplc="FF20F66A">
      <w:start w:val="1"/>
      <w:numFmt w:val="bullet"/>
      <w:lvlText w:val="•"/>
      <w:lvlJc w:val="left"/>
      <w:pPr>
        <w:tabs>
          <w:tab w:val="num" w:pos="360"/>
        </w:tabs>
        <w:ind w:left="360" w:hanging="360"/>
      </w:pPr>
      <w:rPr>
        <w:rFonts w:ascii="Arial" w:hAnsi="Arial" w:hint="default"/>
      </w:rPr>
    </w:lvl>
    <w:lvl w:ilvl="1" w:tplc="E3A485FA" w:tentative="1">
      <w:start w:val="1"/>
      <w:numFmt w:val="bullet"/>
      <w:lvlText w:val="•"/>
      <w:lvlJc w:val="left"/>
      <w:pPr>
        <w:tabs>
          <w:tab w:val="num" w:pos="1080"/>
        </w:tabs>
        <w:ind w:left="1080" w:hanging="360"/>
      </w:pPr>
      <w:rPr>
        <w:rFonts w:ascii="Arial" w:hAnsi="Arial" w:hint="default"/>
      </w:rPr>
    </w:lvl>
    <w:lvl w:ilvl="2" w:tplc="62B2A47A" w:tentative="1">
      <w:start w:val="1"/>
      <w:numFmt w:val="bullet"/>
      <w:lvlText w:val="•"/>
      <w:lvlJc w:val="left"/>
      <w:pPr>
        <w:tabs>
          <w:tab w:val="num" w:pos="1800"/>
        </w:tabs>
        <w:ind w:left="1800" w:hanging="360"/>
      </w:pPr>
      <w:rPr>
        <w:rFonts w:ascii="Arial" w:hAnsi="Arial" w:hint="default"/>
      </w:rPr>
    </w:lvl>
    <w:lvl w:ilvl="3" w:tplc="7A7096E2" w:tentative="1">
      <w:start w:val="1"/>
      <w:numFmt w:val="bullet"/>
      <w:lvlText w:val="•"/>
      <w:lvlJc w:val="left"/>
      <w:pPr>
        <w:tabs>
          <w:tab w:val="num" w:pos="2520"/>
        </w:tabs>
        <w:ind w:left="2520" w:hanging="360"/>
      </w:pPr>
      <w:rPr>
        <w:rFonts w:ascii="Arial" w:hAnsi="Arial" w:hint="default"/>
      </w:rPr>
    </w:lvl>
    <w:lvl w:ilvl="4" w:tplc="E938BE0C" w:tentative="1">
      <w:start w:val="1"/>
      <w:numFmt w:val="bullet"/>
      <w:lvlText w:val="•"/>
      <w:lvlJc w:val="left"/>
      <w:pPr>
        <w:tabs>
          <w:tab w:val="num" w:pos="3240"/>
        </w:tabs>
        <w:ind w:left="3240" w:hanging="360"/>
      </w:pPr>
      <w:rPr>
        <w:rFonts w:ascii="Arial" w:hAnsi="Arial" w:hint="default"/>
      </w:rPr>
    </w:lvl>
    <w:lvl w:ilvl="5" w:tplc="724078DC" w:tentative="1">
      <w:start w:val="1"/>
      <w:numFmt w:val="bullet"/>
      <w:lvlText w:val="•"/>
      <w:lvlJc w:val="left"/>
      <w:pPr>
        <w:tabs>
          <w:tab w:val="num" w:pos="3960"/>
        </w:tabs>
        <w:ind w:left="3960" w:hanging="360"/>
      </w:pPr>
      <w:rPr>
        <w:rFonts w:ascii="Arial" w:hAnsi="Arial" w:hint="default"/>
      </w:rPr>
    </w:lvl>
    <w:lvl w:ilvl="6" w:tplc="0DE0B266" w:tentative="1">
      <w:start w:val="1"/>
      <w:numFmt w:val="bullet"/>
      <w:lvlText w:val="•"/>
      <w:lvlJc w:val="left"/>
      <w:pPr>
        <w:tabs>
          <w:tab w:val="num" w:pos="4680"/>
        </w:tabs>
        <w:ind w:left="4680" w:hanging="360"/>
      </w:pPr>
      <w:rPr>
        <w:rFonts w:ascii="Arial" w:hAnsi="Arial" w:hint="default"/>
      </w:rPr>
    </w:lvl>
    <w:lvl w:ilvl="7" w:tplc="63869376" w:tentative="1">
      <w:start w:val="1"/>
      <w:numFmt w:val="bullet"/>
      <w:lvlText w:val="•"/>
      <w:lvlJc w:val="left"/>
      <w:pPr>
        <w:tabs>
          <w:tab w:val="num" w:pos="5400"/>
        </w:tabs>
        <w:ind w:left="5400" w:hanging="360"/>
      </w:pPr>
      <w:rPr>
        <w:rFonts w:ascii="Arial" w:hAnsi="Arial" w:hint="default"/>
      </w:rPr>
    </w:lvl>
    <w:lvl w:ilvl="8" w:tplc="8E46B9EE"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5D472EF1"/>
    <w:multiLevelType w:val="hybridMultilevel"/>
    <w:tmpl w:val="9CEEF156"/>
    <w:lvl w:ilvl="0" w:tplc="FB045284">
      <w:start w:val="1"/>
      <w:numFmt w:val="decimal"/>
      <w:lvlText w:val="%1."/>
      <w:lvlJc w:val="left"/>
      <w:pPr>
        <w:ind w:left="720" w:hanging="360"/>
      </w:pPr>
      <w:rPr>
        <w:b/>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612818FD"/>
    <w:multiLevelType w:val="hybridMultilevel"/>
    <w:tmpl w:val="8CB46CEA"/>
    <w:lvl w:ilvl="0" w:tplc="4888E196">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23C6021"/>
    <w:multiLevelType w:val="hybridMultilevel"/>
    <w:tmpl w:val="3218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9A079A"/>
    <w:multiLevelType w:val="hybridMultilevel"/>
    <w:tmpl w:val="BC7EAFD8"/>
    <w:lvl w:ilvl="0" w:tplc="A77A656A">
      <w:start w:val="1"/>
      <w:numFmt w:val="bullet"/>
      <w:lvlText w:val="•"/>
      <w:lvlJc w:val="left"/>
      <w:pPr>
        <w:tabs>
          <w:tab w:val="num" w:pos="-86"/>
        </w:tabs>
        <w:ind w:left="-86" w:hanging="360"/>
      </w:pPr>
      <w:rPr>
        <w:rFonts w:ascii="Arial" w:hAnsi="Arial" w:hint="default"/>
      </w:rPr>
    </w:lvl>
    <w:lvl w:ilvl="1" w:tplc="17B4A280" w:tentative="1">
      <w:start w:val="1"/>
      <w:numFmt w:val="bullet"/>
      <w:lvlText w:val="•"/>
      <w:lvlJc w:val="left"/>
      <w:pPr>
        <w:tabs>
          <w:tab w:val="num" w:pos="634"/>
        </w:tabs>
        <w:ind w:left="634" w:hanging="360"/>
      </w:pPr>
      <w:rPr>
        <w:rFonts w:ascii="Arial" w:hAnsi="Arial" w:hint="default"/>
      </w:rPr>
    </w:lvl>
    <w:lvl w:ilvl="2" w:tplc="B37ADBBA" w:tentative="1">
      <w:start w:val="1"/>
      <w:numFmt w:val="bullet"/>
      <w:lvlText w:val="•"/>
      <w:lvlJc w:val="left"/>
      <w:pPr>
        <w:tabs>
          <w:tab w:val="num" w:pos="1354"/>
        </w:tabs>
        <w:ind w:left="1354" w:hanging="360"/>
      </w:pPr>
      <w:rPr>
        <w:rFonts w:ascii="Arial" w:hAnsi="Arial" w:hint="default"/>
      </w:rPr>
    </w:lvl>
    <w:lvl w:ilvl="3" w:tplc="F3CA4020" w:tentative="1">
      <w:start w:val="1"/>
      <w:numFmt w:val="bullet"/>
      <w:lvlText w:val="•"/>
      <w:lvlJc w:val="left"/>
      <w:pPr>
        <w:tabs>
          <w:tab w:val="num" w:pos="2074"/>
        </w:tabs>
        <w:ind w:left="2074" w:hanging="360"/>
      </w:pPr>
      <w:rPr>
        <w:rFonts w:ascii="Arial" w:hAnsi="Arial" w:hint="default"/>
      </w:rPr>
    </w:lvl>
    <w:lvl w:ilvl="4" w:tplc="723A7C8C" w:tentative="1">
      <w:start w:val="1"/>
      <w:numFmt w:val="bullet"/>
      <w:lvlText w:val="•"/>
      <w:lvlJc w:val="left"/>
      <w:pPr>
        <w:tabs>
          <w:tab w:val="num" w:pos="2794"/>
        </w:tabs>
        <w:ind w:left="2794" w:hanging="360"/>
      </w:pPr>
      <w:rPr>
        <w:rFonts w:ascii="Arial" w:hAnsi="Arial" w:hint="default"/>
      </w:rPr>
    </w:lvl>
    <w:lvl w:ilvl="5" w:tplc="6F720816" w:tentative="1">
      <w:start w:val="1"/>
      <w:numFmt w:val="bullet"/>
      <w:lvlText w:val="•"/>
      <w:lvlJc w:val="left"/>
      <w:pPr>
        <w:tabs>
          <w:tab w:val="num" w:pos="3514"/>
        </w:tabs>
        <w:ind w:left="3514" w:hanging="360"/>
      </w:pPr>
      <w:rPr>
        <w:rFonts w:ascii="Arial" w:hAnsi="Arial" w:hint="default"/>
      </w:rPr>
    </w:lvl>
    <w:lvl w:ilvl="6" w:tplc="9898AD88" w:tentative="1">
      <w:start w:val="1"/>
      <w:numFmt w:val="bullet"/>
      <w:lvlText w:val="•"/>
      <w:lvlJc w:val="left"/>
      <w:pPr>
        <w:tabs>
          <w:tab w:val="num" w:pos="4234"/>
        </w:tabs>
        <w:ind w:left="4234" w:hanging="360"/>
      </w:pPr>
      <w:rPr>
        <w:rFonts w:ascii="Arial" w:hAnsi="Arial" w:hint="default"/>
      </w:rPr>
    </w:lvl>
    <w:lvl w:ilvl="7" w:tplc="D30AD9E0" w:tentative="1">
      <w:start w:val="1"/>
      <w:numFmt w:val="bullet"/>
      <w:lvlText w:val="•"/>
      <w:lvlJc w:val="left"/>
      <w:pPr>
        <w:tabs>
          <w:tab w:val="num" w:pos="4954"/>
        </w:tabs>
        <w:ind w:left="4954" w:hanging="360"/>
      </w:pPr>
      <w:rPr>
        <w:rFonts w:ascii="Arial" w:hAnsi="Arial" w:hint="default"/>
      </w:rPr>
    </w:lvl>
    <w:lvl w:ilvl="8" w:tplc="262A6DDA" w:tentative="1">
      <w:start w:val="1"/>
      <w:numFmt w:val="bullet"/>
      <w:lvlText w:val="•"/>
      <w:lvlJc w:val="left"/>
      <w:pPr>
        <w:tabs>
          <w:tab w:val="num" w:pos="5674"/>
        </w:tabs>
        <w:ind w:left="5674" w:hanging="360"/>
      </w:pPr>
      <w:rPr>
        <w:rFonts w:ascii="Arial" w:hAnsi="Arial" w:hint="default"/>
      </w:rPr>
    </w:lvl>
  </w:abstractNum>
  <w:abstractNum w:abstractNumId="91" w15:restartNumberingAfterBreak="0">
    <w:nsid w:val="676F49A2"/>
    <w:multiLevelType w:val="hybridMultilevel"/>
    <w:tmpl w:val="2FF888B6"/>
    <w:lvl w:ilvl="0" w:tplc="13FC257A">
      <w:start w:val="1"/>
      <w:numFmt w:val="bullet"/>
      <w:lvlText w:val="•"/>
      <w:lvlJc w:val="left"/>
      <w:pPr>
        <w:tabs>
          <w:tab w:val="num" w:pos="720"/>
        </w:tabs>
        <w:ind w:left="720" w:hanging="360"/>
      </w:pPr>
      <w:rPr>
        <w:rFonts w:ascii="Arial" w:hAnsi="Arial" w:hint="default"/>
      </w:rPr>
    </w:lvl>
    <w:lvl w:ilvl="1" w:tplc="2570B336" w:tentative="1">
      <w:start w:val="1"/>
      <w:numFmt w:val="bullet"/>
      <w:lvlText w:val="•"/>
      <w:lvlJc w:val="left"/>
      <w:pPr>
        <w:tabs>
          <w:tab w:val="num" w:pos="1440"/>
        </w:tabs>
        <w:ind w:left="1440" w:hanging="360"/>
      </w:pPr>
      <w:rPr>
        <w:rFonts w:ascii="Arial" w:hAnsi="Arial" w:hint="default"/>
      </w:rPr>
    </w:lvl>
    <w:lvl w:ilvl="2" w:tplc="D652B93A" w:tentative="1">
      <w:start w:val="1"/>
      <w:numFmt w:val="bullet"/>
      <w:lvlText w:val="•"/>
      <w:lvlJc w:val="left"/>
      <w:pPr>
        <w:tabs>
          <w:tab w:val="num" w:pos="2160"/>
        </w:tabs>
        <w:ind w:left="2160" w:hanging="360"/>
      </w:pPr>
      <w:rPr>
        <w:rFonts w:ascii="Arial" w:hAnsi="Arial" w:hint="default"/>
      </w:rPr>
    </w:lvl>
    <w:lvl w:ilvl="3" w:tplc="7676263C" w:tentative="1">
      <w:start w:val="1"/>
      <w:numFmt w:val="bullet"/>
      <w:lvlText w:val="•"/>
      <w:lvlJc w:val="left"/>
      <w:pPr>
        <w:tabs>
          <w:tab w:val="num" w:pos="2880"/>
        </w:tabs>
        <w:ind w:left="2880" w:hanging="360"/>
      </w:pPr>
      <w:rPr>
        <w:rFonts w:ascii="Arial" w:hAnsi="Arial" w:hint="default"/>
      </w:rPr>
    </w:lvl>
    <w:lvl w:ilvl="4" w:tplc="2C3E92C6" w:tentative="1">
      <w:start w:val="1"/>
      <w:numFmt w:val="bullet"/>
      <w:lvlText w:val="•"/>
      <w:lvlJc w:val="left"/>
      <w:pPr>
        <w:tabs>
          <w:tab w:val="num" w:pos="3600"/>
        </w:tabs>
        <w:ind w:left="3600" w:hanging="360"/>
      </w:pPr>
      <w:rPr>
        <w:rFonts w:ascii="Arial" w:hAnsi="Arial" w:hint="default"/>
      </w:rPr>
    </w:lvl>
    <w:lvl w:ilvl="5" w:tplc="5CCC6E14" w:tentative="1">
      <w:start w:val="1"/>
      <w:numFmt w:val="bullet"/>
      <w:lvlText w:val="•"/>
      <w:lvlJc w:val="left"/>
      <w:pPr>
        <w:tabs>
          <w:tab w:val="num" w:pos="4320"/>
        </w:tabs>
        <w:ind w:left="4320" w:hanging="360"/>
      </w:pPr>
      <w:rPr>
        <w:rFonts w:ascii="Arial" w:hAnsi="Arial" w:hint="default"/>
      </w:rPr>
    </w:lvl>
    <w:lvl w:ilvl="6" w:tplc="8EAE56B6" w:tentative="1">
      <w:start w:val="1"/>
      <w:numFmt w:val="bullet"/>
      <w:lvlText w:val="•"/>
      <w:lvlJc w:val="left"/>
      <w:pPr>
        <w:tabs>
          <w:tab w:val="num" w:pos="5040"/>
        </w:tabs>
        <w:ind w:left="5040" w:hanging="360"/>
      </w:pPr>
      <w:rPr>
        <w:rFonts w:ascii="Arial" w:hAnsi="Arial" w:hint="default"/>
      </w:rPr>
    </w:lvl>
    <w:lvl w:ilvl="7" w:tplc="F976B464" w:tentative="1">
      <w:start w:val="1"/>
      <w:numFmt w:val="bullet"/>
      <w:lvlText w:val="•"/>
      <w:lvlJc w:val="left"/>
      <w:pPr>
        <w:tabs>
          <w:tab w:val="num" w:pos="5760"/>
        </w:tabs>
        <w:ind w:left="5760" w:hanging="360"/>
      </w:pPr>
      <w:rPr>
        <w:rFonts w:ascii="Arial" w:hAnsi="Arial" w:hint="default"/>
      </w:rPr>
    </w:lvl>
    <w:lvl w:ilvl="8" w:tplc="EE64FC0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68060781"/>
    <w:multiLevelType w:val="hybridMultilevel"/>
    <w:tmpl w:val="36E69EA2"/>
    <w:lvl w:ilvl="0" w:tplc="47285122">
      <w:start w:val="1"/>
      <w:numFmt w:val="bullet"/>
      <w:lvlText w:val="-"/>
      <w:lvlJc w:val="left"/>
      <w:pPr>
        <w:tabs>
          <w:tab w:val="num" w:pos="720"/>
        </w:tabs>
        <w:ind w:left="720" w:hanging="360"/>
      </w:pPr>
      <w:rPr>
        <w:rFonts w:ascii="Times New Roman" w:hAnsi="Times New Roman" w:hint="default"/>
      </w:rPr>
    </w:lvl>
    <w:lvl w:ilvl="1" w:tplc="1E4CD0BA" w:tentative="1">
      <w:start w:val="1"/>
      <w:numFmt w:val="bullet"/>
      <w:lvlText w:val="-"/>
      <w:lvlJc w:val="left"/>
      <w:pPr>
        <w:tabs>
          <w:tab w:val="num" w:pos="1440"/>
        </w:tabs>
        <w:ind w:left="1440" w:hanging="360"/>
      </w:pPr>
      <w:rPr>
        <w:rFonts w:ascii="Times New Roman" w:hAnsi="Times New Roman" w:hint="default"/>
      </w:rPr>
    </w:lvl>
    <w:lvl w:ilvl="2" w:tplc="0EF8A9CC" w:tentative="1">
      <w:start w:val="1"/>
      <w:numFmt w:val="bullet"/>
      <w:lvlText w:val="-"/>
      <w:lvlJc w:val="left"/>
      <w:pPr>
        <w:tabs>
          <w:tab w:val="num" w:pos="2160"/>
        </w:tabs>
        <w:ind w:left="2160" w:hanging="360"/>
      </w:pPr>
      <w:rPr>
        <w:rFonts w:ascii="Times New Roman" w:hAnsi="Times New Roman" w:hint="default"/>
      </w:rPr>
    </w:lvl>
    <w:lvl w:ilvl="3" w:tplc="8286E442" w:tentative="1">
      <w:start w:val="1"/>
      <w:numFmt w:val="bullet"/>
      <w:lvlText w:val="-"/>
      <w:lvlJc w:val="left"/>
      <w:pPr>
        <w:tabs>
          <w:tab w:val="num" w:pos="2880"/>
        </w:tabs>
        <w:ind w:left="2880" w:hanging="360"/>
      </w:pPr>
      <w:rPr>
        <w:rFonts w:ascii="Times New Roman" w:hAnsi="Times New Roman" w:hint="default"/>
      </w:rPr>
    </w:lvl>
    <w:lvl w:ilvl="4" w:tplc="38940C46" w:tentative="1">
      <w:start w:val="1"/>
      <w:numFmt w:val="bullet"/>
      <w:lvlText w:val="-"/>
      <w:lvlJc w:val="left"/>
      <w:pPr>
        <w:tabs>
          <w:tab w:val="num" w:pos="3600"/>
        </w:tabs>
        <w:ind w:left="3600" w:hanging="360"/>
      </w:pPr>
      <w:rPr>
        <w:rFonts w:ascii="Times New Roman" w:hAnsi="Times New Roman" w:hint="default"/>
      </w:rPr>
    </w:lvl>
    <w:lvl w:ilvl="5" w:tplc="4FD658A0" w:tentative="1">
      <w:start w:val="1"/>
      <w:numFmt w:val="bullet"/>
      <w:lvlText w:val="-"/>
      <w:lvlJc w:val="left"/>
      <w:pPr>
        <w:tabs>
          <w:tab w:val="num" w:pos="4320"/>
        </w:tabs>
        <w:ind w:left="4320" w:hanging="360"/>
      </w:pPr>
      <w:rPr>
        <w:rFonts w:ascii="Times New Roman" w:hAnsi="Times New Roman" w:hint="default"/>
      </w:rPr>
    </w:lvl>
    <w:lvl w:ilvl="6" w:tplc="4B928D5E" w:tentative="1">
      <w:start w:val="1"/>
      <w:numFmt w:val="bullet"/>
      <w:lvlText w:val="-"/>
      <w:lvlJc w:val="left"/>
      <w:pPr>
        <w:tabs>
          <w:tab w:val="num" w:pos="5040"/>
        </w:tabs>
        <w:ind w:left="5040" w:hanging="360"/>
      </w:pPr>
      <w:rPr>
        <w:rFonts w:ascii="Times New Roman" w:hAnsi="Times New Roman" w:hint="default"/>
      </w:rPr>
    </w:lvl>
    <w:lvl w:ilvl="7" w:tplc="EC3EC1BA" w:tentative="1">
      <w:start w:val="1"/>
      <w:numFmt w:val="bullet"/>
      <w:lvlText w:val="-"/>
      <w:lvlJc w:val="left"/>
      <w:pPr>
        <w:tabs>
          <w:tab w:val="num" w:pos="5760"/>
        </w:tabs>
        <w:ind w:left="5760" w:hanging="360"/>
      </w:pPr>
      <w:rPr>
        <w:rFonts w:ascii="Times New Roman" w:hAnsi="Times New Roman" w:hint="default"/>
      </w:rPr>
    </w:lvl>
    <w:lvl w:ilvl="8" w:tplc="7B588402"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681B2329"/>
    <w:multiLevelType w:val="hybridMultilevel"/>
    <w:tmpl w:val="1BE0D9B2"/>
    <w:lvl w:ilvl="0" w:tplc="09E63F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DC7AA5"/>
    <w:multiLevelType w:val="hybridMultilevel"/>
    <w:tmpl w:val="5AEEC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AC37A06"/>
    <w:multiLevelType w:val="hybridMultilevel"/>
    <w:tmpl w:val="2B14E1A0"/>
    <w:lvl w:ilvl="0" w:tplc="04090011">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6B124EA6"/>
    <w:multiLevelType w:val="hybridMultilevel"/>
    <w:tmpl w:val="EDF0A3B4"/>
    <w:lvl w:ilvl="0" w:tplc="988CC016">
      <w:start w:val="1"/>
      <w:numFmt w:val="bullet"/>
      <w:lvlText w:val="•"/>
      <w:lvlJc w:val="left"/>
      <w:pPr>
        <w:tabs>
          <w:tab w:val="num" w:pos="720"/>
        </w:tabs>
        <w:ind w:left="720" w:hanging="360"/>
      </w:pPr>
      <w:rPr>
        <w:rFonts w:ascii="Arial" w:hAnsi="Arial" w:hint="default"/>
      </w:rPr>
    </w:lvl>
    <w:lvl w:ilvl="1" w:tplc="C492BE6E" w:tentative="1">
      <w:start w:val="1"/>
      <w:numFmt w:val="bullet"/>
      <w:lvlText w:val="•"/>
      <w:lvlJc w:val="left"/>
      <w:pPr>
        <w:tabs>
          <w:tab w:val="num" w:pos="1440"/>
        </w:tabs>
        <w:ind w:left="1440" w:hanging="360"/>
      </w:pPr>
      <w:rPr>
        <w:rFonts w:ascii="Arial" w:hAnsi="Arial" w:hint="default"/>
      </w:rPr>
    </w:lvl>
    <w:lvl w:ilvl="2" w:tplc="251E4E06" w:tentative="1">
      <w:start w:val="1"/>
      <w:numFmt w:val="bullet"/>
      <w:lvlText w:val="•"/>
      <w:lvlJc w:val="left"/>
      <w:pPr>
        <w:tabs>
          <w:tab w:val="num" w:pos="2160"/>
        </w:tabs>
        <w:ind w:left="2160" w:hanging="360"/>
      </w:pPr>
      <w:rPr>
        <w:rFonts w:ascii="Arial" w:hAnsi="Arial" w:hint="default"/>
      </w:rPr>
    </w:lvl>
    <w:lvl w:ilvl="3" w:tplc="9C0030C2" w:tentative="1">
      <w:start w:val="1"/>
      <w:numFmt w:val="bullet"/>
      <w:lvlText w:val="•"/>
      <w:lvlJc w:val="left"/>
      <w:pPr>
        <w:tabs>
          <w:tab w:val="num" w:pos="2880"/>
        </w:tabs>
        <w:ind w:left="2880" w:hanging="360"/>
      </w:pPr>
      <w:rPr>
        <w:rFonts w:ascii="Arial" w:hAnsi="Arial" w:hint="default"/>
      </w:rPr>
    </w:lvl>
    <w:lvl w:ilvl="4" w:tplc="F44A5688" w:tentative="1">
      <w:start w:val="1"/>
      <w:numFmt w:val="bullet"/>
      <w:lvlText w:val="•"/>
      <w:lvlJc w:val="left"/>
      <w:pPr>
        <w:tabs>
          <w:tab w:val="num" w:pos="3600"/>
        </w:tabs>
        <w:ind w:left="3600" w:hanging="360"/>
      </w:pPr>
      <w:rPr>
        <w:rFonts w:ascii="Arial" w:hAnsi="Arial" w:hint="default"/>
      </w:rPr>
    </w:lvl>
    <w:lvl w:ilvl="5" w:tplc="25C67538" w:tentative="1">
      <w:start w:val="1"/>
      <w:numFmt w:val="bullet"/>
      <w:lvlText w:val="•"/>
      <w:lvlJc w:val="left"/>
      <w:pPr>
        <w:tabs>
          <w:tab w:val="num" w:pos="4320"/>
        </w:tabs>
        <w:ind w:left="4320" w:hanging="360"/>
      </w:pPr>
      <w:rPr>
        <w:rFonts w:ascii="Arial" w:hAnsi="Arial" w:hint="default"/>
      </w:rPr>
    </w:lvl>
    <w:lvl w:ilvl="6" w:tplc="65B2C2B6" w:tentative="1">
      <w:start w:val="1"/>
      <w:numFmt w:val="bullet"/>
      <w:lvlText w:val="•"/>
      <w:lvlJc w:val="left"/>
      <w:pPr>
        <w:tabs>
          <w:tab w:val="num" w:pos="5040"/>
        </w:tabs>
        <w:ind w:left="5040" w:hanging="360"/>
      </w:pPr>
      <w:rPr>
        <w:rFonts w:ascii="Arial" w:hAnsi="Arial" w:hint="default"/>
      </w:rPr>
    </w:lvl>
    <w:lvl w:ilvl="7" w:tplc="653E7D24" w:tentative="1">
      <w:start w:val="1"/>
      <w:numFmt w:val="bullet"/>
      <w:lvlText w:val="•"/>
      <w:lvlJc w:val="left"/>
      <w:pPr>
        <w:tabs>
          <w:tab w:val="num" w:pos="5760"/>
        </w:tabs>
        <w:ind w:left="5760" w:hanging="360"/>
      </w:pPr>
      <w:rPr>
        <w:rFonts w:ascii="Arial" w:hAnsi="Arial" w:hint="default"/>
      </w:rPr>
    </w:lvl>
    <w:lvl w:ilvl="8" w:tplc="677ED21E"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6B78286E"/>
    <w:multiLevelType w:val="hybridMultilevel"/>
    <w:tmpl w:val="9904A8A6"/>
    <w:lvl w:ilvl="0" w:tplc="174AD5B8">
      <w:start w:val="2017"/>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6C4F50AF"/>
    <w:multiLevelType w:val="multilevel"/>
    <w:tmpl w:val="1744CE7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6CE149FF"/>
    <w:multiLevelType w:val="hybridMultilevel"/>
    <w:tmpl w:val="DBD626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DD845B1"/>
    <w:multiLevelType w:val="hybridMultilevel"/>
    <w:tmpl w:val="AF42F5A8"/>
    <w:lvl w:ilvl="0" w:tplc="F68847D2">
      <w:start w:val="1"/>
      <w:numFmt w:val="decimal"/>
      <w:pStyle w:val="Paranumber"/>
      <w:lvlText w:val="%1."/>
      <w:lvlJc w:val="left"/>
      <w:pPr>
        <w:ind w:left="360" w:hanging="360"/>
      </w:pPr>
    </w:lvl>
    <w:lvl w:ilvl="1" w:tplc="04090019">
      <w:start w:val="1"/>
      <w:numFmt w:val="lowerLetter"/>
      <w:lvlText w:val="%2."/>
      <w:lvlJc w:val="left"/>
      <w:pPr>
        <w:ind w:left="-1170" w:hanging="360"/>
      </w:pPr>
    </w:lvl>
    <w:lvl w:ilvl="2" w:tplc="0409001B">
      <w:start w:val="1"/>
      <w:numFmt w:val="lowerRoman"/>
      <w:lvlText w:val="%3."/>
      <w:lvlJc w:val="right"/>
      <w:pPr>
        <w:ind w:left="-450" w:hanging="180"/>
      </w:pPr>
    </w:lvl>
    <w:lvl w:ilvl="3" w:tplc="0409000F">
      <w:start w:val="1"/>
      <w:numFmt w:val="decimal"/>
      <w:lvlText w:val="%4."/>
      <w:lvlJc w:val="left"/>
      <w:pPr>
        <w:ind w:left="270" w:hanging="360"/>
      </w:pPr>
    </w:lvl>
    <w:lvl w:ilvl="4" w:tplc="04090019">
      <w:start w:val="1"/>
      <w:numFmt w:val="lowerLetter"/>
      <w:lvlText w:val="%5."/>
      <w:lvlJc w:val="left"/>
      <w:pPr>
        <w:ind w:left="990" w:hanging="360"/>
      </w:pPr>
    </w:lvl>
    <w:lvl w:ilvl="5" w:tplc="0409001B">
      <w:start w:val="1"/>
      <w:numFmt w:val="lowerRoman"/>
      <w:lvlText w:val="%6."/>
      <w:lvlJc w:val="right"/>
      <w:pPr>
        <w:ind w:left="1710" w:hanging="180"/>
      </w:pPr>
    </w:lvl>
    <w:lvl w:ilvl="6" w:tplc="0409000F">
      <w:start w:val="1"/>
      <w:numFmt w:val="decimal"/>
      <w:lvlText w:val="%7."/>
      <w:lvlJc w:val="left"/>
      <w:pPr>
        <w:ind w:left="2430" w:hanging="360"/>
      </w:pPr>
    </w:lvl>
    <w:lvl w:ilvl="7" w:tplc="04090019">
      <w:start w:val="1"/>
      <w:numFmt w:val="lowerLetter"/>
      <w:lvlText w:val="%8."/>
      <w:lvlJc w:val="left"/>
      <w:pPr>
        <w:ind w:left="3150" w:hanging="360"/>
      </w:pPr>
    </w:lvl>
    <w:lvl w:ilvl="8" w:tplc="0409001B">
      <w:start w:val="1"/>
      <w:numFmt w:val="lowerRoman"/>
      <w:lvlText w:val="%9."/>
      <w:lvlJc w:val="right"/>
      <w:pPr>
        <w:ind w:left="3870" w:hanging="180"/>
      </w:pPr>
    </w:lvl>
  </w:abstractNum>
  <w:abstractNum w:abstractNumId="101" w15:restartNumberingAfterBreak="0">
    <w:nsid w:val="6F7C32E6"/>
    <w:multiLevelType w:val="hybridMultilevel"/>
    <w:tmpl w:val="20001D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2" w15:restartNumberingAfterBreak="0">
    <w:nsid w:val="6FAD22B7"/>
    <w:multiLevelType w:val="hybridMultilevel"/>
    <w:tmpl w:val="E71CC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0F52C75"/>
    <w:multiLevelType w:val="hybridMultilevel"/>
    <w:tmpl w:val="8CB46CEA"/>
    <w:lvl w:ilvl="0" w:tplc="4888E196">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16F70F6"/>
    <w:multiLevelType w:val="multilevel"/>
    <w:tmpl w:val="BA3AD7EE"/>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05" w15:restartNumberingAfterBreak="0">
    <w:nsid w:val="738F0041"/>
    <w:multiLevelType w:val="hybridMultilevel"/>
    <w:tmpl w:val="D1FC3F82"/>
    <w:lvl w:ilvl="0" w:tplc="DD78D50E">
      <w:start w:val="1"/>
      <w:numFmt w:val="bullet"/>
      <w:lvlText w:val="•"/>
      <w:lvlJc w:val="left"/>
      <w:pPr>
        <w:tabs>
          <w:tab w:val="num" w:pos="360"/>
        </w:tabs>
        <w:ind w:left="360" w:hanging="360"/>
      </w:pPr>
      <w:rPr>
        <w:rFonts w:ascii="Arial" w:hAnsi="Arial" w:hint="default"/>
      </w:rPr>
    </w:lvl>
    <w:lvl w:ilvl="1" w:tplc="28047892" w:tentative="1">
      <w:start w:val="1"/>
      <w:numFmt w:val="bullet"/>
      <w:lvlText w:val="•"/>
      <w:lvlJc w:val="left"/>
      <w:pPr>
        <w:tabs>
          <w:tab w:val="num" w:pos="1080"/>
        </w:tabs>
        <w:ind w:left="1080" w:hanging="360"/>
      </w:pPr>
      <w:rPr>
        <w:rFonts w:ascii="Arial" w:hAnsi="Arial" w:hint="default"/>
      </w:rPr>
    </w:lvl>
    <w:lvl w:ilvl="2" w:tplc="FFFC2B90" w:tentative="1">
      <w:start w:val="1"/>
      <w:numFmt w:val="bullet"/>
      <w:lvlText w:val="•"/>
      <w:lvlJc w:val="left"/>
      <w:pPr>
        <w:tabs>
          <w:tab w:val="num" w:pos="1800"/>
        </w:tabs>
        <w:ind w:left="1800" w:hanging="360"/>
      </w:pPr>
      <w:rPr>
        <w:rFonts w:ascii="Arial" w:hAnsi="Arial" w:hint="default"/>
      </w:rPr>
    </w:lvl>
    <w:lvl w:ilvl="3" w:tplc="B9D6CD1C" w:tentative="1">
      <w:start w:val="1"/>
      <w:numFmt w:val="bullet"/>
      <w:lvlText w:val="•"/>
      <w:lvlJc w:val="left"/>
      <w:pPr>
        <w:tabs>
          <w:tab w:val="num" w:pos="2520"/>
        </w:tabs>
        <w:ind w:left="2520" w:hanging="360"/>
      </w:pPr>
      <w:rPr>
        <w:rFonts w:ascii="Arial" w:hAnsi="Arial" w:hint="default"/>
      </w:rPr>
    </w:lvl>
    <w:lvl w:ilvl="4" w:tplc="4D8C7104" w:tentative="1">
      <w:start w:val="1"/>
      <w:numFmt w:val="bullet"/>
      <w:lvlText w:val="•"/>
      <w:lvlJc w:val="left"/>
      <w:pPr>
        <w:tabs>
          <w:tab w:val="num" w:pos="3240"/>
        </w:tabs>
        <w:ind w:left="3240" w:hanging="360"/>
      </w:pPr>
      <w:rPr>
        <w:rFonts w:ascii="Arial" w:hAnsi="Arial" w:hint="default"/>
      </w:rPr>
    </w:lvl>
    <w:lvl w:ilvl="5" w:tplc="384071E2" w:tentative="1">
      <w:start w:val="1"/>
      <w:numFmt w:val="bullet"/>
      <w:lvlText w:val="•"/>
      <w:lvlJc w:val="left"/>
      <w:pPr>
        <w:tabs>
          <w:tab w:val="num" w:pos="3960"/>
        </w:tabs>
        <w:ind w:left="3960" w:hanging="360"/>
      </w:pPr>
      <w:rPr>
        <w:rFonts w:ascii="Arial" w:hAnsi="Arial" w:hint="default"/>
      </w:rPr>
    </w:lvl>
    <w:lvl w:ilvl="6" w:tplc="8B62D7B4" w:tentative="1">
      <w:start w:val="1"/>
      <w:numFmt w:val="bullet"/>
      <w:lvlText w:val="•"/>
      <w:lvlJc w:val="left"/>
      <w:pPr>
        <w:tabs>
          <w:tab w:val="num" w:pos="4680"/>
        </w:tabs>
        <w:ind w:left="4680" w:hanging="360"/>
      </w:pPr>
      <w:rPr>
        <w:rFonts w:ascii="Arial" w:hAnsi="Arial" w:hint="default"/>
      </w:rPr>
    </w:lvl>
    <w:lvl w:ilvl="7" w:tplc="AC2E1490" w:tentative="1">
      <w:start w:val="1"/>
      <w:numFmt w:val="bullet"/>
      <w:lvlText w:val="•"/>
      <w:lvlJc w:val="left"/>
      <w:pPr>
        <w:tabs>
          <w:tab w:val="num" w:pos="5400"/>
        </w:tabs>
        <w:ind w:left="5400" w:hanging="360"/>
      </w:pPr>
      <w:rPr>
        <w:rFonts w:ascii="Arial" w:hAnsi="Arial" w:hint="default"/>
      </w:rPr>
    </w:lvl>
    <w:lvl w:ilvl="8" w:tplc="56707FAE" w:tentative="1">
      <w:start w:val="1"/>
      <w:numFmt w:val="bullet"/>
      <w:lvlText w:val="•"/>
      <w:lvlJc w:val="left"/>
      <w:pPr>
        <w:tabs>
          <w:tab w:val="num" w:pos="6120"/>
        </w:tabs>
        <w:ind w:left="6120" w:hanging="360"/>
      </w:pPr>
      <w:rPr>
        <w:rFonts w:ascii="Arial" w:hAnsi="Arial" w:hint="default"/>
      </w:rPr>
    </w:lvl>
  </w:abstractNum>
  <w:abstractNum w:abstractNumId="106" w15:restartNumberingAfterBreak="0">
    <w:nsid w:val="73EE431D"/>
    <w:multiLevelType w:val="hybridMultilevel"/>
    <w:tmpl w:val="C880629E"/>
    <w:lvl w:ilvl="0" w:tplc="9B50C40A">
      <w:start w:val="1"/>
      <w:numFmt w:val="bullet"/>
      <w:lvlText w:val="•"/>
      <w:lvlJc w:val="left"/>
      <w:pPr>
        <w:tabs>
          <w:tab w:val="num" w:pos="720"/>
        </w:tabs>
        <w:ind w:left="720" w:hanging="360"/>
      </w:pPr>
      <w:rPr>
        <w:rFonts w:ascii="Arial" w:hAnsi="Arial" w:hint="default"/>
      </w:rPr>
    </w:lvl>
    <w:lvl w:ilvl="1" w:tplc="35209EBC" w:tentative="1">
      <w:start w:val="1"/>
      <w:numFmt w:val="bullet"/>
      <w:lvlText w:val="•"/>
      <w:lvlJc w:val="left"/>
      <w:pPr>
        <w:tabs>
          <w:tab w:val="num" w:pos="1440"/>
        </w:tabs>
        <w:ind w:left="1440" w:hanging="360"/>
      </w:pPr>
      <w:rPr>
        <w:rFonts w:ascii="Arial" w:hAnsi="Arial" w:hint="default"/>
      </w:rPr>
    </w:lvl>
    <w:lvl w:ilvl="2" w:tplc="FD32EA3A" w:tentative="1">
      <w:start w:val="1"/>
      <w:numFmt w:val="bullet"/>
      <w:lvlText w:val="•"/>
      <w:lvlJc w:val="left"/>
      <w:pPr>
        <w:tabs>
          <w:tab w:val="num" w:pos="2160"/>
        </w:tabs>
        <w:ind w:left="2160" w:hanging="360"/>
      </w:pPr>
      <w:rPr>
        <w:rFonts w:ascii="Arial" w:hAnsi="Arial" w:hint="default"/>
      </w:rPr>
    </w:lvl>
    <w:lvl w:ilvl="3" w:tplc="5122FE22" w:tentative="1">
      <w:start w:val="1"/>
      <w:numFmt w:val="bullet"/>
      <w:lvlText w:val="•"/>
      <w:lvlJc w:val="left"/>
      <w:pPr>
        <w:tabs>
          <w:tab w:val="num" w:pos="2880"/>
        </w:tabs>
        <w:ind w:left="2880" w:hanging="360"/>
      </w:pPr>
      <w:rPr>
        <w:rFonts w:ascii="Arial" w:hAnsi="Arial" w:hint="default"/>
      </w:rPr>
    </w:lvl>
    <w:lvl w:ilvl="4" w:tplc="1E0AA710" w:tentative="1">
      <w:start w:val="1"/>
      <w:numFmt w:val="bullet"/>
      <w:lvlText w:val="•"/>
      <w:lvlJc w:val="left"/>
      <w:pPr>
        <w:tabs>
          <w:tab w:val="num" w:pos="3600"/>
        </w:tabs>
        <w:ind w:left="3600" w:hanging="360"/>
      </w:pPr>
      <w:rPr>
        <w:rFonts w:ascii="Arial" w:hAnsi="Arial" w:hint="default"/>
      </w:rPr>
    </w:lvl>
    <w:lvl w:ilvl="5" w:tplc="B874B2A2" w:tentative="1">
      <w:start w:val="1"/>
      <w:numFmt w:val="bullet"/>
      <w:lvlText w:val="•"/>
      <w:lvlJc w:val="left"/>
      <w:pPr>
        <w:tabs>
          <w:tab w:val="num" w:pos="4320"/>
        </w:tabs>
        <w:ind w:left="4320" w:hanging="360"/>
      </w:pPr>
      <w:rPr>
        <w:rFonts w:ascii="Arial" w:hAnsi="Arial" w:hint="default"/>
      </w:rPr>
    </w:lvl>
    <w:lvl w:ilvl="6" w:tplc="8EDAC556" w:tentative="1">
      <w:start w:val="1"/>
      <w:numFmt w:val="bullet"/>
      <w:lvlText w:val="•"/>
      <w:lvlJc w:val="left"/>
      <w:pPr>
        <w:tabs>
          <w:tab w:val="num" w:pos="5040"/>
        </w:tabs>
        <w:ind w:left="5040" w:hanging="360"/>
      </w:pPr>
      <w:rPr>
        <w:rFonts w:ascii="Arial" w:hAnsi="Arial" w:hint="default"/>
      </w:rPr>
    </w:lvl>
    <w:lvl w:ilvl="7" w:tplc="2E56033C" w:tentative="1">
      <w:start w:val="1"/>
      <w:numFmt w:val="bullet"/>
      <w:lvlText w:val="•"/>
      <w:lvlJc w:val="left"/>
      <w:pPr>
        <w:tabs>
          <w:tab w:val="num" w:pos="5760"/>
        </w:tabs>
        <w:ind w:left="5760" w:hanging="360"/>
      </w:pPr>
      <w:rPr>
        <w:rFonts w:ascii="Arial" w:hAnsi="Arial" w:hint="default"/>
      </w:rPr>
    </w:lvl>
    <w:lvl w:ilvl="8" w:tplc="680615E6"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742A353A"/>
    <w:multiLevelType w:val="hybridMultilevel"/>
    <w:tmpl w:val="812024CE"/>
    <w:lvl w:ilvl="0" w:tplc="47F01418">
      <w:start w:val="1"/>
      <w:numFmt w:val="bullet"/>
      <w:lvlText w:val="•"/>
      <w:lvlJc w:val="left"/>
      <w:pPr>
        <w:tabs>
          <w:tab w:val="num" w:pos="360"/>
        </w:tabs>
        <w:ind w:left="360" w:hanging="360"/>
      </w:pPr>
      <w:rPr>
        <w:rFonts w:ascii="Arial" w:hAnsi="Arial" w:hint="default"/>
      </w:rPr>
    </w:lvl>
    <w:lvl w:ilvl="1" w:tplc="5E9CE07C" w:tentative="1">
      <w:start w:val="1"/>
      <w:numFmt w:val="bullet"/>
      <w:lvlText w:val="•"/>
      <w:lvlJc w:val="left"/>
      <w:pPr>
        <w:tabs>
          <w:tab w:val="num" w:pos="1080"/>
        </w:tabs>
        <w:ind w:left="1080" w:hanging="360"/>
      </w:pPr>
      <w:rPr>
        <w:rFonts w:ascii="Arial" w:hAnsi="Arial" w:hint="default"/>
      </w:rPr>
    </w:lvl>
    <w:lvl w:ilvl="2" w:tplc="98C406A4" w:tentative="1">
      <w:start w:val="1"/>
      <w:numFmt w:val="bullet"/>
      <w:lvlText w:val="•"/>
      <w:lvlJc w:val="left"/>
      <w:pPr>
        <w:tabs>
          <w:tab w:val="num" w:pos="1800"/>
        </w:tabs>
        <w:ind w:left="1800" w:hanging="360"/>
      </w:pPr>
      <w:rPr>
        <w:rFonts w:ascii="Arial" w:hAnsi="Arial" w:hint="default"/>
      </w:rPr>
    </w:lvl>
    <w:lvl w:ilvl="3" w:tplc="01E4C208" w:tentative="1">
      <w:start w:val="1"/>
      <w:numFmt w:val="bullet"/>
      <w:lvlText w:val="•"/>
      <w:lvlJc w:val="left"/>
      <w:pPr>
        <w:tabs>
          <w:tab w:val="num" w:pos="2520"/>
        </w:tabs>
        <w:ind w:left="2520" w:hanging="360"/>
      </w:pPr>
      <w:rPr>
        <w:rFonts w:ascii="Arial" w:hAnsi="Arial" w:hint="default"/>
      </w:rPr>
    </w:lvl>
    <w:lvl w:ilvl="4" w:tplc="313C1790" w:tentative="1">
      <w:start w:val="1"/>
      <w:numFmt w:val="bullet"/>
      <w:lvlText w:val="•"/>
      <w:lvlJc w:val="left"/>
      <w:pPr>
        <w:tabs>
          <w:tab w:val="num" w:pos="3240"/>
        </w:tabs>
        <w:ind w:left="3240" w:hanging="360"/>
      </w:pPr>
      <w:rPr>
        <w:rFonts w:ascii="Arial" w:hAnsi="Arial" w:hint="default"/>
      </w:rPr>
    </w:lvl>
    <w:lvl w:ilvl="5" w:tplc="37A0455E" w:tentative="1">
      <w:start w:val="1"/>
      <w:numFmt w:val="bullet"/>
      <w:lvlText w:val="•"/>
      <w:lvlJc w:val="left"/>
      <w:pPr>
        <w:tabs>
          <w:tab w:val="num" w:pos="3960"/>
        </w:tabs>
        <w:ind w:left="3960" w:hanging="360"/>
      </w:pPr>
      <w:rPr>
        <w:rFonts w:ascii="Arial" w:hAnsi="Arial" w:hint="default"/>
      </w:rPr>
    </w:lvl>
    <w:lvl w:ilvl="6" w:tplc="8BA26684" w:tentative="1">
      <w:start w:val="1"/>
      <w:numFmt w:val="bullet"/>
      <w:lvlText w:val="•"/>
      <w:lvlJc w:val="left"/>
      <w:pPr>
        <w:tabs>
          <w:tab w:val="num" w:pos="4680"/>
        </w:tabs>
        <w:ind w:left="4680" w:hanging="360"/>
      </w:pPr>
      <w:rPr>
        <w:rFonts w:ascii="Arial" w:hAnsi="Arial" w:hint="default"/>
      </w:rPr>
    </w:lvl>
    <w:lvl w:ilvl="7" w:tplc="3A94AEA4" w:tentative="1">
      <w:start w:val="1"/>
      <w:numFmt w:val="bullet"/>
      <w:lvlText w:val="•"/>
      <w:lvlJc w:val="left"/>
      <w:pPr>
        <w:tabs>
          <w:tab w:val="num" w:pos="5400"/>
        </w:tabs>
        <w:ind w:left="5400" w:hanging="360"/>
      </w:pPr>
      <w:rPr>
        <w:rFonts w:ascii="Arial" w:hAnsi="Arial" w:hint="default"/>
      </w:rPr>
    </w:lvl>
    <w:lvl w:ilvl="8" w:tplc="6BBC8474" w:tentative="1">
      <w:start w:val="1"/>
      <w:numFmt w:val="bullet"/>
      <w:lvlText w:val="•"/>
      <w:lvlJc w:val="left"/>
      <w:pPr>
        <w:tabs>
          <w:tab w:val="num" w:pos="6120"/>
        </w:tabs>
        <w:ind w:left="6120" w:hanging="360"/>
      </w:pPr>
      <w:rPr>
        <w:rFonts w:ascii="Arial" w:hAnsi="Arial" w:hint="default"/>
      </w:rPr>
    </w:lvl>
  </w:abstractNum>
  <w:abstractNum w:abstractNumId="108" w15:restartNumberingAfterBreak="0">
    <w:nsid w:val="748A1F53"/>
    <w:multiLevelType w:val="hybridMultilevel"/>
    <w:tmpl w:val="B8E26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7014142"/>
    <w:multiLevelType w:val="hybridMultilevel"/>
    <w:tmpl w:val="61F4662A"/>
    <w:lvl w:ilvl="0" w:tplc="D3505674">
      <w:start w:val="1"/>
      <w:numFmt w:val="bullet"/>
      <w:lvlText w:val="•"/>
      <w:lvlJc w:val="left"/>
      <w:pPr>
        <w:tabs>
          <w:tab w:val="num" w:pos="720"/>
        </w:tabs>
        <w:ind w:left="720" w:hanging="360"/>
      </w:pPr>
      <w:rPr>
        <w:rFonts w:ascii="Arial" w:hAnsi="Arial" w:hint="default"/>
      </w:rPr>
    </w:lvl>
    <w:lvl w:ilvl="1" w:tplc="18305102" w:tentative="1">
      <w:start w:val="1"/>
      <w:numFmt w:val="bullet"/>
      <w:lvlText w:val="•"/>
      <w:lvlJc w:val="left"/>
      <w:pPr>
        <w:tabs>
          <w:tab w:val="num" w:pos="1440"/>
        </w:tabs>
        <w:ind w:left="1440" w:hanging="360"/>
      </w:pPr>
      <w:rPr>
        <w:rFonts w:ascii="Arial" w:hAnsi="Arial" w:hint="default"/>
      </w:rPr>
    </w:lvl>
    <w:lvl w:ilvl="2" w:tplc="32D8D00E" w:tentative="1">
      <w:start w:val="1"/>
      <w:numFmt w:val="bullet"/>
      <w:lvlText w:val="•"/>
      <w:lvlJc w:val="left"/>
      <w:pPr>
        <w:tabs>
          <w:tab w:val="num" w:pos="2160"/>
        </w:tabs>
        <w:ind w:left="2160" w:hanging="360"/>
      </w:pPr>
      <w:rPr>
        <w:rFonts w:ascii="Arial" w:hAnsi="Arial" w:hint="default"/>
      </w:rPr>
    </w:lvl>
    <w:lvl w:ilvl="3" w:tplc="22D46398" w:tentative="1">
      <w:start w:val="1"/>
      <w:numFmt w:val="bullet"/>
      <w:lvlText w:val="•"/>
      <w:lvlJc w:val="left"/>
      <w:pPr>
        <w:tabs>
          <w:tab w:val="num" w:pos="2880"/>
        </w:tabs>
        <w:ind w:left="2880" w:hanging="360"/>
      </w:pPr>
      <w:rPr>
        <w:rFonts w:ascii="Arial" w:hAnsi="Arial" w:hint="default"/>
      </w:rPr>
    </w:lvl>
    <w:lvl w:ilvl="4" w:tplc="23DC29FE" w:tentative="1">
      <w:start w:val="1"/>
      <w:numFmt w:val="bullet"/>
      <w:lvlText w:val="•"/>
      <w:lvlJc w:val="left"/>
      <w:pPr>
        <w:tabs>
          <w:tab w:val="num" w:pos="3600"/>
        </w:tabs>
        <w:ind w:left="3600" w:hanging="360"/>
      </w:pPr>
      <w:rPr>
        <w:rFonts w:ascii="Arial" w:hAnsi="Arial" w:hint="default"/>
      </w:rPr>
    </w:lvl>
    <w:lvl w:ilvl="5" w:tplc="820C8572" w:tentative="1">
      <w:start w:val="1"/>
      <w:numFmt w:val="bullet"/>
      <w:lvlText w:val="•"/>
      <w:lvlJc w:val="left"/>
      <w:pPr>
        <w:tabs>
          <w:tab w:val="num" w:pos="4320"/>
        </w:tabs>
        <w:ind w:left="4320" w:hanging="360"/>
      </w:pPr>
      <w:rPr>
        <w:rFonts w:ascii="Arial" w:hAnsi="Arial" w:hint="default"/>
      </w:rPr>
    </w:lvl>
    <w:lvl w:ilvl="6" w:tplc="FEA0D89C" w:tentative="1">
      <w:start w:val="1"/>
      <w:numFmt w:val="bullet"/>
      <w:lvlText w:val="•"/>
      <w:lvlJc w:val="left"/>
      <w:pPr>
        <w:tabs>
          <w:tab w:val="num" w:pos="5040"/>
        </w:tabs>
        <w:ind w:left="5040" w:hanging="360"/>
      </w:pPr>
      <w:rPr>
        <w:rFonts w:ascii="Arial" w:hAnsi="Arial" w:hint="default"/>
      </w:rPr>
    </w:lvl>
    <w:lvl w:ilvl="7" w:tplc="898C5728" w:tentative="1">
      <w:start w:val="1"/>
      <w:numFmt w:val="bullet"/>
      <w:lvlText w:val="•"/>
      <w:lvlJc w:val="left"/>
      <w:pPr>
        <w:tabs>
          <w:tab w:val="num" w:pos="5760"/>
        </w:tabs>
        <w:ind w:left="5760" w:hanging="360"/>
      </w:pPr>
      <w:rPr>
        <w:rFonts w:ascii="Arial" w:hAnsi="Arial" w:hint="default"/>
      </w:rPr>
    </w:lvl>
    <w:lvl w:ilvl="8" w:tplc="EF1A520E"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77C2267D"/>
    <w:multiLevelType w:val="hybridMultilevel"/>
    <w:tmpl w:val="9BEAE378"/>
    <w:lvl w:ilvl="0" w:tplc="FEF00C1E">
      <w:start w:val="1"/>
      <w:numFmt w:val="bullet"/>
      <w:lvlText w:val="•"/>
      <w:lvlJc w:val="left"/>
      <w:pPr>
        <w:tabs>
          <w:tab w:val="num" w:pos="360"/>
        </w:tabs>
        <w:ind w:left="360" w:hanging="360"/>
      </w:pPr>
      <w:rPr>
        <w:rFonts w:ascii="Arial" w:hAnsi="Arial" w:hint="default"/>
      </w:rPr>
    </w:lvl>
    <w:lvl w:ilvl="1" w:tplc="1D80F9FE" w:tentative="1">
      <w:start w:val="1"/>
      <w:numFmt w:val="bullet"/>
      <w:lvlText w:val="•"/>
      <w:lvlJc w:val="left"/>
      <w:pPr>
        <w:tabs>
          <w:tab w:val="num" w:pos="1080"/>
        </w:tabs>
        <w:ind w:left="1080" w:hanging="360"/>
      </w:pPr>
      <w:rPr>
        <w:rFonts w:ascii="Arial" w:hAnsi="Arial" w:hint="default"/>
      </w:rPr>
    </w:lvl>
    <w:lvl w:ilvl="2" w:tplc="0772F136" w:tentative="1">
      <w:start w:val="1"/>
      <w:numFmt w:val="bullet"/>
      <w:lvlText w:val="•"/>
      <w:lvlJc w:val="left"/>
      <w:pPr>
        <w:tabs>
          <w:tab w:val="num" w:pos="1800"/>
        </w:tabs>
        <w:ind w:left="1800" w:hanging="360"/>
      </w:pPr>
      <w:rPr>
        <w:rFonts w:ascii="Arial" w:hAnsi="Arial" w:hint="default"/>
      </w:rPr>
    </w:lvl>
    <w:lvl w:ilvl="3" w:tplc="2724F964" w:tentative="1">
      <w:start w:val="1"/>
      <w:numFmt w:val="bullet"/>
      <w:lvlText w:val="•"/>
      <w:lvlJc w:val="left"/>
      <w:pPr>
        <w:tabs>
          <w:tab w:val="num" w:pos="2520"/>
        </w:tabs>
        <w:ind w:left="2520" w:hanging="360"/>
      </w:pPr>
      <w:rPr>
        <w:rFonts w:ascii="Arial" w:hAnsi="Arial" w:hint="default"/>
      </w:rPr>
    </w:lvl>
    <w:lvl w:ilvl="4" w:tplc="3934D74E" w:tentative="1">
      <w:start w:val="1"/>
      <w:numFmt w:val="bullet"/>
      <w:lvlText w:val="•"/>
      <w:lvlJc w:val="left"/>
      <w:pPr>
        <w:tabs>
          <w:tab w:val="num" w:pos="3240"/>
        </w:tabs>
        <w:ind w:left="3240" w:hanging="360"/>
      </w:pPr>
      <w:rPr>
        <w:rFonts w:ascii="Arial" w:hAnsi="Arial" w:hint="default"/>
      </w:rPr>
    </w:lvl>
    <w:lvl w:ilvl="5" w:tplc="5914B082" w:tentative="1">
      <w:start w:val="1"/>
      <w:numFmt w:val="bullet"/>
      <w:lvlText w:val="•"/>
      <w:lvlJc w:val="left"/>
      <w:pPr>
        <w:tabs>
          <w:tab w:val="num" w:pos="3960"/>
        </w:tabs>
        <w:ind w:left="3960" w:hanging="360"/>
      </w:pPr>
      <w:rPr>
        <w:rFonts w:ascii="Arial" w:hAnsi="Arial" w:hint="default"/>
      </w:rPr>
    </w:lvl>
    <w:lvl w:ilvl="6" w:tplc="210E6D34" w:tentative="1">
      <w:start w:val="1"/>
      <w:numFmt w:val="bullet"/>
      <w:lvlText w:val="•"/>
      <w:lvlJc w:val="left"/>
      <w:pPr>
        <w:tabs>
          <w:tab w:val="num" w:pos="4680"/>
        </w:tabs>
        <w:ind w:left="4680" w:hanging="360"/>
      </w:pPr>
      <w:rPr>
        <w:rFonts w:ascii="Arial" w:hAnsi="Arial" w:hint="default"/>
      </w:rPr>
    </w:lvl>
    <w:lvl w:ilvl="7" w:tplc="F5DEDADC" w:tentative="1">
      <w:start w:val="1"/>
      <w:numFmt w:val="bullet"/>
      <w:lvlText w:val="•"/>
      <w:lvlJc w:val="left"/>
      <w:pPr>
        <w:tabs>
          <w:tab w:val="num" w:pos="5400"/>
        </w:tabs>
        <w:ind w:left="5400" w:hanging="360"/>
      </w:pPr>
      <w:rPr>
        <w:rFonts w:ascii="Arial" w:hAnsi="Arial" w:hint="default"/>
      </w:rPr>
    </w:lvl>
    <w:lvl w:ilvl="8" w:tplc="B7BC2060" w:tentative="1">
      <w:start w:val="1"/>
      <w:numFmt w:val="bullet"/>
      <w:lvlText w:val="•"/>
      <w:lvlJc w:val="left"/>
      <w:pPr>
        <w:tabs>
          <w:tab w:val="num" w:pos="6120"/>
        </w:tabs>
        <w:ind w:left="6120" w:hanging="360"/>
      </w:pPr>
      <w:rPr>
        <w:rFonts w:ascii="Arial" w:hAnsi="Arial" w:hint="default"/>
      </w:rPr>
    </w:lvl>
  </w:abstractNum>
  <w:abstractNum w:abstractNumId="111" w15:restartNumberingAfterBreak="0">
    <w:nsid w:val="77E724F3"/>
    <w:multiLevelType w:val="multilevel"/>
    <w:tmpl w:val="03563F72"/>
    <w:lvl w:ilvl="0">
      <w:start w:val="1"/>
      <w:numFmt w:val="decimal"/>
      <w:lvlText w:val="%1."/>
      <w:lvlJc w:val="left"/>
      <w:pPr>
        <w:ind w:left="372" w:hanging="372"/>
      </w:pPr>
    </w:lvl>
    <w:lvl w:ilvl="1">
      <w:start w:val="1"/>
      <w:numFmt w:val="decimal"/>
      <w:lvlText w:val="%1.%2-"/>
      <w:lvlJc w:val="left"/>
      <w:pPr>
        <w:ind w:left="1428" w:hanging="720"/>
      </w:pPr>
      <w:rPr>
        <w:color w:val="C00000"/>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464" w:hanging="1800"/>
      </w:pPr>
    </w:lvl>
  </w:abstractNum>
  <w:abstractNum w:abstractNumId="112" w15:restartNumberingAfterBreak="0">
    <w:nsid w:val="798667E9"/>
    <w:multiLevelType w:val="hybridMultilevel"/>
    <w:tmpl w:val="40D82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E6F358B"/>
    <w:multiLevelType w:val="hybridMultilevel"/>
    <w:tmpl w:val="CDC831D6"/>
    <w:lvl w:ilvl="0" w:tplc="24F2AB80">
      <w:start w:val="1"/>
      <w:numFmt w:val="bullet"/>
      <w:lvlText w:val="•"/>
      <w:lvlJc w:val="left"/>
      <w:pPr>
        <w:tabs>
          <w:tab w:val="num" w:pos="360"/>
        </w:tabs>
        <w:ind w:left="360" w:hanging="360"/>
      </w:pPr>
      <w:rPr>
        <w:rFonts w:ascii="Arial" w:hAnsi="Arial" w:hint="default"/>
      </w:rPr>
    </w:lvl>
    <w:lvl w:ilvl="1" w:tplc="DD98D0F2" w:tentative="1">
      <w:start w:val="1"/>
      <w:numFmt w:val="bullet"/>
      <w:lvlText w:val="•"/>
      <w:lvlJc w:val="left"/>
      <w:pPr>
        <w:tabs>
          <w:tab w:val="num" w:pos="1080"/>
        </w:tabs>
        <w:ind w:left="1080" w:hanging="360"/>
      </w:pPr>
      <w:rPr>
        <w:rFonts w:ascii="Arial" w:hAnsi="Arial" w:hint="default"/>
      </w:rPr>
    </w:lvl>
    <w:lvl w:ilvl="2" w:tplc="57106C22" w:tentative="1">
      <w:start w:val="1"/>
      <w:numFmt w:val="bullet"/>
      <w:lvlText w:val="•"/>
      <w:lvlJc w:val="left"/>
      <w:pPr>
        <w:tabs>
          <w:tab w:val="num" w:pos="1800"/>
        </w:tabs>
        <w:ind w:left="1800" w:hanging="360"/>
      </w:pPr>
      <w:rPr>
        <w:rFonts w:ascii="Arial" w:hAnsi="Arial" w:hint="default"/>
      </w:rPr>
    </w:lvl>
    <w:lvl w:ilvl="3" w:tplc="BC4C6340" w:tentative="1">
      <w:start w:val="1"/>
      <w:numFmt w:val="bullet"/>
      <w:lvlText w:val="•"/>
      <w:lvlJc w:val="left"/>
      <w:pPr>
        <w:tabs>
          <w:tab w:val="num" w:pos="2520"/>
        </w:tabs>
        <w:ind w:left="2520" w:hanging="360"/>
      </w:pPr>
      <w:rPr>
        <w:rFonts w:ascii="Arial" w:hAnsi="Arial" w:hint="default"/>
      </w:rPr>
    </w:lvl>
    <w:lvl w:ilvl="4" w:tplc="F92CCBB2" w:tentative="1">
      <w:start w:val="1"/>
      <w:numFmt w:val="bullet"/>
      <w:lvlText w:val="•"/>
      <w:lvlJc w:val="left"/>
      <w:pPr>
        <w:tabs>
          <w:tab w:val="num" w:pos="3240"/>
        </w:tabs>
        <w:ind w:left="3240" w:hanging="360"/>
      </w:pPr>
      <w:rPr>
        <w:rFonts w:ascii="Arial" w:hAnsi="Arial" w:hint="default"/>
      </w:rPr>
    </w:lvl>
    <w:lvl w:ilvl="5" w:tplc="1B64147A" w:tentative="1">
      <w:start w:val="1"/>
      <w:numFmt w:val="bullet"/>
      <w:lvlText w:val="•"/>
      <w:lvlJc w:val="left"/>
      <w:pPr>
        <w:tabs>
          <w:tab w:val="num" w:pos="3960"/>
        </w:tabs>
        <w:ind w:left="3960" w:hanging="360"/>
      </w:pPr>
      <w:rPr>
        <w:rFonts w:ascii="Arial" w:hAnsi="Arial" w:hint="default"/>
      </w:rPr>
    </w:lvl>
    <w:lvl w:ilvl="6" w:tplc="06A42F6C" w:tentative="1">
      <w:start w:val="1"/>
      <w:numFmt w:val="bullet"/>
      <w:lvlText w:val="•"/>
      <w:lvlJc w:val="left"/>
      <w:pPr>
        <w:tabs>
          <w:tab w:val="num" w:pos="4680"/>
        </w:tabs>
        <w:ind w:left="4680" w:hanging="360"/>
      </w:pPr>
      <w:rPr>
        <w:rFonts w:ascii="Arial" w:hAnsi="Arial" w:hint="default"/>
      </w:rPr>
    </w:lvl>
    <w:lvl w:ilvl="7" w:tplc="AF664D6C" w:tentative="1">
      <w:start w:val="1"/>
      <w:numFmt w:val="bullet"/>
      <w:lvlText w:val="•"/>
      <w:lvlJc w:val="left"/>
      <w:pPr>
        <w:tabs>
          <w:tab w:val="num" w:pos="5400"/>
        </w:tabs>
        <w:ind w:left="5400" w:hanging="360"/>
      </w:pPr>
      <w:rPr>
        <w:rFonts w:ascii="Arial" w:hAnsi="Arial" w:hint="default"/>
      </w:rPr>
    </w:lvl>
    <w:lvl w:ilvl="8" w:tplc="AF3AD1D4" w:tentative="1">
      <w:start w:val="1"/>
      <w:numFmt w:val="bullet"/>
      <w:lvlText w:val="•"/>
      <w:lvlJc w:val="left"/>
      <w:pPr>
        <w:tabs>
          <w:tab w:val="num" w:pos="6120"/>
        </w:tabs>
        <w:ind w:left="6120" w:hanging="360"/>
      </w:pPr>
      <w:rPr>
        <w:rFonts w:ascii="Arial" w:hAnsi="Arial" w:hint="default"/>
      </w:rPr>
    </w:lvl>
  </w:abstractNum>
  <w:abstractNum w:abstractNumId="114" w15:restartNumberingAfterBreak="0">
    <w:nsid w:val="7EDA4402"/>
    <w:multiLevelType w:val="multilevel"/>
    <w:tmpl w:val="9E361A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7EF41C57"/>
    <w:multiLevelType w:val="hybridMultilevel"/>
    <w:tmpl w:val="BA46C2EE"/>
    <w:lvl w:ilvl="0" w:tplc="DFCC5484">
      <w:start w:val="1"/>
      <w:numFmt w:val="bullet"/>
      <w:lvlText w:val="•"/>
      <w:lvlJc w:val="left"/>
      <w:pPr>
        <w:tabs>
          <w:tab w:val="num" w:pos="360"/>
        </w:tabs>
        <w:ind w:left="360" w:hanging="360"/>
      </w:pPr>
      <w:rPr>
        <w:rFonts w:ascii="Arial" w:hAnsi="Arial" w:hint="default"/>
      </w:rPr>
    </w:lvl>
    <w:lvl w:ilvl="1" w:tplc="B3EA9AB4" w:tentative="1">
      <w:start w:val="1"/>
      <w:numFmt w:val="bullet"/>
      <w:lvlText w:val="•"/>
      <w:lvlJc w:val="left"/>
      <w:pPr>
        <w:tabs>
          <w:tab w:val="num" w:pos="1080"/>
        </w:tabs>
        <w:ind w:left="1080" w:hanging="360"/>
      </w:pPr>
      <w:rPr>
        <w:rFonts w:ascii="Arial" w:hAnsi="Arial" w:hint="default"/>
      </w:rPr>
    </w:lvl>
    <w:lvl w:ilvl="2" w:tplc="9B4ADC68" w:tentative="1">
      <w:start w:val="1"/>
      <w:numFmt w:val="bullet"/>
      <w:lvlText w:val="•"/>
      <w:lvlJc w:val="left"/>
      <w:pPr>
        <w:tabs>
          <w:tab w:val="num" w:pos="1800"/>
        </w:tabs>
        <w:ind w:left="1800" w:hanging="360"/>
      </w:pPr>
      <w:rPr>
        <w:rFonts w:ascii="Arial" w:hAnsi="Arial" w:hint="default"/>
      </w:rPr>
    </w:lvl>
    <w:lvl w:ilvl="3" w:tplc="3634CC28" w:tentative="1">
      <w:start w:val="1"/>
      <w:numFmt w:val="bullet"/>
      <w:lvlText w:val="•"/>
      <w:lvlJc w:val="left"/>
      <w:pPr>
        <w:tabs>
          <w:tab w:val="num" w:pos="2520"/>
        </w:tabs>
        <w:ind w:left="2520" w:hanging="360"/>
      </w:pPr>
      <w:rPr>
        <w:rFonts w:ascii="Arial" w:hAnsi="Arial" w:hint="default"/>
      </w:rPr>
    </w:lvl>
    <w:lvl w:ilvl="4" w:tplc="C214025E" w:tentative="1">
      <w:start w:val="1"/>
      <w:numFmt w:val="bullet"/>
      <w:lvlText w:val="•"/>
      <w:lvlJc w:val="left"/>
      <w:pPr>
        <w:tabs>
          <w:tab w:val="num" w:pos="3240"/>
        </w:tabs>
        <w:ind w:left="3240" w:hanging="360"/>
      </w:pPr>
      <w:rPr>
        <w:rFonts w:ascii="Arial" w:hAnsi="Arial" w:hint="default"/>
      </w:rPr>
    </w:lvl>
    <w:lvl w:ilvl="5" w:tplc="15085B06" w:tentative="1">
      <w:start w:val="1"/>
      <w:numFmt w:val="bullet"/>
      <w:lvlText w:val="•"/>
      <w:lvlJc w:val="left"/>
      <w:pPr>
        <w:tabs>
          <w:tab w:val="num" w:pos="3960"/>
        </w:tabs>
        <w:ind w:left="3960" w:hanging="360"/>
      </w:pPr>
      <w:rPr>
        <w:rFonts w:ascii="Arial" w:hAnsi="Arial" w:hint="default"/>
      </w:rPr>
    </w:lvl>
    <w:lvl w:ilvl="6" w:tplc="57F241A2" w:tentative="1">
      <w:start w:val="1"/>
      <w:numFmt w:val="bullet"/>
      <w:lvlText w:val="•"/>
      <w:lvlJc w:val="left"/>
      <w:pPr>
        <w:tabs>
          <w:tab w:val="num" w:pos="4680"/>
        </w:tabs>
        <w:ind w:left="4680" w:hanging="360"/>
      </w:pPr>
      <w:rPr>
        <w:rFonts w:ascii="Arial" w:hAnsi="Arial" w:hint="default"/>
      </w:rPr>
    </w:lvl>
    <w:lvl w:ilvl="7" w:tplc="42B80414" w:tentative="1">
      <w:start w:val="1"/>
      <w:numFmt w:val="bullet"/>
      <w:lvlText w:val="•"/>
      <w:lvlJc w:val="left"/>
      <w:pPr>
        <w:tabs>
          <w:tab w:val="num" w:pos="5400"/>
        </w:tabs>
        <w:ind w:left="5400" w:hanging="360"/>
      </w:pPr>
      <w:rPr>
        <w:rFonts w:ascii="Arial" w:hAnsi="Arial" w:hint="default"/>
      </w:rPr>
    </w:lvl>
    <w:lvl w:ilvl="8" w:tplc="D6BEE29E" w:tentative="1">
      <w:start w:val="1"/>
      <w:numFmt w:val="bullet"/>
      <w:lvlText w:val="•"/>
      <w:lvlJc w:val="left"/>
      <w:pPr>
        <w:tabs>
          <w:tab w:val="num" w:pos="6120"/>
        </w:tabs>
        <w:ind w:left="6120" w:hanging="360"/>
      </w:pPr>
      <w:rPr>
        <w:rFonts w:ascii="Arial" w:hAnsi="Arial" w:hint="default"/>
      </w:rPr>
    </w:lvl>
  </w:abstractNum>
  <w:num w:numId="1">
    <w:abstractNumId w:val="28"/>
  </w:num>
  <w:num w:numId="2">
    <w:abstractNumId w:val="28"/>
  </w:num>
  <w:num w:numId="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66"/>
  </w:num>
  <w:num w:numId="6">
    <w:abstractNumId w:val="39"/>
  </w:num>
  <w:num w:numId="7">
    <w:abstractNumId w:val="99"/>
  </w:num>
  <w:num w:numId="8">
    <w:abstractNumId w:val="2"/>
  </w:num>
  <w:num w:numId="9">
    <w:abstractNumId w:val="26"/>
  </w:num>
  <w:num w:numId="10">
    <w:abstractNumId w:val="60"/>
  </w:num>
  <w:num w:numId="11">
    <w:abstractNumId w:val="41"/>
  </w:num>
  <w:num w:numId="12">
    <w:abstractNumId w:val="96"/>
  </w:num>
  <w:num w:numId="13">
    <w:abstractNumId w:val="70"/>
  </w:num>
  <w:num w:numId="14">
    <w:abstractNumId w:val="107"/>
  </w:num>
  <w:num w:numId="15">
    <w:abstractNumId w:val="52"/>
  </w:num>
  <w:num w:numId="16">
    <w:abstractNumId w:val="110"/>
  </w:num>
  <w:num w:numId="17">
    <w:abstractNumId w:val="80"/>
  </w:num>
  <w:num w:numId="18">
    <w:abstractNumId w:val="53"/>
  </w:num>
  <w:num w:numId="19">
    <w:abstractNumId w:val="50"/>
  </w:num>
  <w:num w:numId="20">
    <w:abstractNumId w:val="21"/>
  </w:num>
  <w:num w:numId="21">
    <w:abstractNumId w:val="59"/>
  </w:num>
  <w:num w:numId="22">
    <w:abstractNumId w:val="79"/>
  </w:num>
  <w:num w:numId="23">
    <w:abstractNumId w:val="90"/>
  </w:num>
  <w:num w:numId="24">
    <w:abstractNumId w:val="5"/>
  </w:num>
  <w:num w:numId="25">
    <w:abstractNumId w:val="77"/>
  </w:num>
  <w:num w:numId="26">
    <w:abstractNumId w:val="113"/>
  </w:num>
  <w:num w:numId="27">
    <w:abstractNumId w:val="73"/>
  </w:num>
  <w:num w:numId="28">
    <w:abstractNumId w:val="86"/>
  </w:num>
  <w:num w:numId="29">
    <w:abstractNumId w:val="12"/>
  </w:num>
  <w:num w:numId="30">
    <w:abstractNumId w:val="76"/>
  </w:num>
  <w:num w:numId="31">
    <w:abstractNumId w:val="63"/>
  </w:num>
  <w:num w:numId="32">
    <w:abstractNumId w:val="23"/>
  </w:num>
  <w:num w:numId="33">
    <w:abstractNumId w:val="65"/>
  </w:num>
  <w:num w:numId="34">
    <w:abstractNumId w:val="105"/>
  </w:num>
  <w:num w:numId="35">
    <w:abstractNumId w:val="8"/>
  </w:num>
  <w:num w:numId="36">
    <w:abstractNumId w:val="85"/>
  </w:num>
  <w:num w:numId="37">
    <w:abstractNumId w:val="115"/>
  </w:num>
  <w:num w:numId="38">
    <w:abstractNumId w:val="11"/>
  </w:num>
  <w:num w:numId="39">
    <w:abstractNumId w:val="38"/>
  </w:num>
  <w:num w:numId="40">
    <w:abstractNumId w:val="48"/>
  </w:num>
  <w:num w:numId="41">
    <w:abstractNumId w:val="61"/>
  </w:num>
  <w:num w:numId="42">
    <w:abstractNumId w:val="55"/>
  </w:num>
  <w:num w:numId="43">
    <w:abstractNumId w:val="56"/>
  </w:num>
  <w:num w:numId="44">
    <w:abstractNumId w:val="108"/>
  </w:num>
  <w:num w:numId="45">
    <w:abstractNumId w:val="64"/>
  </w:num>
  <w:num w:numId="46">
    <w:abstractNumId w:val="31"/>
  </w:num>
  <w:num w:numId="47">
    <w:abstractNumId w:val="58"/>
  </w:num>
  <w:num w:numId="48">
    <w:abstractNumId w:val="17"/>
  </w:num>
  <w:num w:numId="49">
    <w:abstractNumId w:val="14"/>
  </w:num>
  <w:num w:numId="50">
    <w:abstractNumId w:val="84"/>
  </w:num>
  <w:num w:numId="51">
    <w:abstractNumId w:val="109"/>
  </w:num>
  <w:num w:numId="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69"/>
  </w:num>
  <w:num w:numId="56">
    <w:abstractNumId w:val="36"/>
  </w:num>
  <w:num w:numId="57">
    <w:abstractNumId w:val="98"/>
  </w:num>
  <w:num w:numId="58">
    <w:abstractNumId w:val="13"/>
  </w:num>
  <w:num w:numId="59">
    <w:abstractNumId w:val="16"/>
  </w:num>
  <w:num w:numId="60">
    <w:abstractNumId w:val="49"/>
  </w:num>
  <w:num w:numId="61">
    <w:abstractNumId w:val="100"/>
  </w:num>
  <w:num w:numId="62">
    <w:abstractNumId w:val="3"/>
  </w:num>
  <w:num w:numId="63">
    <w:abstractNumId w:val="93"/>
  </w:num>
  <w:num w:numId="64">
    <w:abstractNumId w:val="112"/>
  </w:num>
  <w:num w:numId="65">
    <w:abstractNumId w:val="10"/>
  </w:num>
  <w:num w:numId="66">
    <w:abstractNumId w:val="54"/>
  </w:num>
  <w:num w:numId="67">
    <w:abstractNumId w:val="20"/>
  </w:num>
  <w:num w:numId="68">
    <w:abstractNumId w:val="92"/>
  </w:num>
  <w:num w:numId="69">
    <w:abstractNumId w:val="91"/>
  </w:num>
  <w:num w:numId="70">
    <w:abstractNumId w:val="4"/>
  </w:num>
  <w:num w:numId="71">
    <w:abstractNumId w:val="15"/>
  </w:num>
  <w:num w:numId="72">
    <w:abstractNumId w:val="45"/>
  </w:num>
  <w:num w:numId="73">
    <w:abstractNumId w:val="68"/>
  </w:num>
  <w:num w:numId="74">
    <w:abstractNumId w:val="7"/>
  </w:num>
  <w:num w:numId="75">
    <w:abstractNumId w:val="9"/>
  </w:num>
  <w:num w:numId="76">
    <w:abstractNumId w:val="47"/>
  </w:num>
  <w:num w:numId="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num>
  <w:num w:numId="79">
    <w:abstractNumId w:val="0"/>
  </w:num>
  <w:num w:numId="80">
    <w:abstractNumId w:val="18"/>
  </w:num>
  <w:num w:numId="81">
    <w:abstractNumId w:val="97"/>
  </w:num>
  <w:num w:numId="82">
    <w:abstractNumId w:val="97"/>
  </w:num>
  <w:num w:numId="83">
    <w:abstractNumId w:val="71"/>
  </w:num>
  <w:num w:numId="84">
    <w:abstractNumId w:val="71"/>
  </w:num>
  <w:num w:numId="85">
    <w:abstractNumId w:val="32"/>
  </w:num>
  <w:num w:numId="86">
    <w:abstractNumId w:val="32"/>
  </w:num>
  <w:num w:numId="87">
    <w:abstractNumId w:val="35"/>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num>
  <w:num w:numId="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num>
  <w:num w:numId="92">
    <w:abstractNumId w:val="29"/>
  </w:num>
  <w:num w:numId="93">
    <w:abstractNumId w:val="34"/>
  </w:num>
  <w:num w:numId="94">
    <w:abstractNumId w:val="34"/>
  </w:num>
  <w:num w:numId="95">
    <w:abstractNumId w:val="24"/>
  </w:num>
  <w:num w:numId="96">
    <w:abstractNumId w:val="24"/>
  </w:num>
  <w:num w:numId="97">
    <w:abstractNumId w:val="51"/>
  </w:num>
  <w:num w:numId="98">
    <w:abstractNumId w:val="51"/>
  </w:num>
  <w:num w:numId="99">
    <w:abstractNumId w:val="62"/>
  </w:num>
  <w:num w:numId="100">
    <w:abstractNumId w:val="62"/>
  </w:num>
  <w:num w:numId="101">
    <w:abstractNumId w:val="87"/>
  </w:num>
  <w:num w:numId="10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5"/>
  </w:num>
  <w:num w:numId="10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0"/>
  </w:num>
  <w:num w:numId="107">
    <w:abstractNumId w:val="70"/>
  </w:num>
  <w:num w:numId="108">
    <w:abstractNumId w:val="110"/>
  </w:num>
  <w:num w:numId="109">
    <w:abstractNumId w:val="90"/>
  </w:num>
  <w:num w:numId="110">
    <w:abstractNumId w:val="85"/>
  </w:num>
  <w:num w:numId="111">
    <w:abstractNumId w:val="38"/>
  </w:num>
  <w:num w:numId="112">
    <w:abstractNumId w:val="115"/>
  </w:num>
  <w:num w:numId="113">
    <w:abstractNumId w:val="48"/>
  </w:num>
  <w:num w:numId="114">
    <w:abstractNumId w:val="11"/>
  </w:num>
  <w:num w:numId="115">
    <w:abstractNumId w:val="61"/>
  </w:num>
  <w:num w:numId="116">
    <w:abstractNumId w:val="55"/>
  </w:num>
  <w:num w:numId="117">
    <w:abstractNumId w:val="30"/>
  </w:num>
  <w:num w:numId="118">
    <w:abstractNumId w:val="30"/>
  </w:num>
  <w:num w:numId="119">
    <w:abstractNumId w:val="6"/>
  </w:num>
  <w:num w:numId="120">
    <w:abstractNumId w:val="6"/>
  </w:num>
  <w:num w:numId="121">
    <w:abstractNumId w:val="28"/>
  </w:num>
  <w:num w:numId="122">
    <w:abstractNumId w:val="88"/>
  </w:num>
  <w:num w:numId="123">
    <w:abstractNumId w:val="82"/>
  </w:num>
  <w:num w:numId="124">
    <w:abstractNumId w:val="56"/>
  </w:num>
  <w:num w:numId="125">
    <w:abstractNumId w:val="15"/>
  </w:num>
  <w:num w:numId="12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num>
  <w:num w:numId="129">
    <w:abstractNumId w:val="84"/>
  </w:num>
  <w:num w:numId="130">
    <w:abstractNumId w:val="109"/>
  </w:num>
  <w:num w:numId="131">
    <w:abstractNumId w:val="103"/>
  </w:num>
  <w:num w:numId="132">
    <w:abstractNumId w:val="81"/>
    <w:lvlOverride w:ilvl="0">
      <w:startOverride w:val="1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9"/>
  </w:num>
  <w:num w:numId="136">
    <w:abstractNumId w:val="57"/>
  </w:num>
  <w:num w:numId="137">
    <w:abstractNumId w:val="43"/>
  </w:num>
  <w:num w:numId="138">
    <w:abstractNumId w:val="102"/>
  </w:num>
  <w:num w:numId="139">
    <w:abstractNumId w:val="114"/>
  </w:num>
  <w:num w:numId="140">
    <w:abstractNumId w:val="72"/>
  </w:num>
  <w:num w:numId="141">
    <w:abstractNumId w:val="104"/>
  </w:num>
  <w:num w:numId="142">
    <w:abstractNumId w:val="46"/>
  </w:num>
  <w:num w:numId="143">
    <w:abstractNumId w:val="67"/>
  </w:num>
  <w:num w:numId="144">
    <w:abstractNumId w:val="19"/>
  </w:num>
  <w:num w:numId="145">
    <w:abstractNumId w:val="40"/>
  </w:num>
  <w:num w:numId="146">
    <w:abstractNumId w:val="74"/>
  </w:num>
  <w:num w:numId="147">
    <w:abstractNumId w:val="25"/>
  </w:num>
  <w:num w:numId="148">
    <w:abstractNumId w:val="37"/>
  </w:num>
  <w:num w:numId="1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2"/>
  </w:num>
  <w:num w:numId="152">
    <w:abstractNumId w:val="94"/>
  </w:num>
  <w:num w:numId="153">
    <w:abstractNumId w:val="27"/>
  </w:num>
  <w:num w:numId="154">
    <w:abstractNumId w:val="1"/>
  </w:num>
  <w:num w:numId="155">
    <w:abstractNumId w:val="83"/>
  </w:num>
  <w:num w:numId="156">
    <w:abstractNumId w:val="42"/>
  </w:num>
  <w:num w:numId="157">
    <w:abstractNumId w:val="75"/>
  </w:num>
  <w:num w:numId="158">
    <w:abstractNumId w:val="10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5F5"/>
    <w:rsid w:val="00000A10"/>
    <w:rsid w:val="00000D87"/>
    <w:rsid w:val="00001183"/>
    <w:rsid w:val="000014A1"/>
    <w:rsid w:val="000019FC"/>
    <w:rsid w:val="00002222"/>
    <w:rsid w:val="000024CE"/>
    <w:rsid w:val="000027A3"/>
    <w:rsid w:val="00002968"/>
    <w:rsid w:val="00002B70"/>
    <w:rsid w:val="00002C4F"/>
    <w:rsid w:val="00002DFB"/>
    <w:rsid w:val="0000385F"/>
    <w:rsid w:val="00004AED"/>
    <w:rsid w:val="00004B0B"/>
    <w:rsid w:val="00004D9F"/>
    <w:rsid w:val="00005122"/>
    <w:rsid w:val="000054E0"/>
    <w:rsid w:val="000054F9"/>
    <w:rsid w:val="0000571B"/>
    <w:rsid w:val="000103F0"/>
    <w:rsid w:val="00010A40"/>
    <w:rsid w:val="00010C59"/>
    <w:rsid w:val="00011958"/>
    <w:rsid w:val="000122D9"/>
    <w:rsid w:val="000123F4"/>
    <w:rsid w:val="000132A5"/>
    <w:rsid w:val="000133E4"/>
    <w:rsid w:val="00013CCB"/>
    <w:rsid w:val="00013DB2"/>
    <w:rsid w:val="00014842"/>
    <w:rsid w:val="00014908"/>
    <w:rsid w:val="00014D5E"/>
    <w:rsid w:val="000154AF"/>
    <w:rsid w:val="00015943"/>
    <w:rsid w:val="00015F3D"/>
    <w:rsid w:val="0001609E"/>
    <w:rsid w:val="0001612B"/>
    <w:rsid w:val="000168E5"/>
    <w:rsid w:val="000173D3"/>
    <w:rsid w:val="00017513"/>
    <w:rsid w:val="00020603"/>
    <w:rsid w:val="00020AC3"/>
    <w:rsid w:val="00020BB7"/>
    <w:rsid w:val="000211AD"/>
    <w:rsid w:val="00021E5E"/>
    <w:rsid w:val="00022289"/>
    <w:rsid w:val="00022576"/>
    <w:rsid w:val="00022B6C"/>
    <w:rsid w:val="00022BA0"/>
    <w:rsid w:val="00023326"/>
    <w:rsid w:val="00023B39"/>
    <w:rsid w:val="0002471E"/>
    <w:rsid w:val="00024BFF"/>
    <w:rsid w:val="000254CA"/>
    <w:rsid w:val="0002555D"/>
    <w:rsid w:val="00025795"/>
    <w:rsid w:val="00025E56"/>
    <w:rsid w:val="000268D5"/>
    <w:rsid w:val="00030B35"/>
    <w:rsid w:val="0003286F"/>
    <w:rsid w:val="00032964"/>
    <w:rsid w:val="00032B61"/>
    <w:rsid w:val="00032CFC"/>
    <w:rsid w:val="00032F38"/>
    <w:rsid w:val="0003383A"/>
    <w:rsid w:val="00033CA3"/>
    <w:rsid w:val="000340A3"/>
    <w:rsid w:val="0003427F"/>
    <w:rsid w:val="000348F8"/>
    <w:rsid w:val="00034A8A"/>
    <w:rsid w:val="00034CF6"/>
    <w:rsid w:val="00035210"/>
    <w:rsid w:val="00036B61"/>
    <w:rsid w:val="00037259"/>
    <w:rsid w:val="00037BC6"/>
    <w:rsid w:val="00037F53"/>
    <w:rsid w:val="000412F0"/>
    <w:rsid w:val="000413D9"/>
    <w:rsid w:val="00041DD3"/>
    <w:rsid w:val="000423ED"/>
    <w:rsid w:val="0004262D"/>
    <w:rsid w:val="000428A1"/>
    <w:rsid w:val="00042ADF"/>
    <w:rsid w:val="0004300B"/>
    <w:rsid w:val="000447F2"/>
    <w:rsid w:val="0004486D"/>
    <w:rsid w:val="00044C19"/>
    <w:rsid w:val="00044EDD"/>
    <w:rsid w:val="000455C0"/>
    <w:rsid w:val="00045BB4"/>
    <w:rsid w:val="00046DCC"/>
    <w:rsid w:val="0005127D"/>
    <w:rsid w:val="00052400"/>
    <w:rsid w:val="0005281B"/>
    <w:rsid w:val="00052903"/>
    <w:rsid w:val="00052A73"/>
    <w:rsid w:val="00053B45"/>
    <w:rsid w:val="00054033"/>
    <w:rsid w:val="000543FC"/>
    <w:rsid w:val="000546D0"/>
    <w:rsid w:val="0005585B"/>
    <w:rsid w:val="00055FBB"/>
    <w:rsid w:val="00056499"/>
    <w:rsid w:val="00056E6B"/>
    <w:rsid w:val="00056E9F"/>
    <w:rsid w:val="00057B8D"/>
    <w:rsid w:val="0006172A"/>
    <w:rsid w:val="00061E03"/>
    <w:rsid w:val="00064184"/>
    <w:rsid w:val="0006526D"/>
    <w:rsid w:val="00065591"/>
    <w:rsid w:val="000661E7"/>
    <w:rsid w:val="000661FA"/>
    <w:rsid w:val="00067E68"/>
    <w:rsid w:val="00070831"/>
    <w:rsid w:val="00071581"/>
    <w:rsid w:val="00072570"/>
    <w:rsid w:val="00072AF3"/>
    <w:rsid w:val="000738D1"/>
    <w:rsid w:val="00073975"/>
    <w:rsid w:val="00073DEF"/>
    <w:rsid w:val="00074817"/>
    <w:rsid w:val="00074D0C"/>
    <w:rsid w:val="00074DBD"/>
    <w:rsid w:val="000755E8"/>
    <w:rsid w:val="000766D9"/>
    <w:rsid w:val="00076A2B"/>
    <w:rsid w:val="000770E5"/>
    <w:rsid w:val="000774AE"/>
    <w:rsid w:val="000774B0"/>
    <w:rsid w:val="000776F9"/>
    <w:rsid w:val="0008195B"/>
    <w:rsid w:val="0008213B"/>
    <w:rsid w:val="000827D0"/>
    <w:rsid w:val="000829EB"/>
    <w:rsid w:val="00082BE9"/>
    <w:rsid w:val="00082DCF"/>
    <w:rsid w:val="00082FCE"/>
    <w:rsid w:val="00083277"/>
    <w:rsid w:val="00084047"/>
    <w:rsid w:val="00084113"/>
    <w:rsid w:val="00085292"/>
    <w:rsid w:val="00085665"/>
    <w:rsid w:val="00086112"/>
    <w:rsid w:val="0008654C"/>
    <w:rsid w:val="000868C7"/>
    <w:rsid w:val="00086E7E"/>
    <w:rsid w:val="000875F0"/>
    <w:rsid w:val="00087C8B"/>
    <w:rsid w:val="00090533"/>
    <w:rsid w:val="00090F9E"/>
    <w:rsid w:val="000910C7"/>
    <w:rsid w:val="000910FA"/>
    <w:rsid w:val="00092B77"/>
    <w:rsid w:val="00093575"/>
    <w:rsid w:val="000938BF"/>
    <w:rsid w:val="00093A9A"/>
    <w:rsid w:val="00093D58"/>
    <w:rsid w:val="00094301"/>
    <w:rsid w:val="00094C62"/>
    <w:rsid w:val="0009511A"/>
    <w:rsid w:val="00095535"/>
    <w:rsid w:val="00095E9C"/>
    <w:rsid w:val="00095F26"/>
    <w:rsid w:val="00096043"/>
    <w:rsid w:val="00096C2A"/>
    <w:rsid w:val="0009744F"/>
    <w:rsid w:val="00097644"/>
    <w:rsid w:val="000978EB"/>
    <w:rsid w:val="000A026A"/>
    <w:rsid w:val="000A0790"/>
    <w:rsid w:val="000A1A02"/>
    <w:rsid w:val="000A1C74"/>
    <w:rsid w:val="000A2111"/>
    <w:rsid w:val="000A2990"/>
    <w:rsid w:val="000A2C44"/>
    <w:rsid w:val="000A43A7"/>
    <w:rsid w:val="000A4584"/>
    <w:rsid w:val="000A5AE3"/>
    <w:rsid w:val="000A5C98"/>
    <w:rsid w:val="000A67ED"/>
    <w:rsid w:val="000A77C8"/>
    <w:rsid w:val="000B04ED"/>
    <w:rsid w:val="000B05F5"/>
    <w:rsid w:val="000B0C85"/>
    <w:rsid w:val="000B0E92"/>
    <w:rsid w:val="000B152C"/>
    <w:rsid w:val="000B1D99"/>
    <w:rsid w:val="000B3731"/>
    <w:rsid w:val="000B3A85"/>
    <w:rsid w:val="000B7347"/>
    <w:rsid w:val="000C002C"/>
    <w:rsid w:val="000C03DE"/>
    <w:rsid w:val="000C0B06"/>
    <w:rsid w:val="000C1582"/>
    <w:rsid w:val="000C1814"/>
    <w:rsid w:val="000C1A49"/>
    <w:rsid w:val="000C1CBA"/>
    <w:rsid w:val="000C2287"/>
    <w:rsid w:val="000C22CF"/>
    <w:rsid w:val="000C3271"/>
    <w:rsid w:val="000C3862"/>
    <w:rsid w:val="000C3BE6"/>
    <w:rsid w:val="000C41FD"/>
    <w:rsid w:val="000C4A63"/>
    <w:rsid w:val="000C55F9"/>
    <w:rsid w:val="000C746F"/>
    <w:rsid w:val="000D0199"/>
    <w:rsid w:val="000D039C"/>
    <w:rsid w:val="000D108D"/>
    <w:rsid w:val="000D15A8"/>
    <w:rsid w:val="000D2273"/>
    <w:rsid w:val="000D259F"/>
    <w:rsid w:val="000D2853"/>
    <w:rsid w:val="000D2C43"/>
    <w:rsid w:val="000D45B0"/>
    <w:rsid w:val="000D490B"/>
    <w:rsid w:val="000D497C"/>
    <w:rsid w:val="000D52B2"/>
    <w:rsid w:val="000D6097"/>
    <w:rsid w:val="000D649E"/>
    <w:rsid w:val="000D6786"/>
    <w:rsid w:val="000D7B37"/>
    <w:rsid w:val="000D7C3B"/>
    <w:rsid w:val="000E0A28"/>
    <w:rsid w:val="000E0BAC"/>
    <w:rsid w:val="000E1278"/>
    <w:rsid w:val="000E15A2"/>
    <w:rsid w:val="000E17A3"/>
    <w:rsid w:val="000E2C3A"/>
    <w:rsid w:val="000E3387"/>
    <w:rsid w:val="000E339C"/>
    <w:rsid w:val="000E364C"/>
    <w:rsid w:val="000E4250"/>
    <w:rsid w:val="000E4339"/>
    <w:rsid w:val="000E491D"/>
    <w:rsid w:val="000E4AFC"/>
    <w:rsid w:val="000E4F36"/>
    <w:rsid w:val="000E64F4"/>
    <w:rsid w:val="000E655F"/>
    <w:rsid w:val="000E6620"/>
    <w:rsid w:val="000E7305"/>
    <w:rsid w:val="000E7594"/>
    <w:rsid w:val="000E7834"/>
    <w:rsid w:val="000E7EED"/>
    <w:rsid w:val="000F05BE"/>
    <w:rsid w:val="000F061D"/>
    <w:rsid w:val="000F074D"/>
    <w:rsid w:val="000F0F1B"/>
    <w:rsid w:val="000F1163"/>
    <w:rsid w:val="000F3744"/>
    <w:rsid w:val="000F4684"/>
    <w:rsid w:val="000F4731"/>
    <w:rsid w:val="000F4821"/>
    <w:rsid w:val="000F49A3"/>
    <w:rsid w:val="000F4E63"/>
    <w:rsid w:val="000F4EAC"/>
    <w:rsid w:val="000F4ED1"/>
    <w:rsid w:val="000F5DCD"/>
    <w:rsid w:val="000F783A"/>
    <w:rsid w:val="00102741"/>
    <w:rsid w:val="00102D24"/>
    <w:rsid w:val="00102EC6"/>
    <w:rsid w:val="00103B44"/>
    <w:rsid w:val="00103BAD"/>
    <w:rsid w:val="00103BE1"/>
    <w:rsid w:val="00104EF8"/>
    <w:rsid w:val="00105615"/>
    <w:rsid w:val="00105AC7"/>
    <w:rsid w:val="00106F1F"/>
    <w:rsid w:val="00107249"/>
    <w:rsid w:val="00107A4D"/>
    <w:rsid w:val="00107EDD"/>
    <w:rsid w:val="00110360"/>
    <w:rsid w:val="00110A1D"/>
    <w:rsid w:val="00111811"/>
    <w:rsid w:val="0011323F"/>
    <w:rsid w:val="00113476"/>
    <w:rsid w:val="00113734"/>
    <w:rsid w:val="00113EDD"/>
    <w:rsid w:val="00114CDB"/>
    <w:rsid w:val="00114FAB"/>
    <w:rsid w:val="00115F76"/>
    <w:rsid w:val="001164DA"/>
    <w:rsid w:val="00116580"/>
    <w:rsid w:val="00116ED1"/>
    <w:rsid w:val="00121E98"/>
    <w:rsid w:val="00122075"/>
    <w:rsid w:val="001221F1"/>
    <w:rsid w:val="001236A6"/>
    <w:rsid w:val="00124251"/>
    <w:rsid w:val="00124978"/>
    <w:rsid w:val="00124ADC"/>
    <w:rsid w:val="00124EA4"/>
    <w:rsid w:val="00125443"/>
    <w:rsid w:val="00126E75"/>
    <w:rsid w:val="00127E5D"/>
    <w:rsid w:val="00131F61"/>
    <w:rsid w:val="00131FB9"/>
    <w:rsid w:val="0013232C"/>
    <w:rsid w:val="00132C8B"/>
    <w:rsid w:val="001334B5"/>
    <w:rsid w:val="00133651"/>
    <w:rsid w:val="00133E52"/>
    <w:rsid w:val="00135C8F"/>
    <w:rsid w:val="00135E19"/>
    <w:rsid w:val="00136BD8"/>
    <w:rsid w:val="0013741C"/>
    <w:rsid w:val="00137F94"/>
    <w:rsid w:val="0014139F"/>
    <w:rsid w:val="00141A11"/>
    <w:rsid w:val="001433F1"/>
    <w:rsid w:val="00143FC4"/>
    <w:rsid w:val="00144590"/>
    <w:rsid w:val="00145117"/>
    <w:rsid w:val="00145265"/>
    <w:rsid w:val="00145ACD"/>
    <w:rsid w:val="00145F95"/>
    <w:rsid w:val="00147872"/>
    <w:rsid w:val="001508A9"/>
    <w:rsid w:val="00150FFF"/>
    <w:rsid w:val="00151BBE"/>
    <w:rsid w:val="0015275F"/>
    <w:rsid w:val="00153C74"/>
    <w:rsid w:val="00154CDF"/>
    <w:rsid w:val="0015503F"/>
    <w:rsid w:val="0015557B"/>
    <w:rsid w:val="001557A3"/>
    <w:rsid w:val="001562C8"/>
    <w:rsid w:val="00156323"/>
    <w:rsid w:val="00156353"/>
    <w:rsid w:val="001569E5"/>
    <w:rsid w:val="00160D6A"/>
    <w:rsid w:val="001611DC"/>
    <w:rsid w:val="00161C9C"/>
    <w:rsid w:val="00161DE2"/>
    <w:rsid w:val="00161E4C"/>
    <w:rsid w:val="0016280F"/>
    <w:rsid w:val="00165554"/>
    <w:rsid w:val="0016570C"/>
    <w:rsid w:val="00165CA7"/>
    <w:rsid w:val="00165D85"/>
    <w:rsid w:val="00166A5C"/>
    <w:rsid w:val="00166BF9"/>
    <w:rsid w:val="00167389"/>
    <w:rsid w:val="00167B7A"/>
    <w:rsid w:val="00167E0C"/>
    <w:rsid w:val="00167EA1"/>
    <w:rsid w:val="00167F83"/>
    <w:rsid w:val="00170016"/>
    <w:rsid w:val="001703DF"/>
    <w:rsid w:val="00170622"/>
    <w:rsid w:val="001713FA"/>
    <w:rsid w:val="00171483"/>
    <w:rsid w:val="00171547"/>
    <w:rsid w:val="00171F7F"/>
    <w:rsid w:val="00173328"/>
    <w:rsid w:val="001733DC"/>
    <w:rsid w:val="00174371"/>
    <w:rsid w:val="00174D47"/>
    <w:rsid w:val="00174EFB"/>
    <w:rsid w:val="001754B5"/>
    <w:rsid w:val="001759BD"/>
    <w:rsid w:val="00175A24"/>
    <w:rsid w:val="00175B76"/>
    <w:rsid w:val="00176619"/>
    <w:rsid w:val="00177A56"/>
    <w:rsid w:val="00177C4B"/>
    <w:rsid w:val="00181EC0"/>
    <w:rsid w:val="00182770"/>
    <w:rsid w:val="00183D71"/>
    <w:rsid w:val="001845B8"/>
    <w:rsid w:val="0018643A"/>
    <w:rsid w:val="001870BB"/>
    <w:rsid w:val="00191153"/>
    <w:rsid w:val="0019176B"/>
    <w:rsid w:val="00191DD8"/>
    <w:rsid w:val="00191E0C"/>
    <w:rsid w:val="00192C86"/>
    <w:rsid w:val="0019331A"/>
    <w:rsid w:val="00193665"/>
    <w:rsid w:val="0019428A"/>
    <w:rsid w:val="001949FF"/>
    <w:rsid w:val="0019574A"/>
    <w:rsid w:val="001966EC"/>
    <w:rsid w:val="00196B8E"/>
    <w:rsid w:val="001979E8"/>
    <w:rsid w:val="001A0F2D"/>
    <w:rsid w:val="001A107A"/>
    <w:rsid w:val="001A1C98"/>
    <w:rsid w:val="001A20A1"/>
    <w:rsid w:val="001A28FC"/>
    <w:rsid w:val="001A38BE"/>
    <w:rsid w:val="001A3FD0"/>
    <w:rsid w:val="001A4D6E"/>
    <w:rsid w:val="001A5142"/>
    <w:rsid w:val="001A549E"/>
    <w:rsid w:val="001A5EBD"/>
    <w:rsid w:val="001A6540"/>
    <w:rsid w:val="001A71EF"/>
    <w:rsid w:val="001A7482"/>
    <w:rsid w:val="001A7B55"/>
    <w:rsid w:val="001B005E"/>
    <w:rsid w:val="001B0159"/>
    <w:rsid w:val="001B07F3"/>
    <w:rsid w:val="001B0886"/>
    <w:rsid w:val="001B0E68"/>
    <w:rsid w:val="001B0FB4"/>
    <w:rsid w:val="001B2578"/>
    <w:rsid w:val="001B38A3"/>
    <w:rsid w:val="001B401D"/>
    <w:rsid w:val="001B4A90"/>
    <w:rsid w:val="001B6706"/>
    <w:rsid w:val="001B7513"/>
    <w:rsid w:val="001B7526"/>
    <w:rsid w:val="001B7B66"/>
    <w:rsid w:val="001B7B7E"/>
    <w:rsid w:val="001C088A"/>
    <w:rsid w:val="001C13AD"/>
    <w:rsid w:val="001C1DC7"/>
    <w:rsid w:val="001C1E1E"/>
    <w:rsid w:val="001C268B"/>
    <w:rsid w:val="001C33D9"/>
    <w:rsid w:val="001C3E12"/>
    <w:rsid w:val="001C4CBE"/>
    <w:rsid w:val="001C56E6"/>
    <w:rsid w:val="001C5A65"/>
    <w:rsid w:val="001C601E"/>
    <w:rsid w:val="001C6ED3"/>
    <w:rsid w:val="001C70F3"/>
    <w:rsid w:val="001C71AD"/>
    <w:rsid w:val="001D0E6E"/>
    <w:rsid w:val="001D1502"/>
    <w:rsid w:val="001D19E0"/>
    <w:rsid w:val="001D1AC0"/>
    <w:rsid w:val="001D1B19"/>
    <w:rsid w:val="001D2D77"/>
    <w:rsid w:val="001D2E79"/>
    <w:rsid w:val="001D3344"/>
    <w:rsid w:val="001D33F8"/>
    <w:rsid w:val="001D3B97"/>
    <w:rsid w:val="001D3E20"/>
    <w:rsid w:val="001D4B01"/>
    <w:rsid w:val="001D5A36"/>
    <w:rsid w:val="001D5ED5"/>
    <w:rsid w:val="001D62F9"/>
    <w:rsid w:val="001D6809"/>
    <w:rsid w:val="001D6E36"/>
    <w:rsid w:val="001D6E8B"/>
    <w:rsid w:val="001D768D"/>
    <w:rsid w:val="001D76D8"/>
    <w:rsid w:val="001D7C28"/>
    <w:rsid w:val="001E1A22"/>
    <w:rsid w:val="001E2C2A"/>
    <w:rsid w:val="001E30BE"/>
    <w:rsid w:val="001E32A3"/>
    <w:rsid w:val="001E3351"/>
    <w:rsid w:val="001E352C"/>
    <w:rsid w:val="001E394D"/>
    <w:rsid w:val="001E395D"/>
    <w:rsid w:val="001E39DC"/>
    <w:rsid w:val="001E3EFF"/>
    <w:rsid w:val="001E4138"/>
    <w:rsid w:val="001E4CE1"/>
    <w:rsid w:val="001E5778"/>
    <w:rsid w:val="001E5CE1"/>
    <w:rsid w:val="001E7B59"/>
    <w:rsid w:val="001F0B7B"/>
    <w:rsid w:val="001F0C44"/>
    <w:rsid w:val="001F10E0"/>
    <w:rsid w:val="001F1401"/>
    <w:rsid w:val="001F1998"/>
    <w:rsid w:val="001F2048"/>
    <w:rsid w:val="001F2523"/>
    <w:rsid w:val="001F2695"/>
    <w:rsid w:val="001F393F"/>
    <w:rsid w:val="001F39DC"/>
    <w:rsid w:val="001F3C01"/>
    <w:rsid w:val="001F5AC9"/>
    <w:rsid w:val="001F5B80"/>
    <w:rsid w:val="001F781D"/>
    <w:rsid w:val="001F7AC6"/>
    <w:rsid w:val="00200295"/>
    <w:rsid w:val="00200326"/>
    <w:rsid w:val="002004FA"/>
    <w:rsid w:val="00200929"/>
    <w:rsid w:val="00201872"/>
    <w:rsid w:val="00201E03"/>
    <w:rsid w:val="00202217"/>
    <w:rsid w:val="00203056"/>
    <w:rsid w:val="002038DB"/>
    <w:rsid w:val="00203BD3"/>
    <w:rsid w:val="002055C0"/>
    <w:rsid w:val="00205DE7"/>
    <w:rsid w:val="00206072"/>
    <w:rsid w:val="0020661F"/>
    <w:rsid w:val="00206953"/>
    <w:rsid w:val="00206A24"/>
    <w:rsid w:val="00207264"/>
    <w:rsid w:val="0020796A"/>
    <w:rsid w:val="00212031"/>
    <w:rsid w:val="00212A70"/>
    <w:rsid w:val="00212D14"/>
    <w:rsid w:val="002130D1"/>
    <w:rsid w:val="002130E4"/>
    <w:rsid w:val="002136C8"/>
    <w:rsid w:val="002142D6"/>
    <w:rsid w:val="00215068"/>
    <w:rsid w:val="00215A30"/>
    <w:rsid w:val="002168F9"/>
    <w:rsid w:val="00220B5F"/>
    <w:rsid w:val="00221B77"/>
    <w:rsid w:val="0022227B"/>
    <w:rsid w:val="00223125"/>
    <w:rsid w:val="002233BF"/>
    <w:rsid w:val="00223942"/>
    <w:rsid w:val="0022497A"/>
    <w:rsid w:val="00224AAE"/>
    <w:rsid w:val="00224B7E"/>
    <w:rsid w:val="00224E90"/>
    <w:rsid w:val="002258AF"/>
    <w:rsid w:val="00225B36"/>
    <w:rsid w:val="0022636E"/>
    <w:rsid w:val="0022668A"/>
    <w:rsid w:val="0022685C"/>
    <w:rsid w:val="002271F0"/>
    <w:rsid w:val="00227954"/>
    <w:rsid w:val="00227BA7"/>
    <w:rsid w:val="00230BD0"/>
    <w:rsid w:val="00230D17"/>
    <w:rsid w:val="002312BE"/>
    <w:rsid w:val="00231E2A"/>
    <w:rsid w:val="002321B6"/>
    <w:rsid w:val="002325C4"/>
    <w:rsid w:val="00232D54"/>
    <w:rsid w:val="002334AB"/>
    <w:rsid w:val="00233723"/>
    <w:rsid w:val="0023392A"/>
    <w:rsid w:val="00233A37"/>
    <w:rsid w:val="002342BA"/>
    <w:rsid w:val="00234554"/>
    <w:rsid w:val="002350F4"/>
    <w:rsid w:val="00236562"/>
    <w:rsid w:val="0023681A"/>
    <w:rsid w:val="00236861"/>
    <w:rsid w:val="00236D9D"/>
    <w:rsid w:val="00237192"/>
    <w:rsid w:val="0023768A"/>
    <w:rsid w:val="00240397"/>
    <w:rsid w:val="00240F6C"/>
    <w:rsid w:val="0024107A"/>
    <w:rsid w:val="00241225"/>
    <w:rsid w:val="0024123D"/>
    <w:rsid w:val="00241474"/>
    <w:rsid w:val="002414A2"/>
    <w:rsid w:val="00241B96"/>
    <w:rsid w:val="00243397"/>
    <w:rsid w:val="00244D2B"/>
    <w:rsid w:val="00245AC1"/>
    <w:rsid w:val="0024653A"/>
    <w:rsid w:val="0024666B"/>
    <w:rsid w:val="0024699B"/>
    <w:rsid w:val="00246CB8"/>
    <w:rsid w:val="0024701C"/>
    <w:rsid w:val="0024721A"/>
    <w:rsid w:val="0024740E"/>
    <w:rsid w:val="00247B5F"/>
    <w:rsid w:val="00247DB9"/>
    <w:rsid w:val="00251B1A"/>
    <w:rsid w:val="00251E34"/>
    <w:rsid w:val="00252B1D"/>
    <w:rsid w:val="00253839"/>
    <w:rsid w:val="00254448"/>
    <w:rsid w:val="002548D8"/>
    <w:rsid w:val="00254B0E"/>
    <w:rsid w:val="00255272"/>
    <w:rsid w:val="00255356"/>
    <w:rsid w:val="00255F99"/>
    <w:rsid w:val="00256678"/>
    <w:rsid w:val="00256AE2"/>
    <w:rsid w:val="00260FF6"/>
    <w:rsid w:val="0026120A"/>
    <w:rsid w:val="00261E91"/>
    <w:rsid w:val="0026240D"/>
    <w:rsid w:val="00263205"/>
    <w:rsid w:val="00263759"/>
    <w:rsid w:val="002640AA"/>
    <w:rsid w:val="00264199"/>
    <w:rsid w:val="00265878"/>
    <w:rsid w:val="00265D75"/>
    <w:rsid w:val="00266083"/>
    <w:rsid w:val="002661C4"/>
    <w:rsid w:val="002670D8"/>
    <w:rsid w:val="002673D0"/>
    <w:rsid w:val="002674A0"/>
    <w:rsid w:val="0026792F"/>
    <w:rsid w:val="0027086F"/>
    <w:rsid w:val="0027116A"/>
    <w:rsid w:val="00271426"/>
    <w:rsid w:val="00271B85"/>
    <w:rsid w:val="002723B0"/>
    <w:rsid w:val="00272416"/>
    <w:rsid w:val="002726AB"/>
    <w:rsid w:val="00272B69"/>
    <w:rsid w:val="00272E74"/>
    <w:rsid w:val="00273B38"/>
    <w:rsid w:val="00274368"/>
    <w:rsid w:val="00274699"/>
    <w:rsid w:val="002751F2"/>
    <w:rsid w:val="002754E4"/>
    <w:rsid w:val="00275BC9"/>
    <w:rsid w:val="00275D10"/>
    <w:rsid w:val="0027773B"/>
    <w:rsid w:val="002779F3"/>
    <w:rsid w:val="0028041E"/>
    <w:rsid w:val="0028055F"/>
    <w:rsid w:val="00281C33"/>
    <w:rsid w:val="002827C5"/>
    <w:rsid w:val="00282B07"/>
    <w:rsid w:val="00282CA3"/>
    <w:rsid w:val="0028321A"/>
    <w:rsid w:val="00283F57"/>
    <w:rsid w:val="00284010"/>
    <w:rsid w:val="00284360"/>
    <w:rsid w:val="00284485"/>
    <w:rsid w:val="00284CA7"/>
    <w:rsid w:val="00284E07"/>
    <w:rsid w:val="0028528B"/>
    <w:rsid w:val="00285931"/>
    <w:rsid w:val="00286674"/>
    <w:rsid w:val="002866D5"/>
    <w:rsid w:val="00286723"/>
    <w:rsid w:val="00287BDC"/>
    <w:rsid w:val="00287C82"/>
    <w:rsid w:val="002909D8"/>
    <w:rsid w:val="00290D0C"/>
    <w:rsid w:val="00290D57"/>
    <w:rsid w:val="00290DAB"/>
    <w:rsid w:val="002913E8"/>
    <w:rsid w:val="002915A6"/>
    <w:rsid w:val="00291942"/>
    <w:rsid w:val="00291B24"/>
    <w:rsid w:val="002921A8"/>
    <w:rsid w:val="00292653"/>
    <w:rsid w:val="002926ED"/>
    <w:rsid w:val="00292C6D"/>
    <w:rsid w:val="00293005"/>
    <w:rsid w:val="00293B1E"/>
    <w:rsid w:val="00293C68"/>
    <w:rsid w:val="00293C9B"/>
    <w:rsid w:val="002941E3"/>
    <w:rsid w:val="00294BE2"/>
    <w:rsid w:val="00294F5F"/>
    <w:rsid w:val="0029536D"/>
    <w:rsid w:val="00295427"/>
    <w:rsid w:val="00295EAA"/>
    <w:rsid w:val="00295EC2"/>
    <w:rsid w:val="00296E84"/>
    <w:rsid w:val="00297955"/>
    <w:rsid w:val="002A06A9"/>
    <w:rsid w:val="002A12B7"/>
    <w:rsid w:val="002A1A39"/>
    <w:rsid w:val="002A1D3A"/>
    <w:rsid w:val="002A2F13"/>
    <w:rsid w:val="002A4013"/>
    <w:rsid w:val="002A5764"/>
    <w:rsid w:val="002A6D18"/>
    <w:rsid w:val="002A716E"/>
    <w:rsid w:val="002B0632"/>
    <w:rsid w:val="002B07A3"/>
    <w:rsid w:val="002B10F5"/>
    <w:rsid w:val="002B14A6"/>
    <w:rsid w:val="002B1C44"/>
    <w:rsid w:val="002B1C75"/>
    <w:rsid w:val="002B1DD0"/>
    <w:rsid w:val="002B2202"/>
    <w:rsid w:val="002B2532"/>
    <w:rsid w:val="002B2E22"/>
    <w:rsid w:val="002B2FF8"/>
    <w:rsid w:val="002B35D7"/>
    <w:rsid w:val="002B3CB8"/>
    <w:rsid w:val="002B3D8E"/>
    <w:rsid w:val="002B3F2D"/>
    <w:rsid w:val="002B4CD5"/>
    <w:rsid w:val="002B5398"/>
    <w:rsid w:val="002B5DF1"/>
    <w:rsid w:val="002B5FC5"/>
    <w:rsid w:val="002B7064"/>
    <w:rsid w:val="002B7C87"/>
    <w:rsid w:val="002C0A12"/>
    <w:rsid w:val="002C0BAD"/>
    <w:rsid w:val="002C136B"/>
    <w:rsid w:val="002C1A65"/>
    <w:rsid w:val="002C211C"/>
    <w:rsid w:val="002C2B88"/>
    <w:rsid w:val="002C317C"/>
    <w:rsid w:val="002C340E"/>
    <w:rsid w:val="002C36A2"/>
    <w:rsid w:val="002C4BE1"/>
    <w:rsid w:val="002C4C10"/>
    <w:rsid w:val="002C4CAC"/>
    <w:rsid w:val="002C608F"/>
    <w:rsid w:val="002C61B8"/>
    <w:rsid w:val="002C7A2C"/>
    <w:rsid w:val="002C7A47"/>
    <w:rsid w:val="002C7C77"/>
    <w:rsid w:val="002D01F1"/>
    <w:rsid w:val="002D07DF"/>
    <w:rsid w:val="002D0BC0"/>
    <w:rsid w:val="002D170F"/>
    <w:rsid w:val="002D1818"/>
    <w:rsid w:val="002D19ED"/>
    <w:rsid w:val="002D1C2B"/>
    <w:rsid w:val="002D2943"/>
    <w:rsid w:val="002D34C0"/>
    <w:rsid w:val="002D3D3F"/>
    <w:rsid w:val="002D3FE0"/>
    <w:rsid w:val="002D5112"/>
    <w:rsid w:val="002D548E"/>
    <w:rsid w:val="002D5C71"/>
    <w:rsid w:val="002D71C3"/>
    <w:rsid w:val="002D76D8"/>
    <w:rsid w:val="002D7959"/>
    <w:rsid w:val="002D7C75"/>
    <w:rsid w:val="002D7F27"/>
    <w:rsid w:val="002E0F8B"/>
    <w:rsid w:val="002E1480"/>
    <w:rsid w:val="002E228E"/>
    <w:rsid w:val="002E229B"/>
    <w:rsid w:val="002E3D23"/>
    <w:rsid w:val="002E3EF6"/>
    <w:rsid w:val="002E4D66"/>
    <w:rsid w:val="002E50BD"/>
    <w:rsid w:val="002E547C"/>
    <w:rsid w:val="002E5846"/>
    <w:rsid w:val="002E5C22"/>
    <w:rsid w:val="002E64CE"/>
    <w:rsid w:val="002E740E"/>
    <w:rsid w:val="002E77D1"/>
    <w:rsid w:val="002F05E7"/>
    <w:rsid w:val="002F08DB"/>
    <w:rsid w:val="002F148E"/>
    <w:rsid w:val="002F1F61"/>
    <w:rsid w:val="002F23A2"/>
    <w:rsid w:val="002F2B9B"/>
    <w:rsid w:val="002F350D"/>
    <w:rsid w:val="002F3E58"/>
    <w:rsid w:val="002F4367"/>
    <w:rsid w:val="002F4563"/>
    <w:rsid w:val="002F5637"/>
    <w:rsid w:val="002F63DD"/>
    <w:rsid w:val="002F7094"/>
    <w:rsid w:val="002F7487"/>
    <w:rsid w:val="002F7A24"/>
    <w:rsid w:val="002F7C9B"/>
    <w:rsid w:val="003020F5"/>
    <w:rsid w:val="00302185"/>
    <w:rsid w:val="00302297"/>
    <w:rsid w:val="0030260C"/>
    <w:rsid w:val="00303DD7"/>
    <w:rsid w:val="00304531"/>
    <w:rsid w:val="00304566"/>
    <w:rsid w:val="0030474E"/>
    <w:rsid w:val="003048A6"/>
    <w:rsid w:val="00304BF4"/>
    <w:rsid w:val="00305BC9"/>
    <w:rsid w:val="00305C3A"/>
    <w:rsid w:val="00306093"/>
    <w:rsid w:val="00307476"/>
    <w:rsid w:val="003076E4"/>
    <w:rsid w:val="00310694"/>
    <w:rsid w:val="00310FAA"/>
    <w:rsid w:val="00310FBE"/>
    <w:rsid w:val="00311C7E"/>
    <w:rsid w:val="00312B22"/>
    <w:rsid w:val="00312F72"/>
    <w:rsid w:val="003146BB"/>
    <w:rsid w:val="0031602E"/>
    <w:rsid w:val="00316984"/>
    <w:rsid w:val="0031765F"/>
    <w:rsid w:val="00320BA5"/>
    <w:rsid w:val="00320C69"/>
    <w:rsid w:val="00320D79"/>
    <w:rsid w:val="003210E7"/>
    <w:rsid w:val="003219F1"/>
    <w:rsid w:val="00321ADC"/>
    <w:rsid w:val="00321B16"/>
    <w:rsid w:val="00321BD6"/>
    <w:rsid w:val="003222F8"/>
    <w:rsid w:val="003227CB"/>
    <w:rsid w:val="0032287C"/>
    <w:rsid w:val="00322896"/>
    <w:rsid w:val="00322DB5"/>
    <w:rsid w:val="0032491C"/>
    <w:rsid w:val="00324B00"/>
    <w:rsid w:val="003252A2"/>
    <w:rsid w:val="003253B5"/>
    <w:rsid w:val="0032558C"/>
    <w:rsid w:val="00325E5E"/>
    <w:rsid w:val="00326A9B"/>
    <w:rsid w:val="00327083"/>
    <w:rsid w:val="003271A5"/>
    <w:rsid w:val="003276FB"/>
    <w:rsid w:val="00327AB4"/>
    <w:rsid w:val="00327F32"/>
    <w:rsid w:val="00327FFB"/>
    <w:rsid w:val="00330D70"/>
    <w:rsid w:val="00330DAF"/>
    <w:rsid w:val="003310CA"/>
    <w:rsid w:val="003312F5"/>
    <w:rsid w:val="00331645"/>
    <w:rsid w:val="00331F02"/>
    <w:rsid w:val="0033212D"/>
    <w:rsid w:val="00332F25"/>
    <w:rsid w:val="003334F4"/>
    <w:rsid w:val="0033351A"/>
    <w:rsid w:val="003335C7"/>
    <w:rsid w:val="00333CD4"/>
    <w:rsid w:val="0033417F"/>
    <w:rsid w:val="00334B86"/>
    <w:rsid w:val="00335301"/>
    <w:rsid w:val="00337C7A"/>
    <w:rsid w:val="00340496"/>
    <w:rsid w:val="00340811"/>
    <w:rsid w:val="00340C86"/>
    <w:rsid w:val="00340E84"/>
    <w:rsid w:val="00340F12"/>
    <w:rsid w:val="003410F1"/>
    <w:rsid w:val="00341AB0"/>
    <w:rsid w:val="003426C3"/>
    <w:rsid w:val="00342FB5"/>
    <w:rsid w:val="00343984"/>
    <w:rsid w:val="00343B50"/>
    <w:rsid w:val="00344A29"/>
    <w:rsid w:val="00344E2B"/>
    <w:rsid w:val="00345325"/>
    <w:rsid w:val="0034661B"/>
    <w:rsid w:val="003476F5"/>
    <w:rsid w:val="00347C2A"/>
    <w:rsid w:val="003504B3"/>
    <w:rsid w:val="003507D8"/>
    <w:rsid w:val="00351121"/>
    <w:rsid w:val="0035125A"/>
    <w:rsid w:val="00351525"/>
    <w:rsid w:val="00351FD7"/>
    <w:rsid w:val="0035257C"/>
    <w:rsid w:val="0035257E"/>
    <w:rsid w:val="0035260C"/>
    <w:rsid w:val="003533AF"/>
    <w:rsid w:val="00353AF6"/>
    <w:rsid w:val="00353C96"/>
    <w:rsid w:val="003542E6"/>
    <w:rsid w:val="003548A6"/>
    <w:rsid w:val="003549FA"/>
    <w:rsid w:val="00354E08"/>
    <w:rsid w:val="00355C71"/>
    <w:rsid w:val="00355E04"/>
    <w:rsid w:val="00356B90"/>
    <w:rsid w:val="00356C3B"/>
    <w:rsid w:val="00357C8A"/>
    <w:rsid w:val="00360CA1"/>
    <w:rsid w:val="003612EB"/>
    <w:rsid w:val="003618B7"/>
    <w:rsid w:val="00362C3A"/>
    <w:rsid w:val="00363E60"/>
    <w:rsid w:val="00363ED4"/>
    <w:rsid w:val="003641D9"/>
    <w:rsid w:val="003642CD"/>
    <w:rsid w:val="00364C4E"/>
    <w:rsid w:val="00365CB3"/>
    <w:rsid w:val="00366225"/>
    <w:rsid w:val="0036627A"/>
    <w:rsid w:val="0036634E"/>
    <w:rsid w:val="003666F2"/>
    <w:rsid w:val="00366ED6"/>
    <w:rsid w:val="003701BD"/>
    <w:rsid w:val="0037089F"/>
    <w:rsid w:val="003715BB"/>
    <w:rsid w:val="003717F2"/>
    <w:rsid w:val="00371C06"/>
    <w:rsid w:val="00371FAE"/>
    <w:rsid w:val="00372E8D"/>
    <w:rsid w:val="00373A5D"/>
    <w:rsid w:val="00374632"/>
    <w:rsid w:val="003746EC"/>
    <w:rsid w:val="00374E4E"/>
    <w:rsid w:val="00375556"/>
    <w:rsid w:val="00376BAC"/>
    <w:rsid w:val="0037710B"/>
    <w:rsid w:val="0037713C"/>
    <w:rsid w:val="003775DF"/>
    <w:rsid w:val="00377635"/>
    <w:rsid w:val="0037773B"/>
    <w:rsid w:val="003778FE"/>
    <w:rsid w:val="00377CA5"/>
    <w:rsid w:val="00381002"/>
    <w:rsid w:val="003813B2"/>
    <w:rsid w:val="00383075"/>
    <w:rsid w:val="003832C9"/>
    <w:rsid w:val="00383624"/>
    <w:rsid w:val="00383C5E"/>
    <w:rsid w:val="00384266"/>
    <w:rsid w:val="00384ADC"/>
    <w:rsid w:val="00384D1A"/>
    <w:rsid w:val="0038525D"/>
    <w:rsid w:val="00385285"/>
    <w:rsid w:val="00385528"/>
    <w:rsid w:val="00385B33"/>
    <w:rsid w:val="00385BA0"/>
    <w:rsid w:val="00386444"/>
    <w:rsid w:val="003872CD"/>
    <w:rsid w:val="00387F56"/>
    <w:rsid w:val="00391A6D"/>
    <w:rsid w:val="00391E27"/>
    <w:rsid w:val="003935EC"/>
    <w:rsid w:val="0039382B"/>
    <w:rsid w:val="00393AA4"/>
    <w:rsid w:val="003943F3"/>
    <w:rsid w:val="00395B5F"/>
    <w:rsid w:val="0039620A"/>
    <w:rsid w:val="00396839"/>
    <w:rsid w:val="00396BBE"/>
    <w:rsid w:val="003A00C1"/>
    <w:rsid w:val="003A012F"/>
    <w:rsid w:val="003A0BCA"/>
    <w:rsid w:val="003A0DA2"/>
    <w:rsid w:val="003A0EB5"/>
    <w:rsid w:val="003A1C58"/>
    <w:rsid w:val="003A2E78"/>
    <w:rsid w:val="003A3183"/>
    <w:rsid w:val="003A31AA"/>
    <w:rsid w:val="003A496A"/>
    <w:rsid w:val="003A49FC"/>
    <w:rsid w:val="003A4A48"/>
    <w:rsid w:val="003A4B5B"/>
    <w:rsid w:val="003A4CC5"/>
    <w:rsid w:val="003A51C8"/>
    <w:rsid w:val="003A541C"/>
    <w:rsid w:val="003A6618"/>
    <w:rsid w:val="003B0AE3"/>
    <w:rsid w:val="003B19D8"/>
    <w:rsid w:val="003B1BF5"/>
    <w:rsid w:val="003B24ED"/>
    <w:rsid w:val="003B29C7"/>
    <w:rsid w:val="003B33CA"/>
    <w:rsid w:val="003B360A"/>
    <w:rsid w:val="003B3A86"/>
    <w:rsid w:val="003B4828"/>
    <w:rsid w:val="003B4CFC"/>
    <w:rsid w:val="003B57BE"/>
    <w:rsid w:val="003B6289"/>
    <w:rsid w:val="003B64ED"/>
    <w:rsid w:val="003B7719"/>
    <w:rsid w:val="003B7C04"/>
    <w:rsid w:val="003B7F92"/>
    <w:rsid w:val="003C0041"/>
    <w:rsid w:val="003C024D"/>
    <w:rsid w:val="003C065E"/>
    <w:rsid w:val="003C154F"/>
    <w:rsid w:val="003C1E57"/>
    <w:rsid w:val="003C2F5F"/>
    <w:rsid w:val="003C30F7"/>
    <w:rsid w:val="003C3153"/>
    <w:rsid w:val="003C3535"/>
    <w:rsid w:val="003C3E0E"/>
    <w:rsid w:val="003C4574"/>
    <w:rsid w:val="003C498D"/>
    <w:rsid w:val="003C4A8A"/>
    <w:rsid w:val="003C4BDE"/>
    <w:rsid w:val="003C4FB3"/>
    <w:rsid w:val="003C550C"/>
    <w:rsid w:val="003C5B99"/>
    <w:rsid w:val="003C665D"/>
    <w:rsid w:val="003C6E16"/>
    <w:rsid w:val="003C7E17"/>
    <w:rsid w:val="003C7FA8"/>
    <w:rsid w:val="003D021C"/>
    <w:rsid w:val="003D03BF"/>
    <w:rsid w:val="003D0F4C"/>
    <w:rsid w:val="003D1085"/>
    <w:rsid w:val="003D14E1"/>
    <w:rsid w:val="003D1B2B"/>
    <w:rsid w:val="003D2520"/>
    <w:rsid w:val="003D26B8"/>
    <w:rsid w:val="003D2740"/>
    <w:rsid w:val="003D2F1A"/>
    <w:rsid w:val="003D36C9"/>
    <w:rsid w:val="003D3D11"/>
    <w:rsid w:val="003D3F81"/>
    <w:rsid w:val="003D4511"/>
    <w:rsid w:val="003D45D6"/>
    <w:rsid w:val="003D4C74"/>
    <w:rsid w:val="003D56AE"/>
    <w:rsid w:val="003D5A5E"/>
    <w:rsid w:val="003D5F6B"/>
    <w:rsid w:val="003D63D1"/>
    <w:rsid w:val="003D6809"/>
    <w:rsid w:val="003D7AE9"/>
    <w:rsid w:val="003E11A0"/>
    <w:rsid w:val="003E1E6A"/>
    <w:rsid w:val="003E20F0"/>
    <w:rsid w:val="003E27E8"/>
    <w:rsid w:val="003E29D5"/>
    <w:rsid w:val="003E2A43"/>
    <w:rsid w:val="003E2FC8"/>
    <w:rsid w:val="003E2FEB"/>
    <w:rsid w:val="003E39FD"/>
    <w:rsid w:val="003E3AD1"/>
    <w:rsid w:val="003E3D73"/>
    <w:rsid w:val="003E461F"/>
    <w:rsid w:val="003E4C75"/>
    <w:rsid w:val="003E4E27"/>
    <w:rsid w:val="003E6085"/>
    <w:rsid w:val="003E7B71"/>
    <w:rsid w:val="003F158F"/>
    <w:rsid w:val="003F18A0"/>
    <w:rsid w:val="003F20EA"/>
    <w:rsid w:val="003F32C4"/>
    <w:rsid w:val="003F3B32"/>
    <w:rsid w:val="003F3C50"/>
    <w:rsid w:val="003F52A4"/>
    <w:rsid w:val="003F618C"/>
    <w:rsid w:val="003F697B"/>
    <w:rsid w:val="003F750B"/>
    <w:rsid w:val="003F779F"/>
    <w:rsid w:val="003F79DB"/>
    <w:rsid w:val="0040028C"/>
    <w:rsid w:val="004003B6"/>
    <w:rsid w:val="00400562"/>
    <w:rsid w:val="00400BCB"/>
    <w:rsid w:val="0040107B"/>
    <w:rsid w:val="0040219C"/>
    <w:rsid w:val="004022EB"/>
    <w:rsid w:val="00402578"/>
    <w:rsid w:val="0040269B"/>
    <w:rsid w:val="00403012"/>
    <w:rsid w:val="0040371A"/>
    <w:rsid w:val="00403AE4"/>
    <w:rsid w:val="004041B1"/>
    <w:rsid w:val="004048B9"/>
    <w:rsid w:val="00405810"/>
    <w:rsid w:val="004058C3"/>
    <w:rsid w:val="00405C69"/>
    <w:rsid w:val="00406415"/>
    <w:rsid w:val="00406429"/>
    <w:rsid w:val="00406A97"/>
    <w:rsid w:val="00406B40"/>
    <w:rsid w:val="00406D6C"/>
    <w:rsid w:val="0040726E"/>
    <w:rsid w:val="00407DAD"/>
    <w:rsid w:val="00410192"/>
    <w:rsid w:val="004115C8"/>
    <w:rsid w:val="00411C5A"/>
    <w:rsid w:val="00413003"/>
    <w:rsid w:val="004130E8"/>
    <w:rsid w:val="00413376"/>
    <w:rsid w:val="00413730"/>
    <w:rsid w:val="004137F9"/>
    <w:rsid w:val="00413DE7"/>
    <w:rsid w:val="0041497F"/>
    <w:rsid w:val="00414FBF"/>
    <w:rsid w:val="0041502D"/>
    <w:rsid w:val="00415387"/>
    <w:rsid w:val="00415519"/>
    <w:rsid w:val="0041573F"/>
    <w:rsid w:val="004162BC"/>
    <w:rsid w:val="004163E7"/>
    <w:rsid w:val="004166ED"/>
    <w:rsid w:val="0041685B"/>
    <w:rsid w:val="00416F8A"/>
    <w:rsid w:val="0041706B"/>
    <w:rsid w:val="004170C0"/>
    <w:rsid w:val="004177A9"/>
    <w:rsid w:val="00417E0A"/>
    <w:rsid w:val="0042005F"/>
    <w:rsid w:val="00420518"/>
    <w:rsid w:val="00421227"/>
    <w:rsid w:val="00421880"/>
    <w:rsid w:val="00421F27"/>
    <w:rsid w:val="004226F6"/>
    <w:rsid w:val="00422A5A"/>
    <w:rsid w:val="00422CEA"/>
    <w:rsid w:val="004238F8"/>
    <w:rsid w:val="00424CAC"/>
    <w:rsid w:val="00426CE2"/>
    <w:rsid w:val="00427DD3"/>
    <w:rsid w:val="0043271C"/>
    <w:rsid w:val="004334C4"/>
    <w:rsid w:val="004335DE"/>
    <w:rsid w:val="00433991"/>
    <w:rsid w:val="00433D6D"/>
    <w:rsid w:val="00434343"/>
    <w:rsid w:val="0043484B"/>
    <w:rsid w:val="00434C22"/>
    <w:rsid w:val="004353F2"/>
    <w:rsid w:val="004370ED"/>
    <w:rsid w:val="00437D0C"/>
    <w:rsid w:val="00440BA5"/>
    <w:rsid w:val="00441C79"/>
    <w:rsid w:val="0044253A"/>
    <w:rsid w:val="00442577"/>
    <w:rsid w:val="004426F6"/>
    <w:rsid w:val="004438DC"/>
    <w:rsid w:val="00443A1E"/>
    <w:rsid w:val="004448DD"/>
    <w:rsid w:val="00446277"/>
    <w:rsid w:val="00446499"/>
    <w:rsid w:val="00446A16"/>
    <w:rsid w:val="00446EAD"/>
    <w:rsid w:val="00446FB8"/>
    <w:rsid w:val="004500BA"/>
    <w:rsid w:val="00451566"/>
    <w:rsid w:val="00451869"/>
    <w:rsid w:val="00451EF1"/>
    <w:rsid w:val="0045204A"/>
    <w:rsid w:val="00452981"/>
    <w:rsid w:val="00453FD8"/>
    <w:rsid w:val="004540CB"/>
    <w:rsid w:val="0045444B"/>
    <w:rsid w:val="004544F1"/>
    <w:rsid w:val="004548DE"/>
    <w:rsid w:val="00454AEE"/>
    <w:rsid w:val="00454E68"/>
    <w:rsid w:val="0045506F"/>
    <w:rsid w:val="00455174"/>
    <w:rsid w:val="004555EB"/>
    <w:rsid w:val="0045583C"/>
    <w:rsid w:val="00455FD2"/>
    <w:rsid w:val="004564C8"/>
    <w:rsid w:val="00457385"/>
    <w:rsid w:val="0045795F"/>
    <w:rsid w:val="00461352"/>
    <w:rsid w:val="00461355"/>
    <w:rsid w:val="004619A4"/>
    <w:rsid w:val="00461E90"/>
    <w:rsid w:val="00461F24"/>
    <w:rsid w:val="00462335"/>
    <w:rsid w:val="004623CF"/>
    <w:rsid w:val="00462CF4"/>
    <w:rsid w:val="004634B2"/>
    <w:rsid w:val="0046373A"/>
    <w:rsid w:val="00463836"/>
    <w:rsid w:val="00464077"/>
    <w:rsid w:val="004644CC"/>
    <w:rsid w:val="0046523F"/>
    <w:rsid w:val="00465257"/>
    <w:rsid w:val="0046733E"/>
    <w:rsid w:val="00467456"/>
    <w:rsid w:val="004676BB"/>
    <w:rsid w:val="00470C6B"/>
    <w:rsid w:val="00471104"/>
    <w:rsid w:val="00471B7F"/>
    <w:rsid w:val="0047231D"/>
    <w:rsid w:val="00472B40"/>
    <w:rsid w:val="00472CB3"/>
    <w:rsid w:val="00472D4E"/>
    <w:rsid w:val="00472E64"/>
    <w:rsid w:val="00473D61"/>
    <w:rsid w:val="00474483"/>
    <w:rsid w:val="00475779"/>
    <w:rsid w:val="004757F2"/>
    <w:rsid w:val="00475ED6"/>
    <w:rsid w:val="00477208"/>
    <w:rsid w:val="0047721C"/>
    <w:rsid w:val="004800A3"/>
    <w:rsid w:val="00480866"/>
    <w:rsid w:val="00480CD5"/>
    <w:rsid w:val="00481592"/>
    <w:rsid w:val="0048190A"/>
    <w:rsid w:val="00481981"/>
    <w:rsid w:val="00481A2D"/>
    <w:rsid w:val="0048286E"/>
    <w:rsid w:val="0048304F"/>
    <w:rsid w:val="00483323"/>
    <w:rsid w:val="00483D8E"/>
    <w:rsid w:val="00483EA9"/>
    <w:rsid w:val="00485C71"/>
    <w:rsid w:val="004871AD"/>
    <w:rsid w:val="00490B2D"/>
    <w:rsid w:val="00490E86"/>
    <w:rsid w:val="00492719"/>
    <w:rsid w:val="00492B84"/>
    <w:rsid w:val="00493343"/>
    <w:rsid w:val="004935F3"/>
    <w:rsid w:val="004944B0"/>
    <w:rsid w:val="0049470C"/>
    <w:rsid w:val="00494DA2"/>
    <w:rsid w:val="0049603D"/>
    <w:rsid w:val="004960A5"/>
    <w:rsid w:val="00496405"/>
    <w:rsid w:val="00496B00"/>
    <w:rsid w:val="0049708D"/>
    <w:rsid w:val="0049737F"/>
    <w:rsid w:val="00497C09"/>
    <w:rsid w:val="00497D1C"/>
    <w:rsid w:val="004A069A"/>
    <w:rsid w:val="004A2E45"/>
    <w:rsid w:val="004A353A"/>
    <w:rsid w:val="004A41F1"/>
    <w:rsid w:val="004A4F21"/>
    <w:rsid w:val="004A514A"/>
    <w:rsid w:val="004A5B79"/>
    <w:rsid w:val="004B0354"/>
    <w:rsid w:val="004B0D33"/>
    <w:rsid w:val="004B1119"/>
    <w:rsid w:val="004B17AE"/>
    <w:rsid w:val="004B1E7E"/>
    <w:rsid w:val="004B22FB"/>
    <w:rsid w:val="004B2732"/>
    <w:rsid w:val="004B289F"/>
    <w:rsid w:val="004B2EF4"/>
    <w:rsid w:val="004B2F05"/>
    <w:rsid w:val="004B395B"/>
    <w:rsid w:val="004B3971"/>
    <w:rsid w:val="004B3D88"/>
    <w:rsid w:val="004B44A3"/>
    <w:rsid w:val="004B4506"/>
    <w:rsid w:val="004B4A8F"/>
    <w:rsid w:val="004B4B64"/>
    <w:rsid w:val="004B56B4"/>
    <w:rsid w:val="004B5C1A"/>
    <w:rsid w:val="004B5DEF"/>
    <w:rsid w:val="004B6AD9"/>
    <w:rsid w:val="004B7005"/>
    <w:rsid w:val="004C0A5A"/>
    <w:rsid w:val="004C1506"/>
    <w:rsid w:val="004C192F"/>
    <w:rsid w:val="004C1BD5"/>
    <w:rsid w:val="004C212D"/>
    <w:rsid w:val="004C2195"/>
    <w:rsid w:val="004C2269"/>
    <w:rsid w:val="004C2730"/>
    <w:rsid w:val="004C2FF4"/>
    <w:rsid w:val="004C3155"/>
    <w:rsid w:val="004C3376"/>
    <w:rsid w:val="004C33A3"/>
    <w:rsid w:val="004C3657"/>
    <w:rsid w:val="004C572F"/>
    <w:rsid w:val="004C61DD"/>
    <w:rsid w:val="004C7798"/>
    <w:rsid w:val="004C79AF"/>
    <w:rsid w:val="004C7A6C"/>
    <w:rsid w:val="004C7CFC"/>
    <w:rsid w:val="004D2531"/>
    <w:rsid w:val="004D27C5"/>
    <w:rsid w:val="004D2A64"/>
    <w:rsid w:val="004D3DA8"/>
    <w:rsid w:val="004D3EEE"/>
    <w:rsid w:val="004D42E4"/>
    <w:rsid w:val="004D4850"/>
    <w:rsid w:val="004D5544"/>
    <w:rsid w:val="004D5D37"/>
    <w:rsid w:val="004D618C"/>
    <w:rsid w:val="004D6595"/>
    <w:rsid w:val="004D6DB2"/>
    <w:rsid w:val="004D766D"/>
    <w:rsid w:val="004D7C2C"/>
    <w:rsid w:val="004D7D9F"/>
    <w:rsid w:val="004E028B"/>
    <w:rsid w:val="004E0907"/>
    <w:rsid w:val="004E0B77"/>
    <w:rsid w:val="004E1836"/>
    <w:rsid w:val="004E1ED7"/>
    <w:rsid w:val="004E3813"/>
    <w:rsid w:val="004E3A32"/>
    <w:rsid w:val="004E3BE9"/>
    <w:rsid w:val="004E3C55"/>
    <w:rsid w:val="004E3E96"/>
    <w:rsid w:val="004E444C"/>
    <w:rsid w:val="004E4AFA"/>
    <w:rsid w:val="004E4DEE"/>
    <w:rsid w:val="004E6328"/>
    <w:rsid w:val="004E64B7"/>
    <w:rsid w:val="004F02CA"/>
    <w:rsid w:val="004F0732"/>
    <w:rsid w:val="004F1380"/>
    <w:rsid w:val="004F141C"/>
    <w:rsid w:val="004F1692"/>
    <w:rsid w:val="004F17BC"/>
    <w:rsid w:val="004F2676"/>
    <w:rsid w:val="004F2D96"/>
    <w:rsid w:val="004F2ECA"/>
    <w:rsid w:val="004F314B"/>
    <w:rsid w:val="004F3C92"/>
    <w:rsid w:val="004F41EF"/>
    <w:rsid w:val="004F4201"/>
    <w:rsid w:val="004F42D3"/>
    <w:rsid w:val="004F45E0"/>
    <w:rsid w:val="004F4D04"/>
    <w:rsid w:val="004F5206"/>
    <w:rsid w:val="004F588E"/>
    <w:rsid w:val="004F677F"/>
    <w:rsid w:val="004F6798"/>
    <w:rsid w:val="004F6C9F"/>
    <w:rsid w:val="004F7104"/>
    <w:rsid w:val="004F756C"/>
    <w:rsid w:val="004F7732"/>
    <w:rsid w:val="004F7805"/>
    <w:rsid w:val="004F7F20"/>
    <w:rsid w:val="0050100E"/>
    <w:rsid w:val="00501363"/>
    <w:rsid w:val="005018F5"/>
    <w:rsid w:val="00501988"/>
    <w:rsid w:val="00501ECB"/>
    <w:rsid w:val="00502E1C"/>
    <w:rsid w:val="00503AC4"/>
    <w:rsid w:val="00503AED"/>
    <w:rsid w:val="00503EF0"/>
    <w:rsid w:val="00503F6C"/>
    <w:rsid w:val="00504708"/>
    <w:rsid w:val="00504710"/>
    <w:rsid w:val="00505244"/>
    <w:rsid w:val="005052A3"/>
    <w:rsid w:val="00505563"/>
    <w:rsid w:val="005057FD"/>
    <w:rsid w:val="00505DBF"/>
    <w:rsid w:val="005073F3"/>
    <w:rsid w:val="005078F6"/>
    <w:rsid w:val="00507E71"/>
    <w:rsid w:val="00507F18"/>
    <w:rsid w:val="00510204"/>
    <w:rsid w:val="00510AE1"/>
    <w:rsid w:val="00510EEB"/>
    <w:rsid w:val="00510FA8"/>
    <w:rsid w:val="005118E5"/>
    <w:rsid w:val="00512434"/>
    <w:rsid w:val="00512C33"/>
    <w:rsid w:val="005132CF"/>
    <w:rsid w:val="005133CA"/>
    <w:rsid w:val="005139A0"/>
    <w:rsid w:val="0051439D"/>
    <w:rsid w:val="005145F8"/>
    <w:rsid w:val="00514ABF"/>
    <w:rsid w:val="005165FE"/>
    <w:rsid w:val="00516C9D"/>
    <w:rsid w:val="00516FC1"/>
    <w:rsid w:val="005170AD"/>
    <w:rsid w:val="005171FE"/>
    <w:rsid w:val="0051746F"/>
    <w:rsid w:val="00517BF6"/>
    <w:rsid w:val="00520BB1"/>
    <w:rsid w:val="00520DA5"/>
    <w:rsid w:val="005219B7"/>
    <w:rsid w:val="00521E55"/>
    <w:rsid w:val="0052267A"/>
    <w:rsid w:val="00522D44"/>
    <w:rsid w:val="0052465E"/>
    <w:rsid w:val="00524AAD"/>
    <w:rsid w:val="00524FA0"/>
    <w:rsid w:val="0052530D"/>
    <w:rsid w:val="005259F3"/>
    <w:rsid w:val="00525B7C"/>
    <w:rsid w:val="00526C08"/>
    <w:rsid w:val="00526DE0"/>
    <w:rsid w:val="0052761C"/>
    <w:rsid w:val="005277DE"/>
    <w:rsid w:val="005310D7"/>
    <w:rsid w:val="005315B1"/>
    <w:rsid w:val="005318F9"/>
    <w:rsid w:val="00531E96"/>
    <w:rsid w:val="0053211E"/>
    <w:rsid w:val="00532669"/>
    <w:rsid w:val="005329F5"/>
    <w:rsid w:val="00532DD9"/>
    <w:rsid w:val="005335CD"/>
    <w:rsid w:val="00533AA9"/>
    <w:rsid w:val="00534A18"/>
    <w:rsid w:val="00534A42"/>
    <w:rsid w:val="005354A6"/>
    <w:rsid w:val="005354B7"/>
    <w:rsid w:val="005361D1"/>
    <w:rsid w:val="0053693F"/>
    <w:rsid w:val="00540156"/>
    <w:rsid w:val="00540E10"/>
    <w:rsid w:val="00541233"/>
    <w:rsid w:val="00542C14"/>
    <w:rsid w:val="00542FC8"/>
    <w:rsid w:val="00543F0F"/>
    <w:rsid w:val="005445C1"/>
    <w:rsid w:val="00544639"/>
    <w:rsid w:val="00544AC0"/>
    <w:rsid w:val="00544E0B"/>
    <w:rsid w:val="00545490"/>
    <w:rsid w:val="0054587B"/>
    <w:rsid w:val="00545CCB"/>
    <w:rsid w:val="00550083"/>
    <w:rsid w:val="00550EE2"/>
    <w:rsid w:val="00551098"/>
    <w:rsid w:val="005511C5"/>
    <w:rsid w:val="0055126B"/>
    <w:rsid w:val="00552259"/>
    <w:rsid w:val="00552741"/>
    <w:rsid w:val="005529C6"/>
    <w:rsid w:val="00552B96"/>
    <w:rsid w:val="005538DD"/>
    <w:rsid w:val="0055398E"/>
    <w:rsid w:val="00553AF3"/>
    <w:rsid w:val="00553E9C"/>
    <w:rsid w:val="005544BD"/>
    <w:rsid w:val="00554D81"/>
    <w:rsid w:val="005554D7"/>
    <w:rsid w:val="0055601B"/>
    <w:rsid w:val="0055760B"/>
    <w:rsid w:val="00557665"/>
    <w:rsid w:val="005601CF"/>
    <w:rsid w:val="0056037E"/>
    <w:rsid w:val="005605DE"/>
    <w:rsid w:val="00560936"/>
    <w:rsid w:val="00560DBA"/>
    <w:rsid w:val="0056119A"/>
    <w:rsid w:val="00561513"/>
    <w:rsid w:val="005617FD"/>
    <w:rsid w:val="00563333"/>
    <w:rsid w:val="00563843"/>
    <w:rsid w:val="005642D8"/>
    <w:rsid w:val="00565A9F"/>
    <w:rsid w:val="00566BE8"/>
    <w:rsid w:val="00567514"/>
    <w:rsid w:val="00567BE7"/>
    <w:rsid w:val="0057130B"/>
    <w:rsid w:val="0057160D"/>
    <w:rsid w:val="00571A73"/>
    <w:rsid w:val="00571CDE"/>
    <w:rsid w:val="00572D83"/>
    <w:rsid w:val="00573869"/>
    <w:rsid w:val="005742C0"/>
    <w:rsid w:val="00574605"/>
    <w:rsid w:val="00574E80"/>
    <w:rsid w:val="005761FD"/>
    <w:rsid w:val="005767B2"/>
    <w:rsid w:val="00576A60"/>
    <w:rsid w:val="0057704C"/>
    <w:rsid w:val="00577A4E"/>
    <w:rsid w:val="00577B18"/>
    <w:rsid w:val="0058122F"/>
    <w:rsid w:val="0058159D"/>
    <w:rsid w:val="005818F6"/>
    <w:rsid w:val="00581C53"/>
    <w:rsid w:val="005822D4"/>
    <w:rsid w:val="005823AE"/>
    <w:rsid w:val="00582DE3"/>
    <w:rsid w:val="00582E9C"/>
    <w:rsid w:val="00583B6E"/>
    <w:rsid w:val="005852D2"/>
    <w:rsid w:val="00585B24"/>
    <w:rsid w:val="00585CFB"/>
    <w:rsid w:val="005868E3"/>
    <w:rsid w:val="00586A85"/>
    <w:rsid w:val="00587141"/>
    <w:rsid w:val="00587151"/>
    <w:rsid w:val="00587433"/>
    <w:rsid w:val="00587673"/>
    <w:rsid w:val="00587F58"/>
    <w:rsid w:val="00590968"/>
    <w:rsid w:val="00590C70"/>
    <w:rsid w:val="00591405"/>
    <w:rsid w:val="0059185E"/>
    <w:rsid w:val="00592316"/>
    <w:rsid w:val="0059241E"/>
    <w:rsid w:val="00592B12"/>
    <w:rsid w:val="00592C40"/>
    <w:rsid w:val="00592EA8"/>
    <w:rsid w:val="005953D2"/>
    <w:rsid w:val="00595467"/>
    <w:rsid w:val="00595629"/>
    <w:rsid w:val="005956CC"/>
    <w:rsid w:val="00595D39"/>
    <w:rsid w:val="00596107"/>
    <w:rsid w:val="00596829"/>
    <w:rsid w:val="0059763A"/>
    <w:rsid w:val="005A0F3E"/>
    <w:rsid w:val="005A1A8A"/>
    <w:rsid w:val="005A26C7"/>
    <w:rsid w:val="005A2CE4"/>
    <w:rsid w:val="005A4BF2"/>
    <w:rsid w:val="005A50D8"/>
    <w:rsid w:val="005A67A2"/>
    <w:rsid w:val="005B03B2"/>
    <w:rsid w:val="005B0D99"/>
    <w:rsid w:val="005B13EE"/>
    <w:rsid w:val="005B21F3"/>
    <w:rsid w:val="005B2EF4"/>
    <w:rsid w:val="005B30E7"/>
    <w:rsid w:val="005B3C3C"/>
    <w:rsid w:val="005B3C68"/>
    <w:rsid w:val="005B4993"/>
    <w:rsid w:val="005B54AA"/>
    <w:rsid w:val="005B57AF"/>
    <w:rsid w:val="005B5B30"/>
    <w:rsid w:val="005B5F93"/>
    <w:rsid w:val="005B711F"/>
    <w:rsid w:val="005B7B0B"/>
    <w:rsid w:val="005C08B3"/>
    <w:rsid w:val="005C09EF"/>
    <w:rsid w:val="005C0F80"/>
    <w:rsid w:val="005C1665"/>
    <w:rsid w:val="005C2EC3"/>
    <w:rsid w:val="005C32EA"/>
    <w:rsid w:val="005C3E1F"/>
    <w:rsid w:val="005C4156"/>
    <w:rsid w:val="005C4410"/>
    <w:rsid w:val="005C55F5"/>
    <w:rsid w:val="005C5CDE"/>
    <w:rsid w:val="005C65C3"/>
    <w:rsid w:val="005D1908"/>
    <w:rsid w:val="005D26A9"/>
    <w:rsid w:val="005D2A81"/>
    <w:rsid w:val="005D310F"/>
    <w:rsid w:val="005D383B"/>
    <w:rsid w:val="005D383D"/>
    <w:rsid w:val="005D4EA9"/>
    <w:rsid w:val="005D4ED8"/>
    <w:rsid w:val="005D6127"/>
    <w:rsid w:val="005D63F7"/>
    <w:rsid w:val="005D6949"/>
    <w:rsid w:val="005D6BDC"/>
    <w:rsid w:val="005D706E"/>
    <w:rsid w:val="005D7F50"/>
    <w:rsid w:val="005E01D7"/>
    <w:rsid w:val="005E0498"/>
    <w:rsid w:val="005E06F3"/>
    <w:rsid w:val="005E0E1D"/>
    <w:rsid w:val="005E0EB7"/>
    <w:rsid w:val="005E1709"/>
    <w:rsid w:val="005E23EE"/>
    <w:rsid w:val="005E3409"/>
    <w:rsid w:val="005E397B"/>
    <w:rsid w:val="005E3D62"/>
    <w:rsid w:val="005E411A"/>
    <w:rsid w:val="005E4BCF"/>
    <w:rsid w:val="005E5057"/>
    <w:rsid w:val="005E51E7"/>
    <w:rsid w:val="005E5691"/>
    <w:rsid w:val="005E595A"/>
    <w:rsid w:val="005E62FB"/>
    <w:rsid w:val="005E69D6"/>
    <w:rsid w:val="005E7BB4"/>
    <w:rsid w:val="005F05CB"/>
    <w:rsid w:val="005F12C1"/>
    <w:rsid w:val="005F157A"/>
    <w:rsid w:val="005F19A1"/>
    <w:rsid w:val="005F257A"/>
    <w:rsid w:val="005F284B"/>
    <w:rsid w:val="005F29B5"/>
    <w:rsid w:val="005F2EB6"/>
    <w:rsid w:val="005F33E7"/>
    <w:rsid w:val="005F4909"/>
    <w:rsid w:val="005F50EE"/>
    <w:rsid w:val="005F5CF7"/>
    <w:rsid w:val="005F5EE1"/>
    <w:rsid w:val="00600257"/>
    <w:rsid w:val="006007B0"/>
    <w:rsid w:val="00600C29"/>
    <w:rsid w:val="00600E3E"/>
    <w:rsid w:val="006016B5"/>
    <w:rsid w:val="006018AA"/>
    <w:rsid w:val="00602C0A"/>
    <w:rsid w:val="00602E7C"/>
    <w:rsid w:val="006032E1"/>
    <w:rsid w:val="00603519"/>
    <w:rsid w:val="006044A9"/>
    <w:rsid w:val="00604782"/>
    <w:rsid w:val="00604B31"/>
    <w:rsid w:val="00605078"/>
    <w:rsid w:val="00605CB0"/>
    <w:rsid w:val="00605E60"/>
    <w:rsid w:val="0060679E"/>
    <w:rsid w:val="00606C0C"/>
    <w:rsid w:val="00610746"/>
    <w:rsid w:val="00613102"/>
    <w:rsid w:val="00613338"/>
    <w:rsid w:val="00613524"/>
    <w:rsid w:val="006137B5"/>
    <w:rsid w:val="006137C8"/>
    <w:rsid w:val="00613B61"/>
    <w:rsid w:val="006147C9"/>
    <w:rsid w:val="00615600"/>
    <w:rsid w:val="006161D0"/>
    <w:rsid w:val="006167E3"/>
    <w:rsid w:val="0061753B"/>
    <w:rsid w:val="0061777E"/>
    <w:rsid w:val="00621E1B"/>
    <w:rsid w:val="00621E4F"/>
    <w:rsid w:val="00623CA8"/>
    <w:rsid w:val="00624FCD"/>
    <w:rsid w:val="00625072"/>
    <w:rsid w:val="006265CF"/>
    <w:rsid w:val="00626A49"/>
    <w:rsid w:val="00627787"/>
    <w:rsid w:val="00627A9C"/>
    <w:rsid w:val="00630175"/>
    <w:rsid w:val="00630461"/>
    <w:rsid w:val="00630489"/>
    <w:rsid w:val="006309CE"/>
    <w:rsid w:val="00630FEC"/>
    <w:rsid w:val="006310E1"/>
    <w:rsid w:val="00631637"/>
    <w:rsid w:val="00631A8B"/>
    <w:rsid w:val="006320B6"/>
    <w:rsid w:val="006329D9"/>
    <w:rsid w:val="00632BDA"/>
    <w:rsid w:val="0063333C"/>
    <w:rsid w:val="006338DA"/>
    <w:rsid w:val="006348CC"/>
    <w:rsid w:val="00636BC7"/>
    <w:rsid w:val="00637264"/>
    <w:rsid w:val="006403E6"/>
    <w:rsid w:val="00641028"/>
    <w:rsid w:val="006413C4"/>
    <w:rsid w:val="00642011"/>
    <w:rsid w:val="00643BE3"/>
    <w:rsid w:val="00645DE3"/>
    <w:rsid w:val="006462EE"/>
    <w:rsid w:val="00646673"/>
    <w:rsid w:val="00646825"/>
    <w:rsid w:val="00646D0C"/>
    <w:rsid w:val="00647037"/>
    <w:rsid w:val="006470BE"/>
    <w:rsid w:val="0065029E"/>
    <w:rsid w:val="006502F2"/>
    <w:rsid w:val="00650400"/>
    <w:rsid w:val="00650B01"/>
    <w:rsid w:val="00651453"/>
    <w:rsid w:val="00651D83"/>
    <w:rsid w:val="006520B7"/>
    <w:rsid w:val="006521A7"/>
    <w:rsid w:val="0065228A"/>
    <w:rsid w:val="00652D11"/>
    <w:rsid w:val="00652F36"/>
    <w:rsid w:val="0065315B"/>
    <w:rsid w:val="00653A52"/>
    <w:rsid w:val="00654395"/>
    <w:rsid w:val="00654864"/>
    <w:rsid w:val="00654A6B"/>
    <w:rsid w:val="00654DE8"/>
    <w:rsid w:val="00656AC2"/>
    <w:rsid w:val="006573CF"/>
    <w:rsid w:val="0065748E"/>
    <w:rsid w:val="00660AB4"/>
    <w:rsid w:val="00661753"/>
    <w:rsid w:val="0066186C"/>
    <w:rsid w:val="00662409"/>
    <w:rsid w:val="0066346F"/>
    <w:rsid w:val="006651DD"/>
    <w:rsid w:val="006653F7"/>
    <w:rsid w:val="00665E10"/>
    <w:rsid w:val="00666A26"/>
    <w:rsid w:val="00666E03"/>
    <w:rsid w:val="006672AE"/>
    <w:rsid w:val="006673C0"/>
    <w:rsid w:val="00667791"/>
    <w:rsid w:val="0067069E"/>
    <w:rsid w:val="00670937"/>
    <w:rsid w:val="00670C29"/>
    <w:rsid w:val="006714C9"/>
    <w:rsid w:val="00671B6E"/>
    <w:rsid w:val="00671D50"/>
    <w:rsid w:val="0067229A"/>
    <w:rsid w:val="00672E80"/>
    <w:rsid w:val="006733C4"/>
    <w:rsid w:val="00673ADD"/>
    <w:rsid w:val="00674B82"/>
    <w:rsid w:val="00674D59"/>
    <w:rsid w:val="00675654"/>
    <w:rsid w:val="00675C4A"/>
    <w:rsid w:val="006763D1"/>
    <w:rsid w:val="006764E5"/>
    <w:rsid w:val="006766D6"/>
    <w:rsid w:val="006769D2"/>
    <w:rsid w:val="006770F0"/>
    <w:rsid w:val="0068084A"/>
    <w:rsid w:val="00680B81"/>
    <w:rsid w:val="00681191"/>
    <w:rsid w:val="006813A6"/>
    <w:rsid w:val="006814AC"/>
    <w:rsid w:val="006816E1"/>
    <w:rsid w:val="006819DB"/>
    <w:rsid w:val="006823E0"/>
    <w:rsid w:val="00682471"/>
    <w:rsid w:val="006829D8"/>
    <w:rsid w:val="00683400"/>
    <w:rsid w:val="006839AD"/>
    <w:rsid w:val="0068417D"/>
    <w:rsid w:val="00684A50"/>
    <w:rsid w:val="006855E3"/>
    <w:rsid w:val="00686F60"/>
    <w:rsid w:val="00687BC1"/>
    <w:rsid w:val="006903AF"/>
    <w:rsid w:val="00691575"/>
    <w:rsid w:val="00691DE0"/>
    <w:rsid w:val="00692228"/>
    <w:rsid w:val="006937C5"/>
    <w:rsid w:val="00693C04"/>
    <w:rsid w:val="0069436B"/>
    <w:rsid w:val="00694BD9"/>
    <w:rsid w:val="00695682"/>
    <w:rsid w:val="00695F89"/>
    <w:rsid w:val="00695FBC"/>
    <w:rsid w:val="006962B2"/>
    <w:rsid w:val="00696D5B"/>
    <w:rsid w:val="00697128"/>
    <w:rsid w:val="0069740D"/>
    <w:rsid w:val="00697852"/>
    <w:rsid w:val="006A027C"/>
    <w:rsid w:val="006A0BB7"/>
    <w:rsid w:val="006A10E3"/>
    <w:rsid w:val="006A1750"/>
    <w:rsid w:val="006A1D4E"/>
    <w:rsid w:val="006A248D"/>
    <w:rsid w:val="006A44E8"/>
    <w:rsid w:val="006A4C1A"/>
    <w:rsid w:val="006A4D8E"/>
    <w:rsid w:val="006A52A4"/>
    <w:rsid w:val="006A6004"/>
    <w:rsid w:val="006A73DE"/>
    <w:rsid w:val="006A7588"/>
    <w:rsid w:val="006A7C02"/>
    <w:rsid w:val="006A7DA0"/>
    <w:rsid w:val="006B0418"/>
    <w:rsid w:val="006B066F"/>
    <w:rsid w:val="006B0CBD"/>
    <w:rsid w:val="006B0CF7"/>
    <w:rsid w:val="006B1372"/>
    <w:rsid w:val="006B14C5"/>
    <w:rsid w:val="006B1718"/>
    <w:rsid w:val="006B2320"/>
    <w:rsid w:val="006B319E"/>
    <w:rsid w:val="006B3562"/>
    <w:rsid w:val="006B3DD3"/>
    <w:rsid w:val="006B43B1"/>
    <w:rsid w:val="006B523D"/>
    <w:rsid w:val="006B57D9"/>
    <w:rsid w:val="006B61E6"/>
    <w:rsid w:val="006B669C"/>
    <w:rsid w:val="006B6D18"/>
    <w:rsid w:val="006B7793"/>
    <w:rsid w:val="006B7B43"/>
    <w:rsid w:val="006C05D6"/>
    <w:rsid w:val="006C07AF"/>
    <w:rsid w:val="006C11BE"/>
    <w:rsid w:val="006C11DC"/>
    <w:rsid w:val="006C13B3"/>
    <w:rsid w:val="006C33C3"/>
    <w:rsid w:val="006C46AF"/>
    <w:rsid w:val="006C4A30"/>
    <w:rsid w:val="006C4ED7"/>
    <w:rsid w:val="006C4FFC"/>
    <w:rsid w:val="006C4FFD"/>
    <w:rsid w:val="006C61D4"/>
    <w:rsid w:val="006C620F"/>
    <w:rsid w:val="006C6359"/>
    <w:rsid w:val="006C6CFB"/>
    <w:rsid w:val="006C778B"/>
    <w:rsid w:val="006C7CF0"/>
    <w:rsid w:val="006D0785"/>
    <w:rsid w:val="006D0B4D"/>
    <w:rsid w:val="006D180F"/>
    <w:rsid w:val="006D1C8C"/>
    <w:rsid w:val="006D3557"/>
    <w:rsid w:val="006D40AA"/>
    <w:rsid w:val="006D5972"/>
    <w:rsid w:val="006D5BD3"/>
    <w:rsid w:val="006D60D7"/>
    <w:rsid w:val="006D706E"/>
    <w:rsid w:val="006D76BD"/>
    <w:rsid w:val="006E0911"/>
    <w:rsid w:val="006E15DC"/>
    <w:rsid w:val="006E185E"/>
    <w:rsid w:val="006E2261"/>
    <w:rsid w:val="006E2586"/>
    <w:rsid w:val="006E2C5C"/>
    <w:rsid w:val="006E2DBE"/>
    <w:rsid w:val="006E3D1E"/>
    <w:rsid w:val="006E42FD"/>
    <w:rsid w:val="006E5200"/>
    <w:rsid w:val="006E6877"/>
    <w:rsid w:val="006E6C9C"/>
    <w:rsid w:val="006E7DF8"/>
    <w:rsid w:val="006F1914"/>
    <w:rsid w:val="006F19F2"/>
    <w:rsid w:val="006F253B"/>
    <w:rsid w:val="006F2D82"/>
    <w:rsid w:val="006F35AA"/>
    <w:rsid w:val="006F5DB3"/>
    <w:rsid w:val="006F5F3C"/>
    <w:rsid w:val="006F604C"/>
    <w:rsid w:val="006F7CE0"/>
    <w:rsid w:val="006F7E37"/>
    <w:rsid w:val="00700ECB"/>
    <w:rsid w:val="00700ECC"/>
    <w:rsid w:val="00701296"/>
    <w:rsid w:val="007013B2"/>
    <w:rsid w:val="0070187A"/>
    <w:rsid w:val="007018F4"/>
    <w:rsid w:val="00702088"/>
    <w:rsid w:val="00702FB8"/>
    <w:rsid w:val="00704047"/>
    <w:rsid w:val="0070468D"/>
    <w:rsid w:val="0070643F"/>
    <w:rsid w:val="00706920"/>
    <w:rsid w:val="0070712E"/>
    <w:rsid w:val="007071A1"/>
    <w:rsid w:val="00707C67"/>
    <w:rsid w:val="007107E0"/>
    <w:rsid w:val="0071097C"/>
    <w:rsid w:val="00710A35"/>
    <w:rsid w:val="00711D1F"/>
    <w:rsid w:val="007129B9"/>
    <w:rsid w:val="00712C35"/>
    <w:rsid w:val="00712EC8"/>
    <w:rsid w:val="007135C7"/>
    <w:rsid w:val="007143AB"/>
    <w:rsid w:val="00714A73"/>
    <w:rsid w:val="00715CDC"/>
    <w:rsid w:val="00716770"/>
    <w:rsid w:val="0071683B"/>
    <w:rsid w:val="00716F19"/>
    <w:rsid w:val="00717970"/>
    <w:rsid w:val="00717A36"/>
    <w:rsid w:val="00717B10"/>
    <w:rsid w:val="00717D57"/>
    <w:rsid w:val="00717FE0"/>
    <w:rsid w:val="00720525"/>
    <w:rsid w:val="00720615"/>
    <w:rsid w:val="00720CD0"/>
    <w:rsid w:val="007214EC"/>
    <w:rsid w:val="007218FA"/>
    <w:rsid w:val="00722C11"/>
    <w:rsid w:val="00723887"/>
    <w:rsid w:val="007243BA"/>
    <w:rsid w:val="00724A65"/>
    <w:rsid w:val="00724EFB"/>
    <w:rsid w:val="00725085"/>
    <w:rsid w:val="00725279"/>
    <w:rsid w:val="0072585F"/>
    <w:rsid w:val="00726079"/>
    <w:rsid w:val="00726B79"/>
    <w:rsid w:val="007279E5"/>
    <w:rsid w:val="007322B7"/>
    <w:rsid w:val="0073244E"/>
    <w:rsid w:val="00732565"/>
    <w:rsid w:val="007328E5"/>
    <w:rsid w:val="00732D24"/>
    <w:rsid w:val="00732E99"/>
    <w:rsid w:val="00732F6D"/>
    <w:rsid w:val="007331A8"/>
    <w:rsid w:val="00733B1B"/>
    <w:rsid w:val="00734012"/>
    <w:rsid w:val="0073530F"/>
    <w:rsid w:val="0073578B"/>
    <w:rsid w:val="00735C35"/>
    <w:rsid w:val="007379FF"/>
    <w:rsid w:val="00740473"/>
    <w:rsid w:val="0074089B"/>
    <w:rsid w:val="00740AA1"/>
    <w:rsid w:val="00740AF2"/>
    <w:rsid w:val="00741111"/>
    <w:rsid w:val="00742319"/>
    <w:rsid w:val="007423D0"/>
    <w:rsid w:val="00742AB1"/>
    <w:rsid w:val="007431F8"/>
    <w:rsid w:val="00743934"/>
    <w:rsid w:val="00744D70"/>
    <w:rsid w:val="0074516E"/>
    <w:rsid w:val="0074519E"/>
    <w:rsid w:val="00745386"/>
    <w:rsid w:val="0074581D"/>
    <w:rsid w:val="00745FB0"/>
    <w:rsid w:val="00746129"/>
    <w:rsid w:val="007471DD"/>
    <w:rsid w:val="00750B7B"/>
    <w:rsid w:val="00750F2A"/>
    <w:rsid w:val="00751686"/>
    <w:rsid w:val="00752EEB"/>
    <w:rsid w:val="0075346A"/>
    <w:rsid w:val="007534CE"/>
    <w:rsid w:val="00753B2E"/>
    <w:rsid w:val="00753D02"/>
    <w:rsid w:val="007543F9"/>
    <w:rsid w:val="0075457F"/>
    <w:rsid w:val="00754633"/>
    <w:rsid w:val="00754C5E"/>
    <w:rsid w:val="00754F6F"/>
    <w:rsid w:val="007553BC"/>
    <w:rsid w:val="0075574B"/>
    <w:rsid w:val="00755849"/>
    <w:rsid w:val="00755A0F"/>
    <w:rsid w:val="00755DEA"/>
    <w:rsid w:val="00756560"/>
    <w:rsid w:val="0075677E"/>
    <w:rsid w:val="0075730B"/>
    <w:rsid w:val="007575D7"/>
    <w:rsid w:val="00757729"/>
    <w:rsid w:val="00757823"/>
    <w:rsid w:val="00757DB5"/>
    <w:rsid w:val="00760D15"/>
    <w:rsid w:val="0076102C"/>
    <w:rsid w:val="00762665"/>
    <w:rsid w:val="00762F93"/>
    <w:rsid w:val="00763104"/>
    <w:rsid w:val="007635B4"/>
    <w:rsid w:val="00763E5D"/>
    <w:rsid w:val="007640E5"/>
    <w:rsid w:val="00765913"/>
    <w:rsid w:val="007660BC"/>
    <w:rsid w:val="0076643A"/>
    <w:rsid w:val="00766D22"/>
    <w:rsid w:val="00766E17"/>
    <w:rsid w:val="00770BAC"/>
    <w:rsid w:val="00770C33"/>
    <w:rsid w:val="00771ABC"/>
    <w:rsid w:val="0077204C"/>
    <w:rsid w:val="007722B9"/>
    <w:rsid w:val="00772E3D"/>
    <w:rsid w:val="0077376C"/>
    <w:rsid w:val="00773EC2"/>
    <w:rsid w:val="00774ABE"/>
    <w:rsid w:val="00774B06"/>
    <w:rsid w:val="0077558B"/>
    <w:rsid w:val="00775D64"/>
    <w:rsid w:val="00776328"/>
    <w:rsid w:val="007763FE"/>
    <w:rsid w:val="007766C5"/>
    <w:rsid w:val="00776A07"/>
    <w:rsid w:val="0077739B"/>
    <w:rsid w:val="00777615"/>
    <w:rsid w:val="007808EE"/>
    <w:rsid w:val="00780E5F"/>
    <w:rsid w:val="00781CF6"/>
    <w:rsid w:val="00782D87"/>
    <w:rsid w:val="00782E40"/>
    <w:rsid w:val="00782F90"/>
    <w:rsid w:val="00783C22"/>
    <w:rsid w:val="00784BA8"/>
    <w:rsid w:val="0078580E"/>
    <w:rsid w:val="00785BB6"/>
    <w:rsid w:val="00785CEE"/>
    <w:rsid w:val="00787809"/>
    <w:rsid w:val="00790A20"/>
    <w:rsid w:val="00792016"/>
    <w:rsid w:val="00792087"/>
    <w:rsid w:val="007932A6"/>
    <w:rsid w:val="00793E4D"/>
    <w:rsid w:val="00793E87"/>
    <w:rsid w:val="00793FE0"/>
    <w:rsid w:val="00794C0B"/>
    <w:rsid w:val="00794F10"/>
    <w:rsid w:val="007954FE"/>
    <w:rsid w:val="00795BC5"/>
    <w:rsid w:val="00795F9C"/>
    <w:rsid w:val="007963F8"/>
    <w:rsid w:val="00797B07"/>
    <w:rsid w:val="007A0AFF"/>
    <w:rsid w:val="007A12AA"/>
    <w:rsid w:val="007A1C55"/>
    <w:rsid w:val="007A1D92"/>
    <w:rsid w:val="007A29E6"/>
    <w:rsid w:val="007A2E2A"/>
    <w:rsid w:val="007A3679"/>
    <w:rsid w:val="007A41F8"/>
    <w:rsid w:val="007A5524"/>
    <w:rsid w:val="007A671E"/>
    <w:rsid w:val="007A67B2"/>
    <w:rsid w:val="007A6921"/>
    <w:rsid w:val="007A7993"/>
    <w:rsid w:val="007B0098"/>
    <w:rsid w:val="007B04B8"/>
    <w:rsid w:val="007B1407"/>
    <w:rsid w:val="007B293F"/>
    <w:rsid w:val="007B3269"/>
    <w:rsid w:val="007B35D4"/>
    <w:rsid w:val="007B47EC"/>
    <w:rsid w:val="007B647B"/>
    <w:rsid w:val="007B6837"/>
    <w:rsid w:val="007B6CF9"/>
    <w:rsid w:val="007B7232"/>
    <w:rsid w:val="007B7D1A"/>
    <w:rsid w:val="007B7E10"/>
    <w:rsid w:val="007C08CB"/>
    <w:rsid w:val="007C1387"/>
    <w:rsid w:val="007C17DA"/>
    <w:rsid w:val="007C21D2"/>
    <w:rsid w:val="007C377C"/>
    <w:rsid w:val="007C3E89"/>
    <w:rsid w:val="007C3F48"/>
    <w:rsid w:val="007C4A0D"/>
    <w:rsid w:val="007C4D7E"/>
    <w:rsid w:val="007C54D1"/>
    <w:rsid w:val="007C71EB"/>
    <w:rsid w:val="007C799D"/>
    <w:rsid w:val="007D1443"/>
    <w:rsid w:val="007D19AF"/>
    <w:rsid w:val="007D22BA"/>
    <w:rsid w:val="007D23F1"/>
    <w:rsid w:val="007D3518"/>
    <w:rsid w:val="007D3ECF"/>
    <w:rsid w:val="007D3FF3"/>
    <w:rsid w:val="007D44DA"/>
    <w:rsid w:val="007D4FA8"/>
    <w:rsid w:val="007D5935"/>
    <w:rsid w:val="007D5EAE"/>
    <w:rsid w:val="007D5F71"/>
    <w:rsid w:val="007D609B"/>
    <w:rsid w:val="007D6E3B"/>
    <w:rsid w:val="007D7009"/>
    <w:rsid w:val="007E052F"/>
    <w:rsid w:val="007E0AFC"/>
    <w:rsid w:val="007E16AB"/>
    <w:rsid w:val="007E2439"/>
    <w:rsid w:val="007E2CDE"/>
    <w:rsid w:val="007E2D44"/>
    <w:rsid w:val="007E2FD7"/>
    <w:rsid w:val="007E2FFB"/>
    <w:rsid w:val="007E316A"/>
    <w:rsid w:val="007E31B7"/>
    <w:rsid w:val="007E39BA"/>
    <w:rsid w:val="007E414E"/>
    <w:rsid w:val="007E4F3B"/>
    <w:rsid w:val="007E60F5"/>
    <w:rsid w:val="007E6B03"/>
    <w:rsid w:val="007E6EB2"/>
    <w:rsid w:val="007E6FDA"/>
    <w:rsid w:val="007F0E62"/>
    <w:rsid w:val="007F14DB"/>
    <w:rsid w:val="007F18D1"/>
    <w:rsid w:val="007F21EE"/>
    <w:rsid w:val="007F2496"/>
    <w:rsid w:val="007F28BF"/>
    <w:rsid w:val="007F2E0C"/>
    <w:rsid w:val="007F2F10"/>
    <w:rsid w:val="007F3E5A"/>
    <w:rsid w:val="007F4D0A"/>
    <w:rsid w:val="007F57E4"/>
    <w:rsid w:val="007F5CA3"/>
    <w:rsid w:val="007F6025"/>
    <w:rsid w:val="007F62CE"/>
    <w:rsid w:val="007F6A0B"/>
    <w:rsid w:val="007F6B0D"/>
    <w:rsid w:val="007F6BC3"/>
    <w:rsid w:val="007F70DE"/>
    <w:rsid w:val="007F723F"/>
    <w:rsid w:val="007F75B6"/>
    <w:rsid w:val="00800CC5"/>
    <w:rsid w:val="00800E36"/>
    <w:rsid w:val="00802621"/>
    <w:rsid w:val="00803807"/>
    <w:rsid w:val="008042A8"/>
    <w:rsid w:val="00804BF6"/>
    <w:rsid w:val="00804FED"/>
    <w:rsid w:val="00805A88"/>
    <w:rsid w:val="008061A7"/>
    <w:rsid w:val="008063AD"/>
    <w:rsid w:val="00806EF6"/>
    <w:rsid w:val="00807747"/>
    <w:rsid w:val="00810D36"/>
    <w:rsid w:val="00810D49"/>
    <w:rsid w:val="00810F0A"/>
    <w:rsid w:val="00811E8A"/>
    <w:rsid w:val="00812798"/>
    <w:rsid w:val="00812E5B"/>
    <w:rsid w:val="00812E81"/>
    <w:rsid w:val="00813DD9"/>
    <w:rsid w:val="00814AF2"/>
    <w:rsid w:val="008154F5"/>
    <w:rsid w:val="008163AA"/>
    <w:rsid w:val="00816528"/>
    <w:rsid w:val="008167DD"/>
    <w:rsid w:val="008170D3"/>
    <w:rsid w:val="00817BA7"/>
    <w:rsid w:val="00820966"/>
    <w:rsid w:val="00821425"/>
    <w:rsid w:val="00822593"/>
    <w:rsid w:val="00822635"/>
    <w:rsid w:val="00822EF2"/>
    <w:rsid w:val="0082332B"/>
    <w:rsid w:val="0082345B"/>
    <w:rsid w:val="0082390D"/>
    <w:rsid w:val="00824354"/>
    <w:rsid w:val="00824EC0"/>
    <w:rsid w:val="008250D5"/>
    <w:rsid w:val="008256BA"/>
    <w:rsid w:val="008261B2"/>
    <w:rsid w:val="0082632E"/>
    <w:rsid w:val="00826E6D"/>
    <w:rsid w:val="00827A61"/>
    <w:rsid w:val="00827DC6"/>
    <w:rsid w:val="00827E6F"/>
    <w:rsid w:val="00830C57"/>
    <w:rsid w:val="00831C53"/>
    <w:rsid w:val="00832439"/>
    <w:rsid w:val="008326AD"/>
    <w:rsid w:val="00832A40"/>
    <w:rsid w:val="00833748"/>
    <w:rsid w:val="008338EB"/>
    <w:rsid w:val="00834359"/>
    <w:rsid w:val="00834CF4"/>
    <w:rsid w:val="008353FB"/>
    <w:rsid w:val="00835E4A"/>
    <w:rsid w:val="0083684B"/>
    <w:rsid w:val="00836C8F"/>
    <w:rsid w:val="00837543"/>
    <w:rsid w:val="008375E5"/>
    <w:rsid w:val="00837781"/>
    <w:rsid w:val="00837BBE"/>
    <w:rsid w:val="00840AE4"/>
    <w:rsid w:val="00840DED"/>
    <w:rsid w:val="008412F5"/>
    <w:rsid w:val="00842008"/>
    <w:rsid w:val="0084367E"/>
    <w:rsid w:val="0084408A"/>
    <w:rsid w:val="008447D7"/>
    <w:rsid w:val="00844CCD"/>
    <w:rsid w:val="00844E9C"/>
    <w:rsid w:val="00845A84"/>
    <w:rsid w:val="00845D9F"/>
    <w:rsid w:val="00845E55"/>
    <w:rsid w:val="00846B27"/>
    <w:rsid w:val="0084733E"/>
    <w:rsid w:val="00847AF8"/>
    <w:rsid w:val="00847F11"/>
    <w:rsid w:val="00850584"/>
    <w:rsid w:val="00850AEE"/>
    <w:rsid w:val="00850DC8"/>
    <w:rsid w:val="00851DD5"/>
    <w:rsid w:val="00852F8F"/>
    <w:rsid w:val="00853A2B"/>
    <w:rsid w:val="00854B0F"/>
    <w:rsid w:val="00854F4B"/>
    <w:rsid w:val="00855038"/>
    <w:rsid w:val="00855494"/>
    <w:rsid w:val="0085722B"/>
    <w:rsid w:val="0085722C"/>
    <w:rsid w:val="0086000F"/>
    <w:rsid w:val="00860715"/>
    <w:rsid w:val="00860888"/>
    <w:rsid w:val="0086199E"/>
    <w:rsid w:val="00861B0A"/>
    <w:rsid w:val="0086265A"/>
    <w:rsid w:val="00862F75"/>
    <w:rsid w:val="008633A0"/>
    <w:rsid w:val="00864152"/>
    <w:rsid w:val="00864D97"/>
    <w:rsid w:val="00864EB6"/>
    <w:rsid w:val="008650CD"/>
    <w:rsid w:val="0086686E"/>
    <w:rsid w:val="00867078"/>
    <w:rsid w:val="008670D8"/>
    <w:rsid w:val="00867845"/>
    <w:rsid w:val="00867AE1"/>
    <w:rsid w:val="00867E4F"/>
    <w:rsid w:val="0087084C"/>
    <w:rsid w:val="00871222"/>
    <w:rsid w:val="0087142D"/>
    <w:rsid w:val="00871F05"/>
    <w:rsid w:val="00872603"/>
    <w:rsid w:val="00872ED6"/>
    <w:rsid w:val="00872EF6"/>
    <w:rsid w:val="008730F1"/>
    <w:rsid w:val="00873364"/>
    <w:rsid w:val="008738B1"/>
    <w:rsid w:val="00874FE3"/>
    <w:rsid w:val="00877242"/>
    <w:rsid w:val="008778D9"/>
    <w:rsid w:val="0087793C"/>
    <w:rsid w:val="00877DD6"/>
    <w:rsid w:val="00880086"/>
    <w:rsid w:val="008800B3"/>
    <w:rsid w:val="00880867"/>
    <w:rsid w:val="0088092B"/>
    <w:rsid w:val="0088122B"/>
    <w:rsid w:val="008816A4"/>
    <w:rsid w:val="00882F03"/>
    <w:rsid w:val="0088303A"/>
    <w:rsid w:val="0088330B"/>
    <w:rsid w:val="00883CBD"/>
    <w:rsid w:val="00884070"/>
    <w:rsid w:val="008841FB"/>
    <w:rsid w:val="00885832"/>
    <w:rsid w:val="008862A8"/>
    <w:rsid w:val="0088680D"/>
    <w:rsid w:val="00886E5F"/>
    <w:rsid w:val="00887D8D"/>
    <w:rsid w:val="00890219"/>
    <w:rsid w:val="00890516"/>
    <w:rsid w:val="00891296"/>
    <w:rsid w:val="0089156B"/>
    <w:rsid w:val="00891BD8"/>
    <w:rsid w:val="00891E2A"/>
    <w:rsid w:val="00893D67"/>
    <w:rsid w:val="008942A9"/>
    <w:rsid w:val="00896299"/>
    <w:rsid w:val="00896484"/>
    <w:rsid w:val="008968A2"/>
    <w:rsid w:val="00897759"/>
    <w:rsid w:val="00897A30"/>
    <w:rsid w:val="00897AEF"/>
    <w:rsid w:val="00897DD0"/>
    <w:rsid w:val="008A0035"/>
    <w:rsid w:val="008A06BD"/>
    <w:rsid w:val="008A080A"/>
    <w:rsid w:val="008A0EE4"/>
    <w:rsid w:val="008A0FE5"/>
    <w:rsid w:val="008A12AC"/>
    <w:rsid w:val="008A1522"/>
    <w:rsid w:val="008A1621"/>
    <w:rsid w:val="008A16B2"/>
    <w:rsid w:val="008A2617"/>
    <w:rsid w:val="008A26A1"/>
    <w:rsid w:val="008A3D64"/>
    <w:rsid w:val="008A3F25"/>
    <w:rsid w:val="008A407C"/>
    <w:rsid w:val="008A43DF"/>
    <w:rsid w:val="008A44F4"/>
    <w:rsid w:val="008A51E2"/>
    <w:rsid w:val="008A571D"/>
    <w:rsid w:val="008A5E67"/>
    <w:rsid w:val="008A6541"/>
    <w:rsid w:val="008A6C17"/>
    <w:rsid w:val="008A6D28"/>
    <w:rsid w:val="008A75D3"/>
    <w:rsid w:val="008A7F24"/>
    <w:rsid w:val="008B1565"/>
    <w:rsid w:val="008B28C0"/>
    <w:rsid w:val="008B2A2F"/>
    <w:rsid w:val="008B3220"/>
    <w:rsid w:val="008B3F38"/>
    <w:rsid w:val="008B4058"/>
    <w:rsid w:val="008B42B3"/>
    <w:rsid w:val="008B45B1"/>
    <w:rsid w:val="008B51C5"/>
    <w:rsid w:val="008B573E"/>
    <w:rsid w:val="008B57D5"/>
    <w:rsid w:val="008B5E46"/>
    <w:rsid w:val="008B5EA1"/>
    <w:rsid w:val="008B6A38"/>
    <w:rsid w:val="008B6C7B"/>
    <w:rsid w:val="008B7787"/>
    <w:rsid w:val="008B7F93"/>
    <w:rsid w:val="008C05AC"/>
    <w:rsid w:val="008C17F6"/>
    <w:rsid w:val="008C246D"/>
    <w:rsid w:val="008C2AA9"/>
    <w:rsid w:val="008C3F82"/>
    <w:rsid w:val="008C4750"/>
    <w:rsid w:val="008C48FF"/>
    <w:rsid w:val="008C4DCC"/>
    <w:rsid w:val="008C4E11"/>
    <w:rsid w:val="008C518E"/>
    <w:rsid w:val="008C600F"/>
    <w:rsid w:val="008C6010"/>
    <w:rsid w:val="008C66DD"/>
    <w:rsid w:val="008C77F3"/>
    <w:rsid w:val="008C78F0"/>
    <w:rsid w:val="008D1D9D"/>
    <w:rsid w:val="008D2008"/>
    <w:rsid w:val="008D24A6"/>
    <w:rsid w:val="008D2B31"/>
    <w:rsid w:val="008D3832"/>
    <w:rsid w:val="008D3CA4"/>
    <w:rsid w:val="008D4396"/>
    <w:rsid w:val="008D4FF0"/>
    <w:rsid w:val="008D59A1"/>
    <w:rsid w:val="008D5C20"/>
    <w:rsid w:val="008D5D61"/>
    <w:rsid w:val="008D7437"/>
    <w:rsid w:val="008D77F7"/>
    <w:rsid w:val="008D79E9"/>
    <w:rsid w:val="008E0FD9"/>
    <w:rsid w:val="008E119F"/>
    <w:rsid w:val="008E1352"/>
    <w:rsid w:val="008E1447"/>
    <w:rsid w:val="008E178D"/>
    <w:rsid w:val="008E23A0"/>
    <w:rsid w:val="008E2734"/>
    <w:rsid w:val="008E27F1"/>
    <w:rsid w:val="008E3322"/>
    <w:rsid w:val="008E345C"/>
    <w:rsid w:val="008E3DAD"/>
    <w:rsid w:val="008E48A8"/>
    <w:rsid w:val="008E49DB"/>
    <w:rsid w:val="008E4C79"/>
    <w:rsid w:val="008E50E3"/>
    <w:rsid w:val="008E73C3"/>
    <w:rsid w:val="008E7B29"/>
    <w:rsid w:val="008E7F77"/>
    <w:rsid w:val="008F07B7"/>
    <w:rsid w:val="008F0B47"/>
    <w:rsid w:val="008F0D09"/>
    <w:rsid w:val="008F17CC"/>
    <w:rsid w:val="008F1AA1"/>
    <w:rsid w:val="008F1B32"/>
    <w:rsid w:val="008F28DA"/>
    <w:rsid w:val="008F2BE7"/>
    <w:rsid w:val="008F30AB"/>
    <w:rsid w:val="008F3A4E"/>
    <w:rsid w:val="008F4545"/>
    <w:rsid w:val="008F509B"/>
    <w:rsid w:val="008F602F"/>
    <w:rsid w:val="008F667F"/>
    <w:rsid w:val="008F689B"/>
    <w:rsid w:val="00900595"/>
    <w:rsid w:val="00901077"/>
    <w:rsid w:val="009012C8"/>
    <w:rsid w:val="009017F3"/>
    <w:rsid w:val="00901EAB"/>
    <w:rsid w:val="0090269F"/>
    <w:rsid w:val="00902BF1"/>
    <w:rsid w:val="00902E51"/>
    <w:rsid w:val="00904650"/>
    <w:rsid w:val="009046B0"/>
    <w:rsid w:val="00905595"/>
    <w:rsid w:val="00906E79"/>
    <w:rsid w:val="009071C1"/>
    <w:rsid w:val="00910646"/>
    <w:rsid w:val="00911A0A"/>
    <w:rsid w:val="009123D0"/>
    <w:rsid w:val="00912780"/>
    <w:rsid w:val="00913883"/>
    <w:rsid w:val="00914181"/>
    <w:rsid w:val="00914D1E"/>
    <w:rsid w:val="00914EC0"/>
    <w:rsid w:val="0091554B"/>
    <w:rsid w:val="0091587F"/>
    <w:rsid w:val="00915EAA"/>
    <w:rsid w:val="00915EE3"/>
    <w:rsid w:val="00916F7D"/>
    <w:rsid w:val="00917200"/>
    <w:rsid w:val="00917891"/>
    <w:rsid w:val="00917957"/>
    <w:rsid w:val="00917A14"/>
    <w:rsid w:val="0092061B"/>
    <w:rsid w:val="009212EC"/>
    <w:rsid w:val="0092130F"/>
    <w:rsid w:val="009213FD"/>
    <w:rsid w:val="0092211F"/>
    <w:rsid w:val="009221E8"/>
    <w:rsid w:val="00922467"/>
    <w:rsid w:val="0092254B"/>
    <w:rsid w:val="00923614"/>
    <w:rsid w:val="00923690"/>
    <w:rsid w:val="00923AE4"/>
    <w:rsid w:val="009243CA"/>
    <w:rsid w:val="0092462B"/>
    <w:rsid w:val="00924C97"/>
    <w:rsid w:val="00925393"/>
    <w:rsid w:val="0092589C"/>
    <w:rsid w:val="00925CA9"/>
    <w:rsid w:val="00926625"/>
    <w:rsid w:val="00926F55"/>
    <w:rsid w:val="00927B23"/>
    <w:rsid w:val="00930427"/>
    <w:rsid w:val="009306DA"/>
    <w:rsid w:val="00930FE1"/>
    <w:rsid w:val="009310C8"/>
    <w:rsid w:val="009313E2"/>
    <w:rsid w:val="00931F86"/>
    <w:rsid w:val="009321FF"/>
    <w:rsid w:val="0093239A"/>
    <w:rsid w:val="00932A86"/>
    <w:rsid w:val="009330AA"/>
    <w:rsid w:val="00933D48"/>
    <w:rsid w:val="0093403D"/>
    <w:rsid w:val="00935B2F"/>
    <w:rsid w:val="009368C6"/>
    <w:rsid w:val="00936C56"/>
    <w:rsid w:val="00936E67"/>
    <w:rsid w:val="009375C7"/>
    <w:rsid w:val="00937BB7"/>
    <w:rsid w:val="009404E8"/>
    <w:rsid w:val="009414CB"/>
    <w:rsid w:val="00941A13"/>
    <w:rsid w:val="00941DA0"/>
    <w:rsid w:val="00941E0E"/>
    <w:rsid w:val="009422FE"/>
    <w:rsid w:val="0094299B"/>
    <w:rsid w:val="00942B7C"/>
    <w:rsid w:val="00942E79"/>
    <w:rsid w:val="00943191"/>
    <w:rsid w:val="0094346F"/>
    <w:rsid w:val="00943B12"/>
    <w:rsid w:val="009449F2"/>
    <w:rsid w:val="00944D28"/>
    <w:rsid w:val="00945095"/>
    <w:rsid w:val="009459F0"/>
    <w:rsid w:val="00945B05"/>
    <w:rsid w:val="00946A08"/>
    <w:rsid w:val="00946CF9"/>
    <w:rsid w:val="009470D5"/>
    <w:rsid w:val="00947E7D"/>
    <w:rsid w:val="00951A64"/>
    <w:rsid w:val="0095220A"/>
    <w:rsid w:val="009522C9"/>
    <w:rsid w:val="00953053"/>
    <w:rsid w:val="009545C1"/>
    <w:rsid w:val="009546E4"/>
    <w:rsid w:val="009547FF"/>
    <w:rsid w:val="00955519"/>
    <w:rsid w:val="00955884"/>
    <w:rsid w:val="00955BCB"/>
    <w:rsid w:val="00955F28"/>
    <w:rsid w:val="009562EF"/>
    <w:rsid w:val="00956ACC"/>
    <w:rsid w:val="00957945"/>
    <w:rsid w:val="00960DBE"/>
    <w:rsid w:val="00960DD3"/>
    <w:rsid w:val="00960E8F"/>
    <w:rsid w:val="00961114"/>
    <w:rsid w:val="00962225"/>
    <w:rsid w:val="00962595"/>
    <w:rsid w:val="009628C0"/>
    <w:rsid w:val="00962C8C"/>
    <w:rsid w:val="00965555"/>
    <w:rsid w:val="00965B80"/>
    <w:rsid w:val="00967478"/>
    <w:rsid w:val="0096789F"/>
    <w:rsid w:val="00967935"/>
    <w:rsid w:val="00967B78"/>
    <w:rsid w:val="0097058A"/>
    <w:rsid w:val="009705C8"/>
    <w:rsid w:val="009706DD"/>
    <w:rsid w:val="00970A69"/>
    <w:rsid w:val="00970C76"/>
    <w:rsid w:val="00970CC3"/>
    <w:rsid w:val="0097116B"/>
    <w:rsid w:val="00971E6C"/>
    <w:rsid w:val="00971EB5"/>
    <w:rsid w:val="009722E3"/>
    <w:rsid w:val="00972928"/>
    <w:rsid w:val="00972DC4"/>
    <w:rsid w:val="0097309E"/>
    <w:rsid w:val="009731CC"/>
    <w:rsid w:val="00973309"/>
    <w:rsid w:val="00973313"/>
    <w:rsid w:val="00973AFE"/>
    <w:rsid w:val="009744B8"/>
    <w:rsid w:val="00974FCF"/>
    <w:rsid w:val="00974FD2"/>
    <w:rsid w:val="00975449"/>
    <w:rsid w:val="009757F6"/>
    <w:rsid w:val="00976412"/>
    <w:rsid w:val="009771E5"/>
    <w:rsid w:val="009801D8"/>
    <w:rsid w:val="00980528"/>
    <w:rsid w:val="00981143"/>
    <w:rsid w:val="009812C5"/>
    <w:rsid w:val="0098148E"/>
    <w:rsid w:val="00981A58"/>
    <w:rsid w:val="00981C30"/>
    <w:rsid w:val="0098273F"/>
    <w:rsid w:val="009836F4"/>
    <w:rsid w:val="00983E0E"/>
    <w:rsid w:val="00983E9D"/>
    <w:rsid w:val="00983EB3"/>
    <w:rsid w:val="009849CC"/>
    <w:rsid w:val="00984A91"/>
    <w:rsid w:val="00984F6F"/>
    <w:rsid w:val="00985417"/>
    <w:rsid w:val="009858CA"/>
    <w:rsid w:val="00986181"/>
    <w:rsid w:val="00990795"/>
    <w:rsid w:val="00991308"/>
    <w:rsid w:val="009913FE"/>
    <w:rsid w:val="009914D0"/>
    <w:rsid w:val="009922C2"/>
    <w:rsid w:val="00992943"/>
    <w:rsid w:val="009931D5"/>
    <w:rsid w:val="0099327B"/>
    <w:rsid w:val="00993A38"/>
    <w:rsid w:val="00994456"/>
    <w:rsid w:val="0099519E"/>
    <w:rsid w:val="00995A66"/>
    <w:rsid w:val="00996004"/>
    <w:rsid w:val="00996369"/>
    <w:rsid w:val="00996709"/>
    <w:rsid w:val="00996B60"/>
    <w:rsid w:val="00996CB4"/>
    <w:rsid w:val="009974EC"/>
    <w:rsid w:val="0099755E"/>
    <w:rsid w:val="00997672"/>
    <w:rsid w:val="00997AC4"/>
    <w:rsid w:val="00997D34"/>
    <w:rsid w:val="009A0348"/>
    <w:rsid w:val="009A062A"/>
    <w:rsid w:val="009A0D74"/>
    <w:rsid w:val="009A0F1B"/>
    <w:rsid w:val="009A10B2"/>
    <w:rsid w:val="009A141C"/>
    <w:rsid w:val="009A18A8"/>
    <w:rsid w:val="009A1994"/>
    <w:rsid w:val="009A1B0E"/>
    <w:rsid w:val="009A2F18"/>
    <w:rsid w:val="009A31EF"/>
    <w:rsid w:val="009A31F7"/>
    <w:rsid w:val="009A4AB3"/>
    <w:rsid w:val="009A6268"/>
    <w:rsid w:val="009A6950"/>
    <w:rsid w:val="009A6C19"/>
    <w:rsid w:val="009A70C4"/>
    <w:rsid w:val="009A76DB"/>
    <w:rsid w:val="009B02DF"/>
    <w:rsid w:val="009B0AB9"/>
    <w:rsid w:val="009B1863"/>
    <w:rsid w:val="009B1B90"/>
    <w:rsid w:val="009B2D70"/>
    <w:rsid w:val="009B2F31"/>
    <w:rsid w:val="009B30D2"/>
    <w:rsid w:val="009B64ED"/>
    <w:rsid w:val="009B6939"/>
    <w:rsid w:val="009B6F3B"/>
    <w:rsid w:val="009B7337"/>
    <w:rsid w:val="009B7C4F"/>
    <w:rsid w:val="009B7E66"/>
    <w:rsid w:val="009C025D"/>
    <w:rsid w:val="009C03A2"/>
    <w:rsid w:val="009C0BEF"/>
    <w:rsid w:val="009C233F"/>
    <w:rsid w:val="009C2A7E"/>
    <w:rsid w:val="009C2A9B"/>
    <w:rsid w:val="009C2CA0"/>
    <w:rsid w:val="009C3ADC"/>
    <w:rsid w:val="009C4279"/>
    <w:rsid w:val="009C4AD9"/>
    <w:rsid w:val="009C502D"/>
    <w:rsid w:val="009C668C"/>
    <w:rsid w:val="009C670D"/>
    <w:rsid w:val="009C76BB"/>
    <w:rsid w:val="009D0265"/>
    <w:rsid w:val="009D0743"/>
    <w:rsid w:val="009D134F"/>
    <w:rsid w:val="009D3494"/>
    <w:rsid w:val="009D4CC8"/>
    <w:rsid w:val="009D5709"/>
    <w:rsid w:val="009D6BD0"/>
    <w:rsid w:val="009D7E06"/>
    <w:rsid w:val="009E0009"/>
    <w:rsid w:val="009E02DD"/>
    <w:rsid w:val="009E12F3"/>
    <w:rsid w:val="009E16C4"/>
    <w:rsid w:val="009E273A"/>
    <w:rsid w:val="009E2D9A"/>
    <w:rsid w:val="009E4BE4"/>
    <w:rsid w:val="009E575E"/>
    <w:rsid w:val="009E5DD6"/>
    <w:rsid w:val="009E5ECE"/>
    <w:rsid w:val="009E663D"/>
    <w:rsid w:val="009E6E2C"/>
    <w:rsid w:val="009E705A"/>
    <w:rsid w:val="009E70EC"/>
    <w:rsid w:val="009E7A3F"/>
    <w:rsid w:val="009E7F09"/>
    <w:rsid w:val="009E7F71"/>
    <w:rsid w:val="009F1400"/>
    <w:rsid w:val="009F1BDE"/>
    <w:rsid w:val="009F1D32"/>
    <w:rsid w:val="009F2200"/>
    <w:rsid w:val="009F24EB"/>
    <w:rsid w:val="009F2A36"/>
    <w:rsid w:val="009F2A46"/>
    <w:rsid w:val="009F3F56"/>
    <w:rsid w:val="009F4819"/>
    <w:rsid w:val="009F4AC1"/>
    <w:rsid w:val="009F5222"/>
    <w:rsid w:val="009F5301"/>
    <w:rsid w:val="009F56D8"/>
    <w:rsid w:val="009F57D5"/>
    <w:rsid w:val="009F6729"/>
    <w:rsid w:val="009F679F"/>
    <w:rsid w:val="009F6E1D"/>
    <w:rsid w:val="009F717D"/>
    <w:rsid w:val="009F76F0"/>
    <w:rsid w:val="009F775D"/>
    <w:rsid w:val="00A0057D"/>
    <w:rsid w:val="00A0113C"/>
    <w:rsid w:val="00A01A02"/>
    <w:rsid w:val="00A01A51"/>
    <w:rsid w:val="00A01ADE"/>
    <w:rsid w:val="00A01C87"/>
    <w:rsid w:val="00A0259C"/>
    <w:rsid w:val="00A0343F"/>
    <w:rsid w:val="00A03F15"/>
    <w:rsid w:val="00A05133"/>
    <w:rsid w:val="00A05BD2"/>
    <w:rsid w:val="00A05E14"/>
    <w:rsid w:val="00A065D9"/>
    <w:rsid w:val="00A0693A"/>
    <w:rsid w:val="00A070F5"/>
    <w:rsid w:val="00A072A1"/>
    <w:rsid w:val="00A07321"/>
    <w:rsid w:val="00A07839"/>
    <w:rsid w:val="00A07B3E"/>
    <w:rsid w:val="00A07BC4"/>
    <w:rsid w:val="00A10A7C"/>
    <w:rsid w:val="00A10A94"/>
    <w:rsid w:val="00A10C82"/>
    <w:rsid w:val="00A11216"/>
    <w:rsid w:val="00A1130F"/>
    <w:rsid w:val="00A1138E"/>
    <w:rsid w:val="00A11C6A"/>
    <w:rsid w:val="00A11F95"/>
    <w:rsid w:val="00A13B3B"/>
    <w:rsid w:val="00A13BA1"/>
    <w:rsid w:val="00A13DB3"/>
    <w:rsid w:val="00A140C0"/>
    <w:rsid w:val="00A142AE"/>
    <w:rsid w:val="00A156A4"/>
    <w:rsid w:val="00A160D2"/>
    <w:rsid w:val="00A16643"/>
    <w:rsid w:val="00A16BA9"/>
    <w:rsid w:val="00A17C23"/>
    <w:rsid w:val="00A2088B"/>
    <w:rsid w:val="00A20A43"/>
    <w:rsid w:val="00A2280A"/>
    <w:rsid w:val="00A23004"/>
    <w:rsid w:val="00A23123"/>
    <w:rsid w:val="00A23773"/>
    <w:rsid w:val="00A23B1D"/>
    <w:rsid w:val="00A23E7B"/>
    <w:rsid w:val="00A24587"/>
    <w:rsid w:val="00A25315"/>
    <w:rsid w:val="00A25CD1"/>
    <w:rsid w:val="00A25DC0"/>
    <w:rsid w:val="00A26002"/>
    <w:rsid w:val="00A26FC0"/>
    <w:rsid w:val="00A27381"/>
    <w:rsid w:val="00A27598"/>
    <w:rsid w:val="00A30420"/>
    <w:rsid w:val="00A317CA"/>
    <w:rsid w:val="00A31A43"/>
    <w:rsid w:val="00A32D37"/>
    <w:rsid w:val="00A32E87"/>
    <w:rsid w:val="00A33395"/>
    <w:rsid w:val="00A3345F"/>
    <w:rsid w:val="00A3399D"/>
    <w:rsid w:val="00A33BAA"/>
    <w:rsid w:val="00A33EAD"/>
    <w:rsid w:val="00A34680"/>
    <w:rsid w:val="00A348F2"/>
    <w:rsid w:val="00A35035"/>
    <w:rsid w:val="00A35053"/>
    <w:rsid w:val="00A350A5"/>
    <w:rsid w:val="00A35814"/>
    <w:rsid w:val="00A359E0"/>
    <w:rsid w:val="00A35CEB"/>
    <w:rsid w:val="00A35E65"/>
    <w:rsid w:val="00A36ED1"/>
    <w:rsid w:val="00A373E3"/>
    <w:rsid w:val="00A40152"/>
    <w:rsid w:val="00A40E66"/>
    <w:rsid w:val="00A4102E"/>
    <w:rsid w:val="00A4129E"/>
    <w:rsid w:val="00A4313F"/>
    <w:rsid w:val="00A43287"/>
    <w:rsid w:val="00A4434F"/>
    <w:rsid w:val="00A44531"/>
    <w:rsid w:val="00A453C0"/>
    <w:rsid w:val="00A45AE1"/>
    <w:rsid w:val="00A45C27"/>
    <w:rsid w:val="00A46496"/>
    <w:rsid w:val="00A4669D"/>
    <w:rsid w:val="00A46F5A"/>
    <w:rsid w:val="00A470E0"/>
    <w:rsid w:val="00A475F1"/>
    <w:rsid w:val="00A4765A"/>
    <w:rsid w:val="00A47DEC"/>
    <w:rsid w:val="00A47FD2"/>
    <w:rsid w:val="00A51421"/>
    <w:rsid w:val="00A51479"/>
    <w:rsid w:val="00A517AF"/>
    <w:rsid w:val="00A51C71"/>
    <w:rsid w:val="00A534D2"/>
    <w:rsid w:val="00A5395F"/>
    <w:rsid w:val="00A540E1"/>
    <w:rsid w:val="00A5410C"/>
    <w:rsid w:val="00A5496E"/>
    <w:rsid w:val="00A55A22"/>
    <w:rsid w:val="00A55DEB"/>
    <w:rsid w:val="00A561AF"/>
    <w:rsid w:val="00A562DF"/>
    <w:rsid w:val="00A565CE"/>
    <w:rsid w:val="00A56DE0"/>
    <w:rsid w:val="00A57747"/>
    <w:rsid w:val="00A57C63"/>
    <w:rsid w:val="00A60747"/>
    <w:rsid w:val="00A627BA"/>
    <w:rsid w:val="00A6338D"/>
    <w:rsid w:val="00A636B6"/>
    <w:rsid w:val="00A63CB7"/>
    <w:rsid w:val="00A63FAC"/>
    <w:rsid w:val="00A64397"/>
    <w:rsid w:val="00A64AE2"/>
    <w:rsid w:val="00A64EE3"/>
    <w:rsid w:val="00A6598A"/>
    <w:rsid w:val="00A65D51"/>
    <w:rsid w:val="00A65FFF"/>
    <w:rsid w:val="00A66014"/>
    <w:rsid w:val="00A660F7"/>
    <w:rsid w:val="00A664F2"/>
    <w:rsid w:val="00A671B4"/>
    <w:rsid w:val="00A676AB"/>
    <w:rsid w:val="00A6790D"/>
    <w:rsid w:val="00A67C47"/>
    <w:rsid w:val="00A704B2"/>
    <w:rsid w:val="00A707B4"/>
    <w:rsid w:val="00A7084A"/>
    <w:rsid w:val="00A7156C"/>
    <w:rsid w:val="00A7295B"/>
    <w:rsid w:val="00A72B4A"/>
    <w:rsid w:val="00A7317C"/>
    <w:rsid w:val="00A735D4"/>
    <w:rsid w:val="00A735E8"/>
    <w:rsid w:val="00A7388C"/>
    <w:rsid w:val="00A74789"/>
    <w:rsid w:val="00A7672E"/>
    <w:rsid w:val="00A77464"/>
    <w:rsid w:val="00A77B2F"/>
    <w:rsid w:val="00A810B8"/>
    <w:rsid w:val="00A8165A"/>
    <w:rsid w:val="00A816F0"/>
    <w:rsid w:val="00A837A9"/>
    <w:rsid w:val="00A84D53"/>
    <w:rsid w:val="00A84FF4"/>
    <w:rsid w:val="00A85501"/>
    <w:rsid w:val="00A85C12"/>
    <w:rsid w:val="00A869D1"/>
    <w:rsid w:val="00A870FE"/>
    <w:rsid w:val="00A87F42"/>
    <w:rsid w:val="00A90552"/>
    <w:rsid w:val="00A90BBE"/>
    <w:rsid w:val="00A9194F"/>
    <w:rsid w:val="00A91B9E"/>
    <w:rsid w:val="00A91BB2"/>
    <w:rsid w:val="00A925CC"/>
    <w:rsid w:val="00A92BD5"/>
    <w:rsid w:val="00A92CA5"/>
    <w:rsid w:val="00A9318A"/>
    <w:rsid w:val="00A933C8"/>
    <w:rsid w:val="00A933E4"/>
    <w:rsid w:val="00A94451"/>
    <w:rsid w:val="00A9489C"/>
    <w:rsid w:val="00A94E41"/>
    <w:rsid w:val="00A95197"/>
    <w:rsid w:val="00A951EB"/>
    <w:rsid w:val="00A952BB"/>
    <w:rsid w:val="00A9558A"/>
    <w:rsid w:val="00A958E1"/>
    <w:rsid w:val="00A964C1"/>
    <w:rsid w:val="00A9676E"/>
    <w:rsid w:val="00A96C91"/>
    <w:rsid w:val="00A97CDB"/>
    <w:rsid w:val="00AA0176"/>
    <w:rsid w:val="00AA15ED"/>
    <w:rsid w:val="00AA19FD"/>
    <w:rsid w:val="00AA24AE"/>
    <w:rsid w:val="00AA2F43"/>
    <w:rsid w:val="00AA3380"/>
    <w:rsid w:val="00AA33F5"/>
    <w:rsid w:val="00AA381F"/>
    <w:rsid w:val="00AA46DB"/>
    <w:rsid w:val="00AA48AE"/>
    <w:rsid w:val="00AA5F87"/>
    <w:rsid w:val="00AA611C"/>
    <w:rsid w:val="00AA6D01"/>
    <w:rsid w:val="00AA74DC"/>
    <w:rsid w:val="00AA78D5"/>
    <w:rsid w:val="00AB051A"/>
    <w:rsid w:val="00AB0F90"/>
    <w:rsid w:val="00AB0FD6"/>
    <w:rsid w:val="00AB2462"/>
    <w:rsid w:val="00AB3C7D"/>
    <w:rsid w:val="00AB4AA1"/>
    <w:rsid w:val="00AB4BD3"/>
    <w:rsid w:val="00AB4FE8"/>
    <w:rsid w:val="00AB5852"/>
    <w:rsid w:val="00AB626B"/>
    <w:rsid w:val="00AB6408"/>
    <w:rsid w:val="00AB6533"/>
    <w:rsid w:val="00AB6BEA"/>
    <w:rsid w:val="00AB6CD2"/>
    <w:rsid w:val="00AB70A8"/>
    <w:rsid w:val="00AB7404"/>
    <w:rsid w:val="00AB7AA5"/>
    <w:rsid w:val="00AB7B3F"/>
    <w:rsid w:val="00AB7E51"/>
    <w:rsid w:val="00AC0547"/>
    <w:rsid w:val="00AC148D"/>
    <w:rsid w:val="00AC2BA9"/>
    <w:rsid w:val="00AC37B0"/>
    <w:rsid w:val="00AC3C4D"/>
    <w:rsid w:val="00AC3F1E"/>
    <w:rsid w:val="00AC4957"/>
    <w:rsid w:val="00AC4A08"/>
    <w:rsid w:val="00AC5F79"/>
    <w:rsid w:val="00AC5FED"/>
    <w:rsid w:val="00AC6274"/>
    <w:rsid w:val="00AC7DB3"/>
    <w:rsid w:val="00AD00D2"/>
    <w:rsid w:val="00AD0E83"/>
    <w:rsid w:val="00AD0FED"/>
    <w:rsid w:val="00AD1D2F"/>
    <w:rsid w:val="00AD1E34"/>
    <w:rsid w:val="00AD2546"/>
    <w:rsid w:val="00AD2575"/>
    <w:rsid w:val="00AD2C08"/>
    <w:rsid w:val="00AD35AA"/>
    <w:rsid w:val="00AD3E7B"/>
    <w:rsid w:val="00AD4191"/>
    <w:rsid w:val="00AD4600"/>
    <w:rsid w:val="00AD4AA4"/>
    <w:rsid w:val="00AD4BF1"/>
    <w:rsid w:val="00AD53CA"/>
    <w:rsid w:val="00AD5E6A"/>
    <w:rsid w:val="00AD5F22"/>
    <w:rsid w:val="00AD612B"/>
    <w:rsid w:val="00AD66D0"/>
    <w:rsid w:val="00AD7407"/>
    <w:rsid w:val="00AE149B"/>
    <w:rsid w:val="00AE1D8F"/>
    <w:rsid w:val="00AE2DD5"/>
    <w:rsid w:val="00AE2F29"/>
    <w:rsid w:val="00AE2F49"/>
    <w:rsid w:val="00AE3E65"/>
    <w:rsid w:val="00AE4D7C"/>
    <w:rsid w:val="00AE4EE6"/>
    <w:rsid w:val="00AE5913"/>
    <w:rsid w:val="00AE68EE"/>
    <w:rsid w:val="00AE7CA8"/>
    <w:rsid w:val="00AF05B8"/>
    <w:rsid w:val="00AF0F4A"/>
    <w:rsid w:val="00AF1C86"/>
    <w:rsid w:val="00AF24A8"/>
    <w:rsid w:val="00AF29E8"/>
    <w:rsid w:val="00AF2A02"/>
    <w:rsid w:val="00AF2B71"/>
    <w:rsid w:val="00AF3ED9"/>
    <w:rsid w:val="00AF3F54"/>
    <w:rsid w:val="00AF3F8D"/>
    <w:rsid w:val="00AF47A3"/>
    <w:rsid w:val="00AF4E09"/>
    <w:rsid w:val="00AF4E50"/>
    <w:rsid w:val="00AF55F7"/>
    <w:rsid w:val="00AF5A76"/>
    <w:rsid w:val="00AF6B09"/>
    <w:rsid w:val="00AF6B9E"/>
    <w:rsid w:val="00AF6BF1"/>
    <w:rsid w:val="00AF6C05"/>
    <w:rsid w:val="00AF6EFE"/>
    <w:rsid w:val="00AF732F"/>
    <w:rsid w:val="00AF797F"/>
    <w:rsid w:val="00AF7BFA"/>
    <w:rsid w:val="00B00F3F"/>
    <w:rsid w:val="00B02AF8"/>
    <w:rsid w:val="00B02F81"/>
    <w:rsid w:val="00B034C3"/>
    <w:rsid w:val="00B03B89"/>
    <w:rsid w:val="00B03B91"/>
    <w:rsid w:val="00B03D10"/>
    <w:rsid w:val="00B04859"/>
    <w:rsid w:val="00B04E2B"/>
    <w:rsid w:val="00B04EFD"/>
    <w:rsid w:val="00B05133"/>
    <w:rsid w:val="00B062FC"/>
    <w:rsid w:val="00B06440"/>
    <w:rsid w:val="00B10030"/>
    <w:rsid w:val="00B10304"/>
    <w:rsid w:val="00B10633"/>
    <w:rsid w:val="00B10AF0"/>
    <w:rsid w:val="00B10BA4"/>
    <w:rsid w:val="00B121BB"/>
    <w:rsid w:val="00B12263"/>
    <w:rsid w:val="00B133DD"/>
    <w:rsid w:val="00B13723"/>
    <w:rsid w:val="00B13F2D"/>
    <w:rsid w:val="00B14740"/>
    <w:rsid w:val="00B15022"/>
    <w:rsid w:val="00B15113"/>
    <w:rsid w:val="00B15344"/>
    <w:rsid w:val="00B201B9"/>
    <w:rsid w:val="00B208FB"/>
    <w:rsid w:val="00B20F39"/>
    <w:rsid w:val="00B20F94"/>
    <w:rsid w:val="00B21E4D"/>
    <w:rsid w:val="00B2291A"/>
    <w:rsid w:val="00B22CBF"/>
    <w:rsid w:val="00B23388"/>
    <w:rsid w:val="00B23BC4"/>
    <w:rsid w:val="00B24555"/>
    <w:rsid w:val="00B247C6"/>
    <w:rsid w:val="00B24F4A"/>
    <w:rsid w:val="00B2502A"/>
    <w:rsid w:val="00B25D5E"/>
    <w:rsid w:val="00B25ECF"/>
    <w:rsid w:val="00B26467"/>
    <w:rsid w:val="00B27822"/>
    <w:rsid w:val="00B27B3B"/>
    <w:rsid w:val="00B27F35"/>
    <w:rsid w:val="00B3013F"/>
    <w:rsid w:val="00B30748"/>
    <w:rsid w:val="00B30B22"/>
    <w:rsid w:val="00B30E01"/>
    <w:rsid w:val="00B317CB"/>
    <w:rsid w:val="00B32709"/>
    <w:rsid w:val="00B32EFE"/>
    <w:rsid w:val="00B33CEE"/>
    <w:rsid w:val="00B346FF"/>
    <w:rsid w:val="00B35171"/>
    <w:rsid w:val="00B3557E"/>
    <w:rsid w:val="00B35F84"/>
    <w:rsid w:val="00B3679B"/>
    <w:rsid w:val="00B36A3C"/>
    <w:rsid w:val="00B36A92"/>
    <w:rsid w:val="00B36C23"/>
    <w:rsid w:val="00B37223"/>
    <w:rsid w:val="00B373E5"/>
    <w:rsid w:val="00B37FE4"/>
    <w:rsid w:val="00B40220"/>
    <w:rsid w:val="00B4118C"/>
    <w:rsid w:val="00B41703"/>
    <w:rsid w:val="00B41724"/>
    <w:rsid w:val="00B420C0"/>
    <w:rsid w:val="00B42297"/>
    <w:rsid w:val="00B43A8A"/>
    <w:rsid w:val="00B43A9C"/>
    <w:rsid w:val="00B449AB"/>
    <w:rsid w:val="00B44F61"/>
    <w:rsid w:val="00B45ABD"/>
    <w:rsid w:val="00B462FD"/>
    <w:rsid w:val="00B46903"/>
    <w:rsid w:val="00B4737E"/>
    <w:rsid w:val="00B4769E"/>
    <w:rsid w:val="00B51040"/>
    <w:rsid w:val="00B5213B"/>
    <w:rsid w:val="00B52515"/>
    <w:rsid w:val="00B52EF7"/>
    <w:rsid w:val="00B52FAA"/>
    <w:rsid w:val="00B52FC5"/>
    <w:rsid w:val="00B53193"/>
    <w:rsid w:val="00B550F0"/>
    <w:rsid w:val="00B55D9A"/>
    <w:rsid w:val="00B55DA2"/>
    <w:rsid w:val="00B562D8"/>
    <w:rsid w:val="00B56408"/>
    <w:rsid w:val="00B57DE1"/>
    <w:rsid w:val="00B60543"/>
    <w:rsid w:val="00B616AC"/>
    <w:rsid w:val="00B6188C"/>
    <w:rsid w:val="00B61CDD"/>
    <w:rsid w:val="00B61E15"/>
    <w:rsid w:val="00B62243"/>
    <w:rsid w:val="00B62730"/>
    <w:rsid w:val="00B627A4"/>
    <w:rsid w:val="00B63299"/>
    <w:rsid w:val="00B633F2"/>
    <w:rsid w:val="00B634A3"/>
    <w:rsid w:val="00B6372F"/>
    <w:rsid w:val="00B63EB8"/>
    <w:rsid w:val="00B64729"/>
    <w:rsid w:val="00B65035"/>
    <w:rsid w:val="00B6508C"/>
    <w:rsid w:val="00B6509F"/>
    <w:rsid w:val="00B6540C"/>
    <w:rsid w:val="00B65CFA"/>
    <w:rsid w:val="00B661B8"/>
    <w:rsid w:val="00B66971"/>
    <w:rsid w:val="00B66A98"/>
    <w:rsid w:val="00B670C2"/>
    <w:rsid w:val="00B6712C"/>
    <w:rsid w:val="00B6796A"/>
    <w:rsid w:val="00B7027C"/>
    <w:rsid w:val="00B70B86"/>
    <w:rsid w:val="00B70F07"/>
    <w:rsid w:val="00B7157C"/>
    <w:rsid w:val="00B72019"/>
    <w:rsid w:val="00B73111"/>
    <w:rsid w:val="00B7322B"/>
    <w:rsid w:val="00B735B0"/>
    <w:rsid w:val="00B7381D"/>
    <w:rsid w:val="00B74202"/>
    <w:rsid w:val="00B747BB"/>
    <w:rsid w:val="00B747D6"/>
    <w:rsid w:val="00B74B68"/>
    <w:rsid w:val="00B74DC4"/>
    <w:rsid w:val="00B75031"/>
    <w:rsid w:val="00B756F6"/>
    <w:rsid w:val="00B75CDD"/>
    <w:rsid w:val="00B763EE"/>
    <w:rsid w:val="00B7659D"/>
    <w:rsid w:val="00B76A39"/>
    <w:rsid w:val="00B770A8"/>
    <w:rsid w:val="00B77A17"/>
    <w:rsid w:val="00B8013F"/>
    <w:rsid w:val="00B80196"/>
    <w:rsid w:val="00B804E6"/>
    <w:rsid w:val="00B81182"/>
    <w:rsid w:val="00B815C5"/>
    <w:rsid w:val="00B81611"/>
    <w:rsid w:val="00B81A1E"/>
    <w:rsid w:val="00B824E5"/>
    <w:rsid w:val="00B824F2"/>
    <w:rsid w:val="00B825F0"/>
    <w:rsid w:val="00B82EB7"/>
    <w:rsid w:val="00B83F4D"/>
    <w:rsid w:val="00B8412D"/>
    <w:rsid w:val="00B8415A"/>
    <w:rsid w:val="00B85093"/>
    <w:rsid w:val="00B850D8"/>
    <w:rsid w:val="00B85169"/>
    <w:rsid w:val="00B86216"/>
    <w:rsid w:val="00B908C5"/>
    <w:rsid w:val="00B915EB"/>
    <w:rsid w:val="00B91721"/>
    <w:rsid w:val="00B9255C"/>
    <w:rsid w:val="00B93208"/>
    <w:rsid w:val="00B939F0"/>
    <w:rsid w:val="00B93A8D"/>
    <w:rsid w:val="00B93E2C"/>
    <w:rsid w:val="00B94B1A"/>
    <w:rsid w:val="00B94BAB"/>
    <w:rsid w:val="00B95037"/>
    <w:rsid w:val="00B9529E"/>
    <w:rsid w:val="00B95382"/>
    <w:rsid w:val="00B9567D"/>
    <w:rsid w:val="00B95753"/>
    <w:rsid w:val="00B9591A"/>
    <w:rsid w:val="00B96A03"/>
    <w:rsid w:val="00B96D6A"/>
    <w:rsid w:val="00B97CC9"/>
    <w:rsid w:val="00B97F8B"/>
    <w:rsid w:val="00BA0310"/>
    <w:rsid w:val="00BA0312"/>
    <w:rsid w:val="00BA052E"/>
    <w:rsid w:val="00BA11BB"/>
    <w:rsid w:val="00BA122A"/>
    <w:rsid w:val="00BA176B"/>
    <w:rsid w:val="00BA1D0A"/>
    <w:rsid w:val="00BA31D4"/>
    <w:rsid w:val="00BA46E8"/>
    <w:rsid w:val="00BA4F6A"/>
    <w:rsid w:val="00BA5794"/>
    <w:rsid w:val="00BA5A84"/>
    <w:rsid w:val="00BA5D45"/>
    <w:rsid w:val="00BA6097"/>
    <w:rsid w:val="00BA7DD3"/>
    <w:rsid w:val="00BA7ED2"/>
    <w:rsid w:val="00BB0C5E"/>
    <w:rsid w:val="00BB17ED"/>
    <w:rsid w:val="00BB1B91"/>
    <w:rsid w:val="00BB254D"/>
    <w:rsid w:val="00BB2599"/>
    <w:rsid w:val="00BB2AA1"/>
    <w:rsid w:val="00BB2D42"/>
    <w:rsid w:val="00BB3A8C"/>
    <w:rsid w:val="00BB3B7A"/>
    <w:rsid w:val="00BB3E00"/>
    <w:rsid w:val="00BB4801"/>
    <w:rsid w:val="00BB49EA"/>
    <w:rsid w:val="00BB4C21"/>
    <w:rsid w:val="00BB4E4F"/>
    <w:rsid w:val="00BB4FF3"/>
    <w:rsid w:val="00BB501C"/>
    <w:rsid w:val="00BB526A"/>
    <w:rsid w:val="00BB57B2"/>
    <w:rsid w:val="00BB59A8"/>
    <w:rsid w:val="00BB6431"/>
    <w:rsid w:val="00BB65A8"/>
    <w:rsid w:val="00BB68A5"/>
    <w:rsid w:val="00BB6AD4"/>
    <w:rsid w:val="00BB6B74"/>
    <w:rsid w:val="00BB6E64"/>
    <w:rsid w:val="00BB77FB"/>
    <w:rsid w:val="00BB7CA3"/>
    <w:rsid w:val="00BC01E9"/>
    <w:rsid w:val="00BC03C2"/>
    <w:rsid w:val="00BC0AC8"/>
    <w:rsid w:val="00BC0D1A"/>
    <w:rsid w:val="00BC1479"/>
    <w:rsid w:val="00BC182B"/>
    <w:rsid w:val="00BC2A62"/>
    <w:rsid w:val="00BC3055"/>
    <w:rsid w:val="00BC307C"/>
    <w:rsid w:val="00BC4008"/>
    <w:rsid w:val="00BC42E9"/>
    <w:rsid w:val="00BC53B3"/>
    <w:rsid w:val="00BC5472"/>
    <w:rsid w:val="00BC5B64"/>
    <w:rsid w:val="00BC5E69"/>
    <w:rsid w:val="00BC6AB7"/>
    <w:rsid w:val="00BC7143"/>
    <w:rsid w:val="00BC7192"/>
    <w:rsid w:val="00BC75CE"/>
    <w:rsid w:val="00BC7C55"/>
    <w:rsid w:val="00BD00DB"/>
    <w:rsid w:val="00BD0DA9"/>
    <w:rsid w:val="00BD0F32"/>
    <w:rsid w:val="00BD10E5"/>
    <w:rsid w:val="00BD1231"/>
    <w:rsid w:val="00BD1651"/>
    <w:rsid w:val="00BD1953"/>
    <w:rsid w:val="00BD2102"/>
    <w:rsid w:val="00BD21A8"/>
    <w:rsid w:val="00BD2C0B"/>
    <w:rsid w:val="00BD2D60"/>
    <w:rsid w:val="00BD2F86"/>
    <w:rsid w:val="00BD2FE3"/>
    <w:rsid w:val="00BD3146"/>
    <w:rsid w:val="00BD341A"/>
    <w:rsid w:val="00BD49A5"/>
    <w:rsid w:val="00BD53C8"/>
    <w:rsid w:val="00BD646E"/>
    <w:rsid w:val="00BD7148"/>
    <w:rsid w:val="00BD7239"/>
    <w:rsid w:val="00BD7B63"/>
    <w:rsid w:val="00BE2297"/>
    <w:rsid w:val="00BE28E3"/>
    <w:rsid w:val="00BE2E93"/>
    <w:rsid w:val="00BE3117"/>
    <w:rsid w:val="00BE49B6"/>
    <w:rsid w:val="00BE5386"/>
    <w:rsid w:val="00BE542E"/>
    <w:rsid w:val="00BE5AF6"/>
    <w:rsid w:val="00BE62A1"/>
    <w:rsid w:val="00BE6372"/>
    <w:rsid w:val="00BE64D8"/>
    <w:rsid w:val="00BE6BDC"/>
    <w:rsid w:val="00BE726B"/>
    <w:rsid w:val="00BF0BB6"/>
    <w:rsid w:val="00BF1F63"/>
    <w:rsid w:val="00BF20E4"/>
    <w:rsid w:val="00BF2194"/>
    <w:rsid w:val="00BF25C1"/>
    <w:rsid w:val="00BF2A8C"/>
    <w:rsid w:val="00BF2E9A"/>
    <w:rsid w:val="00BF2E9C"/>
    <w:rsid w:val="00BF307A"/>
    <w:rsid w:val="00BF34C3"/>
    <w:rsid w:val="00BF3F5A"/>
    <w:rsid w:val="00BF4559"/>
    <w:rsid w:val="00BF4608"/>
    <w:rsid w:val="00BF5557"/>
    <w:rsid w:val="00BF5C68"/>
    <w:rsid w:val="00BF618C"/>
    <w:rsid w:val="00BF6346"/>
    <w:rsid w:val="00BF66FC"/>
    <w:rsid w:val="00BF6E37"/>
    <w:rsid w:val="00BF706D"/>
    <w:rsid w:val="00BF7198"/>
    <w:rsid w:val="00BF7A10"/>
    <w:rsid w:val="00BF7BED"/>
    <w:rsid w:val="00BF7F5E"/>
    <w:rsid w:val="00C00355"/>
    <w:rsid w:val="00C00913"/>
    <w:rsid w:val="00C01106"/>
    <w:rsid w:val="00C017BA"/>
    <w:rsid w:val="00C0268A"/>
    <w:rsid w:val="00C02B07"/>
    <w:rsid w:val="00C02CDE"/>
    <w:rsid w:val="00C032B8"/>
    <w:rsid w:val="00C034D5"/>
    <w:rsid w:val="00C04FFC"/>
    <w:rsid w:val="00C05021"/>
    <w:rsid w:val="00C05FF3"/>
    <w:rsid w:val="00C066DE"/>
    <w:rsid w:val="00C07779"/>
    <w:rsid w:val="00C07C94"/>
    <w:rsid w:val="00C1037F"/>
    <w:rsid w:val="00C115B4"/>
    <w:rsid w:val="00C11726"/>
    <w:rsid w:val="00C11DA4"/>
    <w:rsid w:val="00C11E10"/>
    <w:rsid w:val="00C12523"/>
    <w:rsid w:val="00C126FD"/>
    <w:rsid w:val="00C1324A"/>
    <w:rsid w:val="00C1409B"/>
    <w:rsid w:val="00C15C85"/>
    <w:rsid w:val="00C15F90"/>
    <w:rsid w:val="00C17C7C"/>
    <w:rsid w:val="00C21677"/>
    <w:rsid w:val="00C21841"/>
    <w:rsid w:val="00C21A53"/>
    <w:rsid w:val="00C21AB4"/>
    <w:rsid w:val="00C21B76"/>
    <w:rsid w:val="00C21B78"/>
    <w:rsid w:val="00C2286A"/>
    <w:rsid w:val="00C22B0B"/>
    <w:rsid w:val="00C22D78"/>
    <w:rsid w:val="00C23673"/>
    <w:rsid w:val="00C24819"/>
    <w:rsid w:val="00C249D8"/>
    <w:rsid w:val="00C24D69"/>
    <w:rsid w:val="00C2507A"/>
    <w:rsid w:val="00C252B1"/>
    <w:rsid w:val="00C2582A"/>
    <w:rsid w:val="00C25B5E"/>
    <w:rsid w:val="00C271A3"/>
    <w:rsid w:val="00C30735"/>
    <w:rsid w:val="00C31756"/>
    <w:rsid w:val="00C320F1"/>
    <w:rsid w:val="00C33198"/>
    <w:rsid w:val="00C33DD2"/>
    <w:rsid w:val="00C33F97"/>
    <w:rsid w:val="00C345EA"/>
    <w:rsid w:val="00C34BC9"/>
    <w:rsid w:val="00C34C1B"/>
    <w:rsid w:val="00C35112"/>
    <w:rsid w:val="00C36325"/>
    <w:rsid w:val="00C369C6"/>
    <w:rsid w:val="00C36CBF"/>
    <w:rsid w:val="00C3705B"/>
    <w:rsid w:val="00C370B1"/>
    <w:rsid w:val="00C375CE"/>
    <w:rsid w:val="00C40505"/>
    <w:rsid w:val="00C4068F"/>
    <w:rsid w:val="00C40A69"/>
    <w:rsid w:val="00C40BA6"/>
    <w:rsid w:val="00C416E6"/>
    <w:rsid w:val="00C41B96"/>
    <w:rsid w:val="00C41CF4"/>
    <w:rsid w:val="00C4222E"/>
    <w:rsid w:val="00C427E3"/>
    <w:rsid w:val="00C427E6"/>
    <w:rsid w:val="00C42DE9"/>
    <w:rsid w:val="00C43595"/>
    <w:rsid w:val="00C4363E"/>
    <w:rsid w:val="00C454C9"/>
    <w:rsid w:val="00C4575E"/>
    <w:rsid w:val="00C45A96"/>
    <w:rsid w:val="00C460A4"/>
    <w:rsid w:val="00C4767D"/>
    <w:rsid w:val="00C47BDC"/>
    <w:rsid w:val="00C5007A"/>
    <w:rsid w:val="00C538DB"/>
    <w:rsid w:val="00C53AE8"/>
    <w:rsid w:val="00C53C48"/>
    <w:rsid w:val="00C55699"/>
    <w:rsid w:val="00C55865"/>
    <w:rsid w:val="00C55EFD"/>
    <w:rsid w:val="00C55F1C"/>
    <w:rsid w:val="00C5615D"/>
    <w:rsid w:val="00C57212"/>
    <w:rsid w:val="00C5746A"/>
    <w:rsid w:val="00C602CC"/>
    <w:rsid w:val="00C6169F"/>
    <w:rsid w:val="00C62EBB"/>
    <w:rsid w:val="00C62FAC"/>
    <w:rsid w:val="00C62FCF"/>
    <w:rsid w:val="00C62FD5"/>
    <w:rsid w:val="00C63853"/>
    <w:rsid w:val="00C64C35"/>
    <w:rsid w:val="00C64FCD"/>
    <w:rsid w:val="00C66516"/>
    <w:rsid w:val="00C66C3D"/>
    <w:rsid w:val="00C66DCC"/>
    <w:rsid w:val="00C66F55"/>
    <w:rsid w:val="00C674B4"/>
    <w:rsid w:val="00C67B27"/>
    <w:rsid w:val="00C67C3B"/>
    <w:rsid w:val="00C70251"/>
    <w:rsid w:val="00C70463"/>
    <w:rsid w:val="00C70734"/>
    <w:rsid w:val="00C71560"/>
    <w:rsid w:val="00C71973"/>
    <w:rsid w:val="00C71B14"/>
    <w:rsid w:val="00C73A1A"/>
    <w:rsid w:val="00C73AE6"/>
    <w:rsid w:val="00C743CD"/>
    <w:rsid w:val="00C744BF"/>
    <w:rsid w:val="00C7450A"/>
    <w:rsid w:val="00C74981"/>
    <w:rsid w:val="00C754D5"/>
    <w:rsid w:val="00C75B60"/>
    <w:rsid w:val="00C76BF3"/>
    <w:rsid w:val="00C76C4F"/>
    <w:rsid w:val="00C76E25"/>
    <w:rsid w:val="00C76EDA"/>
    <w:rsid w:val="00C77C59"/>
    <w:rsid w:val="00C77D06"/>
    <w:rsid w:val="00C80158"/>
    <w:rsid w:val="00C802F2"/>
    <w:rsid w:val="00C80A7D"/>
    <w:rsid w:val="00C83418"/>
    <w:rsid w:val="00C8471A"/>
    <w:rsid w:val="00C849AB"/>
    <w:rsid w:val="00C85078"/>
    <w:rsid w:val="00C854AE"/>
    <w:rsid w:val="00C85522"/>
    <w:rsid w:val="00C85B67"/>
    <w:rsid w:val="00C85BFE"/>
    <w:rsid w:val="00C86BFF"/>
    <w:rsid w:val="00C86CD9"/>
    <w:rsid w:val="00C87D9F"/>
    <w:rsid w:val="00C87E99"/>
    <w:rsid w:val="00C900E6"/>
    <w:rsid w:val="00C9085B"/>
    <w:rsid w:val="00C91752"/>
    <w:rsid w:val="00C91B39"/>
    <w:rsid w:val="00C91E06"/>
    <w:rsid w:val="00C91EA2"/>
    <w:rsid w:val="00C91F21"/>
    <w:rsid w:val="00C91FF2"/>
    <w:rsid w:val="00C92AEA"/>
    <w:rsid w:val="00C92ED8"/>
    <w:rsid w:val="00C940FE"/>
    <w:rsid w:val="00C942C5"/>
    <w:rsid w:val="00C9454B"/>
    <w:rsid w:val="00C949BA"/>
    <w:rsid w:val="00C958D4"/>
    <w:rsid w:val="00C95A72"/>
    <w:rsid w:val="00C971CC"/>
    <w:rsid w:val="00C97572"/>
    <w:rsid w:val="00C97BA8"/>
    <w:rsid w:val="00C97E2E"/>
    <w:rsid w:val="00CA027E"/>
    <w:rsid w:val="00CA0C67"/>
    <w:rsid w:val="00CA13B3"/>
    <w:rsid w:val="00CA1D64"/>
    <w:rsid w:val="00CA1F9C"/>
    <w:rsid w:val="00CA238F"/>
    <w:rsid w:val="00CA27E1"/>
    <w:rsid w:val="00CA3335"/>
    <w:rsid w:val="00CA3F01"/>
    <w:rsid w:val="00CA4BAF"/>
    <w:rsid w:val="00CA565B"/>
    <w:rsid w:val="00CA566E"/>
    <w:rsid w:val="00CA5802"/>
    <w:rsid w:val="00CA6224"/>
    <w:rsid w:val="00CA6392"/>
    <w:rsid w:val="00CA6434"/>
    <w:rsid w:val="00CA67A9"/>
    <w:rsid w:val="00CA67C6"/>
    <w:rsid w:val="00CA6919"/>
    <w:rsid w:val="00CA6B72"/>
    <w:rsid w:val="00CA6D20"/>
    <w:rsid w:val="00CA6EAF"/>
    <w:rsid w:val="00CA73BB"/>
    <w:rsid w:val="00CA76A0"/>
    <w:rsid w:val="00CA7896"/>
    <w:rsid w:val="00CA7ADB"/>
    <w:rsid w:val="00CB015F"/>
    <w:rsid w:val="00CB0289"/>
    <w:rsid w:val="00CB0AB2"/>
    <w:rsid w:val="00CB0AC9"/>
    <w:rsid w:val="00CB168B"/>
    <w:rsid w:val="00CB27CB"/>
    <w:rsid w:val="00CB2B1F"/>
    <w:rsid w:val="00CB2D5A"/>
    <w:rsid w:val="00CB2E94"/>
    <w:rsid w:val="00CB3737"/>
    <w:rsid w:val="00CB3DB1"/>
    <w:rsid w:val="00CB3F87"/>
    <w:rsid w:val="00CB4787"/>
    <w:rsid w:val="00CB49D1"/>
    <w:rsid w:val="00CB60B1"/>
    <w:rsid w:val="00CB615C"/>
    <w:rsid w:val="00CB66A1"/>
    <w:rsid w:val="00CB717F"/>
    <w:rsid w:val="00CB7337"/>
    <w:rsid w:val="00CB7585"/>
    <w:rsid w:val="00CB7693"/>
    <w:rsid w:val="00CB78A4"/>
    <w:rsid w:val="00CB7B92"/>
    <w:rsid w:val="00CB7F0C"/>
    <w:rsid w:val="00CC04CC"/>
    <w:rsid w:val="00CC08DF"/>
    <w:rsid w:val="00CC0D28"/>
    <w:rsid w:val="00CC1021"/>
    <w:rsid w:val="00CC11DF"/>
    <w:rsid w:val="00CC1BAF"/>
    <w:rsid w:val="00CC22C5"/>
    <w:rsid w:val="00CC3966"/>
    <w:rsid w:val="00CC3D3E"/>
    <w:rsid w:val="00CC4C0F"/>
    <w:rsid w:val="00CC5B5E"/>
    <w:rsid w:val="00CC6A74"/>
    <w:rsid w:val="00CD0C73"/>
    <w:rsid w:val="00CD0DF4"/>
    <w:rsid w:val="00CD17AC"/>
    <w:rsid w:val="00CD1D0E"/>
    <w:rsid w:val="00CD2274"/>
    <w:rsid w:val="00CD3942"/>
    <w:rsid w:val="00CD69CA"/>
    <w:rsid w:val="00CD6A39"/>
    <w:rsid w:val="00CD6B99"/>
    <w:rsid w:val="00CD6CDA"/>
    <w:rsid w:val="00CD6F78"/>
    <w:rsid w:val="00CD73D4"/>
    <w:rsid w:val="00CE00E0"/>
    <w:rsid w:val="00CE02BE"/>
    <w:rsid w:val="00CE03DB"/>
    <w:rsid w:val="00CE1878"/>
    <w:rsid w:val="00CE21BE"/>
    <w:rsid w:val="00CE2970"/>
    <w:rsid w:val="00CE2AE5"/>
    <w:rsid w:val="00CE38AC"/>
    <w:rsid w:val="00CE3D45"/>
    <w:rsid w:val="00CE4321"/>
    <w:rsid w:val="00CE47F9"/>
    <w:rsid w:val="00CE4C3F"/>
    <w:rsid w:val="00CE538F"/>
    <w:rsid w:val="00CE61AD"/>
    <w:rsid w:val="00CE699A"/>
    <w:rsid w:val="00CF0382"/>
    <w:rsid w:val="00CF0808"/>
    <w:rsid w:val="00CF0F7E"/>
    <w:rsid w:val="00CF1364"/>
    <w:rsid w:val="00CF269A"/>
    <w:rsid w:val="00CF3407"/>
    <w:rsid w:val="00CF3A57"/>
    <w:rsid w:val="00CF3EE4"/>
    <w:rsid w:val="00CF47F1"/>
    <w:rsid w:val="00CF4B28"/>
    <w:rsid w:val="00CF5453"/>
    <w:rsid w:val="00CF5B44"/>
    <w:rsid w:val="00CF5E99"/>
    <w:rsid w:val="00CF648B"/>
    <w:rsid w:val="00CF67CD"/>
    <w:rsid w:val="00CF6B6F"/>
    <w:rsid w:val="00CF6D16"/>
    <w:rsid w:val="00CF7458"/>
    <w:rsid w:val="00CF7524"/>
    <w:rsid w:val="00CF789B"/>
    <w:rsid w:val="00D002BA"/>
    <w:rsid w:val="00D004F7"/>
    <w:rsid w:val="00D01555"/>
    <w:rsid w:val="00D01588"/>
    <w:rsid w:val="00D0284A"/>
    <w:rsid w:val="00D02C8D"/>
    <w:rsid w:val="00D02D49"/>
    <w:rsid w:val="00D02E68"/>
    <w:rsid w:val="00D02EA2"/>
    <w:rsid w:val="00D03BCD"/>
    <w:rsid w:val="00D0596A"/>
    <w:rsid w:val="00D0616C"/>
    <w:rsid w:val="00D06DE1"/>
    <w:rsid w:val="00D07A91"/>
    <w:rsid w:val="00D10779"/>
    <w:rsid w:val="00D10A7A"/>
    <w:rsid w:val="00D11003"/>
    <w:rsid w:val="00D11C3B"/>
    <w:rsid w:val="00D11D12"/>
    <w:rsid w:val="00D11FAD"/>
    <w:rsid w:val="00D12148"/>
    <w:rsid w:val="00D13134"/>
    <w:rsid w:val="00D131C6"/>
    <w:rsid w:val="00D13716"/>
    <w:rsid w:val="00D145B7"/>
    <w:rsid w:val="00D14A0F"/>
    <w:rsid w:val="00D14E76"/>
    <w:rsid w:val="00D157E9"/>
    <w:rsid w:val="00D15BD3"/>
    <w:rsid w:val="00D15D10"/>
    <w:rsid w:val="00D171E1"/>
    <w:rsid w:val="00D200FA"/>
    <w:rsid w:val="00D20206"/>
    <w:rsid w:val="00D20A9A"/>
    <w:rsid w:val="00D20F0F"/>
    <w:rsid w:val="00D20FA8"/>
    <w:rsid w:val="00D2156A"/>
    <w:rsid w:val="00D21695"/>
    <w:rsid w:val="00D218A7"/>
    <w:rsid w:val="00D2263B"/>
    <w:rsid w:val="00D22695"/>
    <w:rsid w:val="00D22A80"/>
    <w:rsid w:val="00D2330A"/>
    <w:rsid w:val="00D23821"/>
    <w:rsid w:val="00D23BE3"/>
    <w:rsid w:val="00D249AE"/>
    <w:rsid w:val="00D26186"/>
    <w:rsid w:val="00D265A9"/>
    <w:rsid w:val="00D270FF"/>
    <w:rsid w:val="00D3002E"/>
    <w:rsid w:val="00D303AB"/>
    <w:rsid w:val="00D303B6"/>
    <w:rsid w:val="00D303C5"/>
    <w:rsid w:val="00D304A4"/>
    <w:rsid w:val="00D31196"/>
    <w:rsid w:val="00D3191C"/>
    <w:rsid w:val="00D32185"/>
    <w:rsid w:val="00D3258E"/>
    <w:rsid w:val="00D328A1"/>
    <w:rsid w:val="00D32D55"/>
    <w:rsid w:val="00D331D2"/>
    <w:rsid w:val="00D3350E"/>
    <w:rsid w:val="00D337EE"/>
    <w:rsid w:val="00D33A5E"/>
    <w:rsid w:val="00D342FE"/>
    <w:rsid w:val="00D34690"/>
    <w:rsid w:val="00D34DDB"/>
    <w:rsid w:val="00D351EB"/>
    <w:rsid w:val="00D36298"/>
    <w:rsid w:val="00D36328"/>
    <w:rsid w:val="00D36D6C"/>
    <w:rsid w:val="00D36E29"/>
    <w:rsid w:val="00D372E9"/>
    <w:rsid w:val="00D373FB"/>
    <w:rsid w:val="00D37AFB"/>
    <w:rsid w:val="00D37B47"/>
    <w:rsid w:val="00D40540"/>
    <w:rsid w:val="00D40866"/>
    <w:rsid w:val="00D414BA"/>
    <w:rsid w:val="00D41F9E"/>
    <w:rsid w:val="00D42A2B"/>
    <w:rsid w:val="00D42D6A"/>
    <w:rsid w:val="00D42D6B"/>
    <w:rsid w:val="00D42F50"/>
    <w:rsid w:val="00D43BE4"/>
    <w:rsid w:val="00D43DE5"/>
    <w:rsid w:val="00D4452F"/>
    <w:rsid w:val="00D446C1"/>
    <w:rsid w:val="00D44B8A"/>
    <w:rsid w:val="00D44DE3"/>
    <w:rsid w:val="00D46861"/>
    <w:rsid w:val="00D46FA7"/>
    <w:rsid w:val="00D46FDE"/>
    <w:rsid w:val="00D47FEB"/>
    <w:rsid w:val="00D511F5"/>
    <w:rsid w:val="00D51749"/>
    <w:rsid w:val="00D527AE"/>
    <w:rsid w:val="00D52B0E"/>
    <w:rsid w:val="00D52D4A"/>
    <w:rsid w:val="00D52E28"/>
    <w:rsid w:val="00D52F37"/>
    <w:rsid w:val="00D53146"/>
    <w:rsid w:val="00D537A4"/>
    <w:rsid w:val="00D54883"/>
    <w:rsid w:val="00D54B6B"/>
    <w:rsid w:val="00D55741"/>
    <w:rsid w:val="00D55AC0"/>
    <w:rsid w:val="00D55B7D"/>
    <w:rsid w:val="00D55D91"/>
    <w:rsid w:val="00D56762"/>
    <w:rsid w:val="00D56E15"/>
    <w:rsid w:val="00D56F4C"/>
    <w:rsid w:val="00D573DF"/>
    <w:rsid w:val="00D60DCD"/>
    <w:rsid w:val="00D61194"/>
    <w:rsid w:val="00D6163F"/>
    <w:rsid w:val="00D61DC3"/>
    <w:rsid w:val="00D6254F"/>
    <w:rsid w:val="00D63368"/>
    <w:rsid w:val="00D63948"/>
    <w:rsid w:val="00D63FD0"/>
    <w:rsid w:val="00D64077"/>
    <w:rsid w:val="00D644CE"/>
    <w:rsid w:val="00D65803"/>
    <w:rsid w:val="00D65C5E"/>
    <w:rsid w:val="00D6708A"/>
    <w:rsid w:val="00D67F88"/>
    <w:rsid w:val="00D7012C"/>
    <w:rsid w:val="00D70A94"/>
    <w:rsid w:val="00D70FE2"/>
    <w:rsid w:val="00D713E9"/>
    <w:rsid w:val="00D714FD"/>
    <w:rsid w:val="00D71DDA"/>
    <w:rsid w:val="00D72046"/>
    <w:rsid w:val="00D72617"/>
    <w:rsid w:val="00D72770"/>
    <w:rsid w:val="00D72C42"/>
    <w:rsid w:val="00D72D24"/>
    <w:rsid w:val="00D72DDE"/>
    <w:rsid w:val="00D73F5B"/>
    <w:rsid w:val="00D749D3"/>
    <w:rsid w:val="00D74B55"/>
    <w:rsid w:val="00D74B60"/>
    <w:rsid w:val="00D751D9"/>
    <w:rsid w:val="00D7572D"/>
    <w:rsid w:val="00D75AAD"/>
    <w:rsid w:val="00D76B64"/>
    <w:rsid w:val="00D8054F"/>
    <w:rsid w:val="00D80795"/>
    <w:rsid w:val="00D80EB7"/>
    <w:rsid w:val="00D81024"/>
    <w:rsid w:val="00D818F3"/>
    <w:rsid w:val="00D81E98"/>
    <w:rsid w:val="00D81F13"/>
    <w:rsid w:val="00D827EF"/>
    <w:rsid w:val="00D82AF3"/>
    <w:rsid w:val="00D83C80"/>
    <w:rsid w:val="00D8433E"/>
    <w:rsid w:val="00D84CD2"/>
    <w:rsid w:val="00D84D9C"/>
    <w:rsid w:val="00D85AF1"/>
    <w:rsid w:val="00D85B60"/>
    <w:rsid w:val="00D85D37"/>
    <w:rsid w:val="00D860FB"/>
    <w:rsid w:val="00D86735"/>
    <w:rsid w:val="00D8680E"/>
    <w:rsid w:val="00D869E4"/>
    <w:rsid w:val="00D87561"/>
    <w:rsid w:val="00D87C7C"/>
    <w:rsid w:val="00D9053E"/>
    <w:rsid w:val="00D908A4"/>
    <w:rsid w:val="00D90B77"/>
    <w:rsid w:val="00D9139D"/>
    <w:rsid w:val="00D91B27"/>
    <w:rsid w:val="00D91CC6"/>
    <w:rsid w:val="00D91CF5"/>
    <w:rsid w:val="00D92F7C"/>
    <w:rsid w:val="00D93225"/>
    <w:rsid w:val="00D93693"/>
    <w:rsid w:val="00D936ED"/>
    <w:rsid w:val="00D9497D"/>
    <w:rsid w:val="00D94B4F"/>
    <w:rsid w:val="00D94DA2"/>
    <w:rsid w:val="00D94E6F"/>
    <w:rsid w:val="00D94F58"/>
    <w:rsid w:val="00D95295"/>
    <w:rsid w:val="00D9538C"/>
    <w:rsid w:val="00D954C1"/>
    <w:rsid w:val="00D956E1"/>
    <w:rsid w:val="00D9614D"/>
    <w:rsid w:val="00D968BA"/>
    <w:rsid w:val="00D96E13"/>
    <w:rsid w:val="00D97017"/>
    <w:rsid w:val="00D97657"/>
    <w:rsid w:val="00DA02CC"/>
    <w:rsid w:val="00DA18E5"/>
    <w:rsid w:val="00DA3834"/>
    <w:rsid w:val="00DA3AFA"/>
    <w:rsid w:val="00DA421A"/>
    <w:rsid w:val="00DA45C7"/>
    <w:rsid w:val="00DA4AD3"/>
    <w:rsid w:val="00DA7555"/>
    <w:rsid w:val="00DA7EC1"/>
    <w:rsid w:val="00DB0CC7"/>
    <w:rsid w:val="00DB0FC4"/>
    <w:rsid w:val="00DB14D2"/>
    <w:rsid w:val="00DB1744"/>
    <w:rsid w:val="00DB186A"/>
    <w:rsid w:val="00DB1BFC"/>
    <w:rsid w:val="00DB1D24"/>
    <w:rsid w:val="00DB2237"/>
    <w:rsid w:val="00DB3136"/>
    <w:rsid w:val="00DB3826"/>
    <w:rsid w:val="00DB395C"/>
    <w:rsid w:val="00DB3F0D"/>
    <w:rsid w:val="00DB48BE"/>
    <w:rsid w:val="00DB4938"/>
    <w:rsid w:val="00DB58F3"/>
    <w:rsid w:val="00DB6ACE"/>
    <w:rsid w:val="00DB6B68"/>
    <w:rsid w:val="00DB7C76"/>
    <w:rsid w:val="00DB7FD2"/>
    <w:rsid w:val="00DC07DB"/>
    <w:rsid w:val="00DC0DA5"/>
    <w:rsid w:val="00DC1875"/>
    <w:rsid w:val="00DC18EC"/>
    <w:rsid w:val="00DC1ADF"/>
    <w:rsid w:val="00DC2549"/>
    <w:rsid w:val="00DC28AA"/>
    <w:rsid w:val="00DC28C5"/>
    <w:rsid w:val="00DC2AAF"/>
    <w:rsid w:val="00DC2B31"/>
    <w:rsid w:val="00DC2C0B"/>
    <w:rsid w:val="00DC2CB2"/>
    <w:rsid w:val="00DC3EF1"/>
    <w:rsid w:val="00DC45E9"/>
    <w:rsid w:val="00DC4764"/>
    <w:rsid w:val="00DC4867"/>
    <w:rsid w:val="00DC53E5"/>
    <w:rsid w:val="00DC5B2B"/>
    <w:rsid w:val="00DC5D93"/>
    <w:rsid w:val="00DC614B"/>
    <w:rsid w:val="00DC62B8"/>
    <w:rsid w:val="00DC6327"/>
    <w:rsid w:val="00DC6C71"/>
    <w:rsid w:val="00DC7000"/>
    <w:rsid w:val="00DC79E7"/>
    <w:rsid w:val="00DD081D"/>
    <w:rsid w:val="00DD09EA"/>
    <w:rsid w:val="00DD0C0F"/>
    <w:rsid w:val="00DD0D27"/>
    <w:rsid w:val="00DD174A"/>
    <w:rsid w:val="00DD27A5"/>
    <w:rsid w:val="00DD3872"/>
    <w:rsid w:val="00DD3DD4"/>
    <w:rsid w:val="00DD4EF3"/>
    <w:rsid w:val="00DD512F"/>
    <w:rsid w:val="00DD56B4"/>
    <w:rsid w:val="00DD6039"/>
    <w:rsid w:val="00DD6164"/>
    <w:rsid w:val="00DD70D7"/>
    <w:rsid w:val="00DD74C9"/>
    <w:rsid w:val="00DD7D1B"/>
    <w:rsid w:val="00DE07CC"/>
    <w:rsid w:val="00DE0DCD"/>
    <w:rsid w:val="00DE1873"/>
    <w:rsid w:val="00DE231E"/>
    <w:rsid w:val="00DE2B1E"/>
    <w:rsid w:val="00DE340B"/>
    <w:rsid w:val="00DE3897"/>
    <w:rsid w:val="00DE4563"/>
    <w:rsid w:val="00DE4758"/>
    <w:rsid w:val="00DE4854"/>
    <w:rsid w:val="00DE6337"/>
    <w:rsid w:val="00DE6EB8"/>
    <w:rsid w:val="00DE7598"/>
    <w:rsid w:val="00DE79E4"/>
    <w:rsid w:val="00DE7FDF"/>
    <w:rsid w:val="00DF000D"/>
    <w:rsid w:val="00DF1FE1"/>
    <w:rsid w:val="00DF211B"/>
    <w:rsid w:val="00DF217C"/>
    <w:rsid w:val="00DF27C4"/>
    <w:rsid w:val="00DF396F"/>
    <w:rsid w:val="00DF434A"/>
    <w:rsid w:val="00DF58AD"/>
    <w:rsid w:val="00DF58AE"/>
    <w:rsid w:val="00DF6A5B"/>
    <w:rsid w:val="00DF7E41"/>
    <w:rsid w:val="00E00287"/>
    <w:rsid w:val="00E002C1"/>
    <w:rsid w:val="00E00591"/>
    <w:rsid w:val="00E006D4"/>
    <w:rsid w:val="00E008DF"/>
    <w:rsid w:val="00E00B1C"/>
    <w:rsid w:val="00E00F83"/>
    <w:rsid w:val="00E01FF9"/>
    <w:rsid w:val="00E021D2"/>
    <w:rsid w:val="00E025E8"/>
    <w:rsid w:val="00E02C08"/>
    <w:rsid w:val="00E031B9"/>
    <w:rsid w:val="00E03202"/>
    <w:rsid w:val="00E0361C"/>
    <w:rsid w:val="00E03927"/>
    <w:rsid w:val="00E03C3E"/>
    <w:rsid w:val="00E03F8D"/>
    <w:rsid w:val="00E04A0D"/>
    <w:rsid w:val="00E05EF5"/>
    <w:rsid w:val="00E06438"/>
    <w:rsid w:val="00E0689D"/>
    <w:rsid w:val="00E068E8"/>
    <w:rsid w:val="00E06F3D"/>
    <w:rsid w:val="00E07B9C"/>
    <w:rsid w:val="00E101B2"/>
    <w:rsid w:val="00E11957"/>
    <w:rsid w:val="00E11DAF"/>
    <w:rsid w:val="00E11F44"/>
    <w:rsid w:val="00E11FC5"/>
    <w:rsid w:val="00E124D9"/>
    <w:rsid w:val="00E12D09"/>
    <w:rsid w:val="00E12DC0"/>
    <w:rsid w:val="00E1319D"/>
    <w:rsid w:val="00E136A3"/>
    <w:rsid w:val="00E14548"/>
    <w:rsid w:val="00E14B82"/>
    <w:rsid w:val="00E14CD9"/>
    <w:rsid w:val="00E151E7"/>
    <w:rsid w:val="00E15A9C"/>
    <w:rsid w:val="00E165F7"/>
    <w:rsid w:val="00E16605"/>
    <w:rsid w:val="00E16BF2"/>
    <w:rsid w:val="00E16ECD"/>
    <w:rsid w:val="00E176CC"/>
    <w:rsid w:val="00E1793C"/>
    <w:rsid w:val="00E17ACF"/>
    <w:rsid w:val="00E20F83"/>
    <w:rsid w:val="00E21524"/>
    <w:rsid w:val="00E21A62"/>
    <w:rsid w:val="00E228A7"/>
    <w:rsid w:val="00E22BA2"/>
    <w:rsid w:val="00E23584"/>
    <w:rsid w:val="00E23813"/>
    <w:rsid w:val="00E23EFF"/>
    <w:rsid w:val="00E24D61"/>
    <w:rsid w:val="00E25856"/>
    <w:rsid w:val="00E25CDC"/>
    <w:rsid w:val="00E264EA"/>
    <w:rsid w:val="00E269A5"/>
    <w:rsid w:val="00E26E07"/>
    <w:rsid w:val="00E26E6D"/>
    <w:rsid w:val="00E278F5"/>
    <w:rsid w:val="00E27AC7"/>
    <w:rsid w:val="00E30B12"/>
    <w:rsid w:val="00E316A0"/>
    <w:rsid w:val="00E323D5"/>
    <w:rsid w:val="00E32F67"/>
    <w:rsid w:val="00E339A3"/>
    <w:rsid w:val="00E33C7D"/>
    <w:rsid w:val="00E343F3"/>
    <w:rsid w:val="00E3480C"/>
    <w:rsid w:val="00E35496"/>
    <w:rsid w:val="00E3624E"/>
    <w:rsid w:val="00E366DA"/>
    <w:rsid w:val="00E36FD9"/>
    <w:rsid w:val="00E37609"/>
    <w:rsid w:val="00E37F48"/>
    <w:rsid w:val="00E40674"/>
    <w:rsid w:val="00E42174"/>
    <w:rsid w:val="00E42A99"/>
    <w:rsid w:val="00E42C99"/>
    <w:rsid w:val="00E43AFD"/>
    <w:rsid w:val="00E43ED7"/>
    <w:rsid w:val="00E44756"/>
    <w:rsid w:val="00E457AA"/>
    <w:rsid w:val="00E45F04"/>
    <w:rsid w:val="00E460D9"/>
    <w:rsid w:val="00E46203"/>
    <w:rsid w:val="00E471FB"/>
    <w:rsid w:val="00E51708"/>
    <w:rsid w:val="00E51EF2"/>
    <w:rsid w:val="00E52E27"/>
    <w:rsid w:val="00E53299"/>
    <w:rsid w:val="00E53E59"/>
    <w:rsid w:val="00E5459E"/>
    <w:rsid w:val="00E5479E"/>
    <w:rsid w:val="00E54E9E"/>
    <w:rsid w:val="00E553EA"/>
    <w:rsid w:val="00E56269"/>
    <w:rsid w:val="00E56684"/>
    <w:rsid w:val="00E57A02"/>
    <w:rsid w:val="00E6031D"/>
    <w:rsid w:val="00E61956"/>
    <w:rsid w:val="00E62181"/>
    <w:rsid w:val="00E624B7"/>
    <w:rsid w:val="00E62A20"/>
    <w:rsid w:val="00E630F3"/>
    <w:rsid w:val="00E64376"/>
    <w:rsid w:val="00E647F7"/>
    <w:rsid w:val="00E64D86"/>
    <w:rsid w:val="00E65178"/>
    <w:rsid w:val="00E653FC"/>
    <w:rsid w:val="00E65E87"/>
    <w:rsid w:val="00E66485"/>
    <w:rsid w:val="00E6663C"/>
    <w:rsid w:val="00E6677A"/>
    <w:rsid w:val="00E67B9D"/>
    <w:rsid w:val="00E70378"/>
    <w:rsid w:val="00E70695"/>
    <w:rsid w:val="00E719AF"/>
    <w:rsid w:val="00E721A1"/>
    <w:rsid w:val="00E72311"/>
    <w:rsid w:val="00E725D4"/>
    <w:rsid w:val="00E726DB"/>
    <w:rsid w:val="00E7281E"/>
    <w:rsid w:val="00E72999"/>
    <w:rsid w:val="00E7306C"/>
    <w:rsid w:val="00E73215"/>
    <w:rsid w:val="00E73269"/>
    <w:rsid w:val="00E73840"/>
    <w:rsid w:val="00E73A89"/>
    <w:rsid w:val="00E742AC"/>
    <w:rsid w:val="00E7497D"/>
    <w:rsid w:val="00E749C7"/>
    <w:rsid w:val="00E75272"/>
    <w:rsid w:val="00E7551D"/>
    <w:rsid w:val="00E80AF8"/>
    <w:rsid w:val="00E814DD"/>
    <w:rsid w:val="00E82C19"/>
    <w:rsid w:val="00E82EBA"/>
    <w:rsid w:val="00E83778"/>
    <w:rsid w:val="00E8404A"/>
    <w:rsid w:val="00E843D3"/>
    <w:rsid w:val="00E848D5"/>
    <w:rsid w:val="00E8554C"/>
    <w:rsid w:val="00E86430"/>
    <w:rsid w:val="00E872D2"/>
    <w:rsid w:val="00E900A8"/>
    <w:rsid w:val="00E90312"/>
    <w:rsid w:val="00E914C9"/>
    <w:rsid w:val="00E91899"/>
    <w:rsid w:val="00E91B30"/>
    <w:rsid w:val="00E9243A"/>
    <w:rsid w:val="00E92905"/>
    <w:rsid w:val="00E93491"/>
    <w:rsid w:val="00E945BD"/>
    <w:rsid w:val="00E945EF"/>
    <w:rsid w:val="00E949B1"/>
    <w:rsid w:val="00E94CB5"/>
    <w:rsid w:val="00E950E9"/>
    <w:rsid w:val="00E95720"/>
    <w:rsid w:val="00E96818"/>
    <w:rsid w:val="00E96CB4"/>
    <w:rsid w:val="00E9707F"/>
    <w:rsid w:val="00E974CD"/>
    <w:rsid w:val="00E97505"/>
    <w:rsid w:val="00E9768D"/>
    <w:rsid w:val="00EA065D"/>
    <w:rsid w:val="00EA1326"/>
    <w:rsid w:val="00EA1A39"/>
    <w:rsid w:val="00EA1FA9"/>
    <w:rsid w:val="00EA4AF8"/>
    <w:rsid w:val="00EA4CA5"/>
    <w:rsid w:val="00EA4D99"/>
    <w:rsid w:val="00EA54F2"/>
    <w:rsid w:val="00EA56A6"/>
    <w:rsid w:val="00EA591F"/>
    <w:rsid w:val="00EA6723"/>
    <w:rsid w:val="00EA6CDD"/>
    <w:rsid w:val="00EA7153"/>
    <w:rsid w:val="00EA79D8"/>
    <w:rsid w:val="00EA79E1"/>
    <w:rsid w:val="00EA7A1D"/>
    <w:rsid w:val="00EB017C"/>
    <w:rsid w:val="00EB0CDC"/>
    <w:rsid w:val="00EB133D"/>
    <w:rsid w:val="00EB14A4"/>
    <w:rsid w:val="00EB154C"/>
    <w:rsid w:val="00EB2682"/>
    <w:rsid w:val="00EB2CC9"/>
    <w:rsid w:val="00EB3836"/>
    <w:rsid w:val="00EB3C40"/>
    <w:rsid w:val="00EB3DF4"/>
    <w:rsid w:val="00EB45C6"/>
    <w:rsid w:val="00EB4BF7"/>
    <w:rsid w:val="00EB4E9E"/>
    <w:rsid w:val="00EB5027"/>
    <w:rsid w:val="00EB5410"/>
    <w:rsid w:val="00EB54AB"/>
    <w:rsid w:val="00EB5605"/>
    <w:rsid w:val="00EB7960"/>
    <w:rsid w:val="00EC052A"/>
    <w:rsid w:val="00EC0E04"/>
    <w:rsid w:val="00EC0F55"/>
    <w:rsid w:val="00EC21CF"/>
    <w:rsid w:val="00EC24DA"/>
    <w:rsid w:val="00EC253C"/>
    <w:rsid w:val="00EC2A8D"/>
    <w:rsid w:val="00EC34DB"/>
    <w:rsid w:val="00EC371E"/>
    <w:rsid w:val="00EC3999"/>
    <w:rsid w:val="00EC448C"/>
    <w:rsid w:val="00EC4971"/>
    <w:rsid w:val="00EC4A96"/>
    <w:rsid w:val="00EC5BA5"/>
    <w:rsid w:val="00EC5C07"/>
    <w:rsid w:val="00EC66DA"/>
    <w:rsid w:val="00EC69EC"/>
    <w:rsid w:val="00EC73DC"/>
    <w:rsid w:val="00EC76DF"/>
    <w:rsid w:val="00EC7A3C"/>
    <w:rsid w:val="00ED0C75"/>
    <w:rsid w:val="00ED1401"/>
    <w:rsid w:val="00ED14BA"/>
    <w:rsid w:val="00ED1A15"/>
    <w:rsid w:val="00ED1D16"/>
    <w:rsid w:val="00ED1F80"/>
    <w:rsid w:val="00ED2D58"/>
    <w:rsid w:val="00ED2F03"/>
    <w:rsid w:val="00ED313F"/>
    <w:rsid w:val="00ED3C0F"/>
    <w:rsid w:val="00ED431E"/>
    <w:rsid w:val="00ED491C"/>
    <w:rsid w:val="00ED4C6A"/>
    <w:rsid w:val="00ED4E33"/>
    <w:rsid w:val="00ED517A"/>
    <w:rsid w:val="00ED5B04"/>
    <w:rsid w:val="00ED740B"/>
    <w:rsid w:val="00ED7D7C"/>
    <w:rsid w:val="00EE162B"/>
    <w:rsid w:val="00EE1976"/>
    <w:rsid w:val="00EE2091"/>
    <w:rsid w:val="00EE2313"/>
    <w:rsid w:val="00EE2E7F"/>
    <w:rsid w:val="00EE357E"/>
    <w:rsid w:val="00EE37A8"/>
    <w:rsid w:val="00EE384E"/>
    <w:rsid w:val="00EE4434"/>
    <w:rsid w:val="00EE5266"/>
    <w:rsid w:val="00EE542B"/>
    <w:rsid w:val="00EE6190"/>
    <w:rsid w:val="00EE65D3"/>
    <w:rsid w:val="00EE6B01"/>
    <w:rsid w:val="00EE75CA"/>
    <w:rsid w:val="00EE76B3"/>
    <w:rsid w:val="00EE78E5"/>
    <w:rsid w:val="00EE7A0F"/>
    <w:rsid w:val="00EE7C27"/>
    <w:rsid w:val="00EE7E1F"/>
    <w:rsid w:val="00EE7EC1"/>
    <w:rsid w:val="00EF0157"/>
    <w:rsid w:val="00EF055C"/>
    <w:rsid w:val="00EF0733"/>
    <w:rsid w:val="00EF1268"/>
    <w:rsid w:val="00EF13BF"/>
    <w:rsid w:val="00EF1AC0"/>
    <w:rsid w:val="00EF29CA"/>
    <w:rsid w:val="00EF38F9"/>
    <w:rsid w:val="00EF4A8A"/>
    <w:rsid w:val="00EF64E0"/>
    <w:rsid w:val="00EF6D96"/>
    <w:rsid w:val="00EF741B"/>
    <w:rsid w:val="00EF76A8"/>
    <w:rsid w:val="00F001F9"/>
    <w:rsid w:val="00F01B06"/>
    <w:rsid w:val="00F02357"/>
    <w:rsid w:val="00F0307F"/>
    <w:rsid w:val="00F03BBC"/>
    <w:rsid w:val="00F03C56"/>
    <w:rsid w:val="00F03FAD"/>
    <w:rsid w:val="00F04076"/>
    <w:rsid w:val="00F04090"/>
    <w:rsid w:val="00F052DD"/>
    <w:rsid w:val="00F0661A"/>
    <w:rsid w:val="00F07358"/>
    <w:rsid w:val="00F07937"/>
    <w:rsid w:val="00F10290"/>
    <w:rsid w:val="00F1046C"/>
    <w:rsid w:val="00F10940"/>
    <w:rsid w:val="00F10E36"/>
    <w:rsid w:val="00F11B68"/>
    <w:rsid w:val="00F1299D"/>
    <w:rsid w:val="00F12DC2"/>
    <w:rsid w:val="00F12F9F"/>
    <w:rsid w:val="00F13C6B"/>
    <w:rsid w:val="00F14096"/>
    <w:rsid w:val="00F1464C"/>
    <w:rsid w:val="00F14B94"/>
    <w:rsid w:val="00F14C62"/>
    <w:rsid w:val="00F153A5"/>
    <w:rsid w:val="00F15698"/>
    <w:rsid w:val="00F15DEA"/>
    <w:rsid w:val="00F170D2"/>
    <w:rsid w:val="00F17BCC"/>
    <w:rsid w:val="00F202A9"/>
    <w:rsid w:val="00F208A2"/>
    <w:rsid w:val="00F20A8D"/>
    <w:rsid w:val="00F20CA4"/>
    <w:rsid w:val="00F21236"/>
    <w:rsid w:val="00F2171F"/>
    <w:rsid w:val="00F2230D"/>
    <w:rsid w:val="00F23696"/>
    <w:rsid w:val="00F24278"/>
    <w:rsid w:val="00F24AA5"/>
    <w:rsid w:val="00F24B6F"/>
    <w:rsid w:val="00F254D2"/>
    <w:rsid w:val="00F25877"/>
    <w:rsid w:val="00F26996"/>
    <w:rsid w:val="00F26A31"/>
    <w:rsid w:val="00F2788F"/>
    <w:rsid w:val="00F27955"/>
    <w:rsid w:val="00F27BC0"/>
    <w:rsid w:val="00F27E66"/>
    <w:rsid w:val="00F30B86"/>
    <w:rsid w:val="00F314ED"/>
    <w:rsid w:val="00F318C0"/>
    <w:rsid w:val="00F3238F"/>
    <w:rsid w:val="00F33492"/>
    <w:rsid w:val="00F34DC8"/>
    <w:rsid w:val="00F34FBD"/>
    <w:rsid w:val="00F36360"/>
    <w:rsid w:val="00F37750"/>
    <w:rsid w:val="00F378E7"/>
    <w:rsid w:val="00F37D1B"/>
    <w:rsid w:val="00F37E1C"/>
    <w:rsid w:val="00F37F34"/>
    <w:rsid w:val="00F37FC8"/>
    <w:rsid w:val="00F414A0"/>
    <w:rsid w:val="00F41986"/>
    <w:rsid w:val="00F423DB"/>
    <w:rsid w:val="00F4305C"/>
    <w:rsid w:val="00F4327A"/>
    <w:rsid w:val="00F43F03"/>
    <w:rsid w:val="00F441B0"/>
    <w:rsid w:val="00F44A8C"/>
    <w:rsid w:val="00F45730"/>
    <w:rsid w:val="00F457C4"/>
    <w:rsid w:val="00F459EE"/>
    <w:rsid w:val="00F46CAD"/>
    <w:rsid w:val="00F46D26"/>
    <w:rsid w:val="00F46DEF"/>
    <w:rsid w:val="00F47774"/>
    <w:rsid w:val="00F47D2C"/>
    <w:rsid w:val="00F50799"/>
    <w:rsid w:val="00F508AD"/>
    <w:rsid w:val="00F510A4"/>
    <w:rsid w:val="00F5124D"/>
    <w:rsid w:val="00F5128B"/>
    <w:rsid w:val="00F514C9"/>
    <w:rsid w:val="00F51966"/>
    <w:rsid w:val="00F51DE6"/>
    <w:rsid w:val="00F52899"/>
    <w:rsid w:val="00F52E3B"/>
    <w:rsid w:val="00F52F87"/>
    <w:rsid w:val="00F53ED6"/>
    <w:rsid w:val="00F559C9"/>
    <w:rsid w:val="00F5680B"/>
    <w:rsid w:val="00F57576"/>
    <w:rsid w:val="00F576DB"/>
    <w:rsid w:val="00F5793C"/>
    <w:rsid w:val="00F57F6B"/>
    <w:rsid w:val="00F6019D"/>
    <w:rsid w:val="00F60A55"/>
    <w:rsid w:val="00F61427"/>
    <w:rsid w:val="00F61864"/>
    <w:rsid w:val="00F62A13"/>
    <w:rsid w:val="00F6328F"/>
    <w:rsid w:val="00F635E8"/>
    <w:rsid w:val="00F63A5C"/>
    <w:rsid w:val="00F657FB"/>
    <w:rsid w:val="00F65F5F"/>
    <w:rsid w:val="00F65FEB"/>
    <w:rsid w:val="00F663A2"/>
    <w:rsid w:val="00F66DBF"/>
    <w:rsid w:val="00F66F82"/>
    <w:rsid w:val="00F673CC"/>
    <w:rsid w:val="00F67983"/>
    <w:rsid w:val="00F71384"/>
    <w:rsid w:val="00F71C4D"/>
    <w:rsid w:val="00F72D10"/>
    <w:rsid w:val="00F72D6A"/>
    <w:rsid w:val="00F73B66"/>
    <w:rsid w:val="00F741CF"/>
    <w:rsid w:val="00F755BA"/>
    <w:rsid w:val="00F75622"/>
    <w:rsid w:val="00F75DB2"/>
    <w:rsid w:val="00F763FD"/>
    <w:rsid w:val="00F772A6"/>
    <w:rsid w:val="00F77DB2"/>
    <w:rsid w:val="00F77E84"/>
    <w:rsid w:val="00F80093"/>
    <w:rsid w:val="00F806F6"/>
    <w:rsid w:val="00F80976"/>
    <w:rsid w:val="00F80CCD"/>
    <w:rsid w:val="00F8212B"/>
    <w:rsid w:val="00F824AA"/>
    <w:rsid w:val="00F828F6"/>
    <w:rsid w:val="00F82DDC"/>
    <w:rsid w:val="00F8326F"/>
    <w:rsid w:val="00F83C46"/>
    <w:rsid w:val="00F85004"/>
    <w:rsid w:val="00F85080"/>
    <w:rsid w:val="00F85E41"/>
    <w:rsid w:val="00F86F4C"/>
    <w:rsid w:val="00F876C6"/>
    <w:rsid w:val="00F8781A"/>
    <w:rsid w:val="00F87F25"/>
    <w:rsid w:val="00F9010B"/>
    <w:rsid w:val="00F91097"/>
    <w:rsid w:val="00F91B64"/>
    <w:rsid w:val="00F92A79"/>
    <w:rsid w:val="00F92ABA"/>
    <w:rsid w:val="00F92CA2"/>
    <w:rsid w:val="00F92F95"/>
    <w:rsid w:val="00F930BE"/>
    <w:rsid w:val="00F93597"/>
    <w:rsid w:val="00F93FB1"/>
    <w:rsid w:val="00F94B80"/>
    <w:rsid w:val="00F94E71"/>
    <w:rsid w:val="00F9509F"/>
    <w:rsid w:val="00F95587"/>
    <w:rsid w:val="00F95BF5"/>
    <w:rsid w:val="00F95CB2"/>
    <w:rsid w:val="00F966F2"/>
    <w:rsid w:val="00F96BEB"/>
    <w:rsid w:val="00F97820"/>
    <w:rsid w:val="00FA04BF"/>
    <w:rsid w:val="00FA06D3"/>
    <w:rsid w:val="00FA06F4"/>
    <w:rsid w:val="00FA09FE"/>
    <w:rsid w:val="00FA0E61"/>
    <w:rsid w:val="00FA1CC4"/>
    <w:rsid w:val="00FA1D52"/>
    <w:rsid w:val="00FA21AE"/>
    <w:rsid w:val="00FA235D"/>
    <w:rsid w:val="00FA2753"/>
    <w:rsid w:val="00FA27DA"/>
    <w:rsid w:val="00FA2CE4"/>
    <w:rsid w:val="00FA306F"/>
    <w:rsid w:val="00FA3649"/>
    <w:rsid w:val="00FA376D"/>
    <w:rsid w:val="00FA3DBE"/>
    <w:rsid w:val="00FA3E5C"/>
    <w:rsid w:val="00FA440E"/>
    <w:rsid w:val="00FA611B"/>
    <w:rsid w:val="00FA6612"/>
    <w:rsid w:val="00FA684F"/>
    <w:rsid w:val="00FA71AD"/>
    <w:rsid w:val="00FB02A4"/>
    <w:rsid w:val="00FB03AB"/>
    <w:rsid w:val="00FB03FE"/>
    <w:rsid w:val="00FB052B"/>
    <w:rsid w:val="00FB0CCC"/>
    <w:rsid w:val="00FB0F3E"/>
    <w:rsid w:val="00FB14B3"/>
    <w:rsid w:val="00FB14E9"/>
    <w:rsid w:val="00FB18E8"/>
    <w:rsid w:val="00FB1C6A"/>
    <w:rsid w:val="00FB1DCF"/>
    <w:rsid w:val="00FB1F4B"/>
    <w:rsid w:val="00FB275E"/>
    <w:rsid w:val="00FB2DC9"/>
    <w:rsid w:val="00FB2E49"/>
    <w:rsid w:val="00FB3024"/>
    <w:rsid w:val="00FB3401"/>
    <w:rsid w:val="00FB3823"/>
    <w:rsid w:val="00FB417F"/>
    <w:rsid w:val="00FB4269"/>
    <w:rsid w:val="00FB4C35"/>
    <w:rsid w:val="00FB5A1C"/>
    <w:rsid w:val="00FB657F"/>
    <w:rsid w:val="00FB75BE"/>
    <w:rsid w:val="00FC0715"/>
    <w:rsid w:val="00FC0DB4"/>
    <w:rsid w:val="00FC1418"/>
    <w:rsid w:val="00FC176F"/>
    <w:rsid w:val="00FC1A01"/>
    <w:rsid w:val="00FC1F70"/>
    <w:rsid w:val="00FC2610"/>
    <w:rsid w:val="00FC280B"/>
    <w:rsid w:val="00FC28FE"/>
    <w:rsid w:val="00FC2A04"/>
    <w:rsid w:val="00FC2CE7"/>
    <w:rsid w:val="00FC2E46"/>
    <w:rsid w:val="00FC3503"/>
    <w:rsid w:val="00FC35F9"/>
    <w:rsid w:val="00FC4088"/>
    <w:rsid w:val="00FC4E1E"/>
    <w:rsid w:val="00FC4E7E"/>
    <w:rsid w:val="00FC5615"/>
    <w:rsid w:val="00FC56C6"/>
    <w:rsid w:val="00FC5AD3"/>
    <w:rsid w:val="00FC5BD8"/>
    <w:rsid w:val="00FC6093"/>
    <w:rsid w:val="00FC60F1"/>
    <w:rsid w:val="00FC6137"/>
    <w:rsid w:val="00FC6157"/>
    <w:rsid w:val="00FC6274"/>
    <w:rsid w:val="00FC6390"/>
    <w:rsid w:val="00FC6E06"/>
    <w:rsid w:val="00FC777C"/>
    <w:rsid w:val="00FC7AAE"/>
    <w:rsid w:val="00FC7B02"/>
    <w:rsid w:val="00FD07AC"/>
    <w:rsid w:val="00FD35F0"/>
    <w:rsid w:val="00FD3B74"/>
    <w:rsid w:val="00FD4962"/>
    <w:rsid w:val="00FD49A3"/>
    <w:rsid w:val="00FD4A68"/>
    <w:rsid w:val="00FD511F"/>
    <w:rsid w:val="00FD5137"/>
    <w:rsid w:val="00FD51A7"/>
    <w:rsid w:val="00FD6222"/>
    <w:rsid w:val="00FD6751"/>
    <w:rsid w:val="00FE03AE"/>
    <w:rsid w:val="00FE0C49"/>
    <w:rsid w:val="00FE0D54"/>
    <w:rsid w:val="00FE1252"/>
    <w:rsid w:val="00FE1873"/>
    <w:rsid w:val="00FE1C34"/>
    <w:rsid w:val="00FE1EC2"/>
    <w:rsid w:val="00FE2036"/>
    <w:rsid w:val="00FE2A31"/>
    <w:rsid w:val="00FE2F16"/>
    <w:rsid w:val="00FE3EB3"/>
    <w:rsid w:val="00FE42FF"/>
    <w:rsid w:val="00FE43A3"/>
    <w:rsid w:val="00FE47E9"/>
    <w:rsid w:val="00FE4B52"/>
    <w:rsid w:val="00FE636D"/>
    <w:rsid w:val="00FE71A6"/>
    <w:rsid w:val="00FF1150"/>
    <w:rsid w:val="00FF1F10"/>
    <w:rsid w:val="00FF316C"/>
    <w:rsid w:val="00FF33BE"/>
    <w:rsid w:val="00FF458B"/>
    <w:rsid w:val="00FF4B26"/>
    <w:rsid w:val="00FF61AA"/>
    <w:rsid w:val="00FF6480"/>
    <w:rsid w:val="00FF6A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8A8BF1"/>
  <w14:defaultImageDpi w14:val="330"/>
  <w15:docId w15:val="{165BC4A3-BB6A-42F6-AE46-351B1D3A7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5F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11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6C0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96E8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1B6E"/>
    <w:pPr>
      <w:keepNext/>
      <w:keepLines/>
      <w:spacing w:before="40"/>
      <w:outlineLvl w:val="4"/>
    </w:pPr>
    <w:rPr>
      <w:rFonts w:asciiTheme="majorHAnsi" w:eastAsiaTheme="majorEastAsia" w:hAnsiTheme="majorHAnsi" w:cstheme="majorBidi"/>
      <w:color w:val="365F91" w:themeColor="accent1" w:themeShade="BF"/>
      <w:sz w:val="22"/>
      <w:szCs w:val="22"/>
    </w:rPr>
  </w:style>
  <w:style w:type="paragraph" w:styleId="Heading6">
    <w:name w:val="heading 6"/>
    <w:basedOn w:val="Normal"/>
    <w:next w:val="Normal"/>
    <w:link w:val="Heading6Char"/>
    <w:uiPriority w:val="9"/>
    <w:unhideWhenUsed/>
    <w:qFormat/>
    <w:rsid w:val="009849C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5F5"/>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ullet spaced,Main numbered paragraph,123 List Paragraph,Numbered Paragraph,References,Numbered List Paragraph,Bullets,List Paragraph (numbered (a)),List Paragraph nowy,Liste 1,List_Paragraph,Multilevel para_II,List Paragraph1,Bullet1"/>
    <w:basedOn w:val="Normal"/>
    <w:link w:val="ListParagraphChar"/>
    <w:uiPriority w:val="34"/>
    <w:qFormat/>
    <w:rsid w:val="005C55F5"/>
    <w:pPr>
      <w:ind w:left="720"/>
      <w:contextualSpacing/>
    </w:pPr>
  </w:style>
  <w:style w:type="paragraph" w:styleId="BalloonText">
    <w:name w:val="Balloon Text"/>
    <w:basedOn w:val="Normal"/>
    <w:link w:val="BalloonTextChar"/>
    <w:uiPriority w:val="99"/>
    <w:unhideWhenUsed/>
    <w:rsid w:val="005C55F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5C55F5"/>
    <w:rPr>
      <w:rFonts w:ascii="Lucida Grande" w:hAnsi="Lucida Grande" w:cs="Lucida Grande"/>
      <w:sz w:val="18"/>
      <w:szCs w:val="18"/>
    </w:rPr>
  </w:style>
  <w:style w:type="character" w:styleId="CommentReference">
    <w:name w:val="annotation reference"/>
    <w:basedOn w:val="DefaultParagraphFont"/>
    <w:uiPriority w:val="99"/>
    <w:unhideWhenUsed/>
    <w:rsid w:val="005C55F5"/>
    <w:rPr>
      <w:sz w:val="18"/>
      <w:szCs w:val="18"/>
    </w:rPr>
  </w:style>
  <w:style w:type="paragraph" w:styleId="CommentText">
    <w:name w:val="annotation text"/>
    <w:basedOn w:val="Normal"/>
    <w:link w:val="CommentTextChar"/>
    <w:uiPriority w:val="99"/>
    <w:unhideWhenUsed/>
    <w:rsid w:val="005C55F5"/>
  </w:style>
  <w:style w:type="character" w:customStyle="1" w:styleId="CommentTextChar">
    <w:name w:val="Comment Text Char"/>
    <w:basedOn w:val="DefaultParagraphFont"/>
    <w:link w:val="CommentText"/>
    <w:uiPriority w:val="99"/>
    <w:rsid w:val="005C55F5"/>
  </w:style>
  <w:style w:type="paragraph" w:styleId="CommentSubject">
    <w:name w:val="annotation subject"/>
    <w:basedOn w:val="CommentText"/>
    <w:next w:val="CommentText"/>
    <w:link w:val="CommentSubjectChar"/>
    <w:uiPriority w:val="99"/>
    <w:semiHidden/>
    <w:unhideWhenUsed/>
    <w:rsid w:val="005C55F5"/>
    <w:rPr>
      <w:b/>
      <w:bCs/>
      <w:sz w:val="20"/>
      <w:szCs w:val="20"/>
    </w:rPr>
  </w:style>
  <w:style w:type="character" w:customStyle="1" w:styleId="CommentSubjectChar">
    <w:name w:val="Comment Subject Char"/>
    <w:basedOn w:val="CommentTextChar"/>
    <w:link w:val="CommentSubject"/>
    <w:uiPriority w:val="99"/>
    <w:semiHidden/>
    <w:rsid w:val="005C55F5"/>
    <w:rPr>
      <w:b/>
      <w:bCs/>
      <w:sz w:val="20"/>
      <w:szCs w:val="20"/>
    </w:rPr>
  </w:style>
  <w:style w:type="character" w:customStyle="1" w:styleId="ListParagraphChar">
    <w:name w:val="List Paragraph Char"/>
    <w:aliases w:val="Bullet spaced Char,Main numbered paragraph Char,123 List Paragraph Char,Numbered Paragraph Char,References Char,Numbered List Paragraph Char,Bullets Char,List Paragraph (numbered (a)) Char,List Paragraph nowy Char,Liste 1 Char"/>
    <w:basedOn w:val="DefaultParagraphFont"/>
    <w:link w:val="ListParagraph"/>
    <w:uiPriority w:val="34"/>
    <w:qFormat/>
    <w:rsid w:val="00022289"/>
  </w:style>
  <w:style w:type="paragraph" w:styleId="Title">
    <w:name w:val="Title"/>
    <w:basedOn w:val="Normal"/>
    <w:next w:val="Normal"/>
    <w:link w:val="TitleChar"/>
    <w:uiPriority w:val="10"/>
    <w:qFormat/>
    <w:rsid w:val="0068119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1191"/>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681191"/>
    <w:pPr>
      <w:tabs>
        <w:tab w:val="center" w:pos="4320"/>
        <w:tab w:val="right" w:pos="8640"/>
      </w:tabs>
    </w:pPr>
  </w:style>
  <w:style w:type="character" w:customStyle="1" w:styleId="HeaderChar">
    <w:name w:val="Header Char"/>
    <w:basedOn w:val="DefaultParagraphFont"/>
    <w:link w:val="Header"/>
    <w:uiPriority w:val="99"/>
    <w:rsid w:val="00681191"/>
  </w:style>
  <w:style w:type="paragraph" w:styleId="Footer">
    <w:name w:val="footer"/>
    <w:basedOn w:val="Normal"/>
    <w:link w:val="FooterChar"/>
    <w:uiPriority w:val="99"/>
    <w:unhideWhenUsed/>
    <w:rsid w:val="00681191"/>
    <w:pPr>
      <w:tabs>
        <w:tab w:val="center" w:pos="4320"/>
        <w:tab w:val="right" w:pos="8640"/>
      </w:tabs>
    </w:pPr>
  </w:style>
  <w:style w:type="character" w:customStyle="1" w:styleId="FooterChar">
    <w:name w:val="Footer Char"/>
    <w:basedOn w:val="DefaultParagraphFont"/>
    <w:link w:val="Footer"/>
    <w:uiPriority w:val="99"/>
    <w:rsid w:val="00681191"/>
  </w:style>
  <w:style w:type="character" w:customStyle="1" w:styleId="Heading2Char">
    <w:name w:val="Heading 2 Char"/>
    <w:basedOn w:val="DefaultParagraphFont"/>
    <w:link w:val="Heading2"/>
    <w:uiPriority w:val="9"/>
    <w:rsid w:val="006811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F6C05"/>
    <w:rPr>
      <w:rFonts w:asciiTheme="majorHAnsi" w:eastAsiaTheme="majorEastAsia" w:hAnsiTheme="majorHAnsi" w:cstheme="majorBidi"/>
      <w:b/>
      <w:bCs/>
      <w:color w:val="4F81BD" w:themeColor="accent1"/>
    </w:rPr>
  </w:style>
  <w:style w:type="paragraph" w:styleId="FootnoteText">
    <w:name w:val="footnote text"/>
    <w:aliases w:val="fn,ALTS FOOTNOTE,Note de bas de page2,Note de bas de page Car Car Car,Note de bas de page Car Car,Note de bas de page Car Car Car2,Note de bas de page Car Car Car3,Note de bas de page Car Car Car4,Footnote Text Char1,ADB,single space,ft,F"/>
    <w:basedOn w:val="Normal"/>
    <w:link w:val="FootnoteTextChar"/>
    <w:uiPriority w:val="99"/>
    <w:unhideWhenUsed/>
    <w:qFormat/>
    <w:rsid w:val="00C743CD"/>
  </w:style>
  <w:style w:type="character" w:customStyle="1" w:styleId="FootnoteTextChar">
    <w:name w:val="Footnote Text Char"/>
    <w:aliases w:val="fn Char1,ALTS FOOTNOTE Char1,Note de bas de page2 Char1,Note de bas de page Car Car Car Char1,Note de bas de page Car Car Char1,Note de bas de page Car Car Car2 Char1,Note de bas de page Car Car Car3 Char1,Footnote Text Char1 Char"/>
    <w:basedOn w:val="DefaultParagraphFont"/>
    <w:link w:val="FootnoteText"/>
    <w:uiPriority w:val="99"/>
    <w:rsid w:val="00C743CD"/>
  </w:style>
  <w:style w:type="character" w:styleId="FootnoteReference">
    <w:name w:val="footnote reference"/>
    <w:aliases w:val="ftref, BVI fnr,Знак сноски-FN,16 Point,Superscript 6 Point,Footnote Reference Number,Footnote Reference_LVL6,Footnote Reference_LVL61,Footnote Reference_LVL62,Footnote Reference_LVL63,Footnote Reference_LVL64,Ref,f,de nota al pie,Ref1"/>
    <w:basedOn w:val="DefaultParagraphFont"/>
    <w:link w:val="FNRefeCharChar"/>
    <w:uiPriority w:val="99"/>
    <w:unhideWhenUsed/>
    <w:qFormat/>
    <w:rsid w:val="00C743CD"/>
    <w:rPr>
      <w:vertAlign w:val="superscript"/>
    </w:rPr>
  </w:style>
  <w:style w:type="character" w:customStyle="1" w:styleId="FootnoteTextChar2">
    <w:name w:val="Footnote Text Char2"/>
    <w:aliases w:val="fn Char,ALTS FOOTNOTE Char,Note de bas de page2 Char,Note de bas de page Car Car Car Char,Note de bas de page Car Car Char,Note de bas de page Car Car Car2 Char,Note de bas de page Car Car Car3 Char,Footnote Text Char Char,ADB Char"/>
    <w:basedOn w:val="DefaultParagraphFont"/>
    <w:uiPriority w:val="99"/>
    <w:rsid w:val="00891BD8"/>
    <w:rPr>
      <w:lang w:val="el-GR" w:eastAsia="el-GR" w:bidi="ar-SA"/>
    </w:rPr>
  </w:style>
  <w:style w:type="character" w:styleId="Hyperlink">
    <w:name w:val="Hyperlink"/>
    <w:basedOn w:val="DefaultParagraphFont"/>
    <w:uiPriority w:val="99"/>
    <w:unhideWhenUsed/>
    <w:rsid w:val="00EE76B3"/>
    <w:rPr>
      <w:color w:val="0000FF" w:themeColor="hyperlink"/>
      <w:u w:val="single"/>
    </w:rPr>
  </w:style>
  <w:style w:type="paragraph" w:styleId="NormalWeb">
    <w:name w:val="Normal (Web)"/>
    <w:basedOn w:val="Normal"/>
    <w:uiPriority w:val="99"/>
    <w:unhideWhenUsed/>
    <w:rsid w:val="00EE76B3"/>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EE76B3"/>
  </w:style>
  <w:style w:type="character" w:styleId="Strong">
    <w:name w:val="Strong"/>
    <w:basedOn w:val="DefaultParagraphFont"/>
    <w:uiPriority w:val="22"/>
    <w:qFormat/>
    <w:rsid w:val="00A13DB3"/>
    <w:rPr>
      <w:b/>
      <w:bCs/>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link w:val="FootnoteReference"/>
    <w:uiPriority w:val="99"/>
    <w:rsid w:val="00E914C9"/>
    <w:pPr>
      <w:spacing w:after="160" w:line="240" w:lineRule="exact"/>
    </w:pPr>
    <w:rPr>
      <w:vertAlign w:val="superscript"/>
    </w:rPr>
  </w:style>
  <w:style w:type="character" w:styleId="PageNumber">
    <w:name w:val="page number"/>
    <w:basedOn w:val="DefaultParagraphFont"/>
    <w:uiPriority w:val="99"/>
    <w:semiHidden/>
    <w:unhideWhenUsed/>
    <w:rsid w:val="00587151"/>
  </w:style>
  <w:style w:type="character" w:customStyle="1" w:styleId="Heading4Char">
    <w:name w:val="Heading 4 Char"/>
    <w:basedOn w:val="DefaultParagraphFont"/>
    <w:link w:val="Heading4"/>
    <w:uiPriority w:val="9"/>
    <w:rsid w:val="00296E84"/>
    <w:rPr>
      <w:rFonts w:asciiTheme="majorHAnsi" w:eastAsiaTheme="majorEastAsia" w:hAnsiTheme="majorHAnsi" w:cstheme="majorBidi"/>
      <w:b/>
      <w:bCs/>
      <w:i/>
      <w:iCs/>
      <w:color w:val="4F81BD" w:themeColor="accent1"/>
    </w:rPr>
  </w:style>
  <w:style w:type="paragraph" w:styleId="Caption">
    <w:name w:val="caption"/>
    <w:aliases w:val="Caption Char Char Char,Caption1 Char,Caption1,WB Caption,Table title,Figure Head,10Table - STC,Stacey_Caption,Char,Char Char Char,Char Char"/>
    <w:basedOn w:val="Normal"/>
    <w:next w:val="Normal"/>
    <w:link w:val="CaptionChar"/>
    <w:uiPriority w:val="35"/>
    <w:qFormat/>
    <w:rsid w:val="006137B5"/>
    <w:rPr>
      <w:rFonts w:cs="Times New Roman"/>
      <w:b/>
      <w:bCs/>
      <w:sz w:val="20"/>
      <w:szCs w:val="20"/>
    </w:rPr>
  </w:style>
  <w:style w:type="character" w:customStyle="1" w:styleId="CaptionChar">
    <w:name w:val="Caption Char"/>
    <w:aliases w:val="Caption Char Char Char Char,Caption1 Char Char,Caption1 Char1,WB Caption Char,Table title Char,Figure Head Char,10Table - STC Char,Stacey_Caption Char,Char Char1,Char Char Char Char,Char Char Char1"/>
    <w:basedOn w:val="DefaultParagraphFont"/>
    <w:link w:val="Caption"/>
    <w:uiPriority w:val="35"/>
    <w:rsid w:val="006137B5"/>
    <w:rPr>
      <w:rFonts w:cs="Times New Roman"/>
      <w:b/>
      <w:bCs/>
      <w:sz w:val="20"/>
      <w:szCs w:val="20"/>
    </w:rPr>
  </w:style>
  <w:style w:type="table" w:styleId="TableGrid">
    <w:name w:val="Table Grid"/>
    <w:aliases w:val="TabelEcorys"/>
    <w:basedOn w:val="TableNormal"/>
    <w:uiPriority w:val="39"/>
    <w:rsid w:val="00C427E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A5A8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318C0"/>
    <w:rPr>
      <w:color w:val="800080" w:themeColor="followedHyperlink"/>
      <w:u w:val="single"/>
    </w:rPr>
  </w:style>
  <w:style w:type="paragraph" w:customStyle="1" w:styleId="Normal1">
    <w:name w:val="Normal1"/>
    <w:uiPriority w:val="99"/>
    <w:rsid w:val="00F04090"/>
    <w:rPr>
      <w:rFonts w:ascii="Cambria" w:eastAsia="Cambria" w:hAnsi="Cambria" w:cs="Cambria"/>
      <w:color w:val="000000"/>
    </w:rPr>
  </w:style>
  <w:style w:type="paragraph" w:customStyle="1" w:styleId="BVIfnrCarCar">
    <w:name w:val="BVI fnr Car Car"/>
    <w:aliases w:val="BVI fnr Car,BVI fnr Car Car Car Car Char"/>
    <w:basedOn w:val="Normal"/>
    <w:uiPriority w:val="99"/>
    <w:rsid w:val="00F04090"/>
    <w:pPr>
      <w:spacing w:after="160" w:line="240" w:lineRule="exact"/>
    </w:pPr>
    <w:rPr>
      <w:rFonts w:ascii="Cambria" w:eastAsia="Cambria" w:hAnsi="Cambria" w:cs="Cambria"/>
      <w:color w:val="000000"/>
      <w:vertAlign w:val="superscript"/>
    </w:rPr>
  </w:style>
  <w:style w:type="table" w:styleId="LightList">
    <w:name w:val="Light List"/>
    <w:basedOn w:val="TableNormal"/>
    <w:uiPriority w:val="61"/>
    <w:rsid w:val="00C574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ParanumberChar">
    <w:name w:val="Para number Char"/>
    <w:basedOn w:val="DefaultParagraphFont"/>
    <w:link w:val="Paranumber"/>
    <w:locked/>
    <w:rsid w:val="00766D22"/>
    <w:rPr>
      <w:rFonts w:ascii="Times New Roman" w:eastAsia="Calibri" w:hAnsi="Times New Roman" w:cs="Times New Roman"/>
    </w:rPr>
  </w:style>
  <w:style w:type="paragraph" w:customStyle="1" w:styleId="Paranumber">
    <w:name w:val="Para number"/>
    <w:basedOn w:val="ListParagraph"/>
    <w:link w:val="ParanumberChar"/>
    <w:qFormat/>
    <w:rsid w:val="00766D22"/>
    <w:pPr>
      <w:numPr>
        <w:numId w:val="3"/>
      </w:numPr>
      <w:spacing w:before="120" w:after="120"/>
      <w:contextualSpacing w:val="0"/>
      <w:jc w:val="both"/>
    </w:pPr>
    <w:rPr>
      <w:rFonts w:ascii="Times New Roman" w:eastAsia="Calibri" w:hAnsi="Times New Roman" w:cs="Times New Roman"/>
    </w:rPr>
  </w:style>
  <w:style w:type="paragraph" w:styleId="PlainText">
    <w:name w:val="Plain Text"/>
    <w:basedOn w:val="Normal"/>
    <w:link w:val="PlainTextChar"/>
    <w:uiPriority w:val="99"/>
    <w:unhideWhenUsed/>
    <w:rsid w:val="00AC7DB3"/>
    <w:rPr>
      <w:rFonts w:ascii="Calibri" w:hAnsi="Calibri"/>
      <w:sz w:val="20"/>
      <w:szCs w:val="21"/>
    </w:rPr>
  </w:style>
  <w:style w:type="character" w:customStyle="1" w:styleId="PlainTextChar">
    <w:name w:val="Plain Text Char"/>
    <w:basedOn w:val="DefaultParagraphFont"/>
    <w:link w:val="PlainText"/>
    <w:uiPriority w:val="99"/>
    <w:rsid w:val="00AC7DB3"/>
    <w:rPr>
      <w:rFonts w:ascii="Calibri" w:hAnsi="Calibri"/>
      <w:sz w:val="20"/>
      <w:szCs w:val="21"/>
    </w:rPr>
  </w:style>
  <w:style w:type="paragraph" w:styleId="NoSpacing">
    <w:name w:val="No Spacing"/>
    <w:uiPriority w:val="1"/>
    <w:qFormat/>
    <w:rsid w:val="00AC7DB3"/>
    <w:rPr>
      <w:sz w:val="20"/>
      <w:szCs w:val="20"/>
    </w:rPr>
  </w:style>
  <w:style w:type="character" w:styleId="Emphasis">
    <w:name w:val="Emphasis"/>
    <w:uiPriority w:val="20"/>
    <w:qFormat/>
    <w:rsid w:val="00D72DDE"/>
    <w:rPr>
      <w:caps/>
      <w:color w:val="243F60" w:themeColor="accent1" w:themeShade="7F"/>
      <w:spacing w:val="5"/>
    </w:rPr>
  </w:style>
  <w:style w:type="character" w:styleId="SubtleEmphasis">
    <w:name w:val="Subtle Emphasis"/>
    <w:uiPriority w:val="19"/>
    <w:qFormat/>
    <w:rsid w:val="00D72DDE"/>
    <w:rPr>
      <w:i/>
      <w:iCs/>
      <w:color w:val="243F60" w:themeColor="accent1" w:themeShade="7F"/>
    </w:rPr>
  </w:style>
  <w:style w:type="paragraph" w:styleId="BodyText">
    <w:name w:val="Body Text"/>
    <w:basedOn w:val="Normal"/>
    <w:link w:val="BodyTextChar"/>
    <w:uiPriority w:val="99"/>
    <w:unhideWhenUsed/>
    <w:rsid w:val="00D72DDE"/>
    <w:pPr>
      <w:spacing w:after="120" w:line="259" w:lineRule="auto"/>
    </w:pPr>
    <w:rPr>
      <w:sz w:val="20"/>
      <w:szCs w:val="20"/>
    </w:rPr>
  </w:style>
  <w:style w:type="character" w:customStyle="1" w:styleId="BodyTextChar">
    <w:name w:val="Body Text Char"/>
    <w:basedOn w:val="DefaultParagraphFont"/>
    <w:link w:val="BodyText"/>
    <w:uiPriority w:val="99"/>
    <w:rsid w:val="00D72DDE"/>
    <w:rPr>
      <w:sz w:val="20"/>
      <w:szCs w:val="20"/>
    </w:rPr>
  </w:style>
  <w:style w:type="character" w:customStyle="1" w:styleId="Heading5Char">
    <w:name w:val="Heading 5 Char"/>
    <w:basedOn w:val="DefaultParagraphFont"/>
    <w:link w:val="Heading5"/>
    <w:uiPriority w:val="9"/>
    <w:rsid w:val="00671B6E"/>
    <w:rPr>
      <w:rFonts w:asciiTheme="majorHAnsi" w:eastAsiaTheme="majorEastAsia" w:hAnsiTheme="majorHAnsi" w:cstheme="majorBidi"/>
      <w:color w:val="365F91" w:themeColor="accent1" w:themeShade="BF"/>
      <w:sz w:val="22"/>
      <w:szCs w:val="22"/>
    </w:rPr>
  </w:style>
  <w:style w:type="paragraph" w:styleId="TOCHeading">
    <w:name w:val="TOC Heading"/>
    <w:basedOn w:val="Heading1"/>
    <w:next w:val="Normal"/>
    <w:uiPriority w:val="39"/>
    <w:unhideWhenUsed/>
    <w:qFormat/>
    <w:rsid w:val="00302297"/>
    <w:pPr>
      <w:outlineLvl w:val="9"/>
    </w:pPr>
  </w:style>
  <w:style w:type="paragraph" w:styleId="TOC1">
    <w:name w:val="toc 1"/>
    <w:basedOn w:val="Normal"/>
    <w:next w:val="Normal"/>
    <w:autoRedefine/>
    <w:uiPriority w:val="39"/>
    <w:unhideWhenUsed/>
    <w:rsid w:val="002B2202"/>
    <w:pPr>
      <w:tabs>
        <w:tab w:val="right" w:leader="dot" w:pos="8290"/>
      </w:tabs>
      <w:spacing w:before="120"/>
    </w:pPr>
    <w:rPr>
      <w:b/>
      <w:bCs/>
    </w:rPr>
  </w:style>
  <w:style w:type="paragraph" w:styleId="TOC2">
    <w:name w:val="toc 2"/>
    <w:basedOn w:val="Normal"/>
    <w:next w:val="Normal"/>
    <w:autoRedefine/>
    <w:uiPriority w:val="39"/>
    <w:unhideWhenUsed/>
    <w:rsid w:val="00BB6E64"/>
    <w:pPr>
      <w:tabs>
        <w:tab w:val="right" w:leader="dot" w:pos="8290"/>
      </w:tabs>
      <w:ind w:left="240"/>
    </w:pPr>
    <w:rPr>
      <w:b/>
      <w:bCs/>
      <w:sz w:val="22"/>
      <w:szCs w:val="22"/>
    </w:rPr>
  </w:style>
  <w:style w:type="paragraph" w:styleId="TOC3">
    <w:name w:val="toc 3"/>
    <w:basedOn w:val="Normal"/>
    <w:next w:val="Normal"/>
    <w:autoRedefine/>
    <w:uiPriority w:val="39"/>
    <w:unhideWhenUsed/>
    <w:rsid w:val="00302297"/>
    <w:pPr>
      <w:ind w:left="480"/>
    </w:pPr>
    <w:rPr>
      <w:sz w:val="22"/>
      <w:szCs w:val="22"/>
    </w:rPr>
  </w:style>
  <w:style w:type="paragraph" w:styleId="TOC4">
    <w:name w:val="toc 4"/>
    <w:basedOn w:val="Normal"/>
    <w:next w:val="Normal"/>
    <w:autoRedefine/>
    <w:uiPriority w:val="39"/>
    <w:semiHidden/>
    <w:unhideWhenUsed/>
    <w:rsid w:val="00302297"/>
    <w:pPr>
      <w:ind w:left="720"/>
    </w:pPr>
    <w:rPr>
      <w:sz w:val="20"/>
      <w:szCs w:val="20"/>
    </w:rPr>
  </w:style>
  <w:style w:type="paragraph" w:styleId="TOC5">
    <w:name w:val="toc 5"/>
    <w:basedOn w:val="Normal"/>
    <w:next w:val="Normal"/>
    <w:autoRedefine/>
    <w:uiPriority w:val="39"/>
    <w:semiHidden/>
    <w:unhideWhenUsed/>
    <w:rsid w:val="00302297"/>
    <w:pPr>
      <w:ind w:left="960"/>
    </w:pPr>
    <w:rPr>
      <w:sz w:val="20"/>
      <w:szCs w:val="20"/>
    </w:rPr>
  </w:style>
  <w:style w:type="paragraph" w:styleId="TOC6">
    <w:name w:val="toc 6"/>
    <w:basedOn w:val="Normal"/>
    <w:next w:val="Normal"/>
    <w:autoRedefine/>
    <w:uiPriority w:val="39"/>
    <w:semiHidden/>
    <w:unhideWhenUsed/>
    <w:rsid w:val="00302297"/>
    <w:pPr>
      <w:ind w:left="1200"/>
    </w:pPr>
    <w:rPr>
      <w:sz w:val="20"/>
      <w:szCs w:val="20"/>
    </w:rPr>
  </w:style>
  <w:style w:type="paragraph" w:styleId="TOC7">
    <w:name w:val="toc 7"/>
    <w:basedOn w:val="Normal"/>
    <w:next w:val="Normal"/>
    <w:autoRedefine/>
    <w:uiPriority w:val="39"/>
    <w:semiHidden/>
    <w:unhideWhenUsed/>
    <w:rsid w:val="00302297"/>
    <w:pPr>
      <w:ind w:left="1440"/>
    </w:pPr>
    <w:rPr>
      <w:sz w:val="20"/>
      <w:szCs w:val="20"/>
    </w:rPr>
  </w:style>
  <w:style w:type="paragraph" w:styleId="TOC8">
    <w:name w:val="toc 8"/>
    <w:basedOn w:val="Normal"/>
    <w:next w:val="Normal"/>
    <w:autoRedefine/>
    <w:uiPriority w:val="39"/>
    <w:semiHidden/>
    <w:unhideWhenUsed/>
    <w:rsid w:val="00302297"/>
    <w:pPr>
      <w:ind w:left="1680"/>
    </w:pPr>
    <w:rPr>
      <w:sz w:val="20"/>
      <w:szCs w:val="20"/>
    </w:rPr>
  </w:style>
  <w:style w:type="paragraph" w:styleId="TOC9">
    <w:name w:val="toc 9"/>
    <w:basedOn w:val="Normal"/>
    <w:next w:val="Normal"/>
    <w:autoRedefine/>
    <w:uiPriority w:val="39"/>
    <w:semiHidden/>
    <w:unhideWhenUsed/>
    <w:rsid w:val="00302297"/>
    <w:pPr>
      <w:ind w:left="1920"/>
    </w:pPr>
    <w:rPr>
      <w:sz w:val="20"/>
      <w:szCs w:val="20"/>
    </w:rPr>
  </w:style>
  <w:style w:type="table" w:styleId="GridTable1Light">
    <w:name w:val="Grid Table 1 Light"/>
    <w:basedOn w:val="TableNormal"/>
    <w:uiPriority w:val="46"/>
    <w:rsid w:val="0080262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0262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1">
    <w:name w:val="List Table 3 Accent 1"/>
    <w:basedOn w:val="TableNormal"/>
    <w:uiPriority w:val="48"/>
    <w:rsid w:val="009628C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HTMLCite">
    <w:name w:val="HTML Cite"/>
    <w:basedOn w:val="DefaultParagraphFont"/>
    <w:uiPriority w:val="99"/>
    <w:semiHidden/>
    <w:unhideWhenUsed/>
    <w:rsid w:val="00FA04BF"/>
    <w:rPr>
      <w:i/>
      <w:iCs/>
    </w:rPr>
  </w:style>
  <w:style w:type="paragraph" w:customStyle="1" w:styleId="NormalNumbered">
    <w:name w:val="NormalNumbered"/>
    <w:basedOn w:val="Normal"/>
    <w:link w:val="NormalNumberedChar"/>
    <w:qFormat/>
    <w:rsid w:val="00203056"/>
    <w:pPr>
      <w:tabs>
        <w:tab w:val="left" w:pos="709"/>
      </w:tabs>
      <w:spacing w:before="240" w:after="240"/>
      <w:jc w:val="both"/>
    </w:pPr>
    <w:rPr>
      <w:rFonts w:ascii="Times New Roman" w:eastAsia="Times New Roman" w:hAnsi="Times New Roman" w:cs="Times New Roman"/>
    </w:rPr>
  </w:style>
  <w:style w:type="character" w:customStyle="1" w:styleId="NormalNumberedChar">
    <w:name w:val="NormalNumbered Char"/>
    <w:basedOn w:val="DefaultParagraphFont"/>
    <w:link w:val="NormalNumbered"/>
    <w:locked/>
    <w:rsid w:val="00203056"/>
    <w:rPr>
      <w:rFonts w:ascii="Times New Roman" w:eastAsia="Times New Roman" w:hAnsi="Times New Roman" w:cs="Times New Roman"/>
    </w:rPr>
  </w:style>
  <w:style w:type="paragraph" w:customStyle="1" w:styleId="Source">
    <w:name w:val="Source"/>
    <w:basedOn w:val="Normal"/>
    <w:link w:val="SourceCarattere"/>
    <w:qFormat/>
    <w:rsid w:val="008B42B3"/>
    <w:pPr>
      <w:spacing w:after="480" w:line="276" w:lineRule="auto"/>
      <w:ind w:left="357"/>
      <w:jc w:val="center"/>
    </w:pPr>
    <w:rPr>
      <w:rFonts w:ascii="Times New Roman" w:eastAsia="Calibri" w:hAnsi="Times New Roman" w:cs="Times New Roman"/>
      <w:i/>
      <w:sz w:val="18"/>
      <w:szCs w:val="22"/>
    </w:rPr>
  </w:style>
  <w:style w:type="character" w:customStyle="1" w:styleId="SourceCarattere">
    <w:name w:val="Source Carattere"/>
    <w:link w:val="Source"/>
    <w:rsid w:val="008B42B3"/>
    <w:rPr>
      <w:rFonts w:ascii="Times New Roman" w:eastAsia="Calibri" w:hAnsi="Times New Roman" w:cs="Times New Roman"/>
      <w:i/>
      <w:sz w:val="18"/>
      <w:szCs w:val="22"/>
    </w:rPr>
  </w:style>
  <w:style w:type="paragraph" w:customStyle="1" w:styleId="L-Box-body">
    <w:name w:val="L-Box-body"/>
    <w:basedOn w:val="Normal"/>
    <w:uiPriority w:val="99"/>
    <w:qFormat/>
    <w:rsid w:val="008B42B3"/>
    <w:pPr>
      <w:spacing w:before="120" w:after="120"/>
      <w:ind w:left="425"/>
      <w:jc w:val="both"/>
    </w:pPr>
    <w:rPr>
      <w:rFonts w:ascii="Times New Roman" w:eastAsia="MS Mincho" w:hAnsi="Times New Roman" w:cs="Times New Roman"/>
      <w:szCs w:val="22"/>
    </w:rPr>
  </w:style>
  <w:style w:type="table" w:customStyle="1" w:styleId="ListTable1Light1">
    <w:name w:val="List Table 1 Light1"/>
    <w:basedOn w:val="TableNormal"/>
    <w:uiPriority w:val="46"/>
    <w:rsid w:val="008F28DA"/>
    <w:rPr>
      <w:rFonts w:eastAsia="Times New Roman" w:hAnsi="Times New Roman" w:cs="Times New Roman"/>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eofFigures">
    <w:name w:val="table of figures"/>
    <w:basedOn w:val="Normal"/>
    <w:next w:val="Normal"/>
    <w:uiPriority w:val="99"/>
    <w:unhideWhenUsed/>
    <w:rsid w:val="00AD53CA"/>
  </w:style>
  <w:style w:type="character" w:customStyle="1" w:styleId="Heading6Char">
    <w:name w:val="Heading 6 Char"/>
    <w:basedOn w:val="DefaultParagraphFont"/>
    <w:link w:val="Heading6"/>
    <w:uiPriority w:val="9"/>
    <w:rsid w:val="009849CC"/>
    <w:rPr>
      <w:rFonts w:asciiTheme="majorHAnsi" w:eastAsiaTheme="majorEastAsia" w:hAnsiTheme="majorHAnsi" w:cstheme="majorBidi"/>
      <w:color w:val="243F60" w:themeColor="accent1" w:themeShade="7F"/>
    </w:rPr>
  </w:style>
  <w:style w:type="paragraph" w:customStyle="1" w:styleId="msonormal0">
    <w:name w:val="msonormal"/>
    <w:basedOn w:val="Normal"/>
    <w:uiPriority w:val="99"/>
    <w:rsid w:val="009849CC"/>
    <w:pPr>
      <w:spacing w:before="100" w:beforeAutospacing="1" w:after="100" w:afterAutospacing="1"/>
    </w:pPr>
    <w:rPr>
      <w:rFonts w:ascii="Times" w:hAnsi="Times" w:cs="Times New Roman"/>
      <w:sz w:val="20"/>
      <w:szCs w:val="20"/>
    </w:rPr>
  </w:style>
  <w:style w:type="paragraph" w:styleId="Subtitle">
    <w:name w:val="Subtitle"/>
    <w:basedOn w:val="Normal"/>
    <w:next w:val="Normal"/>
    <w:link w:val="SubtitleChar"/>
    <w:uiPriority w:val="11"/>
    <w:qFormat/>
    <w:rsid w:val="00B6508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B6508C"/>
    <w:rPr>
      <w:color w:val="5A5A5A" w:themeColor="text1" w:themeTint="A5"/>
      <w:spacing w:val="15"/>
      <w:sz w:val="22"/>
      <w:szCs w:val="22"/>
    </w:rPr>
  </w:style>
  <w:style w:type="character" w:styleId="Mention">
    <w:name w:val="Mention"/>
    <w:basedOn w:val="DefaultParagraphFont"/>
    <w:uiPriority w:val="99"/>
    <w:semiHidden/>
    <w:unhideWhenUsed/>
    <w:rsid w:val="001B401D"/>
    <w:rPr>
      <w:color w:val="2B579A"/>
      <w:shd w:val="clear" w:color="auto" w:fill="E6E6E6"/>
    </w:rPr>
  </w:style>
  <w:style w:type="table" w:styleId="GridTable4-Accent5">
    <w:name w:val="Grid Table 4 Accent 5"/>
    <w:basedOn w:val="TableNormal"/>
    <w:uiPriority w:val="49"/>
    <w:rsid w:val="00AB5852"/>
    <w:rPr>
      <w:rFonts w:eastAsiaTheme="minorHAnsi"/>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rsid w:val="00717FE0"/>
    <w:rPr>
      <w:color w:val="808080"/>
      <w:shd w:val="clear" w:color="auto" w:fill="E6E6E6"/>
    </w:rPr>
  </w:style>
  <w:style w:type="paragraph" w:customStyle="1" w:styleId="Default">
    <w:name w:val="Default"/>
    <w:rsid w:val="00A45AE1"/>
    <w:pPr>
      <w:autoSpaceDE w:val="0"/>
      <w:autoSpaceDN w:val="0"/>
      <w:adjustRightInd w:val="0"/>
    </w:pPr>
    <w:rPr>
      <w:rFonts w:ascii="Garamond" w:eastAsiaTheme="minorHAnsi" w:hAnsi="Garamond" w:cs="Garamond"/>
      <w:color w:val="000000"/>
    </w:rPr>
  </w:style>
  <w:style w:type="paragraph" w:styleId="HTMLPreformatted">
    <w:name w:val="HTML Preformatted"/>
    <w:basedOn w:val="Normal"/>
    <w:link w:val="HTMLPreformattedChar"/>
    <w:uiPriority w:val="99"/>
    <w:unhideWhenUsed/>
    <w:rsid w:val="00A92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25C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78602">
      <w:bodyDiv w:val="1"/>
      <w:marLeft w:val="0"/>
      <w:marRight w:val="0"/>
      <w:marTop w:val="0"/>
      <w:marBottom w:val="0"/>
      <w:divBdr>
        <w:top w:val="none" w:sz="0" w:space="0" w:color="auto"/>
        <w:left w:val="none" w:sz="0" w:space="0" w:color="auto"/>
        <w:bottom w:val="none" w:sz="0" w:space="0" w:color="auto"/>
        <w:right w:val="none" w:sz="0" w:space="0" w:color="auto"/>
      </w:divBdr>
    </w:div>
    <w:div w:id="31813185">
      <w:bodyDiv w:val="1"/>
      <w:marLeft w:val="0"/>
      <w:marRight w:val="0"/>
      <w:marTop w:val="0"/>
      <w:marBottom w:val="0"/>
      <w:divBdr>
        <w:top w:val="none" w:sz="0" w:space="0" w:color="auto"/>
        <w:left w:val="none" w:sz="0" w:space="0" w:color="auto"/>
        <w:bottom w:val="none" w:sz="0" w:space="0" w:color="auto"/>
        <w:right w:val="none" w:sz="0" w:space="0" w:color="auto"/>
      </w:divBdr>
    </w:div>
    <w:div w:id="52386136">
      <w:bodyDiv w:val="1"/>
      <w:marLeft w:val="0"/>
      <w:marRight w:val="0"/>
      <w:marTop w:val="0"/>
      <w:marBottom w:val="0"/>
      <w:divBdr>
        <w:top w:val="none" w:sz="0" w:space="0" w:color="auto"/>
        <w:left w:val="none" w:sz="0" w:space="0" w:color="auto"/>
        <w:bottom w:val="none" w:sz="0" w:space="0" w:color="auto"/>
        <w:right w:val="none" w:sz="0" w:space="0" w:color="auto"/>
      </w:divBdr>
    </w:div>
    <w:div w:id="58867375">
      <w:bodyDiv w:val="1"/>
      <w:marLeft w:val="0"/>
      <w:marRight w:val="0"/>
      <w:marTop w:val="0"/>
      <w:marBottom w:val="0"/>
      <w:divBdr>
        <w:top w:val="none" w:sz="0" w:space="0" w:color="auto"/>
        <w:left w:val="none" w:sz="0" w:space="0" w:color="auto"/>
        <w:bottom w:val="none" w:sz="0" w:space="0" w:color="auto"/>
        <w:right w:val="none" w:sz="0" w:space="0" w:color="auto"/>
      </w:divBdr>
    </w:div>
    <w:div w:id="90710585">
      <w:bodyDiv w:val="1"/>
      <w:marLeft w:val="0"/>
      <w:marRight w:val="0"/>
      <w:marTop w:val="0"/>
      <w:marBottom w:val="0"/>
      <w:divBdr>
        <w:top w:val="none" w:sz="0" w:space="0" w:color="auto"/>
        <w:left w:val="none" w:sz="0" w:space="0" w:color="auto"/>
        <w:bottom w:val="none" w:sz="0" w:space="0" w:color="auto"/>
        <w:right w:val="none" w:sz="0" w:space="0" w:color="auto"/>
      </w:divBdr>
    </w:div>
    <w:div w:id="98451710">
      <w:bodyDiv w:val="1"/>
      <w:marLeft w:val="0"/>
      <w:marRight w:val="0"/>
      <w:marTop w:val="0"/>
      <w:marBottom w:val="0"/>
      <w:divBdr>
        <w:top w:val="none" w:sz="0" w:space="0" w:color="auto"/>
        <w:left w:val="none" w:sz="0" w:space="0" w:color="auto"/>
        <w:bottom w:val="none" w:sz="0" w:space="0" w:color="auto"/>
        <w:right w:val="none" w:sz="0" w:space="0" w:color="auto"/>
      </w:divBdr>
    </w:div>
    <w:div w:id="110906459">
      <w:bodyDiv w:val="1"/>
      <w:marLeft w:val="0"/>
      <w:marRight w:val="0"/>
      <w:marTop w:val="0"/>
      <w:marBottom w:val="0"/>
      <w:divBdr>
        <w:top w:val="none" w:sz="0" w:space="0" w:color="auto"/>
        <w:left w:val="none" w:sz="0" w:space="0" w:color="auto"/>
        <w:bottom w:val="none" w:sz="0" w:space="0" w:color="auto"/>
        <w:right w:val="none" w:sz="0" w:space="0" w:color="auto"/>
      </w:divBdr>
      <w:divsChild>
        <w:div w:id="1414086557">
          <w:marLeft w:val="274"/>
          <w:marRight w:val="0"/>
          <w:marTop w:val="0"/>
          <w:marBottom w:val="0"/>
          <w:divBdr>
            <w:top w:val="none" w:sz="0" w:space="0" w:color="auto"/>
            <w:left w:val="none" w:sz="0" w:space="0" w:color="auto"/>
            <w:bottom w:val="none" w:sz="0" w:space="0" w:color="auto"/>
            <w:right w:val="none" w:sz="0" w:space="0" w:color="auto"/>
          </w:divBdr>
        </w:div>
        <w:div w:id="1708988096">
          <w:marLeft w:val="274"/>
          <w:marRight w:val="0"/>
          <w:marTop w:val="0"/>
          <w:marBottom w:val="0"/>
          <w:divBdr>
            <w:top w:val="none" w:sz="0" w:space="0" w:color="auto"/>
            <w:left w:val="none" w:sz="0" w:space="0" w:color="auto"/>
            <w:bottom w:val="none" w:sz="0" w:space="0" w:color="auto"/>
            <w:right w:val="none" w:sz="0" w:space="0" w:color="auto"/>
          </w:divBdr>
        </w:div>
      </w:divsChild>
    </w:div>
    <w:div w:id="142358960">
      <w:bodyDiv w:val="1"/>
      <w:marLeft w:val="0"/>
      <w:marRight w:val="0"/>
      <w:marTop w:val="0"/>
      <w:marBottom w:val="0"/>
      <w:divBdr>
        <w:top w:val="none" w:sz="0" w:space="0" w:color="auto"/>
        <w:left w:val="none" w:sz="0" w:space="0" w:color="auto"/>
        <w:bottom w:val="none" w:sz="0" w:space="0" w:color="auto"/>
        <w:right w:val="none" w:sz="0" w:space="0" w:color="auto"/>
      </w:divBdr>
      <w:divsChild>
        <w:div w:id="268007111">
          <w:marLeft w:val="274"/>
          <w:marRight w:val="0"/>
          <w:marTop w:val="0"/>
          <w:marBottom w:val="0"/>
          <w:divBdr>
            <w:top w:val="none" w:sz="0" w:space="0" w:color="auto"/>
            <w:left w:val="none" w:sz="0" w:space="0" w:color="auto"/>
            <w:bottom w:val="none" w:sz="0" w:space="0" w:color="auto"/>
            <w:right w:val="none" w:sz="0" w:space="0" w:color="auto"/>
          </w:divBdr>
        </w:div>
        <w:div w:id="883103165">
          <w:marLeft w:val="274"/>
          <w:marRight w:val="0"/>
          <w:marTop w:val="0"/>
          <w:marBottom w:val="0"/>
          <w:divBdr>
            <w:top w:val="none" w:sz="0" w:space="0" w:color="auto"/>
            <w:left w:val="none" w:sz="0" w:space="0" w:color="auto"/>
            <w:bottom w:val="none" w:sz="0" w:space="0" w:color="auto"/>
            <w:right w:val="none" w:sz="0" w:space="0" w:color="auto"/>
          </w:divBdr>
        </w:div>
        <w:div w:id="1437094820">
          <w:marLeft w:val="274"/>
          <w:marRight w:val="0"/>
          <w:marTop w:val="0"/>
          <w:marBottom w:val="0"/>
          <w:divBdr>
            <w:top w:val="none" w:sz="0" w:space="0" w:color="auto"/>
            <w:left w:val="none" w:sz="0" w:space="0" w:color="auto"/>
            <w:bottom w:val="none" w:sz="0" w:space="0" w:color="auto"/>
            <w:right w:val="none" w:sz="0" w:space="0" w:color="auto"/>
          </w:divBdr>
        </w:div>
      </w:divsChild>
    </w:div>
    <w:div w:id="150370272">
      <w:bodyDiv w:val="1"/>
      <w:marLeft w:val="0"/>
      <w:marRight w:val="0"/>
      <w:marTop w:val="0"/>
      <w:marBottom w:val="0"/>
      <w:divBdr>
        <w:top w:val="none" w:sz="0" w:space="0" w:color="auto"/>
        <w:left w:val="none" w:sz="0" w:space="0" w:color="auto"/>
        <w:bottom w:val="none" w:sz="0" w:space="0" w:color="auto"/>
        <w:right w:val="none" w:sz="0" w:space="0" w:color="auto"/>
      </w:divBdr>
    </w:div>
    <w:div w:id="160393561">
      <w:bodyDiv w:val="1"/>
      <w:marLeft w:val="0"/>
      <w:marRight w:val="0"/>
      <w:marTop w:val="0"/>
      <w:marBottom w:val="0"/>
      <w:divBdr>
        <w:top w:val="none" w:sz="0" w:space="0" w:color="auto"/>
        <w:left w:val="none" w:sz="0" w:space="0" w:color="auto"/>
        <w:bottom w:val="none" w:sz="0" w:space="0" w:color="auto"/>
        <w:right w:val="none" w:sz="0" w:space="0" w:color="auto"/>
      </w:divBdr>
    </w:div>
    <w:div w:id="173767621">
      <w:bodyDiv w:val="1"/>
      <w:marLeft w:val="0"/>
      <w:marRight w:val="0"/>
      <w:marTop w:val="0"/>
      <w:marBottom w:val="0"/>
      <w:divBdr>
        <w:top w:val="none" w:sz="0" w:space="0" w:color="auto"/>
        <w:left w:val="none" w:sz="0" w:space="0" w:color="auto"/>
        <w:bottom w:val="none" w:sz="0" w:space="0" w:color="auto"/>
        <w:right w:val="none" w:sz="0" w:space="0" w:color="auto"/>
      </w:divBdr>
    </w:div>
    <w:div w:id="183790231">
      <w:bodyDiv w:val="1"/>
      <w:marLeft w:val="0"/>
      <w:marRight w:val="0"/>
      <w:marTop w:val="0"/>
      <w:marBottom w:val="0"/>
      <w:divBdr>
        <w:top w:val="none" w:sz="0" w:space="0" w:color="auto"/>
        <w:left w:val="none" w:sz="0" w:space="0" w:color="auto"/>
        <w:bottom w:val="none" w:sz="0" w:space="0" w:color="auto"/>
        <w:right w:val="none" w:sz="0" w:space="0" w:color="auto"/>
      </w:divBdr>
    </w:div>
    <w:div w:id="197206538">
      <w:bodyDiv w:val="1"/>
      <w:marLeft w:val="0"/>
      <w:marRight w:val="0"/>
      <w:marTop w:val="0"/>
      <w:marBottom w:val="0"/>
      <w:divBdr>
        <w:top w:val="none" w:sz="0" w:space="0" w:color="auto"/>
        <w:left w:val="none" w:sz="0" w:space="0" w:color="auto"/>
        <w:bottom w:val="none" w:sz="0" w:space="0" w:color="auto"/>
        <w:right w:val="none" w:sz="0" w:space="0" w:color="auto"/>
      </w:divBdr>
    </w:div>
    <w:div w:id="210307680">
      <w:bodyDiv w:val="1"/>
      <w:marLeft w:val="0"/>
      <w:marRight w:val="0"/>
      <w:marTop w:val="0"/>
      <w:marBottom w:val="0"/>
      <w:divBdr>
        <w:top w:val="none" w:sz="0" w:space="0" w:color="auto"/>
        <w:left w:val="none" w:sz="0" w:space="0" w:color="auto"/>
        <w:bottom w:val="none" w:sz="0" w:space="0" w:color="auto"/>
        <w:right w:val="none" w:sz="0" w:space="0" w:color="auto"/>
      </w:divBdr>
    </w:div>
    <w:div w:id="218790704">
      <w:bodyDiv w:val="1"/>
      <w:marLeft w:val="0"/>
      <w:marRight w:val="0"/>
      <w:marTop w:val="0"/>
      <w:marBottom w:val="0"/>
      <w:divBdr>
        <w:top w:val="none" w:sz="0" w:space="0" w:color="auto"/>
        <w:left w:val="none" w:sz="0" w:space="0" w:color="auto"/>
        <w:bottom w:val="none" w:sz="0" w:space="0" w:color="auto"/>
        <w:right w:val="none" w:sz="0" w:space="0" w:color="auto"/>
      </w:divBdr>
    </w:div>
    <w:div w:id="235553400">
      <w:bodyDiv w:val="1"/>
      <w:marLeft w:val="0"/>
      <w:marRight w:val="0"/>
      <w:marTop w:val="0"/>
      <w:marBottom w:val="0"/>
      <w:divBdr>
        <w:top w:val="none" w:sz="0" w:space="0" w:color="auto"/>
        <w:left w:val="none" w:sz="0" w:space="0" w:color="auto"/>
        <w:bottom w:val="none" w:sz="0" w:space="0" w:color="auto"/>
        <w:right w:val="none" w:sz="0" w:space="0" w:color="auto"/>
      </w:divBdr>
    </w:div>
    <w:div w:id="247541780">
      <w:bodyDiv w:val="1"/>
      <w:marLeft w:val="0"/>
      <w:marRight w:val="0"/>
      <w:marTop w:val="0"/>
      <w:marBottom w:val="0"/>
      <w:divBdr>
        <w:top w:val="none" w:sz="0" w:space="0" w:color="auto"/>
        <w:left w:val="none" w:sz="0" w:space="0" w:color="auto"/>
        <w:bottom w:val="none" w:sz="0" w:space="0" w:color="auto"/>
        <w:right w:val="none" w:sz="0" w:space="0" w:color="auto"/>
      </w:divBdr>
    </w:div>
    <w:div w:id="252662802">
      <w:bodyDiv w:val="1"/>
      <w:marLeft w:val="0"/>
      <w:marRight w:val="0"/>
      <w:marTop w:val="0"/>
      <w:marBottom w:val="0"/>
      <w:divBdr>
        <w:top w:val="none" w:sz="0" w:space="0" w:color="auto"/>
        <w:left w:val="none" w:sz="0" w:space="0" w:color="auto"/>
        <w:bottom w:val="none" w:sz="0" w:space="0" w:color="auto"/>
        <w:right w:val="none" w:sz="0" w:space="0" w:color="auto"/>
      </w:divBdr>
    </w:div>
    <w:div w:id="255943148">
      <w:bodyDiv w:val="1"/>
      <w:marLeft w:val="0"/>
      <w:marRight w:val="0"/>
      <w:marTop w:val="0"/>
      <w:marBottom w:val="0"/>
      <w:divBdr>
        <w:top w:val="none" w:sz="0" w:space="0" w:color="auto"/>
        <w:left w:val="none" w:sz="0" w:space="0" w:color="auto"/>
        <w:bottom w:val="none" w:sz="0" w:space="0" w:color="auto"/>
        <w:right w:val="none" w:sz="0" w:space="0" w:color="auto"/>
      </w:divBdr>
    </w:div>
    <w:div w:id="279804687">
      <w:bodyDiv w:val="1"/>
      <w:marLeft w:val="0"/>
      <w:marRight w:val="0"/>
      <w:marTop w:val="0"/>
      <w:marBottom w:val="0"/>
      <w:divBdr>
        <w:top w:val="none" w:sz="0" w:space="0" w:color="auto"/>
        <w:left w:val="none" w:sz="0" w:space="0" w:color="auto"/>
        <w:bottom w:val="none" w:sz="0" w:space="0" w:color="auto"/>
        <w:right w:val="none" w:sz="0" w:space="0" w:color="auto"/>
      </w:divBdr>
      <w:divsChild>
        <w:div w:id="140316745">
          <w:marLeft w:val="446"/>
          <w:marRight w:val="0"/>
          <w:marTop w:val="0"/>
          <w:marBottom w:val="0"/>
          <w:divBdr>
            <w:top w:val="none" w:sz="0" w:space="0" w:color="auto"/>
            <w:left w:val="none" w:sz="0" w:space="0" w:color="auto"/>
            <w:bottom w:val="none" w:sz="0" w:space="0" w:color="auto"/>
            <w:right w:val="none" w:sz="0" w:space="0" w:color="auto"/>
          </w:divBdr>
        </w:div>
        <w:div w:id="249312624">
          <w:marLeft w:val="446"/>
          <w:marRight w:val="0"/>
          <w:marTop w:val="0"/>
          <w:marBottom w:val="0"/>
          <w:divBdr>
            <w:top w:val="none" w:sz="0" w:space="0" w:color="auto"/>
            <w:left w:val="none" w:sz="0" w:space="0" w:color="auto"/>
            <w:bottom w:val="none" w:sz="0" w:space="0" w:color="auto"/>
            <w:right w:val="none" w:sz="0" w:space="0" w:color="auto"/>
          </w:divBdr>
        </w:div>
        <w:div w:id="508522931">
          <w:marLeft w:val="446"/>
          <w:marRight w:val="0"/>
          <w:marTop w:val="0"/>
          <w:marBottom w:val="0"/>
          <w:divBdr>
            <w:top w:val="none" w:sz="0" w:space="0" w:color="auto"/>
            <w:left w:val="none" w:sz="0" w:space="0" w:color="auto"/>
            <w:bottom w:val="none" w:sz="0" w:space="0" w:color="auto"/>
            <w:right w:val="none" w:sz="0" w:space="0" w:color="auto"/>
          </w:divBdr>
        </w:div>
        <w:div w:id="564143350">
          <w:marLeft w:val="446"/>
          <w:marRight w:val="0"/>
          <w:marTop w:val="0"/>
          <w:marBottom w:val="0"/>
          <w:divBdr>
            <w:top w:val="none" w:sz="0" w:space="0" w:color="auto"/>
            <w:left w:val="none" w:sz="0" w:space="0" w:color="auto"/>
            <w:bottom w:val="none" w:sz="0" w:space="0" w:color="auto"/>
            <w:right w:val="none" w:sz="0" w:space="0" w:color="auto"/>
          </w:divBdr>
        </w:div>
        <w:div w:id="668942907">
          <w:marLeft w:val="446"/>
          <w:marRight w:val="0"/>
          <w:marTop w:val="0"/>
          <w:marBottom w:val="0"/>
          <w:divBdr>
            <w:top w:val="none" w:sz="0" w:space="0" w:color="auto"/>
            <w:left w:val="none" w:sz="0" w:space="0" w:color="auto"/>
            <w:bottom w:val="none" w:sz="0" w:space="0" w:color="auto"/>
            <w:right w:val="none" w:sz="0" w:space="0" w:color="auto"/>
          </w:divBdr>
        </w:div>
        <w:div w:id="710541318">
          <w:marLeft w:val="446"/>
          <w:marRight w:val="0"/>
          <w:marTop w:val="0"/>
          <w:marBottom w:val="0"/>
          <w:divBdr>
            <w:top w:val="none" w:sz="0" w:space="0" w:color="auto"/>
            <w:left w:val="none" w:sz="0" w:space="0" w:color="auto"/>
            <w:bottom w:val="none" w:sz="0" w:space="0" w:color="auto"/>
            <w:right w:val="none" w:sz="0" w:space="0" w:color="auto"/>
          </w:divBdr>
        </w:div>
        <w:div w:id="803890569">
          <w:marLeft w:val="446"/>
          <w:marRight w:val="0"/>
          <w:marTop w:val="0"/>
          <w:marBottom w:val="0"/>
          <w:divBdr>
            <w:top w:val="none" w:sz="0" w:space="0" w:color="auto"/>
            <w:left w:val="none" w:sz="0" w:space="0" w:color="auto"/>
            <w:bottom w:val="none" w:sz="0" w:space="0" w:color="auto"/>
            <w:right w:val="none" w:sz="0" w:space="0" w:color="auto"/>
          </w:divBdr>
        </w:div>
        <w:div w:id="1038119663">
          <w:marLeft w:val="446"/>
          <w:marRight w:val="0"/>
          <w:marTop w:val="0"/>
          <w:marBottom w:val="0"/>
          <w:divBdr>
            <w:top w:val="none" w:sz="0" w:space="0" w:color="auto"/>
            <w:left w:val="none" w:sz="0" w:space="0" w:color="auto"/>
            <w:bottom w:val="none" w:sz="0" w:space="0" w:color="auto"/>
            <w:right w:val="none" w:sz="0" w:space="0" w:color="auto"/>
          </w:divBdr>
        </w:div>
        <w:div w:id="1139348222">
          <w:marLeft w:val="446"/>
          <w:marRight w:val="0"/>
          <w:marTop w:val="0"/>
          <w:marBottom w:val="0"/>
          <w:divBdr>
            <w:top w:val="none" w:sz="0" w:space="0" w:color="auto"/>
            <w:left w:val="none" w:sz="0" w:space="0" w:color="auto"/>
            <w:bottom w:val="none" w:sz="0" w:space="0" w:color="auto"/>
            <w:right w:val="none" w:sz="0" w:space="0" w:color="auto"/>
          </w:divBdr>
        </w:div>
        <w:div w:id="1328359612">
          <w:marLeft w:val="446"/>
          <w:marRight w:val="0"/>
          <w:marTop w:val="0"/>
          <w:marBottom w:val="0"/>
          <w:divBdr>
            <w:top w:val="none" w:sz="0" w:space="0" w:color="auto"/>
            <w:left w:val="none" w:sz="0" w:space="0" w:color="auto"/>
            <w:bottom w:val="none" w:sz="0" w:space="0" w:color="auto"/>
            <w:right w:val="none" w:sz="0" w:space="0" w:color="auto"/>
          </w:divBdr>
        </w:div>
        <w:div w:id="1346715301">
          <w:marLeft w:val="446"/>
          <w:marRight w:val="0"/>
          <w:marTop w:val="0"/>
          <w:marBottom w:val="0"/>
          <w:divBdr>
            <w:top w:val="none" w:sz="0" w:space="0" w:color="auto"/>
            <w:left w:val="none" w:sz="0" w:space="0" w:color="auto"/>
            <w:bottom w:val="none" w:sz="0" w:space="0" w:color="auto"/>
            <w:right w:val="none" w:sz="0" w:space="0" w:color="auto"/>
          </w:divBdr>
        </w:div>
        <w:div w:id="1389376978">
          <w:marLeft w:val="446"/>
          <w:marRight w:val="0"/>
          <w:marTop w:val="0"/>
          <w:marBottom w:val="0"/>
          <w:divBdr>
            <w:top w:val="none" w:sz="0" w:space="0" w:color="auto"/>
            <w:left w:val="none" w:sz="0" w:space="0" w:color="auto"/>
            <w:bottom w:val="none" w:sz="0" w:space="0" w:color="auto"/>
            <w:right w:val="none" w:sz="0" w:space="0" w:color="auto"/>
          </w:divBdr>
        </w:div>
        <w:div w:id="1452944094">
          <w:marLeft w:val="446"/>
          <w:marRight w:val="0"/>
          <w:marTop w:val="0"/>
          <w:marBottom w:val="0"/>
          <w:divBdr>
            <w:top w:val="none" w:sz="0" w:space="0" w:color="auto"/>
            <w:left w:val="none" w:sz="0" w:space="0" w:color="auto"/>
            <w:bottom w:val="none" w:sz="0" w:space="0" w:color="auto"/>
            <w:right w:val="none" w:sz="0" w:space="0" w:color="auto"/>
          </w:divBdr>
        </w:div>
        <w:div w:id="1605268228">
          <w:marLeft w:val="446"/>
          <w:marRight w:val="0"/>
          <w:marTop w:val="0"/>
          <w:marBottom w:val="0"/>
          <w:divBdr>
            <w:top w:val="none" w:sz="0" w:space="0" w:color="auto"/>
            <w:left w:val="none" w:sz="0" w:space="0" w:color="auto"/>
            <w:bottom w:val="none" w:sz="0" w:space="0" w:color="auto"/>
            <w:right w:val="none" w:sz="0" w:space="0" w:color="auto"/>
          </w:divBdr>
        </w:div>
        <w:div w:id="1995523396">
          <w:marLeft w:val="446"/>
          <w:marRight w:val="0"/>
          <w:marTop w:val="0"/>
          <w:marBottom w:val="0"/>
          <w:divBdr>
            <w:top w:val="none" w:sz="0" w:space="0" w:color="auto"/>
            <w:left w:val="none" w:sz="0" w:space="0" w:color="auto"/>
            <w:bottom w:val="none" w:sz="0" w:space="0" w:color="auto"/>
            <w:right w:val="none" w:sz="0" w:space="0" w:color="auto"/>
          </w:divBdr>
        </w:div>
      </w:divsChild>
    </w:div>
    <w:div w:id="308637815">
      <w:bodyDiv w:val="1"/>
      <w:marLeft w:val="0"/>
      <w:marRight w:val="0"/>
      <w:marTop w:val="0"/>
      <w:marBottom w:val="0"/>
      <w:divBdr>
        <w:top w:val="none" w:sz="0" w:space="0" w:color="auto"/>
        <w:left w:val="none" w:sz="0" w:space="0" w:color="auto"/>
        <w:bottom w:val="none" w:sz="0" w:space="0" w:color="auto"/>
        <w:right w:val="none" w:sz="0" w:space="0" w:color="auto"/>
      </w:divBdr>
    </w:div>
    <w:div w:id="315184138">
      <w:bodyDiv w:val="1"/>
      <w:marLeft w:val="0"/>
      <w:marRight w:val="0"/>
      <w:marTop w:val="0"/>
      <w:marBottom w:val="0"/>
      <w:divBdr>
        <w:top w:val="none" w:sz="0" w:space="0" w:color="auto"/>
        <w:left w:val="none" w:sz="0" w:space="0" w:color="auto"/>
        <w:bottom w:val="none" w:sz="0" w:space="0" w:color="auto"/>
        <w:right w:val="none" w:sz="0" w:space="0" w:color="auto"/>
      </w:divBdr>
    </w:div>
    <w:div w:id="323514899">
      <w:bodyDiv w:val="1"/>
      <w:marLeft w:val="0"/>
      <w:marRight w:val="0"/>
      <w:marTop w:val="0"/>
      <w:marBottom w:val="0"/>
      <w:divBdr>
        <w:top w:val="none" w:sz="0" w:space="0" w:color="auto"/>
        <w:left w:val="none" w:sz="0" w:space="0" w:color="auto"/>
        <w:bottom w:val="none" w:sz="0" w:space="0" w:color="auto"/>
        <w:right w:val="none" w:sz="0" w:space="0" w:color="auto"/>
      </w:divBdr>
    </w:div>
    <w:div w:id="324549208">
      <w:bodyDiv w:val="1"/>
      <w:marLeft w:val="0"/>
      <w:marRight w:val="0"/>
      <w:marTop w:val="0"/>
      <w:marBottom w:val="0"/>
      <w:divBdr>
        <w:top w:val="none" w:sz="0" w:space="0" w:color="auto"/>
        <w:left w:val="none" w:sz="0" w:space="0" w:color="auto"/>
        <w:bottom w:val="none" w:sz="0" w:space="0" w:color="auto"/>
        <w:right w:val="none" w:sz="0" w:space="0" w:color="auto"/>
      </w:divBdr>
    </w:div>
    <w:div w:id="326055007">
      <w:bodyDiv w:val="1"/>
      <w:marLeft w:val="0"/>
      <w:marRight w:val="0"/>
      <w:marTop w:val="0"/>
      <w:marBottom w:val="0"/>
      <w:divBdr>
        <w:top w:val="none" w:sz="0" w:space="0" w:color="auto"/>
        <w:left w:val="none" w:sz="0" w:space="0" w:color="auto"/>
        <w:bottom w:val="none" w:sz="0" w:space="0" w:color="auto"/>
        <w:right w:val="none" w:sz="0" w:space="0" w:color="auto"/>
      </w:divBdr>
    </w:div>
    <w:div w:id="347996561">
      <w:bodyDiv w:val="1"/>
      <w:marLeft w:val="0"/>
      <w:marRight w:val="0"/>
      <w:marTop w:val="0"/>
      <w:marBottom w:val="0"/>
      <w:divBdr>
        <w:top w:val="none" w:sz="0" w:space="0" w:color="auto"/>
        <w:left w:val="none" w:sz="0" w:space="0" w:color="auto"/>
        <w:bottom w:val="none" w:sz="0" w:space="0" w:color="auto"/>
        <w:right w:val="none" w:sz="0" w:space="0" w:color="auto"/>
      </w:divBdr>
    </w:div>
    <w:div w:id="348605155">
      <w:bodyDiv w:val="1"/>
      <w:marLeft w:val="0"/>
      <w:marRight w:val="0"/>
      <w:marTop w:val="0"/>
      <w:marBottom w:val="0"/>
      <w:divBdr>
        <w:top w:val="none" w:sz="0" w:space="0" w:color="auto"/>
        <w:left w:val="none" w:sz="0" w:space="0" w:color="auto"/>
        <w:bottom w:val="none" w:sz="0" w:space="0" w:color="auto"/>
        <w:right w:val="none" w:sz="0" w:space="0" w:color="auto"/>
      </w:divBdr>
    </w:div>
    <w:div w:id="354230833">
      <w:bodyDiv w:val="1"/>
      <w:marLeft w:val="0"/>
      <w:marRight w:val="0"/>
      <w:marTop w:val="0"/>
      <w:marBottom w:val="0"/>
      <w:divBdr>
        <w:top w:val="none" w:sz="0" w:space="0" w:color="auto"/>
        <w:left w:val="none" w:sz="0" w:space="0" w:color="auto"/>
        <w:bottom w:val="none" w:sz="0" w:space="0" w:color="auto"/>
        <w:right w:val="none" w:sz="0" w:space="0" w:color="auto"/>
      </w:divBdr>
      <w:divsChild>
        <w:div w:id="163595306">
          <w:marLeft w:val="907"/>
          <w:marRight w:val="0"/>
          <w:marTop w:val="0"/>
          <w:marBottom w:val="120"/>
          <w:divBdr>
            <w:top w:val="none" w:sz="0" w:space="0" w:color="auto"/>
            <w:left w:val="none" w:sz="0" w:space="0" w:color="auto"/>
            <w:bottom w:val="none" w:sz="0" w:space="0" w:color="auto"/>
            <w:right w:val="none" w:sz="0" w:space="0" w:color="auto"/>
          </w:divBdr>
        </w:div>
        <w:div w:id="482745987">
          <w:marLeft w:val="907"/>
          <w:marRight w:val="0"/>
          <w:marTop w:val="0"/>
          <w:marBottom w:val="240"/>
          <w:divBdr>
            <w:top w:val="none" w:sz="0" w:space="0" w:color="auto"/>
            <w:left w:val="none" w:sz="0" w:space="0" w:color="auto"/>
            <w:bottom w:val="none" w:sz="0" w:space="0" w:color="auto"/>
            <w:right w:val="none" w:sz="0" w:space="0" w:color="auto"/>
          </w:divBdr>
        </w:div>
        <w:div w:id="534319340">
          <w:marLeft w:val="907"/>
          <w:marRight w:val="0"/>
          <w:marTop w:val="0"/>
          <w:marBottom w:val="120"/>
          <w:divBdr>
            <w:top w:val="none" w:sz="0" w:space="0" w:color="auto"/>
            <w:left w:val="none" w:sz="0" w:space="0" w:color="auto"/>
            <w:bottom w:val="none" w:sz="0" w:space="0" w:color="auto"/>
            <w:right w:val="none" w:sz="0" w:space="0" w:color="auto"/>
          </w:divBdr>
        </w:div>
        <w:div w:id="1613433775">
          <w:marLeft w:val="446"/>
          <w:marRight w:val="0"/>
          <w:marTop w:val="0"/>
          <w:marBottom w:val="0"/>
          <w:divBdr>
            <w:top w:val="none" w:sz="0" w:space="0" w:color="auto"/>
            <w:left w:val="none" w:sz="0" w:space="0" w:color="auto"/>
            <w:bottom w:val="none" w:sz="0" w:space="0" w:color="auto"/>
            <w:right w:val="none" w:sz="0" w:space="0" w:color="auto"/>
          </w:divBdr>
        </w:div>
      </w:divsChild>
    </w:div>
    <w:div w:id="355469692">
      <w:bodyDiv w:val="1"/>
      <w:marLeft w:val="0"/>
      <w:marRight w:val="0"/>
      <w:marTop w:val="0"/>
      <w:marBottom w:val="0"/>
      <w:divBdr>
        <w:top w:val="none" w:sz="0" w:space="0" w:color="auto"/>
        <w:left w:val="none" w:sz="0" w:space="0" w:color="auto"/>
        <w:bottom w:val="none" w:sz="0" w:space="0" w:color="auto"/>
        <w:right w:val="none" w:sz="0" w:space="0" w:color="auto"/>
      </w:divBdr>
    </w:div>
    <w:div w:id="364869429">
      <w:bodyDiv w:val="1"/>
      <w:marLeft w:val="0"/>
      <w:marRight w:val="0"/>
      <w:marTop w:val="0"/>
      <w:marBottom w:val="0"/>
      <w:divBdr>
        <w:top w:val="none" w:sz="0" w:space="0" w:color="auto"/>
        <w:left w:val="none" w:sz="0" w:space="0" w:color="auto"/>
        <w:bottom w:val="none" w:sz="0" w:space="0" w:color="auto"/>
        <w:right w:val="none" w:sz="0" w:space="0" w:color="auto"/>
      </w:divBdr>
    </w:div>
    <w:div w:id="368266245">
      <w:bodyDiv w:val="1"/>
      <w:marLeft w:val="0"/>
      <w:marRight w:val="0"/>
      <w:marTop w:val="0"/>
      <w:marBottom w:val="0"/>
      <w:divBdr>
        <w:top w:val="none" w:sz="0" w:space="0" w:color="auto"/>
        <w:left w:val="none" w:sz="0" w:space="0" w:color="auto"/>
        <w:bottom w:val="none" w:sz="0" w:space="0" w:color="auto"/>
        <w:right w:val="none" w:sz="0" w:space="0" w:color="auto"/>
      </w:divBdr>
    </w:div>
    <w:div w:id="376516667">
      <w:bodyDiv w:val="1"/>
      <w:marLeft w:val="0"/>
      <w:marRight w:val="0"/>
      <w:marTop w:val="0"/>
      <w:marBottom w:val="0"/>
      <w:divBdr>
        <w:top w:val="none" w:sz="0" w:space="0" w:color="auto"/>
        <w:left w:val="none" w:sz="0" w:space="0" w:color="auto"/>
        <w:bottom w:val="none" w:sz="0" w:space="0" w:color="auto"/>
        <w:right w:val="none" w:sz="0" w:space="0" w:color="auto"/>
      </w:divBdr>
      <w:divsChild>
        <w:div w:id="999311289">
          <w:marLeft w:val="274"/>
          <w:marRight w:val="0"/>
          <w:marTop w:val="0"/>
          <w:marBottom w:val="0"/>
          <w:divBdr>
            <w:top w:val="none" w:sz="0" w:space="0" w:color="auto"/>
            <w:left w:val="none" w:sz="0" w:space="0" w:color="auto"/>
            <w:bottom w:val="none" w:sz="0" w:space="0" w:color="auto"/>
            <w:right w:val="none" w:sz="0" w:space="0" w:color="auto"/>
          </w:divBdr>
        </w:div>
        <w:div w:id="1739329789">
          <w:marLeft w:val="274"/>
          <w:marRight w:val="0"/>
          <w:marTop w:val="0"/>
          <w:marBottom w:val="0"/>
          <w:divBdr>
            <w:top w:val="none" w:sz="0" w:space="0" w:color="auto"/>
            <w:left w:val="none" w:sz="0" w:space="0" w:color="auto"/>
            <w:bottom w:val="none" w:sz="0" w:space="0" w:color="auto"/>
            <w:right w:val="none" w:sz="0" w:space="0" w:color="auto"/>
          </w:divBdr>
        </w:div>
      </w:divsChild>
    </w:div>
    <w:div w:id="379212665">
      <w:bodyDiv w:val="1"/>
      <w:marLeft w:val="0"/>
      <w:marRight w:val="0"/>
      <w:marTop w:val="0"/>
      <w:marBottom w:val="0"/>
      <w:divBdr>
        <w:top w:val="none" w:sz="0" w:space="0" w:color="auto"/>
        <w:left w:val="none" w:sz="0" w:space="0" w:color="auto"/>
        <w:bottom w:val="none" w:sz="0" w:space="0" w:color="auto"/>
        <w:right w:val="none" w:sz="0" w:space="0" w:color="auto"/>
      </w:divBdr>
    </w:div>
    <w:div w:id="384378842">
      <w:bodyDiv w:val="1"/>
      <w:marLeft w:val="0"/>
      <w:marRight w:val="0"/>
      <w:marTop w:val="0"/>
      <w:marBottom w:val="0"/>
      <w:divBdr>
        <w:top w:val="none" w:sz="0" w:space="0" w:color="auto"/>
        <w:left w:val="none" w:sz="0" w:space="0" w:color="auto"/>
        <w:bottom w:val="none" w:sz="0" w:space="0" w:color="auto"/>
        <w:right w:val="none" w:sz="0" w:space="0" w:color="auto"/>
      </w:divBdr>
    </w:div>
    <w:div w:id="404109965">
      <w:bodyDiv w:val="1"/>
      <w:marLeft w:val="0"/>
      <w:marRight w:val="0"/>
      <w:marTop w:val="0"/>
      <w:marBottom w:val="0"/>
      <w:divBdr>
        <w:top w:val="none" w:sz="0" w:space="0" w:color="auto"/>
        <w:left w:val="none" w:sz="0" w:space="0" w:color="auto"/>
        <w:bottom w:val="none" w:sz="0" w:space="0" w:color="auto"/>
        <w:right w:val="none" w:sz="0" w:space="0" w:color="auto"/>
      </w:divBdr>
    </w:div>
    <w:div w:id="421995481">
      <w:bodyDiv w:val="1"/>
      <w:marLeft w:val="0"/>
      <w:marRight w:val="0"/>
      <w:marTop w:val="0"/>
      <w:marBottom w:val="0"/>
      <w:divBdr>
        <w:top w:val="none" w:sz="0" w:space="0" w:color="auto"/>
        <w:left w:val="none" w:sz="0" w:space="0" w:color="auto"/>
        <w:bottom w:val="none" w:sz="0" w:space="0" w:color="auto"/>
        <w:right w:val="none" w:sz="0" w:space="0" w:color="auto"/>
      </w:divBdr>
    </w:div>
    <w:div w:id="436214868">
      <w:bodyDiv w:val="1"/>
      <w:marLeft w:val="0"/>
      <w:marRight w:val="0"/>
      <w:marTop w:val="0"/>
      <w:marBottom w:val="0"/>
      <w:divBdr>
        <w:top w:val="none" w:sz="0" w:space="0" w:color="auto"/>
        <w:left w:val="none" w:sz="0" w:space="0" w:color="auto"/>
        <w:bottom w:val="none" w:sz="0" w:space="0" w:color="auto"/>
        <w:right w:val="none" w:sz="0" w:space="0" w:color="auto"/>
      </w:divBdr>
    </w:div>
    <w:div w:id="436487740">
      <w:bodyDiv w:val="1"/>
      <w:marLeft w:val="0"/>
      <w:marRight w:val="0"/>
      <w:marTop w:val="0"/>
      <w:marBottom w:val="0"/>
      <w:divBdr>
        <w:top w:val="none" w:sz="0" w:space="0" w:color="auto"/>
        <w:left w:val="none" w:sz="0" w:space="0" w:color="auto"/>
        <w:bottom w:val="none" w:sz="0" w:space="0" w:color="auto"/>
        <w:right w:val="none" w:sz="0" w:space="0" w:color="auto"/>
      </w:divBdr>
    </w:div>
    <w:div w:id="447941649">
      <w:bodyDiv w:val="1"/>
      <w:marLeft w:val="0"/>
      <w:marRight w:val="0"/>
      <w:marTop w:val="0"/>
      <w:marBottom w:val="0"/>
      <w:divBdr>
        <w:top w:val="none" w:sz="0" w:space="0" w:color="auto"/>
        <w:left w:val="none" w:sz="0" w:space="0" w:color="auto"/>
        <w:bottom w:val="none" w:sz="0" w:space="0" w:color="auto"/>
        <w:right w:val="none" w:sz="0" w:space="0" w:color="auto"/>
      </w:divBdr>
    </w:div>
    <w:div w:id="451555050">
      <w:bodyDiv w:val="1"/>
      <w:marLeft w:val="0"/>
      <w:marRight w:val="0"/>
      <w:marTop w:val="0"/>
      <w:marBottom w:val="0"/>
      <w:divBdr>
        <w:top w:val="none" w:sz="0" w:space="0" w:color="auto"/>
        <w:left w:val="none" w:sz="0" w:space="0" w:color="auto"/>
        <w:bottom w:val="none" w:sz="0" w:space="0" w:color="auto"/>
        <w:right w:val="none" w:sz="0" w:space="0" w:color="auto"/>
      </w:divBdr>
    </w:div>
    <w:div w:id="464784708">
      <w:bodyDiv w:val="1"/>
      <w:marLeft w:val="0"/>
      <w:marRight w:val="0"/>
      <w:marTop w:val="0"/>
      <w:marBottom w:val="0"/>
      <w:divBdr>
        <w:top w:val="none" w:sz="0" w:space="0" w:color="auto"/>
        <w:left w:val="none" w:sz="0" w:space="0" w:color="auto"/>
        <w:bottom w:val="none" w:sz="0" w:space="0" w:color="auto"/>
        <w:right w:val="none" w:sz="0" w:space="0" w:color="auto"/>
      </w:divBdr>
    </w:div>
    <w:div w:id="473957253">
      <w:bodyDiv w:val="1"/>
      <w:marLeft w:val="0"/>
      <w:marRight w:val="0"/>
      <w:marTop w:val="0"/>
      <w:marBottom w:val="0"/>
      <w:divBdr>
        <w:top w:val="none" w:sz="0" w:space="0" w:color="auto"/>
        <w:left w:val="none" w:sz="0" w:space="0" w:color="auto"/>
        <w:bottom w:val="none" w:sz="0" w:space="0" w:color="auto"/>
        <w:right w:val="none" w:sz="0" w:space="0" w:color="auto"/>
      </w:divBdr>
    </w:div>
    <w:div w:id="475685562">
      <w:bodyDiv w:val="1"/>
      <w:marLeft w:val="0"/>
      <w:marRight w:val="0"/>
      <w:marTop w:val="0"/>
      <w:marBottom w:val="0"/>
      <w:divBdr>
        <w:top w:val="none" w:sz="0" w:space="0" w:color="auto"/>
        <w:left w:val="none" w:sz="0" w:space="0" w:color="auto"/>
        <w:bottom w:val="none" w:sz="0" w:space="0" w:color="auto"/>
        <w:right w:val="none" w:sz="0" w:space="0" w:color="auto"/>
      </w:divBdr>
    </w:div>
    <w:div w:id="487483840">
      <w:bodyDiv w:val="1"/>
      <w:marLeft w:val="0"/>
      <w:marRight w:val="0"/>
      <w:marTop w:val="0"/>
      <w:marBottom w:val="0"/>
      <w:divBdr>
        <w:top w:val="none" w:sz="0" w:space="0" w:color="auto"/>
        <w:left w:val="none" w:sz="0" w:space="0" w:color="auto"/>
        <w:bottom w:val="none" w:sz="0" w:space="0" w:color="auto"/>
        <w:right w:val="none" w:sz="0" w:space="0" w:color="auto"/>
      </w:divBdr>
    </w:div>
    <w:div w:id="497041330">
      <w:bodyDiv w:val="1"/>
      <w:marLeft w:val="0"/>
      <w:marRight w:val="0"/>
      <w:marTop w:val="0"/>
      <w:marBottom w:val="0"/>
      <w:divBdr>
        <w:top w:val="none" w:sz="0" w:space="0" w:color="auto"/>
        <w:left w:val="none" w:sz="0" w:space="0" w:color="auto"/>
        <w:bottom w:val="none" w:sz="0" w:space="0" w:color="auto"/>
        <w:right w:val="none" w:sz="0" w:space="0" w:color="auto"/>
      </w:divBdr>
    </w:div>
    <w:div w:id="546842565">
      <w:bodyDiv w:val="1"/>
      <w:marLeft w:val="0"/>
      <w:marRight w:val="0"/>
      <w:marTop w:val="0"/>
      <w:marBottom w:val="0"/>
      <w:divBdr>
        <w:top w:val="none" w:sz="0" w:space="0" w:color="auto"/>
        <w:left w:val="none" w:sz="0" w:space="0" w:color="auto"/>
        <w:bottom w:val="none" w:sz="0" w:space="0" w:color="auto"/>
        <w:right w:val="none" w:sz="0" w:space="0" w:color="auto"/>
      </w:divBdr>
    </w:div>
    <w:div w:id="556359020">
      <w:bodyDiv w:val="1"/>
      <w:marLeft w:val="0"/>
      <w:marRight w:val="0"/>
      <w:marTop w:val="0"/>
      <w:marBottom w:val="0"/>
      <w:divBdr>
        <w:top w:val="none" w:sz="0" w:space="0" w:color="auto"/>
        <w:left w:val="none" w:sz="0" w:space="0" w:color="auto"/>
        <w:bottom w:val="none" w:sz="0" w:space="0" w:color="auto"/>
        <w:right w:val="none" w:sz="0" w:space="0" w:color="auto"/>
      </w:divBdr>
    </w:div>
    <w:div w:id="560479434">
      <w:bodyDiv w:val="1"/>
      <w:marLeft w:val="0"/>
      <w:marRight w:val="0"/>
      <w:marTop w:val="0"/>
      <w:marBottom w:val="0"/>
      <w:divBdr>
        <w:top w:val="none" w:sz="0" w:space="0" w:color="auto"/>
        <w:left w:val="none" w:sz="0" w:space="0" w:color="auto"/>
        <w:bottom w:val="none" w:sz="0" w:space="0" w:color="auto"/>
        <w:right w:val="none" w:sz="0" w:space="0" w:color="auto"/>
      </w:divBdr>
    </w:div>
    <w:div w:id="560558781">
      <w:bodyDiv w:val="1"/>
      <w:marLeft w:val="0"/>
      <w:marRight w:val="0"/>
      <w:marTop w:val="0"/>
      <w:marBottom w:val="0"/>
      <w:divBdr>
        <w:top w:val="none" w:sz="0" w:space="0" w:color="auto"/>
        <w:left w:val="none" w:sz="0" w:space="0" w:color="auto"/>
        <w:bottom w:val="none" w:sz="0" w:space="0" w:color="auto"/>
        <w:right w:val="none" w:sz="0" w:space="0" w:color="auto"/>
      </w:divBdr>
    </w:div>
    <w:div w:id="560793938">
      <w:bodyDiv w:val="1"/>
      <w:marLeft w:val="0"/>
      <w:marRight w:val="0"/>
      <w:marTop w:val="0"/>
      <w:marBottom w:val="0"/>
      <w:divBdr>
        <w:top w:val="none" w:sz="0" w:space="0" w:color="auto"/>
        <w:left w:val="none" w:sz="0" w:space="0" w:color="auto"/>
        <w:bottom w:val="none" w:sz="0" w:space="0" w:color="auto"/>
        <w:right w:val="none" w:sz="0" w:space="0" w:color="auto"/>
      </w:divBdr>
    </w:div>
    <w:div w:id="582691776">
      <w:bodyDiv w:val="1"/>
      <w:marLeft w:val="0"/>
      <w:marRight w:val="0"/>
      <w:marTop w:val="0"/>
      <w:marBottom w:val="0"/>
      <w:divBdr>
        <w:top w:val="none" w:sz="0" w:space="0" w:color="auto"/>
        <w:left w:val="none" w:sz="0" w:space="0" w:color="auto"/>
        <w:bottom w:val="none" w:sz="0" w:space="0" w:color="auto"/>
        <w:right w:val="none" w:sz="0" w:space="0" w:color="auto"/>
      </w:divBdr>
    </w:div>
    <w:div w:id="594091204">
      <w:bodyDiv w:val="1"/>
      <w:marLeft w:val="0"/>
      <w:marRight w:val="0"/>
      <w:marTop w:val="0"/>
      <w:marBottom w:val="0"/>
      <w:divBdr>
        <w:top w:val="none" w:sz="0" w:space="0" w:color="auto"/>
        <w:left w:val="none" w:sz="0" w:space="0" w:color="auto"/>
        <w:bottom w:val="none" w:sz="0" w:space="0" w:color="auto"/>
        <w:right w:val="none" w:sz="0" w:space="0" w:color="auto"/>
      </w:divBdr>
    </w:div>
    <w:div w:id="601768733">
      <w:bodyDiv w:val="1"/>
      <w:marLeft w:val="0"/>
      <w:marRight w:val="0"/>
      <w:marTop w:val="0"/>
      <w:marBottom w:val="0"/>
      <w:divBdr>
        <w:top w:val="none" w:sz="0" w:space="0" w:color="auto"/>
        <w:left w:val="none" w:sz="0" w:space="0" w:color="auto"/>
        <w:bottom w:val="none" w:sz="0" w:space="0" w:color="auto"/>
        <w:right w:val="none" w:sz="0" w:space="0" w:color="auto"/>
      </w:divBdr>
    </w:div>
    <w:div w:id="622492830">
      <w:bodyDiv w:val="1"/>
      <w:marLeft w:val="0"/>
      <w:marRight w:val="0"/>
      <w:marTop w:val="0"/>
      <w:marBottom w:val="0"/>
      <w:divBdr>
        <w:top w:val="none" w:sz="0" w:space="0" w:color="auto"/>
        <w:left w:val="none" w:sz="0" w:space="0" w:color="auto"/>
        <w:bottom w:val="none" w:sz="0" w:space="0" w:color="auto"/>
        <w:right w:val="none" w:sz="0" w:space="0" w:color="auto"/>
      </w:divBdr>
    </w:div>
    <w:div w:id="627779633">
      <w:bodyDiv w:val="1"/>
      <w:marLeft w:val="0"/>
      <w:marRight w:val="0"/>
      <w:marTop w:val="0"/>
      <w:marBottom w:val="0"/>
      <w:divBdr>
        <w:top w:val="none" w:sz="0" w:space="0" w:color="auto"/>
        <w:left w:val="none" w:sz="0" w:space="0" w:color="auto"/>
        <w:bottom w:val="none" w:sz="0" w:space="0" w:color="auto"/>
        <w:right w:val="none" w:sz="0" w:space="0" w:color="auto"/>
      </w:divBdr>
    </w:div>
    <w:div w:id="628048033">
      <w:bodyDiv w:val="1"/>
      <w:marLeft w:val="0"/>
      <w:marRight w:val="0"/>
      <w:marTop w:val="0"/>
      <w:marBottom w:val="0"/>
      <w:divBdr>
        <w:top w:val="none" w:sz="0" w:space="0" w:color="auto"/>
        <w:left w:val="none" w:sz="0" w:space="0" w:color="auto"/>
        <w:bottom w:val="none" w:sz="0" w:space="0" w:color="auto"/>
        <w:right w:val="none" w:sz="0" w:space="0" w:color="auto"/>
      </w:divBdr>
      <w:divsChild>
        <w:div w:id="1113086453">
          <w:marLeft w:val="0"/>
          <w:marRight w:val="0"/>
          <w:marTop w:val="0"/>
          <w:marBottom w:val="0"/>
          <w:divBdr>
            <w:top w:val="none" w:sz="0" w:space="0" w:color="auto"/>
            <w:left w:val="none" w:sz="0" w:space="0" w:color="auto"/>
            <w:bottom w:val="none" w:sz="0" w:space="0" w:color="auto"/>
            <w:right w:val="none" w:sz="0" w:space="0" w:color="auto"/>
          </w:divBdr>
          <w:divsChild>
            <w:div w:id="2109810796">
              <w:marLeft w:val="0"/>
              <w:marRight w:val="0"/>
              <w:marTop w:val="0"/>
              <w:marBottom w:val="0"/>
              <w:divBdr>
                <w:top w:val="none" w:sz="0" w:space="0" w:color="auto"/>
                <w:left w:val="none" w:sz="0" w:space="0" w:color="auto"/>
                <w:bottom w:val="none" w:sz="0" w:space="0" w:color="auto"/>
                <w:right w:val="none" w:sz="0" w:space="0" w:color="auto"/>
              </w:divBdr>
              <w:divsChild>
                <w:div w:id="1423721283">
                  <w:marLeft w:val="0"/>
                  <w:marRight w:val="0"/>
                  <w:marTop w:val="0"/>
                  <w:marBottom w:val="0"/>
                  <w:divBdr>
                    <w:top w:val="none" w:sz="0" w:space="0" w:color="auto"/>
                    <w:left w:val="none" w:sz="0" w:space="0" w:color="auto"/>
                    <w:bottom w:val="none" w:sz="0" w:space="0" w:color="auto"/>
                    <w:right w:val="none" w:sz="0" w:space="0" w:color="auto"/>
                  </w:divBdr>
                  <w:divsChild>
                    <w:div w:id="677734916">
                      <w:marLeft w:val="0"/>
                      <w:marRight w:val="0"/>
                      <w:marTop w:val="0"/>
                      <w:marBottom w:val="0"/>
                      <w:divBdr>
                        <w:top w:val="none" w:sz="0" w:space="0" w:color="auto"/>
                        <w:left w:val="none" w:sz="0" w:space="0" w:color="auto"/>
                        <w:bottom w:val="none" w:sz="0" w:space="0" w:color="auto"/>
                        <w:right w:val="none" w:sz="0" w:space="0" w:color="auto"/>
                      </w:divBdr>
                      <w:divsChild>
                        <w:div w:id="242645515">
                          <w:marLeft w:val="0"/>
                          <w:marRight w:val="0"/>
                          <w:marTop w:val="0"/>
                          <w:marBottom w:val="0"/>
                          <w:divBdr>
                            <w:top w:val="none" w:sz="0" w:space="0" w:color="auto"/>
                            <w:left w:val="none" w:sz="0" w:space="0" w:color="auto"/>
                            <w:bottom w:val="none" w:sz="0" w:space="0" w:color="auto"/>
                            <w:right w:val="none" w:sz="0" w:space="0" w:color="auto"/>
                          </w:divBdr>
                          <w:divsChild>
                            <w:div w:id="205877883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93771">
      <w:bodyDiv w:val="1"/>
      <w:marLeft w:val="0"/>
      <w:marRight w:val="0"/>
      <w:marTop w:val="0"/>
      <w:marBottom w:val="0"/>
      <w:divBdr>
        <w:top w:val="none" w:sz="0" w:space="0" w:color="auto"/>
        <w:left w:val="none" w:sz="0" w:space="0" w:color="auto"/>
        <w:bottom w:val="none" w:sz="0" w:space="0" w:color="auto"/>
        <w:right w:val="none" w:sz="0" w:space="0" w:color="auto"/>
      </w:divBdr>
    </w:div>
    <w:div w:id="649673894">
      <w:bodyDiv w:val="1"/>
      <w:marLeft w:val="0"/>
      <w:marRight w:val="0"/>
      <w:marTop w:val="0"/>
      <w:marBottom w:val="0"/>
      <w:divBdr>
        <w:top w:val="none" w:sz="0" w:space="0" w:color="auto"/>
        <w:left w:val="none" w:sz="0" w:space="0" w:color="auto"/>
        <w:bottom w:val="none" w:sz="0" w:space="0" w:color="auto"/>
        <w:right w:val="none" w:sz="0" w:space="0" w:color="auto"/>
      </w:divBdr>
    </w:div>
    <w:div w:id="661470612">
      <w:bodyDiv w:val="1"/>
      <w:marLeft w:val="0"/>
      <w:marRight w:val="0"/>
      <w:marTop w:val="0"/>
      <w:marBottom w:val="0"/>
      <w:divBdr>
        <w:top w:val="none" w:sz="0" w:space="0" w:color="auto"/>
        <w:left w:val="none" w:sz="0" w:space="0" w:color="auto"/>
        <w:bottom w:val="none" w:sz="0" w:space="0" w:color="auto"/>
        <w:right w:val="none" w:sz="0" w:space="0" w:color="auto"/>
      </w:divBdr>
    </w:div>
    <w:div w:id="688678468">
      <w:bodyDiv w:val="1"/>
      <w:marLeft w:val="0"/>
      <w:marRight w:val="0"/>
      <w:marTop w:val="0"/>
      <w:marBottom w:val="0"/>
      <w:divBdr>
        <w:top w:val="none" w:sz="0" w:space="0" w:color="auto"/>
        <w:left w:val="none" w:sz="0" w:space="0" w:color="auto"/>
        <w:bottom w:val="none" w:sz="0" w:space="0" w:color="auto"/>
        <w:right w:val="none" w:sz="0" w:space="0" w:color="auto"/>
      </w:divBdr>
    </w:div>
    <w:div w:id="715853406">
      <w:bodyDiv w:val="1"/>
      <w:marLeft w:val="0"/>
      <w:marRight w:val="0"/>
      <w:marTop w:val="0"/>
      <w:marBottom w:val="0"/>
      <w:divBdr>
        <w:top w:val="none" w:sz="0" w:space="0" w:color="auto"/>
        <w:left w:val="none" w:sz="0" w:space="0" w:color="auto"/>
        <w:bottom w:val="none" w:sz="0" w:space="0" w:color="auto"/>
        <w:right w:val="none" w:sz="0" w:space="0" w:color="auto"/>
      </w:divBdr>
    </w:div>
    <w:div w:id="740714999">
      <w:bodyDiv w:val="1"/>
      <w:marLeft w:val="0"/>
      <w:marRight w:val="0"/>
      <w:marTop w:val="0"/>
      <w:marBottom w:val="0"/>
      <w:divBdr>
        <w:top w:val="none" w:sz="0" w:space="0" w:color="auto"/>
        <w:left w:val="none" w:sz="0" w:space="0" w:color="auto"/>
        <w:bottom w:val="none" w:sz="0" w:space="0" w:color="auto"/>
        <w:right w:val="none" w:sz="0" w:space="0" w:color="auto"/>
      </w:divBdr>
    </w:div>
    <w:div w:id="740835157">
      <w:bodyDiv w:val="1"/>
      <w:marLeft w:val="0"/>
      <w:marRight w:val="0"/>
      <w:marTop w:val="0"/>
      <w:marBottom w:val="0"/>
      <w:divBdr>
        <w:top w:val="none" w:sz="0" w:space="0" w:color="auto"/>
        <w:left w:val="none" w:sz="0" w:space="0" w:color="auto"/>
        <w:bottom w:val="none" w:sz="0" w:space="0" w:color="auto"/>
        <w:right w:val="none" w:sz="0" w:space="0" w:color="auto"/>
      </w:divBdr>
    </w:div>
    <w:div w:id="742916600">
      <w:bodyDiv w:val="1"/>
      <w:marLeft w:val="0"/>
      <w:marRight w:val="0"/>
      <w:marTop w:val="0"/>
      <w:marBottom w:val="0"/>
      <w:divBdr>
        <w:top w:val="none" w:sz="0" w:space="0" w:color="auto"/>
        <w:left w:val="none" w:sz="0" w:space="0" w:color="auto"/>
        <w:bottom w:val="none" w:sz="0" w:space="0" w:color="auto"/>
        <w:right w:val="none" w:sz="0" w:space="0" w:color="auto"/>
      </w:divBdr>
    </w:div>
    <w:div w:id="756756308">
      <w:bodyDiv w:val="1"/>
      <w:marLeft w:val="0"/>
      <w:marRight w:val="0"/>
      <w:marTop w:val="0"/>
      <w:marBottom w:val="0"/>
      <w:divBdr>
        <w:top w:val="none" w:sz="0" w:space="0" w:color="auto"/>
        <w:left w:val="none" w:sz="0" w:space="0" w:color="auto"/>
        <w:bottom w:val="none" w:sz="0" w:space="0" w:color="auto"/>
        <w:right w:val="none" w:sz="0" w:space="0" w:color="auto"/>
      </w:divBdr>
    </w:div>
    <w:div w:id="762847838">
      <w:bodyDiv w:val="1"/>
      <w:marLeft w:val="0"/>
      <w:marRight w:val="0"/>
      <w:marTop w:val="0"/>
      <w:marBottom w:val="0"/>
      <w:divBdr>
        <w:top w:val="none" w:sz="0" w:space="0" w:color="auto"/>
        <w:left w:val="none" w:sz="0" w:space="0" w:color="auto"/>
        <w:bottom w:val="none" w:sz="0" w:space="0" w:color="auto"/>
        <w:right w:val="none" w:sz="0" w:space="0" w:color="auto"/>
      </w:divBdr>
    </w:div>
    <w:div w:id="765349618">
      <w:bodyDiv w:val="1"/>
      <w:marLeft w:val="0"/>
      <w:marRight w:val="0"/>
      <w:marTop w:val="0"/>
      <w:marBottom w:val="0"/>
      <w:divBdr>
        <w:top w:val="none" w:sz="0" w:space="0" w:color="auto"/>
        <w:left w:val="none" w:sz="0" w:space="0" w:color="auto"/>
        <w:bottom w:val="none" w:sz="0" w:space="0" w:color="auto"/>
        <w:right w:val="none" w:sz="0" w:space="0" w:color="auto"/>
      </w:divBdr>
    </w:div>
    <w:div w:id="766116839">
      <w:bodyDiv w:val="1"/>
      <w:marLeft w:val="0"/>
      <w:marRight w:val="0"/>
      <w:marTop w:val="0"/>
      <w:marBottom w:val="0"/>
      <w:divBdr>
        <w:top w:val="none" w:sz="0" w:space="0" w:color="auto"/>
        <w:left w:val="none" w:sz="0" w:space="0" w:color="auto"/>
        <w:bottom w:val="none" w:sz="0" w:space="0" w:color="auto"/>
        <w:right w:val="none" w:sz="0" w:space="0" w:color="auto"/>
      </w:divBdr>
    </w:div>
    <w:div w:id="795874229">
      <w:bodyDiv w:val="1"/>
      <w:marLeft w:val="0"/>
      <w:marRight w:val="0"/>
      <w:marTop w:val="0"/>
      <w:marBottom w:val="0"/>
      <w:divBdr>
        <w:top w:val="none" w:sz="0" w:space="0" w:color="auto"/>
        <w:left w:val="none" w:sz="0" w:space="0" w:color="auto"/>
        <w:bottom w:val="none" w:sz="0" w:space="0" w:color="auto"/>
        <w:right w:val="none" w:sz="0" w:space="0" w:color="auto"/>
      </w:divBdr>
    </w:div>
    <w:div w:id="827482874">
      <w:bodyDiv w:val="1"/>
      <w:marLeft w:val="0"/>
      <w:marRight w:val="0"/>
      <w:marTop w:val="0"/>
      <w:marBottom w:val="0"/>
      <w:divBdr>
        <w:top w:val="none" w:sz="0" w:space="0" w:color="auto"/>
        <w:left w:val="none" w:sz="0" w:space="0" w:color="auto"/>
        <w:bottom w:val="none" w:sz="0" w:space="0" w:color="auto"/>
        <w:right w:val="none" w:sz="0" w:space="0" w:color="auto"/>
      </w:divBdr>
    </w:div>
    <w:div w:id="853616426">
      <w:bodyDiv w:val="1"/>
      <w:marLeft w:val="0"/>
      <w:marRight w:val="0"/>
      <w:marTop w:val="0"/>
      <w:marBottom w:val="0"/>
      <w:divBdr>
        <w:top w:val="none" w:sz="0" w:space="0" w:color="auto"/>
        <w:left w:val="none" w:sz="0" w:space="0" w:color="auto"/>
        <w:bottom w:val="none" w:sz="0" w:space="0" w:color="auto"/>
        <w:right w:val="none" w:sz="0" w:space="0" w:color="auto"/>
      </w:divBdr>
    </w:div>
    <w:div w:id="869417929">
      <w:bodyDiv w:val="1"/>
      <w:marLeft w:val="0"/>
      <w:marRight w:val="0"/>
      <w:marTop w:val="0"/>
      <w:marBottom w:val="0"/>
      <w:divBdr>
        <w:top w:val="none" w:sz="0" w:space="0" w:color="auto"/>
        <w:left w:val="none" w:sz="0" w:space="0" w:color="auto"/>
        <w:bottom w:val="none" w:sz="0" w:space="0" w:color="auto"/>
        <w:right w:val="none" w:sz="0" w:space="0" w:color="auto"/>
      </w:divBdr>
    </w:div>
    <w:div w:id="889460019">
      <w:bodyDiv w:val="1"/>
      <w:marLeft w:val="0"/>
      <w:marRight w:val="0"/>
      <w:marTop w:val="0"/>
      <w:marBottom w:val="0"/>
      <w:divBdr>
        <w:top w:val="none" w:sz="0" w:space="0" w:color="auto"/>
        <w:left w:val="none" w:sz="0" w:space="0" w:color="auto"/>
        <w:bottom w:val="none" w:sz="0" w:space="0" w:color="auto"/>
        <w:right w:val="none" w:sz="0" w:space="0" w:color="auto"/>
      </w:divBdr>
    </w:div>
    <w:div w:id="896626176">
      <w:bodyDiv w:val="1"/>
      <w:marLeft w:val="0"/>
      <w:marRight w:val="0"/>
      <w:marTop w:val="0"/>
      <w:marBottom w:val="0"/>
      <w:divBdr>
        <w:top w:val="none" w:sz="0" w:space="0" w:color="auto"/>
        <w:left w:val="none" w:sz="0" w:space="0" w:color="auto"/>
        <w:bottom w:val="none" w:sz="0" w:space="0" w:color="auto"/>
        <w:right w:val="none" w:sz="0" w:space="0" w:color="auto"/>
      </w:divBdr>
    </w:div>
    <w:div w:id="903761228">
      <w:bodyDiv w:val="1"/>
      <w:marLeft w:val="0"/>
      <w:marRight w:val="0"/>
      <w:marTop w:val="0"/>
      <w:marBottom w:val="0"/>
      <w:divBdr>
        <w:top w:val="none" w:sz="0" w:space="0" w:color="auto"/>
        <w:left w:val="none" w:sz="0" w:space="0" w:color="auto"/>
        <w:bottom w:val="none" w:sz="0" w:space="0" w:color="auto"/>
        <w:right w:val="none" w:sz="0" w:space="0" w:color="auto"/>
      </w:divBdr>
    </w:div>
    <w:div w:id="920067124">
      <w:bodyDiv w:val="1"/>
      <w:marLeft w:val="0"/>
      <w:marRight w:val="0"/>
      <w:marTop w:val="0"/>
      <w:marBottom w:val="0"/>
      <w:divBdr>
        <w:top w:val="none" w:sz="0" w:space="0" w:color="auto"/>
        <w:left w:val="none" w:sz="0" w:space="0" w:color="auto"/>
        <w:bottom w:val="none" w:sz="0" w:space="0" w:color="auto"/>
        <w:right w:val="none" w:sz="0" w:space="0" w:color="auto"/>
      </w:divBdr>
    </w:div>
    <w:div w:id="934092857">
      <w:bodyDiv w:val="1"/>
      <w:marLeft w:val="0"/>
      <w:marRight w:val="0"/>
      <w:marTop w:val="0"/>
      <w:marBottom w:val="0"/>
      <w:divBdr>
        <w:top w:val="none" w:sz="0" w:space="0" w:color="auto"/>
        <w:left w:val="none" w:sz="0" w:space="0" w:color="auto"/>
        <w:bottom w:val="none" w:sz="0" w:space="0" w:color="auto"/>
        <w:right w:val="none" w:sz="0" w:space="0" w:color="auto"/>
      </w:divBdr>
    </w:div>
    <w:div w:id="939993647">
      <w:bodyDiv w:val="1"/>
      <w:marLeft w:val="0"/>
      <w:marRight w:val="0"/>
      <w:marTop w:val="0"/>
      <w:marBottom w:val="0"/>
      <w:divBdr>
        <w:top w:val="none" w:sz="0" w:space="0" w:color="auto"/>
        <w:left w:val="none" w:sz="0" w:space="0" w:color="auto"/>
        <w:bottom w:val="none" w:sz="0" w:space="0" w:color="auto"/>
        <w:right w:val="none" w:sz="0" w:space="0" w:color="auto"/>
      </w:divBdr>
      <w:divsChild>
        <w:div w:id="305429728">
          <w:marLeft w:val="0"/>
          <w:marRight w:val="0"/>
          <w:marTop w:val="0"/>
          <w:marBottom w:val="0"/>
          <w:divBdr>
            <w:top w:val="none" w:sz="0" w:space="0" w:color="auto"/>
            <w:left w:val="none" w:sz="0" w:space="0" w:color="auto"/>
            <w:bottom w:val="none" w:sz="0" w:space="0" w:color="auto"/>
            <w:right w:val="none" w:sz="0" w:space="0" w:color="auto"/>
          </w:divBdr>
          <w:divsChild>
            <w:div w:id="9146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3401">
      <w:bodyDiv w:val="1"/>
      <w:marLeft w:val="0"/>
      <w:marRight w:val="0"/>
      <w:marTop w:val="0"/>
      <w:marBottom w:val="0"/>
      <w:divBdr>
        <w:top w:val="none" w:sz="0" w:space="0" w:color="auto"/>
        <w:left w:val="none" w:sz="0" w:space="0" w:color="auto"/>
        <w:bottom w:val="none" w:sz="0" w:space="0" w:color="auto"/>
        <w:right w:val="none" w:sz="0" w:space="0" w:color="auto"/>
      </w:divBdr>
    </w:div>
    <w:div w:id="997273863">
      <w:bodyDiv w:val="1"/>
      <w:marLeft w:val="0"/>
      <w:marRight w:val="0"/>
      <w:marTop w:val="0"/>
      <w:marBottom w:val="0"/>
      <w:divBdr>
        <w:top w:val="none" w:sz="0" w:space="0" w:color="auto"/>
        <w:left w:val="none" w:sz="0" w:space="0" w:color="auto"/>
        <w:bottom w:val="none" w:sz="0" w:space="0" w:color="auto"/>
        <w:right w:val="none" w:sz="0" w:space="0" w:color="auto"/>
      </w:divBdr>
    </w:div>
    <w:div w:id="1015960249">
      <w:bodyDiv w:val="1"/>
      <w:marLeft w:val="0"/>
      <w:marRight w:val="0"/>
      <w:marTop w:val="0"/>
      <w:marBottom w:val="0"/>
      <w:divBdr>
        <w:top w:val="none" w:sz="0" w:space="0" w:color="auto"/>
        <w:left w:val="none" w:sz="0" w:space="0" w:color="auto"/>
        <w:bottom w:val="none" w:sz="0" w:space="0" w:color="auto"/>
        <w:right w:val="none" w:sz="0" w:space="0" w:color="auto"/>
      </w:divBdr>
    </w:div>
    <w:div w:id="1023478921">
      <w:bodyDiv w:val="1"/>
      <w:marLeft w:val="0"/>
      <w:marRight w:val="0"/>
      <w:marTop w:val="0"/>
      <w:marBottom w:val="0"/>
      <w:divBdr>
        <w:top w:val="none" w:sz="0" w:space="0" w:color="auto"/>
        <w:left w:val="none" w:sz="0" w:space="0" w:color="auto"/>
        <w:bottom w:val="none" w:sz="0" w:space="0" w:color="auto"/>
        <w:right w:val="none" w:sz="0" w:space="0" w:color="auto"/>
      </w:divBdr>
      <w:divsChild>
        <w:div w:id="33435177">
          <w:marLeft w:val="274"/>
          <w:marRight w:val="0"/>
          <w:marTop w:val="0"/>
          <w:marBottom w:val="0"/>
          <w:divBdr>
            <w:top w:val="none" w:sz="0" w:space="0" w:color="auto"/>
            <w:left w:val="none" w:sz="0" w:space="0" w:color="auto"/>
            <w:bottom w:val="none" w:sz="0" w:space="0" w:color="auto"/>
            <w:right w:val="none" w:sz="0" w:space="0" w:color="auto"/>
          </w:divBdr>
        </w:div>
        <w:div w:id="451943952">
          <w:marLeft w:val="274"/>
          <w:marRight w:val="0"/>
          <w:marTop w:val="0"/>
          <w:marBottom w:val="0"/>
          <w:divBdr>
            <w:top w:val="none" w:sz="0" w:space="0" w:color="auto"/>
            <w:left w:val="none" w:sz="0" w:space="0" w:color="auto"/>
            <w:bottom w:val="none" w:sz="0" w:space="0" w:color="auto"/>
            <w:right w:val="none" w:sz="0" w:space="0" w:color="auto"/>
          </w:divBdr>
        </w:div>
        <w:div w:id="554047671">
          <w:marLeft w:val="547"/>
          <w:marRight w:val="0"/>
          <w:marTop w:val="0"/>
          <w:marBottom w:val="0"/>
          <w:divBdr>
            <w:top w:val="none" w:sz="0" w:space="0" w:color="auto"/>
            <w:left w:val="none" w:sz="0" w:space="0" w:color="auto"/>
            <w:bottom w:val="none" w:sz="0" w:space="0" w:color="auto"/>
            <w:right w:val="none" w:sz="0" w:space="0" w:color="auto"/>
          </w:divBdr>
        </w:div>
        <w:div w:id="1074473500">
          <w:marLeft w:val="547"/>
          <w:marRight w:val="0"/>
          <w:marTop w:val="0"/>
          <w:marBottom w:val="0"/>
          <w:divBdr>
            <w:top w:val="none" w:sz="0" w:space="0" w:color="auto"/>
            <w:left w:val="none" w:sz="0" w:space="0" w:color="auto"/>
            <w:bottom w:val="none" w:sz="0" w:space="0" w:color="auto"/>
            <w:right w:val="none" w:sz="0" w:space="0" w:color="auto"/>
          </w:divBdr>
        </w:div>
        <w:div w:id="1448895069">
          <w:marLeft w:val="274"/>
          <w:marRight w:val="0"/>
          <w:marTop w:val="0"/>
          <w:marBottom w:val="0"/>
          <w:divBdr>
            <w:top w:val="none" w:sz="0" w:space="0" w:color="auto"/>
            <w:left w:val="none" w:sz="0" w:space="0" w:color="auto"/>
            <w:bottom w:val="none" w:sz="0" w:space="0" w:color="auto"/>
            <w:right w:val="none" w:sz="0" w:space="0" w:color="auto"/>
          </w:divBdr>
        </w:div>
        <w:div w:id="1701199841">
          <w:marLeft w:val="547"/>
          <w:marRight w:val="0"/>
          <w:marTop w:val="0"/>
          <w:marBottom w:val="0"/>
          <w:divBdr>
            <w:top w:val="none" w:sz="0" w:space="0" w:color="auto"/>
            <w:left w:val="none" w:sz="0" w:space="0" w:color="auto"/>
            <w:bottom w:val="none" w:sz="0" w:space="0" w:color="auto"/>
            <w:right w:val="none" w:sz="0" w:space="0" w:color="auto"/>
          </w:divBdr>
        </w:div>
        <w:div w:id="1769307318">
          <w:marLeft w:val="274"/>
          <w:marRight w:val="0"/>
          <w:marTop w:val="0"/>
          <w:marBottom w:val="0"/>
          <w:divBdr>
            <w:top w:val="none" w:sz="0" w:space="0" w:color="auto"/>
            <w:left w:val="none" w:sz="0" w:space="0" w:color="auto"/>
            <w:bottom w:val="none" w:sz="0" w:space="0" w:color="auto"/>
            <w:right w:val="none" w:sz="0" w:space="0" w:color="auto"/>
          </w:divBdr>
        </w:div>
        <w:div w:id="1809281646">
          <w:marLeft w:val="547"/>
          <w:marRight w:val="0"/>
          <w:marTop w:val="0"/>
          <w:marBottom w:val="0"/>
          <w:divBdr>
            <w:top w:val="none" w:sz="0" w:space="0" w:color="auto"/>
            <w:left w:val="none" w:sz="0" w:space="0" w:color="auto"/>
            <w:bottom w:val="none" w:sz="0" w:space="0" w:color="auto"/>
            <w:right w:val="none" w:sz="0" w:space="0" w:color="auto"/>
          </w:divBdr>
        </w:div>
      </w:divsChild>
    </w:div>
    <w:div w:id="1043361309">
      <w:bodyDiv w:val="1"/>
      <w:marLeft w:val="0"/>
      <w:marRight w:val="0"/>
      <w:marTop w:val="0"/>
      <w:marBottom w:val="0"/>
      <w:divBdr>
        <w:top w:val="none" w:sz="0" w:space="0" w:color="auto"/>
        <w:left w:val="none" w:sz="0" w:space="0" w:color="auto"/>
        <w:bottom w:val="none" w:sz="0" w:space="0" w:color="auto"/>
        <w:right w:val="none" w:sz="0" w:space="0" w:color="auto"/>
      </w:divBdr>
    </w:div>
    <w:div w:id="1047952597">
      <w:bodyDiv w:val="1"/>
      <w:marLeft w:val="0"/>
      <w:marRight w:val="0"/>
      <w:marTop w:val="0"/>
      <w:marBottom w:val="0"/>
      <w:divBdr>
        <w:top w:val="none" w:sz="0" w:space="0" w:color="auto"/>
        <w:left w:val="none" w:sz="0" w:space="0" w:color="auto"/>
        <w:bottom w:val="none" w:sz="0" w:space="0" w:color="auto"/>
        <w:right w:val="none" w:sz="0" w:space="0" w:color="auto"/>
      </w:divBdr>
    </w:div>
    <w:div w:id="1054965209">
      <w:bodyDiv w:val="1"/>
      <w:marLeft w:val="0"/>
      <w:marRight w:val="0"/>
      <w:marTop w:val="0"/>
      <w:marBottom w:val="0"/>
      <w:divBdr>
        <w:top w:val="none" w:sz="0" w:space="0" w:color="auto"/>
        <w:left w:val="none" w:sz="0" w:space="0" w:color="auto"/>
        <w:bottom w:val="none" w:sz="0" w:space="0" w:color="auto"/>
        <w:right w:val="none" w:sz="0" w:space="0" w:color="auto"/>
      </w:divBdr>
    </w:div>
    <w:div w:id="1072695625">
      <w:bodyDiv w:val="1"/>
      <w:marLeft w:val="0"/>
      <w:marRight w:val="0"/>
      <w:marTop w:val="0"/>
      <w:marBottom w:val="0"/>
      <w:divBdr>
        <w:top w:val="none" w:sz="0" w:space="0" w:color="auto"/>
        <w:left w:val="none" w:sz="0" w:space="0" w:color="auto"/>
        <w:bottom w:val="none" w:sz="0" w:space="0" w:color="auto"/>
        <w:right w:val="none" w:sz="0" w:space="0" w:color="auto"/>
      </w:divBdr>
    </w:div>
    <w:div w:id="1088036236">
      <w:bodyDiv w:val="1"/>
      <w:marLeft w:val="0"/>
      <w:marRight w:val="0"/>
      <w:marTop w:val="0"/>
      <w:marBottom w:val="0"/>
      <w:divBdr>
        <w:top w:val="none" w:sz="0" w:space="0" w:color="auto"/>
        <w:left w:val="none" w:sz="0" w:space="0" w:color="auto"/>
        <w:bottom w:val="none" w:sz="0" w:space="0" w:color="auto"/>
        <w:right w:val="none" w:sz="0" w:space="0" w:color="auto"/>
      </w:divBdr>
    </w:div>
    <w:div w:id="1088118298">
      <w:bodyDiv w:val="1"/>
      <w:marLeft w:val="0"/>
      <w:marRight w:val="0"/>
      <w:marTop w:val="0"/>
      <w:marBottom w:val="0"/>
      <w:divBdr>
        <w:top w:val="none" w:sz="0" w:space="0" w:color="auto"/>
        <w:left w:val="none" w:sz="0" w:space="0" w:color="auto"/>
        <w:bottom w:val="none" w:sz="0" w:space="0" w:color="auto"/>
        <w:right w:val="none" w:sz="0" w:space="0" w:color="auto"/>
      </w:divBdr>
    </w:div>
    <w:div w:id="1107653710">
      <w:bodyDiv w:val="1"/>
      <w:marLeft w:val="0"/>
      <w:marRight w:val="0"/>
      <w:marTop w:val="0"/>
      <w:marBottom w:val="0"/>
      <w:divBdr>
        <w:top w:val="none" w:sz="0" w:space="0" w:color="auto"/>
        <w:left w:val="none" w:sz="0" w:space="0" w:color="auto"/>
        <w:bottom w:val="none" w:sz="0" w:space="0" w:color="auto"/>
        <w:right w:val="none" w:sz="0" w:space="0" w:color="auto"/>
      </w:divBdr>
    </w:div>
    <w:div w:id="1113548416">
      <w:bodyDiv w:val="1"/>
      <w:marLeft w:val="0"/>
      <w:marRight w:val="0"/>
      <w:marTop w:val="0"/>
      <w:marBottom w:val="0"/>
      <w:divBdr>
        <w:top w:val="none" w:sz="0" w:space="0" w:color="auto"/>
        <w:left w:val="none" w:sz="0" w:space="0" w:color="auto"/>
        <w:bottom w:val="none" w:sz="0" w:space="0" w:color="auto"/>
        <w:right w:val="none" w:sz="0" w:space="0" w:color="auto"/>
      </w:divBdr>
    </w:div>
    <w:div w:id="1113742327">
      <w:bodyDiv w:val="1"/>
      <w:marLeft w:val="0"/>
      <w:marRight w:val="0"/>
      <w:marTop w:val="0"/>
      <w:marBottom w:val="0"/>
      <w:divBdr>
        <w:top w:val="none" w:sz="0" w:space="0" w:color="auto"/>
        <w:left w:val="none" w:sz="0" w:space="0" w:color="auto"/>
        <w:bottom w:val="none" w:sz="0" w:space="0" w:color="auto"/>
        <w:right w:val="none" w:sz="0" w:space="0" w:color="auto"/>
      </w:divBdr>
    </w:div>
    <w:div w:id="1131903491">
      <w:bodyDiv w:val="1"/>
      <w:marLeft w:val="0"/>
      <w:marRight w:val="0"/>
      <w:marTop w:val="0"/>
      <w:marBottom w:val="0"/>
      <w:divBdr>
        <w:top w:val="none" w:sz="0" w:space="0" w:color="auto"/>
        <w:left w:val="none" w:sz="0" w:space="0" w:color="auto"/>
        <w:bottom w:val="none" w:sz="0" w:space="0" w:color="auto"/>
        <w:right w:val="none" w:sz="0" w:space="0" w:color="auto"/>
      </w:divBdr>
    </w:div>
    <w:div w:id="1146900774">
      <w:bodyDiv w:val="1"/>
      <w:marLeft w:val="0"/>
      <w:marRight w:val="0"/>
      <w:marTop w:val="0"/>
      <w:marBottom w:val="0"/>
      <w:divBdr>
        <w:top w:val="none" w:sz="0" w:space="0" w:color="auto"/>
        <w:left w:val="none" w:sz="0" w:space="0" w:color="auto"/>
        <w:bottom w:val="none" w:sz="0" w:space="0" w:color="auto"/>
        <w:right w:val="none" w:sz="0" w:space="0" w:color="auto"/>
      </w:divBdr>
    </w:div>
    <w:div w:id="1155144800">
      <w:bodyDiv w:val="1"/>
      <w:marLeft w:val="0"/>
      <w:marRight w:val="0"/>
      <w:marTop w:val="0"/>
      <w:marBottom w:val="0"/>
      <w:divBdr>
        <w:top w:val="none" w:sz="0" w:space="0" w:color="auto"/>
        <w:left w:val="none" w:sz="0" w:space="0" w:color="auto"/>
        <w:bottom w:val="none" w:sz="0" w:space="0" w:color="auto"/>
        <w:right w:val="none" w:sz="0" w:space="0" w:color="auto"/>
      </w:divBdr>
    </w:div>
    <w:div w:id="1160661902">
      <w:bodyDiv w:val="1"/>
      <w:marLeft w:val="0"/>
      <w:marRight w:val="0"/>
      <w:marTop w:val="0"/>
      <w:marBottom w:val="0"/>
      <w:divBdr>
        <w:top w:val="none" w:sz="0" w:space="0" w:color="auto"/>
        <w:left w:val="none" w:sz="0" w:space="0" w:color="auto"/>
        <w:bottom w:val="none" w:sz="0" w:space="0" w:color="auto"/>
        <w:right w:val="none" w:sz="0" w:space="0" w:color="auto"/>
      </w:divBdr>
    </w:div>
    <w:div w:id="1186669922">
      <w:bodyDiv w:val="1"/>
      <w:marLeft w:val="0"/>
      <w:marRight w:val="0"/>
      <w:marTop w:val="0"/>
      <w:marBottom w:val="0"/>
      <w:divBdr>
        <w:top w:val="none" w:sz="0" w:space="0" w:color="auto"/>
        <w:left w:val="none" w:sz="0" w:space="0" w:color="auto"/>
        <w:bottom w:val="none" w:sz="0" w:space="0" w:color="auto"/>
        <w:right w:val="none" w:sz="0" w:space="0" w:color="auto"/>
      </w:divBdr>
    </w:div>
    <w:div w:id="1187601242">
      <w:bodyDiv w:val="1"/>
      <w:marLeft w:val="0"/>
      <w:marRight w:val="0"/>
      <w:marTop w:val="0"/>
      <w:marBottom w:val="0"/>
      <w:divBdr>
        <w:top w:val="none" w:sz="0" w:space="0" w:color="auto"/>
        <w:left w:val="none" w:sz="0" w:space="0" w:color="auto"/>
        <w:bottom w:val="none" w:sz="0" w:space="0" w:color="auto"/>
        <w:right w:val="none" w:sz="0" w:space="0" w:color="auto"/>
      </w:divBdr>
    </w:div>
    <w:div w:id="1188327299">
      <w:bodyDiv w:val="1"/>
      <w:marLeft w:val="0"/>
      <w:marRight w:val="0"/>
      <w:marTop w:val="0"/>
      <w:marBottom w:val="0"/>
      <w:divBdr>
        <w:top w:val="none" w:sz="0" w:space="0" w:color="auto"/>
        <w:left w:val="none" w:sz="0" w:space="0" w:color="auto"/>
        <w:bottom w:val="none" w:sz="0" w:space="0" w:color="auto"/>
        <w:right w:val="none" w:sz="0" w:space="0" w:color="auto"/>
      </w:divBdr>
    </w:div>
    <w:div w:id="1195390052">
      <w:bodyDiv w:val="1"/>
      <w:marLeft w:val="0"/>
      <w:marRight w:val="0"/>
      <w:marTop w:val="0"/>
      <w:marBottom w:val="0"/>
      <w:divBdr>
        <w:top w:val="none" w:sz="0" w:space="0" w:color="auto"/>
        <w:left w:val="none" w:sz="0" w:space="0" w:color="auto"/>
        <w:bottom w:val="none" w:sz="0" w:space="0" w:color="auto"/>
        <w:right w:val="none" w:sz="0" w:space="0" w:color="auto"/>
      </w:divBdr>
    </w:div>
    <w:div w:id="1198932649">
      <w:bodyDiv w:val="1"/>
      <w:marLeft w:val="0"/>
      <w:marRight w:val="0"/>
      <w:marTop w:val="0"/>
      <w:marBottom w:val="0"/>
      <w:divBdr>
        <w:top w:val="none" w:sz="0" w:space="0" w:color="auto"/>
        <w:left w:val="none" w:sz="0" w:space="0" w:color="auto"/>
        <w:bottom w:val="none" w:sz="0" w:space="0" w:color="auto"/>
        <w:right w:val="none" w:sz="0" w:space="0" w:color="auto"/>
      </w:divBdr>
    </w:div>
    <w:div w:id="1221674596">
      <w:bodyDiv w:val="1"/>
      <w:marLeft w:val="0"/>
      <w:marRight w:val="0"/>
      <w:marTop w:val="0"/>
      <w:marBottom w:val="0"/>
      <w:divBdr>
        <w:top w:val="none" w:sz="0" w:space="0" w:color="auto"/>
        <w:left w:val="none" w:sz="0" w:space="0" w:color="auto"/>
        <w:bottom w:val="none" w:sz="0" w:space="0" w:color="auto"/>
        <w:right w:val="none" w:sz="0" w:space="0" w:color="auto"/>
      </w:divBdr>
    </w:div>
    <w:div w:id="1244294851">
      <w:bodyDiv w:val="1"/>
      <w:marLeft w:val="0"/>
      <w:marRight w:val="0"/>
      <w:marTop w:val="0"/>
      <w:marBottom w:val="0"/>
      <w:divBdr>
        <w:top w:val="none" w:sz="0" w:space="0" w:color="auto"/>
        <w:left w:val="none" w:sz="0" w:space="0" w:color="auto"/>
        <w:bottom w:val="none" w:sz="0" w:space="0" w:color="auto"/>
        <w:right w:val="none" w:sz="0" w:space="0" w:color="auto"/>
      </w:divBdr>
    </w:div>
    <w:div w:id="1247500804">
      <w:bodyDiv w:val="1"/>
      <w:marLeft w:val="0"/>
      <w:marRight w:val="0"/>
      <w:marTop w:val="0"/>
      <w:marBottom w:val="0"/>
      <w:divBdr>
        <w:top w:val="none" w:sz="0" w:space="0" w:color="auto"/>
        <w:left w:val="none" w:sz="0" w:space="0" w:color="auto"/>
        <w:bottom w:val="none" w:sz="0" w:space="0" w:color="auto"/>
        <w:right w:val="none" w:sz="0" w:space="0" w:color="auto"/>
      </w:divBdr>
    </w:div>
    <w:div w:id="1285117901">
      <w:bodyDiv w:val="1"/>
      <w:marLeft w:val="0"/>
      <w:marRight w:val="0"/>
      <w:marTop w:val="0"/>
      <w:marBottom w:val="0"/>
      <w:divBdr>
        <w:top w:val="none" w:sz="0" w:space="0" w:color="auto"/>
        <w:left w:val="none" w:sz="0" w:space="0" w:color="auto"/>
        <w:bottom w:val="none" w:sz="0" w:space="0" w:color="auto"/>
        <w:right w:val="none" w:sz="0" w:space="0" w:color="auto"/>
      </w:divBdr>
    </w:div>
    <w:div w:id="1297249801">
      <w:bodyDiv w:val="1"/>
      <w:marLeft w:val="0"/>
      <w:marRight w:val="0"/>
      <w:marTop w:val="0"/>
      <w:marBottom w:val="0"/>
      <w:divBdr>
        <w:top w:val="none" w:sz="0" w:space="0" w:color="auto"/>
        <w:left w:val="none" w:sz="0" w:space="0" w:color="auto"/>
        <w:bottom w:val="none" w:sz="0" w:space="0" w:color="auto"/>
        <w:right w:val="none" w:sz="0" w:space="0" w:color="auto"/>
      </w:divBdr>
    </w:div>
    <w:div w:id="1298801362">
      <w:bodyDiv w:val="1"/>
      <w:marLeft w:val="0"/>
      <w:marRight w:val="0"/>
      <w:marTop w:val="0"/>
      <w:marBottom w:val="0"/>
      <w:divBdr>
        <w:top w:val="none" w:sz="0" w:space="0" w:color="auto"/>
        <w:left w:val="none" w:sz="0" w:space="0" w:color="auto"/>
        <w:bottom w:val="none" w:sz="0" w:space="0" w:color="auto"/>
        <w:right w:val="none" w:sz="0" w:space="0" w:color="auto"/>
      </w:divBdr>
    </w:div>
    <w:div w:id="1298804658">
      <w:bodyDiv w:val="1"/>
      <w:marLeft w:val="0"/>
      <w:marRight w:val="0"/>
      <w:marTop w:val="0"/>
      <w:marBottom w:val="0"/>
      <w:divBdr>
        <w:top w:val="none" w:sz="0" w:space="0" w:color="auto"/>
        <w:left w:val="none" w:sz="0" w:space="0" w:color="auto"/>
        <w:bottom w:val="none" w:sz="0" w:space="0" w:color="auto"/>
        <w:right w:val="none" w:sz="0" w:space="0" w:color="auto"/>
      </w:divBdr>
    </w:div>
    <w:div w:id="1303122747">
      <w:bodyDiv w:val="1"/>
      <w:marLeft w:val="0"/>
      <w:marRight w:val="0"/>
      <w:marTop w:val="0"/>
      <w:marBottom w:val="0"/>
      <w:divBdr>
        <w:top w:val="none" w:sz="0" w:space="0" w:color="auto"/>
        <w:left w:val="none" w:sz="0" w:space="0" w:color="auto"/>
        <w:bottom w:val="none" w:sz="0" w:space="0" w:color="auto"/>
        <w:right w:val="none" w:sz="0" w:space="0" w:color="auto"/>
      </w:divBdr>
    </w:div>
    <w:div w:id="1303266421">
      <w:bodyDiv w:val="1"/>
      <w:marLeft w:val="0"/>
      <w:marRight w:val="0"/>
      <w:marTop w:val="0"/>
      <w:marBottom w:val="0"/>
      <w:divBdr>
        <w:top w:val="none" w:sz="0" w:space="0" w:color="auto"/>
        <w:left w:val="none" w:sz="0" w:space="0" w:color="auto"/>
        <w:bottom w:val="none" w:sz="0" w:space="0" w:color="auto"/>
        <w:right w:val="none" w:sz="0" w:space="0" w:color="auto"/>
      </w:divBdr>
    </w:div>
    <w:div w:id="1351024977">
      <w:bodyDiv w:val="1"/>
      <w:marLeft w:val="0"/>
      <w:marRight w:val="0"/>
      <w:marTop w:val="0"/>
      <w:marBottom w:val="0"/>
      <w:divBdr>
        <w:top w:val="none" w:sz="0" w:space="0" w:color="auto"/>
        <w:left w:val="none" w:sz="0" w:space="0" w:color="auto"/>
        <w:bottom w:val="none" w:sz="0" w:space="0" w:color="auto"/>
        <w:right w:val="none" w:sz="0" w:space="0" w:color="auto"/>
      </w:divBdr>
    </w:div>
    <w:div w:id="1373653116">
      <w:bodyDiv w:val="1"/>
      <w:marLeft w:val="0"/>
      <w:marRight w:val="0"/>
      <w:marTop w:val="0"/>
      <w:marBottom w:val="0"/>
      <w:divBdr>
        <w:top w:val="none" w:sz="0" w:space="0" w:color="auto"/>
        <w:left w:val="none" w:sz="0" w:space="0" w:color="auto"/>
        <w:bottom w:val="none" w:sz="0" w:space="0" w:color="auto"/>
        <w:right w:val="none" w:sz="0" w:space="0" w:color="auto"/>
      </w:divBdr>
    </w:div>
    <w:div w:id="1384866997">
      <w:bodyDiv w:val="1"/>
      <w:marLeft w:val="0"/>
      <w:marRight w:val="0"/>
      <w:marTop w:val="0"/>
      <w:marBottom w:val="0"/>
      <w:divBdr>
        <w:top w:val="none" w:sz="0" w:space="0" w:color="auto"/>
        <w:left w:val="none" w:sz="0" w:space="0" w:color="auto"/>
        <w:bottom w:val="none" w:sz="0" w:space="0" w:color="auto"/>
        <w:right w:val="none" w:sz="0" w:space="0" w:color="auto"/>
      </w:divBdr>
    </w:div>
    <w:div w:id="1398016861">
      <w:bodyDiv w:val="1"/>
      <w:marLeft w:val="0"/>
      <w:marRight w:val="0"/>
      <w:marTop w:val="0"/>
      <w:marBottom w:val="0"/>
      <w:divBdr>
        <w:top w:val="none" w:sz="0" w:space="0" w:color="auto"/>
        <w:left w:val="none" w:sz="0" w:space="0" w:color="auto"/>
        <w:bottom w:val="none" w:sz="0" w:space="0" w:color="auto"/>
        <w:right w:val="none" w:sz="0" w:space="0" w:color="auto"/>
      </w:divBdr>
    </w:div>
    <w:div w:id="1410426026">
      <w:bodyDiv w:val="1"/>
      <w:marLeft w:val="0"/>
      <w:marRight w:val="0"/>
      <w:marTop w:val="0"/>
      <w:marBottom w:val="0"/>
      <w:divBdr>
        <w:top w:val="none" w:sz="0" w:space="0" w:color="auto"/>
        <w:left w:val="none" w:sz="0" w:space="0" w:color="auto"/>
        <w:bottom w:val="none" w:sz="0" w:space="0" w:color="auto"/>
        <w:right w:val="none" w:sz="0" w:space="0" w:color="auto"/>
      </w:divBdr>
    </w:div>
    <w:div w:id="1410733831">
      <w:bodyDiv w:val="1"/>
      <w:marLeft w:val="0"/>
      <w:marRight w:val="0"/>
      <w:marTop w:val="0"/>
      <w:marBottom w:val="0"/>
      <w:divBdr>
        <w:top w:val="none" w:sz="0" w:space="0" w:color="auto"/>
        <w:left w:val="none" w:sz="0" w:space="0" w:color="auto"/>
        <w:bottom w:val="none" w:sz="0" w:space="0" w:color="auto"/>
        <w:right w:val="none" w:sz="0" w:space="0" w:color="auto"/>
      </w:divBdr>
    </w:div>
    <w:div w:id="1426151931">
      <w:bodyDiv w:val="1"/>
      <w:marLeft w:val="0"/>
      <w:marRight w:val="0"/>
      <w:marTop w:val="0"/>
      <w:marBottom w:val="0"/>
      <w:divBdr>
        <w:top w:val="none" w:sz="0" w:space="0" w:color="auto"/>
        <w:left w:val="none" w:sz="0" w:space="0" w:color="auto"/>
        <w:bottom w:val="none" w:sz="0" w:space="0" w:color="auto"/>
        <w:right w:val="none" w:sz="0" w:space="0" w:color="auto"/>
      </w:divBdr>
    </w:div>
    <w:div w:id="1453984530">
      <w:bodyDiv w:val="1"/>
      <w:marLeft w:val="0"/>
      <w:marRight w:val="0"/>
      <w:marTop w:val="0"/>
      <w:marBottom w:val="0"/>
      <w:divBdr>
        <w:top w:val="none" w:sz="0" w:space="0" w:color="auto"/>
        <w:left w:val="none" w:sz="0" w:space="0" w:color="auto"/>
        <w:bottom w:val="none" w:sz="0" w:space="0" w:color="auto"/>
        <w:right w:val="none" w:sz="0" w:space="0" w:color="auto"/>
      </w:divBdr>
    </w:div>
    <w:div w:id="1456483501">
      <w:bodyDiv w:val="1"/>
      <w:marLeft w:val="0"/>
      <w:marRight w:val="0"/>
      <w:marTop w:val="0"/>
      <w:marBottom w:val="0"/>
      <w:divBdr>
        <w:top w:val="none" w:sz="0" w:space="0" w:color="auto"/>
        <w:left w:val="none" w:sz="0" w:space="0" w:color="auto"/>
        <w:bottom w:val="none" w:sz="0" w:space="0" w:color="auto"/>
        <w:right w:val="none" w:sz="0" w:space="0" w:color="auto"/>
      </w:divBdr>
    </w:div>
    <w:div w:id="1463569982">
      <w:bodyDiv w:val="1"/>
      <w:marLeft w:val="0"/>
      <w:marRight w:val="0"/>
      <w:marTop w:val="0"/>
      <w:marBottom w:val="0"/>
      <w:divBdr>
        <w:top w:val="none" w:sz="0" w:space="0" w:color="auto"/>
        <w:left w:val="none" w:sz="0" w:space="0" w:color="auto"/>
        <w:bottom w:val="none" w:sz="0" w:space="0" w:color="auto"/>
        <w:right w:val="none" w:sz="0" w:space="0" w:color="auto"/>
      </w:divBdr>
    </w:div>
    <w:div w:id="1476023549">
      <w:bodyDiv w:val="1"/>
      <w:marLeft w:val="0"/>
      <w:marRight w:val="0"/>
      <w:marTop w:val="0"/>
      <w:marBottom w:val="0"/>
      <w:divBdr>
        <w:top w:val="none" w:sz="0" w:space="0" w:color="auto"/>
        <w:left w:val="none" w:sz="0" w:space="0" w:color="auto"/>
        <w:bottom w:val="none" w:sz="0" w:space="0" w:color="auto"/>
        <w:right w:val="none" w:sz="0" w:space="0" w:color="auto"/>
      </w:divBdr>
    </w:div>
    <w:div w:id="1482235295">
      <w:bodyDiv w:val="1"/>
      <w:marLeft w:val="0"/>
      <w:marRight w:val="0"/>
      <w:marTop w:val="0"/>
      <w:marBottom w:val="0"/>
      <w:divBdr>
        <w:top w:val="none" w:sz="0" w:space="0" w:color="auto"/>
        <w:left w:val="none" w:sz="0" w:space="0" w:color="auto"/>
        <w:bottom w:val="none" w:sz="0" w:space="0" w:color="auto"/>
        <w:right w:val="none" w:sz="0" w:space="0" w:color="auto"/>
      </w:divBdr>
    </w:div>
    <w:div w:id="1486436203">
      <w:bodyDiv w:val="1"/>
      <w:marLeft w:val="0"/>
      <w:marRight w:val="0"/>
      <w:marTop w:val="0"/>
      <w:marBottom w:val="0"/>
      <w:divBdr>
        <w:top w:val="none" w:sz="0" w:space="0" w:color="auto"/>
        <w:left w:val="none" w:sz="0" w:space="0" w:color="auto"/>
        <w:bottom w:val="none" w:sz="0" w:space="0" w:color="auto"/>
        <w:right w:val="none" w:sz="0" w:space="0" w:color="auto"/>
      </w:divBdr>
    </w:div>
    <w:div w:id="1488204815">
      <w:bodyDiv w:val="1"/>
      <w:marLeft w:val="0"/>
      <w:marRight w:val="0"/>
      <w:marTop w:val="0"/>
      <w:marBottom w:val="0"/>
      <w:divBdr>
        <w:top w:val="none" w:sz="0" w:space="0" w:color="auto"/>
        <w:left w:val="none" w:sz="0" w:space="0" w:color="auto"/>
        <w:bottom w:val="none" w:sz="0" w:space="0" w:color="auto"/>
        <w:right w:val="none" w:sz="0" w:space="0" w:color="auto"/>
      </w:divBdr>
    </w:div>
    <w:div w:id="1504933473">
      <w:bodyDiv w:val="1"/>
      <w:marLeft w:val="0"/>
      <w:marRight w:val="0"/>
      <w:marTop w:val="0"/>
      <w:marBottom w:val="0"/>
      <w:divBdr>
        <w:top w:val="none" w:sz="0" w:space="0" w:color="auto"/>
        <w:left w:val="none" w:sz="0" w:space="0" w:color="auto"/>
        <w:bottom w:val="none" w:sz="0" w:space="0" w:color="auto"/>
        <w:right w:val="none" w:sz="0" w:space="0" w:color="auto"/>
      </w:divBdr>
    </w:div>
    <w:div w:id="1511484394">
      <w:bodyDiv w:val="1"/>
      <w:marLeft w:val="0"/>
      <w:marRight w:val="0"/>
      <w:marTop w:val="0"/>
      <w:marBottom w:val="0"/>
      <w:divBdr>
        <w:top w:val="none" w:sz="0" w:space="0" w:color="auto"/>
        <w:left w:val="none" w:sz="0" w:space="0" w:color="auto"/>
        <w:bottom w:val="none" w:sz="0" w:space="0" w:color="auto"/>
        <w:right w:val="none" w:sz="0" w:space="0" w:color="auto"/>
      </w:divBdr>
    </w:div>
    <w:div w:id="1537040772">
      <w:bodyDiv w:val="1"/>
      <w:marLeft w:val="0"/>
      <w:marRight w:val="0"/>
      <w:marTop w:val="0"/>
      <w:marBottom w:val="0"/>
      <w:divBdr>
        <w:top w:val="none" w:sz="0" w:space="0" w:color="auto"/>
        <w:left w:val="none" w:sz="0" w:space="0" w:color="auto"/>
        <w:bottom w:val="none" w:sz="0" w:space="0" w:color="auto"/>
        <w:right w:val="none" w:sz="0" w:space="0" w:color="auto"/>
      </w:divBdr>
    </w:div>
    <w:div w:id="1540974680">
      <w:bodyDiv w:val="1"/>
      <w:marLeft w:val="0"/>
      <w:marRight w:val="0"/>
      <w:marTop w:val="0"/>
      <w:marBottom w:val="0"/>
      <w:divBdr>
        <w:top w:val="none" w:sz="0" w:space="0" w:color="auto"/>
        <w:left w:val="none" w:sz="0" w:space="0" w:color="auto"/>
        <w:bottom w:val="none" w:sz="0" w:space="0" w:color="auto"/>
        <w:right w:val="none" w:sz="0" w:space="0" w:color="auto"/>
      </w:divBdr>
    </w:div>
    <w:div w:id="1555239524">
      <w:bodyDiv w:val="1"/>
      <w:marLeft w:val="0"/>
      <w:marRight w:val="0"/>
      <w:marTop w:val="0"/>
      <w:marBottom w:val="0"/>
      <w:divBdr>
        <w:top w:val="none" w:sz="0" w:space="0" w:color="auto"/>
        <w:left w:val="none" w:sz="0" w:space="0" w:color="auto"/>
        <w:bottom w:val="none" w:sz="0" w:space="0" w:color="auto"/>
        <w:right w:val="none" w:sz="0" w:space="0" w:color="auto"/>
      </w:divBdr>
    </w:div>
    <w:div w:id="1590430608">
      <w:bodyDiv w:val="1"/>
      <w:marLeft w:val="0"/>
      <w:marRight w:val="0"/>
      <w:marTop w:val="0"/>
      <w:marBottom w:val="0"/>
      <w:divBdr>
        <w:top w:val="none" w:sz="0" w:space="0" w:color="auto"/>
        <w:left w:val="none" w:sz="0" w:space="0" w:color="auto"/>
        <w:bottom w:val="none" w:sz="0" w:space="0" w:color="auto"/>
        <w:right w:val="none" w:sz="0" w:space="0" w:color="auto"/>
      </w:divBdr>
    </w:div>
    <w:div w:id="1591739335">
      <w:bodyDiv w:val="1"/>
      <w:marLeft w:val="0"/>
      <w:marRight w:val="0"/>
      <w:marTop w:val="0"/>
      <w:marBottom w:val="0"/>
      <w:divBdr>
        <w:top w:val="none" w:sz="0" w:space="0" w:color="auto"/>
        <w:left w:val="none" w:sz="0" w:space="0" w:color="auto"/>
        <w:bottom w:val="none" w:sz="0" w:space="0" w:color="auto"/>
        <w:right w:val="none" w:sz="0" w:space="0" w:color="auto"/>
      </w:divBdr>
    </w:div>
    <w:div w:id="1593976731">
      <w:bodyDiv w:val="1"/>
      <w:marLeft w:val="0"/>
      <w:marRight w:val="0"/>
      <w:marTop w:val="0"/>
      <w:marBottom w:val="0"/>
      <w:divBdr>
        <w:top w:val="none" w:sz="0" w:space="0" w:color="auto"/>
        <w:left w:val="none" w:sz="0" w:space="0" w:color="auto"/>
        <w:bottom w:val="none" w:sz="0" w:space="0" w:color="auto"/>
        <w:right w:val="none" w:sz="0" w:space="0" w:color="auto"/>
      </w:divBdr>
    </w:div>
    <w:div w:id="1607422395">
      <w:bodyDiv w:val="1"/>
      <w:marLeft w:val="0"/>
      <w:marRight w:val="0"/>
      <w:marTop w:val="0"/>
      <w:marBottom w:val="0"/>
      <w:divBdr>
        <w:top w:val="none" w:sz="0" w:space="0" w:color="auto"/>
        <w:left w:val="none" w:sz="0" w:space="0" w:color="auto"/>
        <w:bottom w:val="none" w:sz="0" w:space="0" w:color="auto"/>
        <w:right w:val="none" w:sz="0" w:space="0" w:color="auto"/>
      </w:divBdr>
    </w:div>
    <w:div w:id="1618482740">
      <w:bodyDiv w:val="1"/>
      <w:marLeft w:val="0"/>
      <w:marRight w:val="0"/>
      <w:marTop w:val="0"/>
      <w:marBottom w:val="0"/>
      <w:divBdr>
        <w:top w:val="none" w:sz="0" w:space="0" w:color="auto"/>
        <w:left w:val="none" w:sz="0" w:space="0" w:color="auto"/>
        <w:bottom w:val="none" w:sz="0" w:space="0" w:color="auto"/>
        <w:right w:val="none" w:sz="0" w:space="0" w:color="auto"/>
      </w:divBdr>
    </w:div>
    <w:div w:id="1630012725">
      <w:bodyDiv w:val="1"/>
      <w:marLeft w:val="0"/>
      <w:marRight w:val="0"/>
      <w:marTop w:val="0"/>
      <w:marBottom w:val="0"/>
      <w:divBdr>
        <w:top w:val="none" w:sz="0" w:space="0" w:color="auto"/>
        <w:left w:val="none" w:sz="0" w:space="0" w:color="auto"/>
        <w:bottom w:val="none" w:sz="0" w:space="0" w:color="auto"/>
        <w:right w:val="none" w:sz="0" w:space="0" w:color="auto"/>
      </w:divBdr>
    </w:div>
    <w:div w:id="1634478555">
      <w:bodyDiv w:val="1"/>
      <w:marLeft w:val="0"/>
      <w:marRight w:val="0"/>
      <w:marTop w:val="0"/>
      <w:marBottom w:val="0"/>
      <w:divBdr>
        <w:top w:val="none" w:sz="0" w:space="0" w:color="auto"/>
        <w:left w:val="none" w:sz="0" w:space="0" w:color="auto"/>
        <w:bottom w:val="none" w:sz="0" w:space="0" w:color="auto"/>
        <w:right w:val="none" w:sz="0" w:space="0" w:color="auto"/>
      </w:divBdr>
      <w:divsChild>
        <w:div w:id="1750079772">
          <w:marLeft w:val="274"/>
          <w:marRight w:val="0"/>
          <w:marTop w:val="0"/>
          <w:marBottom w:val="0"/>
          <w:divBdr>
            <w:top w:val="none" w:sz="0" w:space="0" w:color="auto"/>
            <w:left w:val="none" w:sz="0" w:space="0" w:color="auto"/>
            <w:bottom w:val="none" w:sz="0" w:space="0" w:color="auto"/>
            <w:right w:val="none" w:sz="0" w:space="0" w:color="auto"/>
          </w:divBdr>
        </w:div>
      </w:divsChild>
    </w:div>
    <w:div w:id="1649283806">
      <w:bodyDiv w:val="1"/>
      <w:marLeft w:val="0"/>
      <w:marRight w:val="0"/>
      <w:marTop w:val="0"/>
      <w:marBottom w:val="0"/>
      <w:divBdr>
        <w:top w:val="none" w:sz="0" w:space="0" w:color="auto"/>
        <w:left w:val="none" w:sz="0" w:space="0" w:color="auto"/>
        <w:bottom w:val="none" w:sz="0" w:space="0" w:color="auto"/>
        <w:right w:val="none" w:sz="0" w:space="0" w:color="auto"/>
      </w:divBdr>
    </w:div>
    <w:div w:id="1665737440">
      <w:bodyDiv w:val="1"/>
      <w:marLeft w:val="0"/>
      <w:marRight w:val="0"/>
      <w:marTop w:val="0"/>
      <w:marBottom w:val="0"/>
      <w:divBdr>
        <w:top w:val="none" w:sz="0" w:space="0" w:color="auto"/>
        <w:left w:val="none" w:sz="0" w:space="0" w:color="auto"/>
        <w:bottom w:val="none" w:sz="0" w:space="0" w:color="auto"/>
        <w:right w:val="none" w:sz="0" w:space="0" w:color="auto"/>
      </w:divBdr>
    </w:div>
    <w:div w:id="1746490898">
      <w:bodyDiv w:val="1"/>
      <w:marLeft w:val="0"/>
      <w:marRight w:val="0"/>
      <w:marTop w:val="0"/>
      <w:marBottom w:val="0"/>
      <w:divBdr>
        <w:top w:val="none" w:sz="0" w:space="0" w:color="auto"/>
        <w:left w:val="none" w:sz="0" w:space="0" w:color="auto"/>
        <w:bottom w:val="none" w:sz="0" w:space="0" w:color="auto"/>
        <w:right w:val="none" w:sz="0" w:space="0" w:color="auto"/>
      </w:divBdr>
      <w:divsChild>
        <w:div w:id="305360122">
          <w:marLeft w:val="446"/>
          <w:marRight w:val="0"/>
          <w:marTop w:val="0"/>
          <w:marBottom w:val="0"/>
          <w:divBdr>
            <w:top w:val="none" w:sz="0" w:space="0" w:color="auto"/>
            <w:left w:val="none" w:sz="0" w:space="0" w:color="auto"/>
            <w:bottom w:val="none" w:sz="0" w:space="0" w:color="auto"/>
            <w:right w:val="none" w:sz="0" w:space="0" w:color="auto"/>
          </w:divBdr>
        </w:div>
        <w:div w:id="2143884919">
          <w:marLeft w:val="446"/>
          <w:marRight w:val="0"/>
          <w:marTop w:val="0"/>
          <w:marBottom w:val="0"/>
          <w:divBdr>
            <w:top w:val="none" w:sz="0" w:space="0" w:color="auto"/>
            <w:left w:val="none" w:sz="0" w:space="0" w:color="auto"/>
            <w:bottom w:val="none" w:sz="0" w:space="0" w:color="auto"/>
            <w:right w:val="none" w:sz="0" w:space="0" w:color="auto"/>
          </w:divBdr>
        </w:div>
      </w:divsChild>
    </w:div>
    <w:div w:id="1781029634">
      <w:bodyDiv w:val="1"/>
      <w:marLeft w:val="0"/>
      <w:marRight w:val="0"/>
      <w:marTop w:val="0"/>
      <w:marBottom w:val="0"/>
      <w:divBdr>
        <w:top w:val="none" w:sz="0" w:space="0" w:color="auto"/>
        <w:left w:val="none" w:sz="0" w:space="0" w:color="auto"/>
        <w:bottom w:val="none" w:sz="0" w:space="0" w:color="auto"/>
        <w:right w:val="none" w:sz="0" w:space="0" w:color="auto"/>
      </w:divBdr>
    </w:div>
    <w:div w:id="1783449899">
      <w:bodyDiv w:val="1"/>
      <w:marLeft w:val="0"/>
      <w:marRight w:val="0"/>
      <w:marTop w:val="0"/>
      <w:marBottom w:val="0"/>
      <w:divBdr>
        <w:top w:val="none" w:sz="0" w:space="0" w:color="auto"/>
        <w:left w:val="none" w:sz="0" w:space="0" w:color="auto"/>
        <w:bottom w:val="none" w:sz="0" w:space="0" w:color="auto"/>
        <w:right w:val="none" w:sz="0" w:space="0" w:color="auto"/>
      </w:divBdr>
    </w:div>
    <w:div w:id="1796556548">
      <w:bodyDiv w:val="1"/>
      <w:marLeft w:val="0"/>
      <w:marRight w:val="0"/>
      <w:marTop w:val="0"/>
      <w:marBottom w:val="0"/>
      <w:divBdr>
        <w:top w:val="none" w:sz="0" w:space="0" w:color="auto"/>
        <w:left w:val="none" w:sz="0" w:space="0" w:color="auto"/>
        <w:bottom w:val="none" w:sz="0" w:space="0" w:color="auto"/>
        <w:right w:val="none" w:sz="0" w:space="0" w:color="auto"/>
      </w:divBdr>
    </w:div>
    <w:div w:id="1809083451">
      <w:bodyDiv w:val="1"/>
      <w:marLeft w:val="0"/>
      <w:marRight w:val="0"/>
      <w:marTop w:val="0"/>
      <w:marBottom w:val="0"/>
      <w:divBdr>
        <w:top w:val="none" w:sz="0" w:space="0" w:color="auto"/>
        <w:left w:val="none" w:sz="0" w:space="0" w:color="auto"/>
        <w:bottom w:val="none" w:sz="0" w:space="0" w:color="auto"/>
        <w:right w:val="none" w:sz="0" w:space="0" w:color="auto"/>
      </w:divBdr>
    </w:div>
    <w:div w:id="1810055956">
      <w:bodyDiv w:val="1"/>
      <w:marLeft w:val="0"/>
      <w:marRight w:val="0"/>
      <w:marTop w:val="0"/>
      <w:marBottom w:val="0"/>
      <w:divBdr>
        <w:top w:val="none" w:sz="0" w:space="0" w:color="auto"/>
        <w:left w:val="none" w:sz="0" w:space="0" w:color="auto"/>
        <w:bottom w:val="none" w:sz="0" w:space="0" w:color="auto"/>
        <w:right w:val="none" w:sz="0" w:space="0" w:color="auto"/>
      </w:divBdr>
    </w:div>
    <w:div w:id="1812792792">
      <w:bodyDiv w:val="1"/>
      <w:marLeft w:val="0"/>
      <w:marRight w:val="0"/>
      <w:marTop w:val="0"/>
      <w:marBottom w:val="0"/>
      <w:divBdr>
        <w:top w:val="none" w:sz="0" w:space="0" w:color="auto"/>
        <w:left w:val="none" w:sz="0" w:space="0" w:color="auto"/>
        <w:bottom w:val="none" w:sz="0" w:space="0" w:color="auto"/>
        <w:right w:val="none" w:sz="0" w:space="0" w:color="auto"/>
      </w:divBdr>
    </w:div>
    <w:div w:id="1816873242">
      <w:bodyDiv w:val="1"/>
      <w:marLeft w:val="0"/>
      <w:marRight w:val="0"/>
      <w:marTop w:val="0"/>
      <w:marBottom w:val="0"/>
      <w:divBdr>
        <w:top w:val="none" w:sz="0" w:space="0" w:color="auto"/>
        <w:left w:val="none" w:sz="0" w:space="0" w:color="auto"/>
        <w:bottom w:val="none" w:sz="0" w:space="0" w:color="auto"/>
        <w:right w:val="none" w:sz="0" w:space="0" w:color="auto"/>
      </w:divBdr>
    </w:div>
    <w:div w:id="1839612921">
      <w:bodyDiv w:val="1"/>
      <w:marLeft w:val="0"/>
      <w:marRight w:val="0"/>
      <w:marTop w:val="0"/>
      <w:marBottom w:val="0"/>
      <w:divBdr>
        <w:top w:val="none" w:sz="0" w:space="0" w:color="auto"/>
        <w:left w:val="none" w:sz="0" w:space="0" w:color="auto"/>
        <w:bottom w:val="none" w:sz="0" w:space="0" w:color="auto"/>
        <w:right w:val="none" w:sz="0" w:space="0" w:color="auto"/>
      </w:divBdr>
    </w:div>
    <w:div w:id="1851024170">
      <w:bodyDiv w:val="1"/>
      <w:marLeft w:val="0"/>
      <w:marRight w:val="0"/>
      <w:marTop w:val="0"/>
      <w:marBottom w:val="0"/>
      <w:divBdr>
        <w:top w:val="none" w:sz="0" w:space="0" w:color="auto"/>
        <w:left w:val="none" w:sz="0" w:space="0" w:color="auto"/>
        <w:bottom w:val="none" w:sz="0" w:space="0" w:color="auto"/>
        <w:right w:val="none" w:sz="0" w:space="0" w:color="auto"/>
      </w:divBdr>
    </w:div>
    <w:div w:id="1870334713">
      <w:bodyDiv w:val="1"/>
      <w:marLeft w:val="0"/>
      <w:marRight w:val="0"/>
      <w:marTop w:val="0"/>
      <w:marBottom w:val="0"/>
      <w:divBdr>
        <w:top w:val="none" w:sz="0" w:space="0" w:color="auto"/>
        <w:left w:val="none" w:sz="0" w:space="0" w:color="auto"/>
        <w:bottom w:val="none" w:sz="0" w:space="0" w:color="auto"/>
        <w:right w:val="none" w:sz="0" w:space="0" w:color="auto"/>
      </w:divBdr>
    </w:div>
    <w:div w:id="1876311057">
      <w:bodyDiv w:val="1"/>
      <w:marLeft w:val="0"/>
      <w:marRight w:val="0"/>
      <w:marTop w:val="0"/>
      <w:marBottom w:val="0"/>
      <w:divBdr>
        <w:top w:val="none" w:sz="0" w:space="0" w:color="auto"/>
        <w:left w:val="none" w:sz="0" w:space="0" w:color="auto"/>
        <w:bottom w:val="none" w:sz="0" w:space="0" w:color="auto"/>
        <w:right w:val="none" w:sz="0" w:space="0" w:color="auto"/>
      </w:divBdr>
    </w:div>
    <w:div w:id="1894122467">
      <w:bodyDiv w:val="1"/>
      <w:marLeft w:val="0"/>
      <w:marRight w:val="0"/>
      <w:marTop w:val="0"/>
      <w:marBottom w:val="0"/>
      <w:divBdr>
        <w:top w:val="none" w:sz="0" w:space="0" w:color="auto"/>
        <w:left w:val="none" w:sz="0" w:space="0" w:color="auto"/>
        <w:bottom w:val="none" w:sz="0" w:space="0" w:color="auto"/>
        <w:right w:val="none" w:sz="0" w:space="0" w:color="auto"/>
      </w:divBdr>
    </w:div>
    <w:div w:id="1901011500">
      <w:bodyDiv w:val="1"/>
      <w:marLeft w:val="0"/>
      <w:marRight w:val="0"/>
      <w:marTop w:val="0"/>
      <w:marBottom w:val="0"/>
      <w:divBdr>
        <w:top w:val="none" w:sz="0" w:space="0" w:color="auto"/>
        <w:left w:val="none" w:sz="0" w:space="0" w:color="auto"/>
        <w:bottom w:val="none" w:sz="0" w:space="0" w:color="auto"/>
        <w:right w:val="none" w:sz="0" w:space="0" w:color="auto"/>
      </w:divBdr>
    </w:div>
    <w:div w:id="1909536786">
      <w:bodyDiv w:val="1"/>
      <w:marLeft w:val="0"/>
      <w:marRight w:val="0"/>
      <w:marTop w:val="0"/>
      <w:marBottom w:val="0"/>
      <w:divBdr>
        <w:top w:val="none" w:sz="0" w:space="0" w:color="auto"/>
        <w:left w:val="none" w:sz="0" w:space="0" w:color="auto"/>
        <w:bottom w:val="none" w:sz="0" w:space="0" w:color="auto"/>
        <w:right w:val="none" w:sz="0" w:space="0" w:color="auto"/>
      </w:divBdr>
    </w:div>
    <w:div w:id="1946381504">
      <w:bodyDiv w:val="1"/>
      <w:marLeft w:val="0"/>
      <w:marRight w:val="0"/>
      <w:marTop w:val="0"/>
      <w:marBottom w:val="0"/>
      <w:divBdr>
        <w:top w:val="none" w:sz="0" w:space="0" w:color="auto"/>
        <w:left w:val="none" w:sz="0" w:space="0" w:color="auto"/>
        <w:bottom w:val="none" w:sz="0" w:space="0" w:color="auto"/>
        <w:right w:val="none" w:sz="0" w:space="0" w:color="auto"/>
      </w:divBdr>
    </w:div>
    <w:div w:id="1960601841">
      <w:bodyDiv w:val="1"/>
      <w:marLeft w:val="0"/>
      <w:marRight w:val="0"/>
      <w:marTop w:val="0"/>
      <w:marBottom w:val="0"/>
      <w:divBdr>
        <w:top w:val="none" w:sz="0" w:space="0" w:color="auto"/>
        <w:left w:val="none" w:sz="0" w:space="0" w:color="auto"/>
        <w:bottom w:val="none" w:sz="0" w:space="0" w:color="auto"/>
        <w:right w:val="none" w:sz="0" w:space="0" w:color="auto"/>
      </w:divBdr>
    </w:div>
    <w:div w:id="1969042980">
      <w:bodyDiv w:val="1"/>
      <w:marLeft w:val="0"/>
      <w:marRight w:val="0"/>
      <w:marTop w:val="0"/>
      <w:marBottom w:val="0"/>
      <w:divBdr>
        <w:top w:val="none" w:sz="0" w:space="0" w:color="auto"/>
        <w:left w:val="none" w:sz="0" w:space="0" w:color="auto"/>
        <w:bottom w:val="none" w:sz="0" w:space="0" w:color="auto"/>
        <w:right w:val="none" w:sz="0" w:space="0" w:color="auto"/>
      </w:divBdr>
    </w:div>
    <w:div w:id="1986741949">
      <w:bodyDiv w:val="1"/>
      <w:marLeft w:val="0"/>
      <w:marRight w:val="0"/>
      <w:marTop w:val="0"/>
      <w:marBottom w:val="0"/>
      <w:divBdr>
        <w:top w:val="none" w:sz="0" w:space="0" w:color="auto"/>
        <w:left w:val="none" w:sz="0" w:space="0" w:color="auto"/>
        <w:bottom w:val="none" w:sz="0" w:space="0" w:color="auto"/>
        <w:right w:val="none" w:sz="0" w:space="0" w:color="auto"/>
      </w:divBdr>
    </w:div>
    <w:div w:id="1990402099">
      <w:bodyDiv w:val="1"/>
      <w:marLeft w:val="0"/>
      <w:marRight w:val="0"/>
      <w:marTop w:val="0"/>
      <w:marBottom w:val="0"/>
      <w:divBdr>
        <w:top w:val="none" w:sz="0" w:space="0" w:color="auto"/>
        <w:left w:val="none" w:sz="0" w:space="0" w:color="auto"/>
        <w:bottom w:val="none" w:sz="0" w:space="0" w:color="auto"/>
        <w:right w:val="none" w:sz="0" w:space="0" w:color="auto"/>
      </w:divBdr>
    </w:div>
    <w:div w:id="1998534889">
      <w:bodyDiv w:val="1"/>
      <w:marLeft w:val="0"/>
      <w:marRight w:val="0"/>
      <w:marTop w:val="0"/>
      <w:marBottom w:val="0"/>
      <w:divBdr>
        <w:top w:val="none" w:sz="0" w:space="0" w:color="auto"/>
        <w:left w:val="none" w:sz="0" w:space="0" w:color="auto"/>
        <w:bottom w:val="none" w:sz="0" w:space="0" w:color="auto"/>
        <w:right w:val="none" w:sz="0" w:space="0" w:color="auto"/>
      </w:divBdr>
    </w:div>
    <w:div w:id="2009365001">
      <w:bodyDiv w:val="1"/>
      <w:marLeft w:val="0"/>
      <w:marRight w:val="0"/>
      <w:marTop w:val="0"/>
      <w:marBottom w:val="0"/>
      <w:divBdr>
        <w:top w:val="none" w:sz="0" w:space="0" w:color="auto"/>
        <w:left w:val="none" w:sz="0" w:space="0" w:color="auto"/>
        <w:bottom w:val="none" w:sz="0" w:space="0" w:color="auto"/>
        <w:right w:val="none" w:sz="0" w:space="0" w:color="auto"/>
      </w:divBdr>
    </w:div>
    <w:div w:id="2010255194">
      <w:bodyDiv w:val="1"/>
      <w:marLeft w:val="0"/>
      <w:marRight w:val="0"/>
      <w:marTop w:val="0"/>
      <w:marBottom w:val="0"/>
      <w:divBdr>
        <w:top w:val="none" w:sz="0" w:space="0" w:color="auto"/>
        <w:left w:val="none" w:sz="0" w:space="0" w:color="auto"/>
        <w:bottom w:val="none" w:sz="0" w:space="0" w:color="auto"/>
        <w:right w:val="none" w:sz="0" w:space="0" w:color="auto"/>
      </w:divBdr>
    </w:div>
    <w:div w:id="2048990918">
      <w:bodyDiv w:val="1"/>
      <w:marLeft w:val="0"/>
      <w:marRight w:val="0"/>
      <w:marTop w:val="0"/>
      <w:marBottom w:val="0"/>
      <w:divBdr>
        <w:top w:val="none" w:sz="0" w:space="0" w:color="auto"/>
        <w:left w:val="none" w:sz="0" w:space="0" w:color="auto"/>
        <w:bottom w:val="none" w:sz="0" w:space="0" w:color="auto"/>
        <w:right w:val="none" w:sz="0" w:space="0" w:color="auto"/>
      </w:divBdr>
    </w:div>
    <w:div w:id="2065638391">
      <w:bodyDiv w:val="1"/>
      <w:marLeft w:val="0"/>
      <w:marRight w:val="0"/>
      <w:marTop w:val="0"/>
      <w:marBottom w:val="0"/>
      <w:divBdr>
        <w:top w:val="none" w:sz="0" w:space="0" w:color="auto"/>
        <w:left w:val="none" w:sz="0" w:space="0" w:color="auto"/>
        <w:bottom w:val="none" w:sz="0" w:space="0" w:color="auto"/>
        <w:right w:val="none" w:sz="0" w:space="0" w:color="auto"/>
      </w:divBdr>
    </w:div>
    <w:div w:id="2077195025">
      <w:bodyDiv w:val="1"/>
      <w:marLeft w:val="0"/>
      <w:marRight w:val="0"/>
      <w:marTop w:val="0"/>
      <w:marBottom w:val="0"/>
      <w:divBdr>
        <w:top w:val="none" w:sz="0" w:space="0" w:color="auto"/>
        <w:left w:val="none" w:sz="0" w:space="0" w:color="auto"/>
        <w:bottom w:val="none" w:sz="0" w:space="0" w:color="auto"/>
        <w:right w:val="none" w:sz="0" w:space="0" w:color="auto"/>
      </w:divBdr>
    </w:div>
    <w:div w:id="2115517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ea.sp.gov.br/ftpiea/IE/2016/tec3-0816.pdf" TargetMode="External"/><Relationship Id="rId21" Type="http://schemas.openxmlformats.org/officeDocument/2006/relationships/footer" Target="footer4.xml"/><Relationship Id="rId42" Type="http://schemas.openxmlformats.org/officeDocument/2006/relationships/chart" Target="charts/chart20.xml"/><Relationship Id="rId63" Type="http://schemas.openxmlformats.org/officeDocument/2006/relationships/chart" Target="charts/chart34.xml"/><Relationship Id="rId84" Type="http://schemas.openxmlformats.org/officeDocument/2006/relationships/image" Target="media/image28.png"/><Relationship Id="rId138" Type="http://schemas.openxmlformats.org/officeDocument/2006/relationships/customXml" Target="../customXml/item2.xml"/><Relationship Id="rId107" Type="http://schemas.openxmlformats.org/officeDocument/2006/relationships/hyperlink" Target="http://www.fao.org/in-action/fapda/publications/country-fact-sheets/en/" TargetMode="External"/><Relationship Id="rId11" Type="http://schemas.openxmlformats.org/officeDocument/2006/relationships/image" Target="media/image4.png"/><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image" Target="media/image13.png"/><Relationship Id="rId58" Type="http://schemas.openxmlformats.org/officeDocument/2006/relationships/image" Target="media/image15.png"/><Relationship Id="rId74" Type="http://schemas.openxmlformats.org/officeDocument/2006/relationships/chart" Target="charts/chart40.xml"/><Relationship Id="rId79" Type="http://schemas.openxmlformats.org/officeDocument/2006/relationships/image" Target="media/image24.emf"/><Relationship Id="rId102" Type="http://schemas.openxmlformats.org/officeDocument/2006/relationships/hyperlink" Target="http://www.chathamhouse.org/sites/default/files/public/Research/Energy,%20Environment%20and%20Development/0610casestudy_groundnuts.pdf" TargetMode="External"/><Relationship Id="rId123" Type="http://schemas.openxmlformats.org/officeDocument/2006/relationships/hyperlink" Target="https://www.comcom.govt.nz/dmsdocument/7958" TargetMode="External"/><Relationship Id="rId128" Type="http://schemas.openxmlformats.org/officeDocument/2006/relationships/hyperlink" Target="https://gain.fas.usda.gov/Recent%20GAIN%20Publications/Agricultural%20Situation_Lagos_Benin_3-20-2014.pdf" TargetMode="Externa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hyperlink" Target="http://www.ag-incentives.org/indicator/nominal-rate-protection" TargetMode="External"/><Relationship Id="rId22" Type="http://schemas.openxmlformats.org/officeDocument/2006/relationships/chart" Target="charts/chart3.xml"/><Relationship Id="rId27" Type="http://schemas.openxmlformats.org/officeDocument/2006/relationships/chart" Target="charts/chart5.xml"/><Relationship Id="rId43" Type="http://schemas.openxmlformats.org/officeDocument/2006/relationships/chart" Target="charts/chart21.xml"/><Relationship Id="rId48" Type="http://schemas.openxmlformats.org/officeDocument/2006/relationships/chart" Target="charts/chart26.xml"/><Relationship Id="rId64" Type="http://schemas.openxmlformats.org/officeDocument/2006/relationships/image" Target="media/image20.png"/><Relationship Id="rId69" Type="http://schemas.openxmlformats.org/officeDocument/2006/relationships/image" Target="media/image22.png"/><Relationship Id="rId113" Type="http://schemas.openxmlformats.org/officeDocument/2006/relationships/hyperlink" Target="http://www.icrisat.org/indian-smallholder-farmers-could-soon-benefit-from-the-growing-confectionary-peanut-market/" TargetMode="External"/><Relationship Id="rId118" Type="http://schemas.openxmlformats.org/officeDocument/2006/relationships/hyperlink" Target="http://aflatoxinpartnership.org/uploads/6.2%20-%20Policy%20and%20Regulations%20for%20Aflatoxin%20Control%20in%20ECOWAS.pdf" TargetMode="External"/><Relationship Id="rId134" Type="http://schemas.openxmlformats.org/officeDocument/2006/relationships/image" Target="media/image39.png"/><Relationship Id="rId139" Type="http://schemas.openxmlformats.org/officeDocument/2006/relationships/customXml" Target="../customXml/item3.xml"/><Relationship Id="rId80" Type="http://schemas.openxmlformats.org/officeDocument/2006/relationships/image" Target="media/image25.png"/><Relationship Id="rId85" Type="http://schemas.openxmlformats.org/officeDocument/2006/relationships/image" Target="media/image29.png"/><Relationship Id="rId12" Type="http://schemas.openxmlformats.org/officeDocument/2006/relationships/chart" Target="charts/chart1.xml"/><Relationship Id="rId17" Type="http://schemas.openxmlformats.org/officeDocument/2006/relationships/image" Target="media/image9.png"/><Relationship Id="rId33" Type="http://schemas.openxmlformats.org/officeDocument/2006/relationships/chart" Target="charts/chart11.xml"/><Relationship Id="rId38" Type="http://schemas.openxmlformats.org/officeDocument/2006/relationships/chart" Target="charts/chart16.xml"/><Relationship Id="rId59" Type="http://schemas.openxmlformats.org/officeDocument/2006/relationships/image" Target="media/image16.png"/><Relationship Id="rId103" Type="http://schemas.openxmlformats.org/officeDocument/2006/relationships/hyperlink" Target="https://www.cia.gov/library/publications/the-world-factbook/geos/sg.html" TargetMode="External"/><Relationship Id="rId108" Type="http://schemas.openxmlformats.org/officeDocument/2006/relationships/hyperlink" Target="http://www.fao.org/faostat/en/" TargetMode="External"/><Relationship Id="rId124" Type="http://schemas.openxmlformats.org/officeDocument/2006/relationships/hyperlink" Target="https://www.brookings.edu/blog/future-development/2018/02/28/can-the-digital-revolution-transform-agriculture/" TargetMode="External"/><Relationship Id="rId129" Type="http://schemas.openxmlformats.org/officeDocument/2006/relationships/hyperlink" Target="http://siteresources.worldbank.org/INTARD/825826-1111055015956/21663468/ARDDiscussionPaper39.pdf" TargetMode="External"/><Relationship Id="rId54" Type="http://schemas.openxmlformats.org/officeDocument/2006/relationships/chart" Target="charts/chart31.xml"/><Relationship Id="rId70" Type="http://schemas.openxmlformats.org/officeDocument/2006/relationships/image" Target="media/image23.png"/><Relationship Id="rId75" Type="http://schemas.openxmlformats.org/officeDocument/2006/relationships/chart" Target="charts/chart41.xml"/><Relationship Id="rId91" Type="http://schemas.openxmlformats.org/officeDocument/2006/relationships/image" Target="media/image34.png"/><Relationship Id="rId96" Type="http://schemas.openxmlformats.org/officeDocument/2006/relationships/hyperlink" Target="https://agronigeria.com.ng/groundnut-production-nigeria-set-to-return-to-dominance/" TargetMode="External"/><Relationship Id="rId14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chart" Target="charts/chart6.xml"/><Relationship Id="rId49" Type="http://schemas.openxmlformats.org/officeDocument/2006/relationships/chart" Target="charts/chart27.xml"/><Relationship Id="rId114" Type="http://schemas.openxmlformats.org/officeDocument/2006/relationships/hyperlink" Target="http://www.intracen.org/uploadedFiles/intracen.org/Content/Exporters/Market_Data_and_Information/Market_information/Market_Insider/Edible_Nuts/Groundnut%20Quarterly%20Bulletin%20June%202015.pdf" TargetMode="External"/><Relationship Id="rId119" Type="http://schemas.openxmlformats.org/officeDocument/2006/relationships/hyperlink" Target="http://aflatoxinpartnership.org/uploads/Revamping%20the%20groundnut%20value%20chain%20-%20Summary%20-English.pdf" TargetMode="External"/><Relationship Id="rId44" Type="http://schemas.openxmlformats.org/officeDocument/2006/relationships/chart" Target="charts/chart22.xml"/><Relationship Id="rId60" Type="http://schemas.openxmlformats.org/officeDocument/2006/relationships/image" Target="media/image17.png"/><Relationship Id="rId65" Type="http://schemas.openxmlformats.org/officeDocument/2006/relationships/hyperlink" Target="http://www.intracen.org/uploadedFiles/intracen.org/Content/Exporters/Market_Data_and_Information/Market_information/Market_Insider/Edible_Nuts/Groundnut%20Quarterly%20Bulletin%20June%202015.pdf" TargetMode="External"/><Relationship Id="rId81" Type="http://schemas.openxmlformats.org/officeDocument/2006/relationships/image" Target="media/image26.png"/><Relationship Id="rId86" Type="http://schemas.openxmlformats.org/officeDocument/2006/relationships/image" Target="media/image30.png"/><Relationship Id="rId130" Type="http://schemas.openxmlformats.org/officeDocument/2006/relationships/image" Target="media/image36.png"/><Relationship Id="rId135" Type="http://schemas.openxmlformats.org/officeDocument/2006/relationships/image" Target="media/image40.png"/><Relationship Id="rId13" Type="http://schemas.openxmlformats.org/officeDocument/2006/relationships/image" Target="media/image5.emf"/><Relationship Id="rId18" Type="http://schemas.openxmlformats.org/officeDocument/2006/relationships/footer" Target="footer1.xml"/><Relationship Id="rId39" Type="http://schemas.openxmlformats.org/officeDocument/2006/relationships/chart" Target="charts/chart17.xml"/><Relationship Id="rId109" Type="http://schemas.openxmlformats.org/officeDocument/2006/relationships/hyperlink" Target="http://www.financialafrik.com/2016/07/27/senegal-suneor-redevient-sonacos-sa/" TargetMode="External"/><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chart" Target="charts/chart32.xml"/><Relationship Id="rId76" Type="http://schemas.openxmlformats.org/officeDocument/2006/relationships/chart" Target="charts/chart42.xml"/><Relationship Id="rId97" Type="http://schemas.openxmlformats.org/officeDocument/2006/relationships/hyperlink" Target="http://www.artpsenegal.net/index.php?option=com_content&amp;view=article&amp;id=267:communique-de-presse-du-18-janvier-2016-processus-d-attribution-de-3-licences-et-des-frequences-autorisant-l-utilisation-des-technologies-mobiles-4-g-au-senegal&amp;catid=9:infos-flash&amp;Itemid=162" TargetMode="External"/><Relationship Id="rId104" Type="http://schemas.openxmlformats.org/officeDocument/2006/relationships/hyperlink" Target="https://city-press.news24.com/Impact-Journalism/hello-tractor-an-uber-for-tractors-20170625" TargetMode="External"/><Relationship Id="rId120" Type="http://schemas.openxmlformats.org/officeDocument/2006/relationships/hyperlink" Target="http://www.aflatoxinpartnership.org/uploads/Nigeria_Aflatoxin_Control_May14.pdf" TargetMode="External"/><Relationship Id="rId125" Type="http://schemas.openxmlformats.org/officeDocument/2006/relationships/hyperlink" Target="https://economictimes.indiatimes.com/news/economy/agriculture/groundnut-yield-jumps-30-on-use-of-digital-farming-practices/articleshow/56423815.cms" TargetMode="External"/><Relationship Id="rId141"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image" Target="media/image10.emf"/><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35.xml"/><Relationship Id="rId87" Type="http://schemas.openxmlformats.org/officeDocument/2006/relationships/chart" Target="charts/chart45.xml"/><Relationship Id="rId110" Type="http://schemas.openxmlformats.org/officeDocument/2006/relationships/hyperlink" Target="https://www.foodnavigator-usa.com/Article/2017/05/01/Mars-and-peanut-industry-to-use-only-high-oleic-peanuts-in-products" TargetMode="External"/><Relationship Id="rId115" Type="http://schemas.openxmlformats.org/officeDocument/2006/relationships/hyperlink" Target="http://www.itfc-idb.org/en/content/usd-75-million-murabaha-financing-agreement-between-itfc-and-Government-senegal-2016-2017" TargetMode="External"/><Relationship Id="rId131" Type="http://schemas.openxmlformats.org/officeDocument/2006/relationships/image" Target="media/image37.png"/><Relationship Id="rId136" Type="http://schemas.openxmlformats.org/officeDocument/2006/relationships/fontTable" Target="fontTable.xml"/><Relationship Id="rId61" Type="http://schemas.openxmlformats.org/officeDocument/2006/relationships/image" Target="media/image18.png"/><Relationship Id="rId82" Type="http://schemas.openxmlformats.org/officeDocument/2006/relationships/hyperlink" Target="https://opensignal.com/reports/2016/02/state-of-lte-q4-2015/" TargetMode="External"/><Relationship Id="rId19" Type="http://schemas.openxmlformats.org/officeDocument/2006/relationships/footer" Target="footer2.xml"/><Relationship Id="rId14" Type="http://schemas.openxmlformats.org/officeDocument/2006/relationships/chart" Target="charts/chart2.xm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chart" Target="charts/chart33.xml"/><Relationship Id="rId77" Type="http://schemas.openxmlformats.org/officeDocument/2006/relationships/chart" Target="charts/chart43.xml"/><Relationship Id="rId100" Type="http://schemas.openxmlformats.org/officeDocument/2006/relationships/hyperlink" Target="http://www.camaradelmani.org.ar/english/productos/" TargetMode="External"/><Relationship Id="rId105" Type="http://schemas.openxmlformats.org/officeDocument/2006/relationships/hyperlink" Target="http://www.jo.gouv.sn/spip.php?article10896" TargetMode="External"/><Relationship Id="rId126" Type="http://schemas.openxmlformats.org/officeDocument/2006/relationships/hyperlink" Target="https://apps.fas.usda.gov/psdonline/app/index.html" TargetMode="External"/><Relationship Id="rId8" Type="http://schemas.openxmlformats.org/officeDocument/2006/relationships/image" Target="media/image1.jpeg"/><Relationship Id="rId51" Type="http://schemas.openxmlformats.org/officeDocument/2006/relationships/chart" Target="charts/chart29.xml"/><Relationship Id="rId72" Type="http://schemas.openxmlformats.org/officeDocument/2006/relationships/chart" Target="charts/chart38.xml"/><Relationship Id="rId93" Type="http://schemas.openxmlformats.org/officeDocument/2006/relationships/hyperlink" Target="https://aflasafe.com/2018/03/12/harvest-time-nigeria-aflasafe-moves-from-research-to-nationwide-commercialisation-to-protect-food-from-deadly-aflatoxin/" TargetMode="External"/><Relationship Id="rId98" Type="http://schemas.openxmlformats.org/officeDocument/2006/relationships/hyperlink" Target="http://www.artpsenegal.net/index.php?option=com_content&amp;view=article&amp;id=304:communique-de-presse-la-portabilite-un-an-apres&amp;catid=9:infos-flash&amp;Itemid=162" TargetMode="External"/><Relationship Id="rId121" Type="http://schemas.openxmlformats.org/officeDocument/2006/relationships/hyperlink" Target="http://thebrazilbusiness.com/article/sweets-market-in-brazil"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chart" Target="charts/chart24.xml"/><Relationship Id="rId67" Type="http://schemas.openxmlformats.org/officeDocument/2006/relationships/image" Target="media/image21.png"/><Relationship Id="rId116" Type="http://schemas.openxmlformats.org/officeDocument/2006/relationships/hyperlink" Target="https://manypossibilities.net/2017/04/the-failure-of-spectrum-auctions-in-africa/" TargetMode="External"/><Relationship Id="rId13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chart" Target="charts/chart19.xml"/><Relationship Id="rId62" Type="http://schemas.openxmlformats.org/officeDocument/2006/relationships/image" Target="media/image19.png"/><Relationship Id="rId83" Type="http://schemas.openxmlformats.org/officeDocument/2006/relationships/image" Target="media/image27.png"/><Relationship Id="rId88" Type="http://schemas.openxmlformats.org/officeDocument/2006/relationships/image" Target="media/image31.png"/><Relationship Id="rId111" Type="http://schemas.openxmlformats.org/officeDocument/2006/relationships/hyperlink" Target="https://www.researchgate.net/profile/Meraj_Ansari/publication/313823494_Post_harvest_management_and_value_addition_of_groundnut/links/58a7fc4b4585150402f2adcf/Post-harvest-management-and-value-addition-of-groundnut.pdf?origin=publication_detail" TargetMode="External"/><Relationship Id="rId132" Type="http://schemas.openxmlformats.org/officeDocument/2006/relationships/image" Target="media/image38.png"/><Relationship Id="rId15" Type="http://schemas.openxmlformats.org/officeDocument/2006/relationships/image" Target="media/image7.emf"/><Relationship Id="rId36" Type="http://schemas.openxmlformats.org/officeDocument/2006/relationships/chart" Target="charts/chart14.xml"/><Relationship Id="rId57" Type="http://schemas.openxmlformats.org/officeDocument/2006/relationships/image" Target="media/image14.png"/><Relationship Id="rId106" Type="http://schemas.openxmlformats.org/officeDocument/2006/relationships/hyperlink" Target="http://www.enqueteplus.com/content/attribution-de-la-licence-4g-au-s%C3%A9n%C3%A9gal-orange-tigo-et-expresso-exclus-du-processus" TargetMode="External"/><Relationship Id="rId127" Type="http://schemas.openxmlformats.org/officeDocument/2006/relationships/hyperlink" Target="https://gain.fas.usda.gov/Recent%20GAIN%20Publications/Oilseeds%20and%20Products%20Annual_Buenos%20Aires_Argentina_4-26-2017.pdf" TargetMode="External"/><Relationship Id="rId10" Type="http://schemas.openxmlformats.org/officeDocument/2006/relationships/image" Target="media/image3.png"/><Relationship Id="rId31" Type="http://schemas.openxmlformats.org/officeDocument/2006/relationships/chart" Target="charts/chart9.xml"/><Relationship Id="rId52" Type="http://schemas.openxmlformats.org/officeDocument/2006/relationships/chart" Target="charts/chart30.xml"/><Relationship Id="rId73" Type="http://schemas.openxmlformats.org/officeDocument/2006/relationships/chart" Target="charts/chart39.xml"/><Relationship Id="rId78" Type="http://schemas.openxmlformats.org/officeDocument/2006/relationships/chart" Target="charts/chart44.xml"/><Relationship Id="rId94" Type="http://schemas.openxmlformats.org/officeDocument/2006/relationships/hyperlink" Target="http://www.agenceecofin.com/operateur/2001-35241-selon-sonatel-la-licence-4g-au-senegal-vaut-14-5-milliards-fcfa-et-non-30-milliards-fcfa" TargetMode="External"/><Relationship Id="rId99" Type="http://schemas.openxmlformats.org/officeDocument/2006/relationships/hyperlink" Target="http://citeseerx.ist.psu.edu/viewdoc/download?doi=10.1.1.913.4000&amp;rep=rep1&amp;type=pdf" TargetMode="External"/><Relationship Id="rId101" Type="http://schemas.openxmlformats.org/officeDocument/2006/relationships/hyperlink" Target="http://atlas.media.mit.edu/en/visualize/network/hs92/export/sen/all/show/2013/" TargetMode="External"/><Relationship Id="rId122" Type="http://schemas.openxmlformats.org/officeDocument/2006/relationships/hyperlink" Target="http://www.researchictafrica.net" TargetMode="Externa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2.png"/><Relationship Id="rId47" Type="http://schemas.openxmlformats.org/officeDocument/2006/relationships/chart" Target="charts/chart25.xml"/><Relationship Id="rId68" Type="http://schemas.openxmlformats.org/officeDocument/2006/relationships/chart" Target="charts/chart36.xml"/><Relationship Id="rId89" Type="http://schemas.openxmlformats.org/officeDocument/2006/relationships/image" Target="media/image32.png"/><Relationship Id="rId112" Type="http://schemas.openxmlformats.org/officeDocument/2006/relationships/hyperlink" Target="http://www.icrisat.org/partnering-with-local-government-for-fast-tracking-adoption-of-improved-groundnut-varieties-in-nigeria/" TargetMode="External"/><Relationship Id="rId133" Type="http://schemas.openxmlformats.org/officeDocument/2006/relationships/hyperlink" Target="http://www.researchictafrica.net" TargetMode="External"/><Relationship Id="rId16" Type="http://schemas.openxmlformats.org/officeDocument/2006/relationships/image" Target="media/image8.emf"/></Relationships>
</file>

<file path=word/_rels/footnotes.xml.rels><?xml version="1.0" encoding="UTF-8" standalone="yes"?>
<Relationships xmlns="http://schemas.openxmlformats.org/package/2006/relationships"><Relationship Id="rId8" Type="http://schemas.openxmlformats.org/officeDocument/2006/relationships/hyperlink" Target="http://www.doingbusiness.org/data/exploreeconomies/senegal" TargetMode="External"/><Relationship Id="rId13" Type="http://schemas.openxmlformats.org/officeDocument/2006/relationships/hyperlink" Target="https://apps.fas.usda.gov/psdonline/app/index.html" TargetMode="External"/><Relationship Id="rId18" Type="http://schemas.openxmlformats.org/officeDocument/2006/relationships/hyperlink" Target="http://www.autoritedelaconcurrence.fr/user/standard.php?id_rub=662&amp;id_article=2960&amp;lang=fr" TargetMode="External"/><Relationship Id="rId26" Type="http://schemas.openxmlformats.org/officeDocument/2006/relationships/hyperlink" Target="http://siteresources.worldbank.org/EXTFINANCIALSECTOR/Resources/282884-1303327122200/VP331-Competition-Policy.pdf" TargetMode="External"/><Relationship Id="rId3" Type="http://schemas.openxmlformats.org/officeDocument/2006/relationships/hyperlink" Target="http://fr.allafrica.com/stories/201805280103.html" TargetMode="External"/><Relationship Id="rId21" Type="http://schemas.openxmlformats.org/officeDocument/2006/relationships/hyperlink" Target="http://www.autoritedelaconcurrence.fr/user/avisdec.php?numero=14-D-10" TargetMode="External"/><Relationship Id="rId7" Type="http://schemas.openxmlformats.org/officeDocument/2006/relationships/hyperlink" Target="http://ec.europa.eu/competition/state_aid/legislation/temporary.html" TargetMode="External"/><Relationship Id="rId12" Type="http://schemas.openxmlformats.org/officeDocument/2006/relationships/hyperlink" Target="https://apps.fas.usda.gov/psdonline/app/index.html" TargetMode="External"/><Relationship Id="rId17" Type="http://schemas.openxmlformats.org/officeDocument/2006/relationships/hyperlink" Target="https://www.financialafrik.com/2017/06/12/senegal-3-operateurs-retenus-pour-les-licences-mvno/" TargetMode="External"/><Relationship Id="rId25" Type="http://schemas.openxmlformats.org/officeDocument/2006/relationships/hyperlink" Target="http://www.jo.gouv.sn/spip.php?article10896" TargetMode="External"/><Relationship Id="rId2" Type="http://schemas.openxmlformats.org/officeDocument/2006/relationships/hyperlink" Target="https://apps.fas.usda.gov/psdonline/app/index.html" TargetMode="External"/><Relationship Id="rId16" Type="http://schemas.openxmlformats.org/officeDocument/2006/relationships/hyperlink" Target="http://www.researchictafrica.net" TargetMode="External"/><Relationship Id="rId20" Type="http://schemas.openxmlformats.org/officeDocument/2006/relationships/hyperlink" Target="http://www.autoritedelaconcurrence.fr/user/avisdec.php?numero=09-D-36" TargetMode="External"/><Relationship Id="rId1" Type="http://schemas.openxmlformats.org/officeDocument/2006/relationships/hyperlink" Target="https://apps.fas.usda.gov/psdonline/app/index.html" TargetMode="External"/><Relationship Id="rId6" Type="http://schemas.openxmlformats.org/officeDocument/2006/relationships/hyperlink" Target="http://unctad.org/meetings/en/Presentation/c1mem5_2017_124_S3_Miroudot_2.pdf" TargetMode="External"/><Relationship Id="rId11" Type="http://schemas.openxmlformats.org/officeDocument/2006/relationships/hyperlink" Target="https://apps.fas.usda.gov/psdonline/app/index.html" TargetMode="External"/><Relationship Id="rId24" Type="http://schemas.openxmlformats.org/officeDocument/2006/relationships/hyperlink" Target="http://www.enqueteplus.com/content/attribution-de-la-licence-4g-au-s%C3%A9n%C3%A9gal-orange-tigo-et-expresso-exclus-du-processus" TargetMode="External"/><Relationship Id="rId5" Type="http://schemas.openxmlformats.org/officeDocument/2006/relationships/hyperlink" Target="https://en.wikipedia.org/wiki/The_Product_Space" TargetMode="External"/><Relationship Id="rId15" Type="http://schemas.openxmlformats.org/officeDocument/2006/relationships/hyperlink" Target="https://www.cbi.eu/market-information/processed-fruit-vegetables-edible-nuts/groundnuts-peanuts-europe/" TargetMode="External"/><Relationship Id="rId23" Type="http://schemas.openxmlformats.org/officeDocument/2006/relationships/hyperlink" Target="http://www.agenceecofin.com/operateur/2001-35241-selon-sonatel-la-licence-4g-au-senegal-vaut-14-5-milliards-fcfa-et-non-30-milliards-fcfa" TargetMode="External"/><Relationship Id="rId10" Type="http://schemas.openxmlformats.org/officeDocument/2006/relationships/hyperlink" Target="https://apps.fas.usda.gov/psdonline/app/index.html" TargetMode="External"/><Relationship Id="rId19" Type="http://schemas.openxmlformats.org/officeDocument/2006/relationships/hyperlink" Target="http://www.autoritedelaconcurrence.fr/user/avisdec.php?numero=12D24" TargetMode="External"/><Relationship Id="rId4" Type="http://schemas.openxmlformats.org/officeDocument/2006/relationships/hyperlink" Target="http://www.artpsenegal.net/index.php?option=com_content&amp;view=article&amp;id=304:communique-de-presse-la-portabilite-un-an-apres&amp;catid=9:infos-flash&amp;Itemid=162" TargetMode="External"/><Relationship Id="rId9" Type="http://schemas.openxmlformats.org/officeDocument/2006/relationships/hyperlink" Target="http://www.fao.org/faostat/en/" TargetMode="External"/><Relationship Id="rId14" Type="http://schemas.openxmlformats.org/officeDocument/2006/relationships/hyperlink" Target="https://apps.fas.usda.gov/psdonline/app/index.html" TargetMode="External"/><Relationship Id="rId22" Type="http://schemas.openxmlformats.org/officeDocument/2006/relationships/hyperlink" Target="http://www.etaamb.be/fr/rapport_n2009011265.html" TargetMode="External"/><Relationship Id="rId27" Type="http://schemas.openxmlformats.org/officeDocument/2006/relationships/hyperlink" Target="https://apps.fas.usda.gov/psdonline/app/index.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SEN%20&amp;%20MRT/2%20Senegal/Groundnuts/Graphs%20and%20Figures/Global%20production%20and%20export%20trend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11.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SEN%20&amp;%20MRT/2%20Senegal/PMR/Senegal%20PMR%20Analysis/Senegal%20PMR%20Analysis%20-%20June%20Updat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_rels/chart12.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SEN%20&amp;%20MRT/2%20Senegal/PMR/Senegal%20PMR%20Analysis/Senegal%20PMR%20Analysis%20-%20June%20Updat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9.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xlsx"/></Relationships>
</file>

<file path=word/charts/_rels/chart15.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20Sector%20Analysis%20-%20Feb%20Update%202.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0.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1.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koschorke\Desktop\SEN%20&amp;%20MRT\2%20Senegal\PMR\Senegal%20PMR%20Analysis\Senegal%20PMR%20Analysis%20-%20June%20Update.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2.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koschorke\Desktop\SEN%20&amp;%20MRT\2%20Senegal\PMR\Senegal%20PMR%20Analysis\Senegal%20PMR%20Analysis%20-%20June%20Update.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3.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20Sector%20Analysis%20-%20Feb%20Update%202.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4.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20Sector%20Analysis%20-%20Feb%20Update%202.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15.xml"/><Relationship Id="rId4" Type="http://schemas.openxmlformats.org/officeDocument/2006/relationships/package" Target="../embeddings/Microsoft_Excel_Worksheet2.xlsx"/></Relationships>
</file>

<file path=word/charts/_rels/chart28.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1%20SEN%20&amp;%20MRT/2%20Senegal/PMR/Senegal%20PMR%20Analysis/Senegal%20PMR%20Analysis%20-%20May%202018%20Update%20(analysis%20not%20updated).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6.xml"/></Relationships>
</file>

<file path=word/charts/_rels/chart29.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1%20SEN%20&amp;%20MRT/2%20Senegal/PMR/Senegal%20PMR%20Analysis/Senegal%20PMR%20Analysis%20-%20May%202018%20Update%20(analysis%20not%20updated).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7.xml"/></Relationships>
</file>

<file path=word/charts/_rels/chart3.xml.rels><?xml version="1.0" encoding="UTF-8" standalone="yes"?>
<Relationships xmlns="http://schemas.openxmlformats.org/package/2006/relationships"><Relationship Id="rId3" Type="http://schemas.openxmlformats.org/officeDocument/2006/relationships/oleObject" Target="file:///\\Users\Julian\Desktop\Senegal\GDP%20and%20sectoral%20contribution%20graph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egal%20PMR%20Analysis%20-%20Feb%20Update%202.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SEN%20&amp;%20MRT/2%20Senegal/Groundnuts/Graphs%20and%20Figures/Copy%20of%20Senegalese%20Share%20in%20Exports.xlsx" TargetMode="External"/><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SEN%20&amp;%20MRT/2%20Senegal/Groundnuts/Graphs%20and%20Figures/Global%20production%20and%20export%20trends.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18.xml"/></Relationships>
</file>

<file path=word/charts/_rels/chart33.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SEN%20&amp;%20MRT/2%20Senegal/Graphs/Global%20Exports.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Julian\Downloads\Fertilizer.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jkoschorke\WinRAR-HOLD\Rar$DIa0.028\AgIncentivesNRP.csv"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19.xml"/></Relationships>
</file>

<file path=word/charts/_rels/chart38.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1%20SEN%20&amp;%20MRT/2%20Senegal/Telecoms/IDI%20graph.xlsx" TargetMode="External"/><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oleObject" Target="file:///\\Users\goncalocoelho\Documents\SEN%20&amp;%20MRT\Post-decision%20meeting\SEN\SEN%20Sector%20Analysis%20-%20Feb%20Update%202.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SEN%20&amp;%20MRT/2%20Senegal/Graphs/GDP%20and%20sectoral%20contribution%20graph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SEN%20&amp;%20MRT/2%20Senegal/Graphs/Telecoms%20market%20shares.xlsx" TargetMode="Externa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chartUserShapes" Target="../drawings/drawing20.xml"/></Relationships>
</file>

<file path=word/charts/_rels/chart41.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SEN%20&amp;%20MRT/2%20Senegal/Graphs/Telecoms%20market%20shares.xlsx" TargetMode="Externa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chartUserShapes" Target="../drawings/drawing21.xm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https://worldbankgroup-my.sharepoint.com/personal/jkoschorke_ifc_org/Documents/SEN%20&amp;%20MRT/2%20Senegal/Graphs/Telecoms%20market%20shares.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Tilsa\Downloads\Evolution%20graph_revTO.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Tilsa\Downloads\Telecoms%20market%20shares_revTO.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1%20SEN%20&amp;%20MRT/2%20Senegal/Graphs/Telecoms%20market%20shares.xlsx" TargetMode="Externa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chartUserShapes" Target="../drawings/drawing2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oleObject" Target="file:///\\Users\goncalocoelho\Documents\SEN%20&amp;%20MRT\Post-decision%20meeting\SEN\Senegal%20PMR%20Analysis%20-%20Feb%20Update%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goncalocoelho\Documents\SEN%20&amp;%20MRT\Post-decision%20meeting\SEN\Senegal%20PMR%20Analysis%20-%20Feb%20Update%20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1%20SEN%20&amp;%20MRT/2%20Senegal/PMR/Senegal%20PMR%20Analysis/Senegal%20PMR%20Analysis%20-%20May%202018%20Update%20(analysis%20not%20updated).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3" Type="http://schemas.openxmlformats.org/officeDocument/2006/relationships/oleObject" Target="https://worldbankgroup-my.sharepoint.com/personal/jkoschorke_ifc_org/Documents/1%20SEN%20&amp;%20MRT/2%20Senegal/PMR/Senegal%20PMR%20Analysis/Senegal%20PMR%20Analysis%20-%20May%202018%20Update%20(analysis%20not%20updated).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'psd (1)'!$B$6:$C$6</c:f>
              <c:strCache>
                <c:ptCount val="2"/>
                <c:pt idx="0">
                  <c:v>Exports</c:v>
                </c:pt>
                <c:pt idx="1">
                  <c:v>Groundnut oil</c:v>
                </c:pt>
              </c:strCache>
            </c:strRef>
          </c:tx>
          <c:spPr>
            <a:ln w="28575" cap="rnd">
              <a:solidFill>
                <a:schemeClr val="accent1"/>
              </a:solidFill>
              <a:round/>
            </a:ln>
            <a:effectLst/>
          </c:spPr>
          <c:marker>
            <c:symbol val="none"/>
          </c:marker>
          <c:cat>
            <c:strRef>
              <c:f>'psd (1)'!$D$1:$AC$1</c:f>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f>'psd (1)'!$D$6:$AC$6</c:f>
              <c:numCache>
                <c:formatCode>General</c:formatCode>
                <c:ptCount val="26"/>
                <c:pt idx="0">
                  <c:v>284</c:v>
                </c:pt>
                <c:pt idx="1">
                  <c:v>297</c:v>
                </c:pt>
                <c:pt idx="2">
                  <c:v>178</c:v>
                </c:pt>
                <c:pt idx="3">
                  <c:v>265</c:v>
                </c:pt>
                <c:pt idx="4">
                  <c:v>229</c:v>
                </c:pt>
                <c:pt idx="5">
                  <c:v>229</c:v>
                </c:pt>
                <c:pt idx="6">
                  <c:v>192</c:v>
                </c:pt>
                <c:pt idx="7">
                  <c:v>208</c:v>
                </c:pt>
                <c:pt idx="8">
                  <c:v>257</c:v>
                </c:pt>
                <c:pt idx="9">
                  <c:v>283</c:v>
                </c:pt>
                <c:pt idx="10">
                  <c:v>209</c:v>
                </c:pt>
                <c:pt idx="11">
                  <c:v>215</c:v>
                </c:pt>
                <c:pt idx="12">
                  <c:v>151</c:v>
                </c:pt>
                <c:pt idx="13">
                  <c:v>186</c:v>
                </c:pt>
                <c:pt idx="14">
                  <c:v>155</c:v>
                </c:pt>
                <c:pt idx="15">
                  <c:v>195</c:v>
                </c:pt>
                <c:pt idx="16">
                  <c:v>184</c:v>
                </c:pt>
                <c:pt idx="17">
                  <c:v>165</c:v>
                </c:pt>
                <c:pt idx="18">
                  <c:v>206</c:v>
                </c:pt>
                <c:pt idx="19">
                  <c:v>202</c:v>
                </c:pt>
                <c:pt idx="20">
                  <c:v>195</c:v>
                </c:pt>
                <c:pt idx="21">
                  <c:v>201</c:v>
                </c:pt>
                <c:pt idx="22">
                  <c:v>181</c:v>
                </c:pt>
                <c:pt idx="23">
                  <c:v>222</c:v>
                </c:pt>
                <c:pt idx="24">
                  <c:v>259</c:v>
                </c:pt>
                <c:pt idx="25">
                  <c:v>252</c:v>
                </c:pt>
              </c:numCache>
            </c:numRef>
          </c:val>
          <c:smooth val="0"/>
          <c:extLst>
            <c:ext xmlns:c16="http://schemas.microsoft.com/office/drawing/2014/chart" uri="{C3380CC4-5D6E-409C-BE32-E72D297353CC}">
              <c16:uniqueId val="{00000000-8162-4940-9D15-813219D57EBB}"/>
            </c:ext>
          </c:extLst>
        </c:ser>
        <c:ser>
          <c:idx val="13"/>
          <c:order val="13"/>
          <c:tx>
            <c:strRef>
              <c:f>'psd (1)'!$B$16:$C$16</c:f>
              <c:strCache>
                <c:ptCount val="2"/>
                <c:pt idx="0">
                  <c:v>Exports</c:v>
                </c:pt>
                <c:pt idx="1">
                  <c:v>Groundnut (oil equivalent)</c:v>
                </c:pt>
              </c:strCache>
            </c:strRef>
          </c:tx>
          <c:spPr>
            <a:ln w="28575" cap="rnd">
              <a:solidFill>
                <a:schemeClr val="accent2">
                  <a:lumMod val="80000"/>
                  <a:lumOff val="20000"/>
                </a:schemeClr>
              </a:solidFill>
              <a:round/>
            </a:ln>
            <a:effectLst/>
          </c:spPr>
          <c:marker>
            <c:symbol val="none"/>
          </c:marker>
          <c:cat>
            <c:strRef>
              <c:f>'psd (1)'!$D$1:$AC$1</c:f>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f>'psd (1)'!$D$16:$AC$16</c:f>
              <c:numCache>
                <c:formatCode>#,##0</c:formatCode>
                <c:ptCount val="26"/>
                <c:pt idx="0">
                  <c:v>365.12000000000012</c:v>
                </c:pt>
                <c:pt idx="1">
                  <c:v>356.11999999999989</c:v>
                </c:pt>
                <c:pt idx="2">
                  <c:v>368.01</c:v>
                </c:pt>
                <c:pt idx="3">
                  <c:v>381.64</c:v>
                </c:pt>
                <c:pt idx="4">
                  <c:v>425.71999999999991</c:v>
                </c:pt>
                <c:pt idx="5">
                  <c:v>461.67999999999989</c:v>
                </c:pt>
                <c:pt idx="6">
                  <c:v>435.59999999999991</c:v>
                </c:pt>
                <c:pt idx="7">
                  <c:v>435.59999999999991</c:v>
                </c:pt>
                <c:pt idx="8">
                  <c:v>403.5</c:v>
                </c:pt>
                <c:pt idx="9">
                  <c:v>610.24</c:v>
                </c:pt>
                <c:pt idx="10">
                  <c:v>617.91999999999996</c:v>
                </c:pt>
                <c:pt idx="11">
                  <c:v>637.76</c:v>
                </c:pt>
                <c:pt idx="12">
                  <c:v>661.76</c:v>
                </c:pt>
                <c:pt idx="13">
                  <c:v>628.48</c:v>
                </c:pt>
                <c:pt idx="14">
                  <c:v>726.72</c:v>
                </c:pt>
                <c:pt idx="15">
                  <c:v>723.52</c:v>
                </c:pt>
                <c:pt idx="16">
                  <c:v>762.88</c:v>
                </c:pt>
                <c:pt idx="17">
                  <c:v>781.12</c:v>
                </c:pt>
                <c:pt idx="18">
                  <c:v>776.64</c:v>
                </c:pt>
                <c:pt idx="19">
                  <c:v>769.6</c:v>
                </c:pt>
                <c:pt idx="20">
                  <c:v>1139.8399999999999</c:v>
                </c:pt>
                <c:pt idx="21">
                  <c:v>1050.24</c:v>
                </c:pt>
                <c:pt idx="22">
                  <c:v>850.88</c:v>
                </c:pt>
                <c:pt idx="23">
                  <c:v>928.95999999999788</c:v>
                </c:pt>
                <c:pt idx="24">
                  <c:v>1056</c:v>
                </c:pt>
                <c:pt idx="25">
                  <c:v>1127.3599999999999</c:v>
                </c:pt>
              </c:numCache>
            </c:numRef>
          </c:val>
          <c:smooth val="0"/>
          <c:extLst>
            <c:ext xmlns:c16="http://schemas.microsoft.com/office/drawing/2014/chart" uri="{C3380CC4-5D6E-409C-BE32-E72D297353CC}">
              <c16:uniqueId val="{00000001-8162-4940-9D15-813219D57EBB}"/>
            </c:ext>
          </c:extLst>
        </c:ser>
        <c:dLbls>
          <c:showLegendKey val="0"/>
          <c:showVal val="0"/>
          <c:showCatName val="0"/>
          <c:showSerName val="0"/>
          <c:showPercent val="0"/>
          <c:showBubbleSize val="0"/>
        </c:dLbls>
        <c:smooth val="0"/>
        <c:axId val="1340613296"/>
        <c:axId val="1060220512"/>
        <c:extLst>
          <c:ext xmlns:c15="http://schemas.microsoft.com/office/drawing/2012/chart" uri="{02D57815-91ED-43cb-92C2-25804820EDAC}">
            <c15:filteredLineSeries>
              <c15:ser>
                <c:idx val="0"/>
                <c:order val="0"/>
                <c:tx>
                  <c:strRef>
                    <c:extLst>
                      <c:ext uri="{02D57815-91ED-43cb-92C2-25804820EDAC}">
                        <c15:formulaRef>
                          <c15:sqref>'psd (1)'!$B$3:$C$3</c15:sqref>
                        </c15:formulaRef>
                      </c:ext>
                    </c:extLst>
                    <c:strCache>
                      <c:ptCount val="2"/>
                      <c:pt idx="0">
                        <c:v>Production</c:v>
                      </c:pt>
                      <c:pt idx="1">
                        <c:v>Groundnut oil</c:v>
                      </c:pt>
                    </c:strCache>
                  </c:strRef>
                </c:tx>
                <c:spPr>
                  <a:ln w="28575" cap="rnd">
                    <a:solidFill>
                      <a:schemeClr val="accent1"/>
                    </a:solidFill>
                    <a:round/>
                  </a:ln>
                  <a:effectLst/>
                </c:spPr>
                <c:marker>
                  <c:symbol val="none"/>
                </c:marker>
                <c:cat>
                  <c:strRef>
                    <c:extLst>
                      <c:ex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c:ext uri="{02D57815-91ED-43cb-92C2-25804820EDAC}">
                        <c15:formulaRef>
                          <c15:sqref>'psd (1)'!$D$3:$AC$3</c15:sqref>
                        </c15:formulaRef>
                      </c:ext>
                    </c:extLst>
                    <c:numCache>
                      <c:formatCode>#,##0</c:formatCode>
                      <c:ptCount val="26"/>
                      <c:pt idx="0">
                        <c:v>3294</c:v>
                      </c:pt>
                      <c:pt idx="1">
                        <c:v>3296</c:v>
                      </c:pt>
                      <c:pt idx="2">
                        <c:v>3512</c:v>
                      </c:pt>
                      <c:pt idx="3">
                        <c:v>3616</c:v>
                      </c:pt>
                      <c:pt idx="4">
                        <c:v>4141</c:v>
                      </c:pt>
                      <c:pt idx="5">
                        <c:v>4076</c:v>
                      </c:pt>
                      <c:pt idx="6">
                        <c:v>4426</c:v>
                      </c:pt>
                      <c:pt idx="7">
                        <c:v>4176</c:v>
                      </c:pt>
                      <c:pt idx="8">
                        <c:v>4440</c:v>
                      </c:pt>
                      <c:pt idx="9">
                        <c:v>4413</c:v>
                      </c:pt>
                      <c:pt idx="10">
                        <c:v>4721</c:v>
                      </c:pt>
                      <c:pt idx="11">
                        <c:v>5292</c:v>
                      </c:pt>
                      <c:pt idx="12">
                        <c:v>4885</c:v>
                      </c:pt>
                      <c:pt idx="13">
                        <c:v>5264</c:v>
                      </c:pt>
                      <c:pt idx="14">
                        <c:v>4931</c:v>
                      </c:pt>
                      <c:pt idx="15">
                        <c:v>5012</c:v>
                      </c:pt>
                      <c:pt idx="16">
                        <c:v>4552</c:v>
                      </c:pt>
                      <c:pt idx="17">
                        <c:v>4926</c:v>
                      </c:pt>
                      <c:pt idx="18">
                        <c:v>5013</c:v>
                      </c:pt>
                      <c:pt idx="19">
                        <c:v>4819</c:v>
                      </c:pt>
                      <c:pt idx="20">
                        <c:v>5155</c:v>
                      </c:pt>
                      <c:pt idx="21">
                        <c:v>5279</c:v>
                      </c:pt>
                      <c:pt idx="22">
                        <c:v>5398</c:v>
                      </c:pt>
                      <c:pt idx="23">
                        <c:v>5724</c:v>
                      </c:pt>
                      <c:pt idx="24">
                        <c:v>5427</c:v>
                      </c:pt>
                      <c:pt idx="25">
                        <c:v>5438</c:v>
                      </c:pt>
                    </c:numCache>
                  </c:numRef>
                </c:val>
                <c:smooth val="0"/>
                <c:extLst>
                  <c:ext xmlns:c16="http://schemas.microsoft.com/office/drawing/2014/chart" uri="{C3380CC4-5D6E-409C-BE32-E72D297353CC}">
                    <c16:uniqueId val="{00000002-8162-4940-9D15-813219D57EB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'psd (1)'!$B$4:$C$4</c15:sqref>
                        </c15:formulaRef>
                      </c:ext>
                    </c:extLst>
                    <c:strCache>
                      <c:ptCount val="2"/>
                      <c:pt idx="0">
                        <c:v>Imports</c:v>
                      </c:pt>
                      <c:pt idx="1">
                        <c:v>Groundnut oil</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(1)'!$D$4:$AC$4</c15:sqref>
                        </c15:formulaRef>
                      </c:ext>
                    </c:extLst>
                    <c:numCache>
                      <c:formatCode>General</c:formatCode>
                      <c:ptCount val="26"/>
                      <c:pt idx="0">
                        <c:v>302</c:v>
                      </c:pt>
                      <c:pt idx="1">
                        <c:v>222</c:v>
                      </c:pt>
                      <c:pt idx="2">
                        <c:v>230</c:v>
                      </c:pt>
                      <c:pt idx="3">
                        <c:v>228</c:v>
                      </c:pt>
                      <c:pt idx="4">
                        <c:v>249</c:v>
                      </c:pt>
                      <c:pt idx="5">
                        <c:v>215</c:v>
                      </c:pt>
                      <c:pt idx="6">
                        <c:v>222</c:v>
                      </c:pt>
                      <c:pt idx="7">
                        <c:v>223</c:v>
                      </c:pt>
                      <c:pt idx="8">
                        <c:v>216</c:v>
                      </c:pt>
                      <c:pt idx="9">
                        <c:v>202</c:v>
                      </c:pt>
                      <c:pt idx="10">
                        <c:v>205</c:v>
                      </c:pt>
                      <c:pt idx="11">
                        <c:v>221</c:v>
                      </c:pt>
                      <c:pt idx="12">
                        <c:v>212</c:v>
                      </c:pt>
                      <c:pt idx="13">
                        <c:v>192</c:v>
                      </c:pt>
                      <c:pt idx="14">
                        <c:v>160</c:v>
                      </c:pt>
                      <c:pt idx="15">
                        <c:v>153</c:v>
                      </c:pt>
                      <c:pt idx="16">
                        <c:v>184</c:v>
                      </c:pt>
                      <c:pt idx="17">
                        <c:v>153</c:v>
                      </c:pt>
                      <c:pt idx="18">
                        <c:v>143</c:v>
                      </c:pt>
                      <c:pt idx="19">
                        <c:v>186</c:v>
                      </c:pt>
                      <c:pt idx="20">
                        <c:v>197</c:v>
                      </c:pt>
                      <c:pt idx="21">
                        <c:v>166</c:v>
                      </c:pt>
                      <c:pt idx="22">
                        <c:v>161</c:v>
                      </c:pt>
                      <c:pt idx="23">
                        <c:v>190</c:v>
                      </c:pt>
                      <c:pt idx="24">
                        <c:v>248</c:v>
                      </c:pt>
                      <c:pt idx="25">
                        <c:v>240</c:v>
                      </c:pt>
                    </c:numCache>
                  </c:numRef>
                </c:val>
                <c:smooth val="0"/>
                <c:extLst xmlns:c15="http://schemas.microsoft.com/office/drawing/2012/chart">
                  <c:ext xmlns:c16="http://schemas.microsoft.com/office/drawing/2014/chart" uri="{C3380CC4-5D6E-409C-BE32-E72D297353CC}">
                    <c16:uniqueId val="{00000003-8162-4940-9D15-813219D57EB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'psd (1)'!$B$5:$C$5</c15:sqref>
                        </c15:formulaRef>
                      </c:ext>
                    </c:extLst>
                    <c:strCache>
                      <c:ptCount val="2"/>
                      <c:pt idx="0">
                        <c:v>Total Supply</c:v>
                      </c:pt>
                      <c:pt idx="1">
                        <c:v>Groundnut oil</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(1)'!$D$5:$AC$5</c15:sqref>
                        </c15:formulaRef>
                      </c:ext>
                    </c:extLst>
                    <c:numCache>
                      <c:formatCode>#,##0</c:formatCode>
                      <c:ptCount val="26"/>
                      <c:pt idx="0">
                        <c:v>3656</c:v>
                      </c:pt>
                      <c:pt idx="1">
                        <c:v>3561</c:v>
                      </c:pt>
                      <c:pt idx="2">
                        <c:v>3820</c:v>
                      </c:pt>
                      <c:pt idx="3">
                        <c:v>3909</c:v>
                      </c:pt>
                      <c:pt idx="4">
                        <c:v>4437</c:v>
                      </c:pt>
                      <c:pt idx="5">
                        <c:v>4358</c:v>
                      </c:pt>
                      <c:pt idx="6">
                        <c:v>4751</c:v>
                      </c:pt>
                      <c:pt idx="7">
                        <c:v>4498</c:v>
                      </c:pt>
                      <c:pt idx="8">
                        <c:v>4728</c:v>
                      </c:pt>
                      <c:pt idx="9">
                        <c:v>4675</c:v>
                      </c:pt>
                      <c:pt idx="10">
                        <c:v>5097</c:v>
                      </c:pt>
                      <c:pt idx="11">
                        <c:v>5697</c:v>
                      </c:pt>
                      <c:pt idx="12">
                        <c:v>5311</c:v>
                      </c:pt>
                      <c:pt idx="13">
                        <c:v>5648</c:v>
                      </c:pt>
                      <c:pt idx="14">
                        <c:v>5407</c:v>
                      </c:pt>
                      <c:pt idx="15">
                        <c:v>5446</c:v>
                      </c:pt>
                      <c:pt idx="16">
                        <c:v>4988</c:v>
                      </c:pt>
                      <c:pt idx="17">
                        <c:v>5281</c:v>
                      </c:pt>
                      <c:pt idx="18">
                        <c:v>5505</c:v>
                      </c:pt>
                      <c:pt idx="19">
                        <c:v>5408</c:v>
                      </c:pt>
                      <c:pt idx="20">
                        <c:v>5671</c:v>
                      </c:pt>
                      <c:pt idx="21">
                        <c:v>5756</c:v>
                      </c:pt>
                      <c:pt idx="22">
                        <c:v>5844</c:v>
                      </c:pt>
                      <c:pt idx="23">
                        <c:v>6135</c:v>
                      </c:pt>
                      <c:pt idx="24">
                        <c:v>5912</c:v>
                      </c:pt>
                      <c:pt idx="25">
                        <c:v>5827</c:v>
                      </c:pt>
                    </c:numCache>
                  </c:numRef>
                </c:val>
                <c:smooth val="0"/>
                <c:extLst xmlns:c15="http://schemas.microsoft.com/office/drawing/2012/chart">
                  <c:ext xmlns:c16="http://schemas.microsoft.com/office/drawing/2014/chart" uri="{C3380CC4-5D6E-409C-BE32-E72D297353CC}">
                    <c16:uniqueId val="{00000004-8162-4940-9D15-813219D57EB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'psd (1)'!$B$7:$C$7</c15:sqref>
                        </c15:formulaRef>
                      </c:ext>
                    </c:extLst>
                    <c:strCache>
                      <c:ptCount val="2"/>
                      <c:pt idx="0">
                        <c:v>Domestic Consumption</c:v>
                      </c:pt>
                      <c:pt idx="1">
                        <c:v>Groundnut oil</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(1)'!$D$7:$AC$7</c15:sqref>
                        </c15:formulaRef>
                      </c:ext>
                    </c:extLst>
                    <c:numCache>
                      <c:formatCode>#,##0</c:formatCode>
                      <c:ptCount val="26"/>
                      <c:pt idx="0">
                        <c:v>3308</c:v>
                      </c:pt>
                      <c:pt idx="1">
                        <c:v>3186</c:v>
                      </c:pt>
                      <c:pt idx="2">
                        <c:v>3577</c:v>
                      </c:pt>
                      <c:pt idx="3">
                        <c:v>3597</c:v>
                      </c:pt>
                      <c:pt idx="4">
                        <c:v>4141</c:v>
                      </c:pt>
                      <c:pt idx="5">
                        <c:v>4026</c:v>
                      </c:pt>
                      <c:pt idx="6">
                        <c:v>4460</c:v>
                      </c:pt>
                      <c:pt idx="7">
                        <c:v>4218</c:v>
                      </c:pt>
                      <c:pt idx="8">
                        <c:v>4411</c:v>
                      </c:pt>
                      <c:pt idx="9">
                        <c:v>4221</c:v>
                      </c:pt>
                      <c:pt idx="10">
                        <c:v>4704</c:v>
                      </c:pt>
                      <c:pt idx="11">
                        <c:v>5268</c:v>
                      </c:pt>
                      <c:pt idx="12">
                        <c:v>4968</c:v>
                      </c:pt>
                      <c:pt idx="13">
                        <c:v>5146</c:v>
                      </c:pt>
                      <c:pt idx="14">
                        <c:v>4971</c:v>
                      </c:pt>
                      <c:pt idx="15">
                        <c:v>4999</c:v>
                      </c:pt>
                      <c:pt idx="16">
                        <c:v>4602</c:v>
                      </c:pt>
                      <c:pt idx="17">
                        <c:v>4767</c:v>
                      </c:pt>
                      <c:pt idx="18">
                        <c:v>4896</c:v>
                      </c:pt>
                      <c:pt idx="19">
                        <c:v>4887</c:v>
                      </c:pt>
                      <c:pt idx="20">
                        <c:v>5165</c:v>
                      </c:pt>
                      <c:pt idx="21">
                        <c:v>5270</c:v>
                      </c:pt>
                      <c:pt idx="22">
                        <c:v>5442</c:v>
                      </c:pt>
                      <c:pt idx="23">
                        <c:v>5676</c:v>
                      </c:pt>
                      <c:pt idx="24">
                        <c:v>5504</c:v>
                      </c:pt>
                      <c:pt idx="25">
                        <c:v>5439</c:v>
                      </c:pt>
                    </c:numCache>
                  </c:numRef>
                </c:val>
                <c:smooth val="0"/>
                <c:extLst xmlns:c15="http://schemas.microsoft.com/office/drawing/2012/chart">
                  <c:ext xmlns:c16="http://schemas.microsoft.com/office/drawing/2014/chart" uri="{C3380CC4-5D6E-409C-BE32-E72D297353CC}">
                    <c16:uniqueId val="{00000005-8162-4940-9D15-813219D57EB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'psd (1)'!$B$8:$C$8</c15:sqref>
                        </c15:formulaRef>
                      </c:ext>
                    </c:extLst>
                    <c:strCache>
                      <c:ptCount val="2"/>
                      <c:pt idx="0">
                        <c:v>Production</c:v>
                      </c:pt>
                      <c:pt idx="1">
                        <c:v>Groundnut</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(1)'!$D$8:$AC$8</c15:sqref>
                        </c15:formulaRef>
                      </c:ext>
                    </c:extLst>
                    <c:numCache>
                      <c:formatCode>#,##0</c:formatCode>
                      <c:ptCount val="26"/>
                      <c:pt idx="0">
                        <c:v>21747</c:v>
                      </c:pt>
                      <c:pt idx="1">
                        <c:v>21953</c:v>
                      </c:pt>
                      <c:pt idx="2">
                        <c:v>23077</c:v>
                      </c:pt>
                      <c:pt idx="3">
                        <c:v>24298</c:v>
                      </c:pt>
                      <c:pt idx="4">
                        <c:v>27482</c:v>
                      </c:pt>
                      <c:pt idx="5">
                        <c:v>27630</c:v>
                      </c:pt>
                      <c:pt idx="6">
                        <c:v>29118</c:v>
                      </c:pt>
                      <c:pt idx="7">
                        <c:v>27518</c:v>
                      </c:pt>
                      <c:pt idx="8">
                        <c:v>29960</c:v>
                      </c:pt>
                      <c:pt idx="9">
                        <c:v>29416</c:v>
                      </c:pt>
                      <c:pt idx="10">
                        <c:v>33297</c:v>
                      </c:pt>
                      <c:pt idx="11">
                        <c:v>35634</c:v>
                      </c:pt>
                      <c:pt idx="12">
                        <c:v>33507</c:v>
                      </c:pt>
                      <c:pt idx="13">
                        <c:v>35179</c:v>
                      </c:pt>
                      <c:pt idx="14">
                        <c:v>34983</c:v>
                      </c:pt>
                      <c:pt idx="15">
                        <c:v>35739</c:v>
                      </c:pt>
                      <c:pt idx="16">
                        <c:v>32621</c:v>
                      </c:pt>
                      <c:pt idx="17">
                        <c:v>34125</c:v>
                      </c:pt>
                      <c:pt idx="18">
                        <c:v>36886</c:v>
                      </c:pt>
                      <c:pt idx="19">
                        <c:v>36369</c:v>
                      </c:pt>
                      <c:pt idx="20">
                        <c:v>39921</c:v>
                      </c:pt>
                      <c:pt idx="21">
                        <c:v>39364</c:v>
                      </c:pt>
                      <c:pt idx="22">
                        <c:v>40891</c:v>
                      </c:pt>
                      <c:pt idx="23">
                        <c:v>41868</c:v>
                      </c:pt>
                      <c:pt idx="24">
                        <c:v>40455</c:v>
                      </c:pt>
                      <c:pt idx="25">
                        <c:v>40423</c:v>
                      </c:pt>
                    </c:numCache>
                  </c:numRef>
                </c:val>
                <c:smooth val="0"/>
                <c:extLst xmlns:c15="http://schemas.microsoft.com/office/drawing/2012/chart">
                  <c:ext xmlns:c16="http://schemas.microsoft.com/office/drawing/2014/chart" uri="{C3380CC4-5D6E-409C-BE32-E72D297353CC}">
                    <c16:uniqueId val="{00000006-8162-4940-9D15-813219D57EBB}"/>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'psd (1)'!$B$9:$C$9</c15:sqref>
                        </c15:formulaRef>
                      </c:ext>
                    </c:extLst>
                    <c:strCache>
                      <c:ptCount val="2"/>
                      <c:pt idx="0">
                        <c:v>Imports</c:v>
                      </c:pt>
                      <c:pt idx="1">
                        <c:v>Groundnut</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(1)'!$D$9:$AC$9</c15:sqref>
                        </c15:formulaRef>
                      </c:ext>
                    </c:extLst>
                    <c:numCache>
                      <c:formatCode>#,##0</c:formatCode>
                      <c:ptCount val="26"/>
                      <c:pt idx="0">
                        <c:v>1363</c:v>
                      </c:pt>
                      <c:pt idx="1">
                        <c:v>1301</c:v>
                      </c:pt>
                      <c:pt idx="2">
                        <c:v>1222</c:v>
                      </c:pt>
                      <c:pt idx="3">
                        <c:v>1356</c:v>
                      </c:pt>
                      <c:pt idx="4">
                        <c:v>1405</c:v>
                      </c:pt>
                      <c:pt idx="5">
                        <c:v>1410</c:v>
                      </c:pt>
                      <c:pt idx="6">
                        <c:v>1459</c:v>
                      </c:pt>
                      <c:pt idx="7">
                        <c:v>1241</c:v>
                      </c:pt>
                      <c:pt idx="8">
                        <c:v>1407</c:v>
                      </c:pt>
                      <c:pt idx="9">
                        <c:v>1800</c:v>
                      </c:pt>
                      <c:pt idx="10">
                        <c:v>1778</c:v>
                      </c:pt>
                      <c:pt idx="11">
                        <c:v>1867</c:v>
                      </c:pt>
                      <c:pt idx="12">
                        <c:v>1719</c:v>
                      </c:pt>
                      <c:pt idx="13">
                        <c:v>1620</c:v>
                      </c:pt>
                      <c:pt idx="14">
                        <c:v>1767</c:v>
                      </c:pt>
                      <c:pt idx="15">
                        <c:v>1870</c:v>
                      </c:pt>
                      <c:pt idx="16">
                        <c:v>1912</c:v>
                      </c:pt>
                      <c:pt idx="17">
                        <c:v>2034</c:v>
                      </c:pt>
                      <c:pt idx="18">
                        <c:v>1892</c:v>
                      </c:pt>
                      <c:pt idx="19">
                        <c:v>2017</c:v>
                      </c:pt>
                      <c:pt idx="20">
                        <c:v>2393</c:v>
                      </c:pt>
                      <c:pt idx="21">
                        <c:v>2377</c:v>
                      </c:pt>
                      <c:pt idx="22">
                        <c:v>2354</c:v>
                      </c:pt>
                      <c:pt idx="23">
                        <c:v>2359</c:v>
                      </c:pt>
                      <c:pt idx="24">
                        <c:v>2537</c:v>
                      </c:pt>
                      <c:pt idx="25">
                        <c:v>3285</c:v>
                      </c:pt>
                    </c:numCache>
                  </c:numRef>
                </c:val>
                <c:smooth val="0"/>
                <c:extLst xmlns:c15="http://schemas.microsoft.com/office/drawing/2012/chart">
                  <c:ext xmlns:c16="http://schemas.microsoft.com/office/drawing/2014/chart" uri="{C3380CC4-5D6E-409C-BE32-E72D297353CC}">
                    <c16:uniqueId val="{00000007-8162-4940-9D15-813219D57EB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'psd (1)'!$B$10:$C$10</c15:sqref>
                        </c15:formulaRef>
                      </c:ext>
                    </c:extLst>
                    <c:strCache>
                      <c:ptCount val="2"/>
                      <c:pt idx="0">
                        <c:v>Total Supply</c:v>
                      </c:pt>
                      <c:pt idx="1">
                        <c:v>Groundnut</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(1)'!$D$10:$AC$10</c15:sqref>
                        </c15:formulaRef>
                      </c:ext>
                    </c:extLst>
                    <c:numCache>
                      <c:formatCode>#,##0</c:formatCode>
                      <c:ptCount val="26"/>
                      <c:pt idx="0">
                        <c:v>23846</c:v>
                      </c:pt>
                      <c:pt idx="1">
                        <c:v>23982</c:v>
                      </c:pt>
                      <c:pt idx="2">
                        <c:v>25170</c:v>
                      </c:pt>
                      <c:pt idx="3">
                        <c:v>26659</c:v>
                      </c:pt>
                      <c:pt idx="4">
                        <c:v>29686</c:v>
                      </c:pt>
                      <c:pt idx="5">
                        <c:v>30034</c:v>
                      </c:pt>
                      <c:pt idx="6">
                        <c:v>31407</c:v>
                      </c:pt>
                      <c:pt idx="7">
                        <c:v>29632</c:v>
                      </c:pt>
                      <c:pt idx="8">
                        <c:v>32405</c:v>
                      </c:pt>
                      <c:pt idx="9">
                        <c:v>32475</c:v>
                      </c:pt>
                      <c:pt idx="10">
                        <c:v>36399</c:v>
                      </c:pt>
                      <c:pt idx="11">
                        <c:v>38910</c:v>
                      </c:pt>
                      <c:pt idx="12">
                        <c:v>36994</c:v>
                      </c:pt>
                      <c:pt idx="13">
                        <c:v>38108</c:v>
                      </c:pt>
                      <c:pt idx="14">
                        <c:v>38062</c:v>
                      </c:pt>
                      <c:pt idx="15">
                        <c:v>39170</c:v>
                      </c:pt>
                      <c:pt idx="16">
                        <c:v>36393</c:v>
                      </c:pt>
                      <c:pt idx="17">
                        <c:v>37634</c:v>
                      </c:pt>
                      <c:pt idx="18">
                        <c:v>40189</c:v>
                      </c:pt>
                      <c:pt idx="19">
                        <c:v>40298</c:v>
                      </c:pt>
                      <c:pt idx="20">
                        <c:v>44276</c:v>
                      </c:pt>
                      <c:pt idx="21">
                        <c:v>44174</c:v>
                      </c:pt>
                      <c:pt idx="22">
                        <c:v>45401</c:v>
                      </c:pt>
                      <c:pt idx="23">
                        <c:v>47424</c:v>
                      </c:pt>
                      <c:pt idx="24">
                        <c:v>46693</c:v>
                      </c:pt>
                      <c:pt idx="25">
                        <c:v>46985</c:v>
                      </c:pt>
                    </c:numCache>
                  </c:numRef>
                </c:val>
                <c:smooth val="0"/>
                <c:extLst xmlns:c15="http://schemas.microsoft.com/office/drawing/2012/chart">
                  <c:ext xmlns:c16="http://schemas.microsoft.com/office/drawing/2014/chart" uri="{C3380CC4-5D6E-409C-BE32-E72D297353CC}">
                    <c16:uniqueId val="{00000008-8162-4940-9D15-813219D57EBB}"/>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'psd (1)'!$B$11:$C$11</c15:sqref>
                        </c15:formulaRef>
                      </c:ext>
                    </c:extLst>
                    <c:strCache>
                      <c:ptCount val="2"/>
                      <c:pt idx="0">
                        <c:v>Exports</c:v>
                      </c:pt>
                      <c:pt idx="1">
                        <c:v>Groundnut</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(1)'!$D$11:$AC$11</c15:sqref>
                        </c15:formulaRef>
                      </c:ext>
                    </c:extLst>
                    <c:numCache>
                      <c:formatCode>#,##0</c:formatCode>
                      <c:ptCount val="26"/>
                      <c:pt idx="0">
                        <c:v>1304</c:v>
                      </c:pt>
                      <c:pt idx="1">
                        <c:v>1228</c:v>
                      </c:pt>
                      <c:pt idx="2">
                        <c:v>1269</c:v>
                      </c:pt>
                      <c:pt idx="3">
                        <c:v>1316</c:v>
                      </c:pt>
                      <c:pt idx="4">
                        <c:v>1468</c:v>
                      </c:pt>
                      <c:pt idx="5">
                        <c:v>1592</c:v>
                      </c:pt>
                      <c:pt idx="6">
                        <c:v>1452</c:v>
                      </c:pt>
                      <c:pt idx="7">
                        <c:v>1452</c:v>
                      </c:pt>
                      <c:pt idx="8">
                        <c:v>1345</c:v>
                      </c:pt>
                      <c:pt idx="9">
                        <c:v>1907</c:v>
                      </c:pt>
                      <c:pt idx="10">
                        <c:v>1931</c:v>
                      </c:pt>
                      <c:pt idx="11">
                        <c:v>1993</c:v>
                      </c:pt>
                      <c:pt idx="12">
                        <c:v>2068</c:v>
                      </c:pt>
                      <c:pt idx="13">
                        <c:v>1964</c:v>
                      </c:pt>
                      <c:pt idx="14">
                        <c:v>2271</c:v>
                      </c:pt>
                      <c:pt idx="15">
                        <c:v>2261</c:v>
                      </c:pt>
                      <c:pt idx="16">
                        <c:v>2384</c:v>
                      </c:pt>
                      <c:pt idx="17">
                        <c:v>2441</c:v>
                      </c:pt>
                      <c:pt idx="18">
                        <c:v>2427</c:v>
                      </c:pt>
                      <c:pt idx="19">
                        <c:v>2405</c:v>
                      </c:pt>
                      <c:pt idx="20">
                        <c:v>3562</c:v>
                      </c:pt>
                      <c:pt idx="21">
                        <c:v>3282</c:v>
                      </c:pt>
                      <c:pt idx="22">
                        <c:v>2659</c:v>
                      </c:pt>
                      <c:pt idx="23">
                        <c:v>2903</c:v>
                      </c:pt>
                      <c:pt idx="24">
                        <c:v>3300</c:v>
                      </c:pt>
                      <c:pt idx="25">
                        <c:v>3523</c:v>
                      </c:pt>
                    </c:numCache>
                  </c:numRef>
                </c:val>
                <c:smooth val="0"/>
                <c:extLst xmlns:c15="http://schemas.microsoft.com/office/drawing/2012/chart">
                  <c:ext xmlns:c16="http://schemas.microsoft.com/office/drawing/2014/chart" uri="{C3380CC4-5D6E-409C-BE32-E72D297353CC}">
                    <c16:uniqueId val="{00000009-8162-4940-9D15-813219D57EBB}"/>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'psd (1)'!$B$12:$C$12</c15:sqref>
                        </c15:formulaRef>
                      </c:ext>
                    </c:extLst>
                    <c:strCache>
                      <c:ptCount val="2"/>
                      <c:pt idx="0">
                        <c:v>Domestic Consumption</c:v>
                      </c:pt>
                      <c:pt idx="1">
                        <c:v>Groundnut</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(1)'!$D$12:$AC$12</c15:sqref>
                        </c15:formulaRef>
                      </c:ext>
                    </c:extLst>
                    <c:numCache>
                      <c:formatCode>#,##0</c:formatCode>
                      <c:ptCount val="26"/>
                      <c:pt idx="0">
                        <c:v>21786</c:v>
                      </c:pt>
                      <c:pt idx="1">
                        <c:v>21883</c:v>
                      </c:pt>
                      <c:pt idx="2">
                        <c:v>22896</c:v>
                      </c:pt>
                      <c:pt idx="3">
                        <c:v>24544</c:v>
                      </c:pt>
                      <c:pt idx="4">
                        <c:v>27224</c:v>
                      </c:pt>
                      <c:pt idx="5">
                        <c:v>27612</c:v>
                      </c:pt>
                      <c:pt idx="6">
                        <c:v>29082</c:v>
                      </c:pt>
                      <c:pt idx="7">
                        <c:v>27142</c:v>
                      </c:pt>
                      <c:pt idx="8">
                        <c:v>29801</c:v>
                      </c:pt>
                      <c:pt idx="9">
                        <c:v>29244</c:v>
                      </c:pt>
                      <c:pt idx="10">
                        <c:v>33059</c:v>
                      </c:pt>
                      <c:pt idx="11">
                        <c:v>35149</c:v>
                      </c:pt>
                      <c:pt idx="12">
                        <c:v>33617</c:v>
                      </c:pt>
                      <c:pt idx="13">
                        <c:v>34832</c:v>
                      </c:pt>
                      <c:pt idx="14">
                        <c:v>34230</c:v>
                      </c:pt>
                      <c:pt idx="15">
                        <c:v>35049</c:v>
                      </c:pt>
                      <c:pt idx="16">
                        <c:v>32534</c:v>
                      </c:pt>
                      <c:pt idx="17">
                        <c:v>33782</c:v>
                      </c:pt>
                      <c:pt idx="18">
                        <c:v>35850</c:v>
                      </c:pt>
                      <c:pt idx="19">
                        <c:v>35931</c:v>
                      </c:pt>
                      <c:pt idx="20">
                        <c:v>38281</c:v>
                      </c:pt>
                      <c:pt idx="21">
                        <c:v>38736</c:v>
                      </c:pt>
                      <c:pt idx="22">
                        <c:v>39545</c:v>
                      </c:pt>
                      <c:pt idx="23">
                        <c:v>40820</c:v>
                      </c:pt>
                      <c:pt idx="24">
                        <c:v>40116</c:v>
                      </c:pt>
                      <c:pt idx="25">
                        <c:v>40892</c:v>
                      </c:pt>
                    </c:numCache>
                  </c:numRef>
                </c:val>
                <c:smooth val="0"/>
                <c:extLst xmlns:c15="http://schemas.microsoft.com/office/drawing/2012/chart">
                  <c:ext xmlns:c16="http://schemas.microsoft.com/office/drawing/2014/chart" uri="{C3380CC4-5D6E-409C-BE32-E72D297353CC}">
                    <c16:uniqueId val="{0000000A-8162-4940-9D15-813219D57EBB}"/>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'psd (1)'!$B$13:$C$13</c15:sqref>
                        </c15:formulaRef>
                      </c:ext>
                    </c:extLst>
                    <c:strCache>
                      <c:ptCount val="2"/>
                      <c:pt idx="0">
                        <c:v>Production</c:v>
                      </c:pt>
                      <c:pt idx="1">
                        <c:v>Groundnut (oil equivalent)</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(1)'!$D$13:$AC$13</c15:sqref>
                        </c15:formulaRef>
                      </c:ext>
                    </c:extLst>
                    <c:numCache>
                      <c:formatCode>#,##0</c:formatCode>
                      <c:ptCount val="26"/>
                      <c:pt idx="0">
                        <c:v>6089.1600000000008</c:v>
                      </c:pt>
                      <c:pt idx="1">
                        <c:v>6366.37</c:v>
                      </c:pt>
                      <c:pt idx="2">
                        <c:v>6692.33</c:v>
                      </c:pt>
                      <c:pt idx="3">
                        <c:v>7046.42</c:v>
                      </c:pt>
                      <c:pt idx="4">
                        <c:v>7969.78</c:v>
                      </c:pt>
                      <c:pt idx="5">
                        <c:v>8012.7</c:v>
                      </c:pt>
                      <c:pt idx="6">
                        <c:v>8735.4</c:v>
                      </c:pt>
                      <c:pt idx="7">
                        <c:v>8255.4</c:v>
                      </c:pt>
                      <c:pt idx="8">
                        <c:v>8988</c:v>
                      </c:pt>
                      <c:pt idx="9">
                        <c:v>9413.1200000000008</c:v>
                      </c:pt>
                      <c:pt idx="10">
                        <c:v>10655.04</c:v>
                      </c:pt>
                      <c:pt idx="11">
                        <c:v>11402.88</c:v>
                      </c:pt>
                      <c:pt idx="12">
                        <c:v>10722.24</c:v>
                      </c:pt>
                      <c:pt idx="13">
                        <c:v>11257.28</c:v>
                      </c:pt>
                      <c:pt idx="14">
                        <c:v>11194.56</c:v>
                      </c:pt>
                      <c:pt idx="15">
                        <c:v>11436.48</c:v>
                      </c:pt>
                      <c:pt idx="16">
                        <c:v>10438.719999999999</c:v>
                      </c:pt>
                      <c:pt idx="17">
                        <c:v>10920</c:v>
                      </c:pt>
                      <c:pt idx="18">
                        <c:v>11803.52</c:v>
                      </c:pt>
                      <c:pt idx="19">
                        <c:v>11638.08</c:v>
                      </c:pt>
                      <c:pt idx="20">
                        <c:v>12774.72</c:v>
                      </c:pt>
                      <c:pt idx="21">
                        <c:v>12596.48</c:v>
                      </c:pt>
                      <c:pt idx="22">
                        <c:v>13085.12</c:v>
                      </c:pt>
                      <c:pt idx="23">
                        <c:v>13397.76</c:v>
                      </c:pt>
                      <c:pt idx="24">
                        <c:v>12945.6</c:v>
                      </c:pt>
                      <c:pt idx="25">
                        <c:v>12935.36</c:v>
                      </c:pt>
                    </c:numCache>
                  </c:numRef>
                </c:val>
                <c:smooth val="0"/>
                <c:extLst xmlns:c15="http://schemas.microsoft.com/office/drawing/2012/chart">
                  <c:ext xmlns:c16="http://schemas.microsoft.com/office/drawing/2014/chart" uri="{C3380CC4-5D6E-409C-BE32-E72D297353CC}">
                    <c16:uniqueId val="{0000000B-8162-4940-9D15-813219D57EBB}"/>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'psd (1)'!$B$14:$C$14</c15:sqref>
                        </c15:formulaRef>
                      </c:ext>
                    </c:extLst>
                    <c:strCache>
                      <c:ptCount val="2"/>
                      <c:pt idx="0">
                        <c:v>Imports</c:v>
                      </c:pt>
                      <c:pt idx="1">
                        <c:v>Groundnut (oil equivalent)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(1)'!$D$14:$AC$14</c15:sqref>
                        </c15:formulaRef>
                      </c:ext>
                    </c:extLst>
                    <c:numCache>
                      <c:formatCode>#,##0</c:formatCode>
                      <c:ptCount val="26"/>
                      <c:pt idx="0">
                        <c:v>381.6400000000001</c:v>
                      </c:pt>
                      <c:pt idx="1">
                        <c:v>377.28999999999962</c:v>
                      </c:pt>
                      <c:pt idx="2">
                        <c:v>354.38</c:v>
                      </c:pt>
                      <c:pt idx="3">
                        <c:v>393.23999999999961</c:v>
                      </c:pt>
                      <c:pt idx="4">
                        <c:v>407.45</c:v>
                      </c:pt>
                      <c:pt idx="5">
                        <c:v>408.9</c:v>
                      </c:pt>
                      <c:pt idx="6">
                        <c:v>437.7</c:v>
                      </c:pt>
                      <c:pt idx="7">
                        <c:v>372.3</c:v>
                      </c:pt>
                      <c:pt idx="8">
                        <c:v>422.09999999999991</c:v>
                      </c:pt>
                      <c:pt idx="9">
                        <c:v>576</c:v>
                      </c:pt>
                      <c:pt idx="10">
                        <c:v>568.95999999999788</c:v>
                      </c:pt>
                      <c:pt idx="11">
                        <c:v>597.43999999999937</c:v>
                      </c:pt>
                      <c:pt idx="12">
                        <c:v>550.08000000000004</c:v>
                      </c:pt>
                      <c:pt idx="13">
                        <c:v>518.4</c:v>
                      </c:pt>
                      <c:pt idx="14">
                        <c:v>565.43999999999937</c:v>
                      </c:pt>
                      <c:pt idx="15">
                        <c:v>598.4</c:v>
                      </c:pt>
                      <c:pt idx="16">
                        <c:v>611.83999999999787</c:v>
                      </c:pt>
                      <c:pt idx="17">
                        <c:v>650.88</c:v>
                      </c:pt>
                      <c:pt idx="18">
                        <c:v>605.43999999999937</c:v>
                      </c:pt>
                      <c:pt idx="19">
                        <c:v>645.43999999999937</c:v>
                      </c:pt>
                      <c:pt idx="20">
                        <c:v>765.76</c:v>
                      </c:pt>
                      <c:pt idx="21">
                        <c:v>760.64</c:v>
                      </c:pt>
                      <c:pt idx="22">
                        <c:v>753.28</c:v>
                      </c:pt>
                      <c:pt idx="23">
                        <c:v>754.88</c:v>
                      </c:pt>
                      <c:pt idx="24">
                        <c:v>811.83999999999787</c:v>
                      </c:pt>
                      <c:pt idx="25">
                        <c:v>1051.2</c:v>
                      </c:pt>
                    </c:numCache>
                  </c:numRef>
                </c:val>
                <c:smooth val="0"/>
                <c:extLst xmlns:c15="http://schemas.microsoft.com/office/drawing/2012/chart">
                  <c:ext xmlns:c16="http://schemas.microsoft.com/office/drawing/2014/chart" uri="{C3380CC4-5D6E-409C-BE32-E72D297353CC}">
                    <c16:uniqueId val="{0000000C-8162-4940-9D15-813219D57EBB}"/>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'psd (1)'!$B$15:$C$15</c15:sqref>
                        </c15:formulaRef>
                      </c:ext>
                    </c:extLst>
                    <c:strCache>
                      <c:ptCount val="2"/>
                      <c:pt idx="0">
                        <c:v>Total Supply</c:v>
                      </c:pt>
                      <c:pt idx="1">
                        <c:v>Groundnut (oil equivalent)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(1)'!$D$15:$AC$15</c15:sqref>
                        </c15:formulaRef>
                      </c:ext>
                    </c:extLst>
                    <c:numCache>
                      <c:formatCode>#,##0</c:formatCode>
                      <c:ptCount val="26"/>
                      <c:pt idx="0">
                        <c:v>6676.880000000001</c:v>
                      </c:pt>
                      <c:pt idx="1">
                        <c:v>6954.78</c:v>
                      </c:pt>
                      <c:pt idx="2">
                        <c:v>7299.3</c:v>
                      </c:pt>
                      <c:pt idx="3">
                        <c:v>7731.11</c:v>
                      </c:pt>
                      <c:pt idx="4">
                        <c:v>8608.9399999999496</c:v>
                      </c:pt>
                      <c:pt idx="5">
                        <c:v>8709.8599999999024</c:v>
                      </c:pt>
                      <c:pt idx="6">
                        <c:v>9422.1</c:v>
                      </c:pt>
                      <c:pt idx="7">
                        <c:v>8889.6</c:v>
                      </c:pt>
                      <c:pt idx="8">
                        <c:v>9721.5</c:v>
                      </c:pt>
                      <c:pt idx="9">
                        <c:v>10392</c:v>
                      </c:pt>
                      <c:pt idx="10">
                        <c:v>11647.68</c:v>
                      </c:pt>
                      <c:pt idx="11">
                        <c:v>12451.2</c:v>
                      </c:pt>
                      <c:pt idx="12">
                        <c:v>11838.08</c:v>
                      </c:pt>
                      <c:pt idx="13">
                        <c:v>12194.56</c:v>
                      </c:pt>
                      <c:pt idx="14">
                        <c:v>12179.84</c:v>
                      </c:pt>
                      <c:pt idx="15">
                        <c:v>12534.4</c:v>
                      </c:pt>
                      <c:pt idx="16">
                        <c:v>11645.76</c:v>
                      </c:pt>
                      <c:pt idx="17">
                        <c:v>12042.88</c:v>
                      </c:pt>
                      <c:pt idx="18">
                        <c:v>12860.48</c:v>
                      </c:pt>
                      <c:pt idx="19">
                        <c:v>12895.36</c:v>
                      </c:pt>
                      <c:pt idx="20">
                        <c:v>14168.32</c:v>
                      </c:pt>
                      <c:pt idx="21">
                        <c:v>14135.68</c:v>
                      </c:pt>
                      <c:pt idx="22">
                        <c:v>14528.32</c:v>
                      </c:pt>
                      <c:pt idx="23">
                        <c:v>15175.68</c:v>
                      </c:pt>
                      <c:pt idx="24">
                        <c:v>14941.76</c:v>
                      </c:pt>
                      <c:pt idx="25">
                        <c:v>15035.2</c:v>
                      </c:pt>
                    </c:numCache>
                  </c:numRef>
                </c:val>
                <c:smooth val="0"/>
                <c:extLst xmlns:c15="http://schemas.microsoft.com/office/drawing/2012/chart">
                  <c:ext xmlns:c16="http://schemas.microsoft.com/office/drawing/2014/chart" uri="{C3380CC4-5D6E-409C-BE32-E72D297353CC}">
                    <c16:uniqueId val="{0000000D-8162-4940-9D15-813219D57EBB}"/>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'psd (1)'!$B$17:$C$17</c15:sqref>
                        </c15:formulaRef>
                      </c:ext>
                    </c:extLst>
                    <c:strCache>
                      <c:ptCount val="2"/>
                      <c:pt idx="0">
                        <c:v>Domestic Consumption</c:v>
                      </c:pt>
                      <c:pt idx="1">
                        <c:v>Groundnut (oil equivalent)</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(1)'!$D$17:$AC$17</c15:sqref>
                        </c15:formulaRef>
                      </c:ext>
                    </c:extLst>
                    <c:numCache>
                      <c:formatCode>#,##0</c:formatCode>
                      <c:ptCount val="26"/>
                      <c:pt idx="0">
                        <c:v>6100.0800000000008</c:v>
                      </c:pt>
                      <c:pt idx="1">
                        <c:v>6346.07</c:v>
                      </c:pt>
                      <c:pt idx="2">
                        <c:v>6639.84</c:v>
                      </c:pt>
                      <c:pt idx="3">
                        <c:v>7117.76</c:v>
                      </c:pt>
                      <c:pt idx="4">
                        <c:v>7894.96</c:v>
                      </c:pt>
                      <c:pt idx="5">
                        <c:v>8007.48</c:v>
                      </c:pt>
                      <c:pt idx="6">
                        <c:v>8724.6</c:v>
                      </c:pt>
                      <c:pt idx="7">
                        <c:v>8142.6</c:v>
                      </c:pt>
                      <c:pt idx="8">
                        <c:v>8940.2999999999811</c:v>
                      </c:pt>
                      <c:pt idx="9">
                        <c:v>9358.08</c:v>
                      </c:pt>
                      <c:pt idx="10">
                        <c:v>10578.88</c:v>
                      </c:pt>
                      <c:pt idx="11">
                        <c:v>11247.68</c:v>
                      </c:pt>
                      <c:pt idx="12">
                        <c:v>10757.44</c:v>
                      </c:pt>
                      <c:pt idx="13">
                        <c:v>11146.24</c:v>
                      </c:pt>
                      <c:pt idx="14">
                        <c:v>10953.6</c:v>
                      </c:pt>
                      <c:pt idx="15">
                        <c:v>11215.68</c:v>
                      </c:pt>
                      <c:pt idx="16">
                        <c:v>10410.879999999999</c:v>
                      </c:pt>
                      <c:pt idx="17">
                        <c:v>10810.24</c:v>
                      </c:pt>
                      <c:pt idx="18">
                        <c:v>11472</c:v>
                      </c:pt>
                      <c:pt idx="19">
                        <c:v>11497.92</c:v>
                      </c:pt>
                      <c:pt idx="20">
                        <c:v>12249.92</c:v>
                      </c:pt>
                      <c:pt idx="21">
                        <c:v>12395.52</c:v>
                      </c:pt>
                      <c:pt idx="22">
                        <c:v>12654.4</c:v>
                      </c:pt>
                      <c:pt idx="23">
                        <c:v>13062.4</c:v>
                      </c:pt>
                      <c:pt idx="24">
                        <c:v>12837.12</c:v>
                      </c:pt>
                      <c:pt idx="25">
                        <c:v>13085.44</c:v>
                      </c:pt>
                    </c:numCache>
                  </c:numRef>
                </c:val>
                <c:smooth val="0"/>
                <c:extLst xmlns:c15="http://schemas.microsoft.com/office/drawing/2012/chart">
                  <c:ext xmlns:c16="http://schemas.microsoft.com/office/drawing/2014/chart" uri="{C3380CC4-5D6E-409C-BE32-E72D297353CC}">
                    <c16:uniqueId val="{0000000E-8162-4940-9D15-813219D57EBB}"/>
                  </c:ext>
                </c:extLst>
              </c15:ser>
            </c15:filteredLineSeries>
          </c:ext>
        </c:extLst>
      </c:lineChart>
      <c:catAx>
        <c:axId val="134061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220512"/>
        <c:crosses val="autoZero"/>
        <c:auto val="1"/>
        <c:lblAlgn val="ctr"/>
        <c:lblOffset val="100"/>
        <c:noMultiLvlLbl val="0"/>
      </c:catAx>
      <c:valAx>
        <c:axId val="106022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Groundnut oil equivalent in 1000 tons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613296"/>
        <c:crosses val="autoZero"/>
        <c:crossBetween val="between"/>
      </c:valAx>
      <c:spPr>
        <a:noFill/>
        <a:ln>
          <a:noFill/>
        </a:ln>
        <a:effectLst/>
      </c:spPr>
    </c:plotArea>
    <c:legend>
      <c:legendPos val="b"/>
      <c:layout>
        <c:manualLayout>
          <c:xMode val="edge"/>
          <c:yMode val="edge"/>
          <c:x val="0.13063438878650799"/>
          <c:y val="0.88997838505480897"/>
          <c:w val="0.76237188436551795"/>
          <c:h val="8.06098502393083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6753608923884498E-2"/>
          <c:y val="0.05"/>
          <c:w val="0.876950094779819"/>
          <c:h val="0.64419258530183698"/>
        </c:manualLayout>
      </c:layout>
      <c:barChart>
        <c:barDir val="col"/>
        <c:grouping val="stacked"/>
        <c:varyColors val="0"/>
        <c:ser>
          <c:idx val="0"/>
          <c:order val="0"/>
          <c:tx>
            <c:strRef>
              <c:f>'+State Control Split'!$E$2</c:f>
              <c:strCache>
                <c:ptCount val="1"/>
                <c:pt idx="0">
                  <c:v>Public Ownership</c:v>
                </c:pt>
              </c:strCache>
            </c:strRef>
          </c:tx>
          <c:spPr>
            <a:solidFill>
              <a:schemeClr val="dk1">
                <a:tint val="8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00D3-3D49-B53F-D5DC3F195D9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00D3-3D49-B53F-D5DC3F195D95}"/>
              </c:ext>
            </c:extLst>
          </c:dPt>
          <c:dPt>
            <c:idx val="8"/>
            <c:invertIfNegative val="0"/>
            <c:bubble3D val="0"/>
            <c:spPr>
              <a:solidFill>
                <a:schemeClr val="dk1">
                  <a:tint val="88500"/>
                </a:schemeClr>
              </a:solidFill>
              <a:ln>
                <a:noFill/>
              </a:ln>
              <a:effectLst/>
            </c:spPr>
            <c:extLst>
              <c:ext xmlns:c16="http://schemas.microsoft.com/office/drawing/2014/chart" uri="{C3380CC4-5D6E-409C-BE32-E72D297353CC}">
                <c16:uniqueId val="{00000005-00D3-3D49-B53F-D5DC3F195D95}"/>
              </c:ext>
            </c:extLst>
          </c:dPt>
          <c:dPt>
            <c:idx val="11"/>
            <c:invertIfNegative val="0"/>
            <c:bubble3D val="0"/>
            <c:spPr>
              <a:solidFill>
                <a:schemeClr val="dk1">
                  <a:tint val="88500"/>
                </a:schemeClr>
              </a:solidFill>
              <a:ln>
                <a:noFill/>
              </a:ln>
              <a:effectLst/>
            </c:spPr>
            <c:extLst>
              <c:ext xmlns:c16="http://schemas.microsoft.com/office/drawing/2014/chart" uri="{C3380CC4-5D6E-409C-BE32-E72D297353CC}">
                <c16:uniqueId val="{00000007-00D3-3D49-B53F-D5DC3F195D95}"/>
              </c:ext>
            </c:extLst>
          </c:dPt>
          <c:dPt>
            <c:idx val="13"/>
            <c:invertIfNegative val="0"/>
            <c:bubble3D val="0"/>
            <c:spPr>
              <a:solidFill>
                <a:schemeClr val="dk1">
                  <a:tint val="88500"/>
                </a:schemeClr>
              </a:solidFill>
              <a:ln>
                <a:noFill/>
              </a:ln>
              <a:effectLst/>
            </c:spPr>
            <c:extLst>
              <c:ext xmlns:c16="http://schemas.microsoft.com/office/drawing/2014/chart" uri="{C3380CC4-5D6E-409C-BE32-E72D297353CC}">
                <c16:uniqueId val="{00000009-00D3-3D49-B53F-D5DC3F195D95}"/>
              </c:ext>
            </c:extLst>
          </c:dPt>
          <c:dPt>
            <c:idx val="14"/>
            <c:invertIfNegative val="0"/>
            <c:bubble3D val="0"/>
            <c:spPr>
              <a:solidFill>
                <a:schemeClr val="dk1">
                  <a:tint val="88500"/>
                </a:schemeClr>
              </a:solidFill>
              <a:ln>
                <a:noFill/>
              </a:ln>
              <a:effectLst/>
            </c:spPr>
            <c:extLst>
              <c:ext xmlns:c16="http://schemas.microsoft.com/office/drawing/2014/chart" uri="{C3380CC4-5D6E-409C-BE32-E72D297353CC}">
                <c16:uniqueId val="{0000000B-00D3-3D49-B53F-D5DC3F195D95}"/>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0D-00D3-3D49-B53F-D5DC3F195D95}"/>
              </c:ext>
            </c:extLst>
          </c:dPt>
          <c:dLbls>
            <c:dLbl>
              <c:idx val="15"/>
              <c:layout>
                <c:manualLayout>
                  <c:x val="0.12268518518518499"/>
                  <c:y val="8.3333333333333297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00D3-3D49-B53F-D5DC3F195D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'+State Control Split'!$A$3:$A$70</c:f>
              <c:strCache>
                <c:ptCount val="26"/>
                <c:pt idx="0">
                  <c:v>Top 5 Average</c:v>
                </c:pt>
                <c:pt idx="1">
                  <c:v>OECD Average</c:v>
                </c:pt>
                <c:pt idx="2">
                  <c:v>Peru</c:v>
                </c:pt>
                <c:pt idx="3">
                  <c:v>El Salvador</c:v>
                </c:pt>
                <c:pt idx="4">
                  <c:v>Mexico</c:v>
                </c:pt>
                <c:pt idx="5">
                  <c:v>Chile</c:v>
                </c:pt>
                <c:pt idx="6">
                  <c:v>Nicaragua</c:v>
                </c:pt>
                <c:pt idx="7">
                  <c:v>Panama</c:v>
                </c:pt>
                <c:pt idx="8">
                  <c:v>Dominican Republic</c:v>
                </c:pt>
                <c:pt idx="9">
                  <c:v>Colombia</c:v>
                </c:pt>
                <c:pt idx="10">
                  <c:v>Brazil</c:v>
                </c:pt>
                <c:pt idx="11">
                  <c:v>Philippines</c:v>
                </c:pt>
                <c:pt idx="12">
                  <c:v>Ukraine</c:v>
                </c:pt>
                <c:pt idx="13">
                  <c:v>Honduras</c:v>
                </c:pt>
                <c:pt idx="14">
                  <c:v>Kenya</c:v>
                </c:pt>
                <c:pt idx="15">
                  <c:v>Senegal</c:v>
                </c:pt>
                <c:pt idx="16">
                  <c:v>Jamaica</c:v>
                </c:pt>
                <c:pt idx="17">
                  <c:v>Costa Rica</c:v>
                </c:pt>
                <c:pt idx="18">
                  <c:v>South Africa</c:v>
                </c:pt>
                <c:pt idx="19">
                  <c:v>Bolivia</c:v>
                </c:pt>
                <c:pt idx="20">
                  <c:v>Turkey</c:v>
                </c:pt>
                <c:pt idx="21">
                  <c:v>China</c:v>
                </c:pt>
                <c:pt idx="22">
                  <c:v>Argentina</c:v>
                </c:pt>
                <c:pt idx="23">
                  <c:v>Egypt</c:v>
                </c:pt>
                <c:pt idx="24">
                  <c:v>Tunisia</c:v>
                </c:pt>
                <c:pt idx="25">
                  <c:v>India</c:v>
                </c:pt>
              </c:strCache>
            </c:strRef>
          </c:cat>
          <c:val>
            <c:numRef>
              <c:f>'+State Control Split'!$E$3:$E$70</c:f>
              <c:numCache>
                <c:formatCode>0.00</c:formatCode>
                <c:ptCount val="26"/>
                <c:pt idx="0">
                  <c:v>0.78</c:v>
                </c:pt>
                <c:pt idx="1">
                  <c:v>0.86</c:v>
                </c:pt>
                <c:pt idx="2">
                  <c:v>1.0537665000000001</c:v>
                </c:pt>
                <c:pt idx="3">
                  <c:v>0.99331899999999995</c:v>
                </c:pt>
                <c:pt idx="4">
                  <c:v>1.2952545</c:v>
                </c:pt>
                <c:pt idx="5">
                  <c:v>1.1223959999999999</c:v>
                </c:pt>
                <c:pt idx="6">
                  <c:v>1.065078</c:v>
                </c:pt>
                <c:pt idx="7">
                  <c:v>1.2841622500000001</c:v>
                </c:pt>
                <c:pt idx="8">
                  <c:v>1.5280875</c:v>
                </c:pt>
                <c:pt idx="9">
                  <c:v>1.1520410000000001</c:v>
                </c:pt>
                <c:pt idx="10">
                  <c:v>1.3375330000000001</c:v>
                </c:pt>
                <c:pt idx="11">
                  <c:v>1.5363663750000001</c:v>
                </c:pt>
                <c:pt idx="12">
                  <c:v>1.6159969999999999</c:v>
                </c:pt>
                <c:pt idx="13">
                  <c:v>1.40625</c:v>
                </c:pt>
                <c:pt idx="14">
                  <c:v>1.415</c:v>
                </c:pt>
                <c:pt idx="15">
                  <c:v>1.6830620999999999</c:v>
                </c:pt>
                <c:pt idx="16">
                  <c:v>1.438768</c:v>
                </c:pt>
                <c:pt idx="17">
                  <c:v>1.6976294999999999</c:v>
                </c:pt>
                <c:pt idx="18">
                  <c:v>1.695092</c:v>
                </c:pt>
                <c:pt idx="19">
                  <c:v>1.900354125</c:v>
                </c:pt>
                <c:pt idx="20">
                  <c:v>1.7754315000000001</c:v>
                </c:pt>
                <c:pt idx="21">
                  <c:v>2.0752335</c:v>
                </c:pt>
                <c:pt idx="22">
                  <c:v>1.9568265</c:v>
                </c:pt>
                <c:pt idx="23">
                  <c:v>2.2599999999999998</c:v>
                </c:pt>
                <c:pt idx="24">
                  <c:v>2.2823273749999999</c:v>
                </c:pt>
                <c:pt idx="25">
                  <c:v>2.250868999999998</c:v>
                </c:pt>
              </c:numCache>
            </c:numRef>
          </c:val>
          <c:extLst>
            <c:ext xmlns:c16="http://schemas.microsoft.com/office/drawing/2014/chart" uri="{C3380CC4-5D6E-409C-BE32-E72D297353CC}">
              <c16:uniqueId val="{0000000E-00D3-3D49-B53F-D5DC3F195D95}"/>
            </c:ext>
          </c:extLst>
        </c:ser>
        <c:ser>
          <c:idx val="2"/>
          <c:order val="1"/>
          <c:tx>
            <c:strRef>
              <c:f>'+State Control Split'!$G$2</c:f>
              <c:strCache>
                <c:ptCount val="1"/>
                <c:pt idx="0">
                  <c:v>Involvement in business operation</c:v>
                </c:pt>
              </c:strCache>
            </c:strRef>
          </c:tx>
          <c:spPr>
            <a:solidFill>
              <a:schemeClr val="dk1">
                <a:tint val="75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10-00D3-3D49-B53F-D5DC3F195D9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12-00D3-3D49-B53F-D5DC3F195D95}"/>
              </c:ext>
            </c:extLst>
          </c:dPt>
          <c:dPt>
            <c:idx val="8"/>
            <c:invertIfNegative val="0"/>
            <c:bubble3D val="0"/>
            <c:spPr>
              <a:solidFill>
                <a:schemeClr val="dk1">
                  <a:tint val="75000"/>
                </a:schemeClr>
              </a:solidFill>
              <a:ln>
                <a:noFill/>
              </a:ln>
              <a:effectLst/>
            </c:spPr>
            <c:extLst>
              <c:ext xmlns:c16="http://schemas.microsoft.com/office/drawing/2014/chart" uri="{C3380CC4-5D6E-409C-BE32-E72D297353CC}">
                <c16:uniqueId val="{00000014-00D3-3D49-B53F-D5DC3F195D95}"/>
              </c:ext>
            </c:extLst>
          </c:dPt>
          <c:dPt>
            <c:idx val="11"/>
            <c:invertIfNegative val="0"/>
            <c:bubble3D val="0"/>
            <c:spPr>
              <a:solidFill>
                <a:schemeClr val="dk1">
                  <a:tint val="75000"/>
                </a:schemeClr>
              </a:solidFill>
              <a:ln>
                <a:noFill/>
              </a:ln>
              <a:effectLst/>
            </c:spPr>
            <c:extLst>
              <c:ext xmlns:c16="http://schemas.microsoft.com/office/drawing/2014/chart" uri="{C3380CC4-5D6E-409C-BE32-E72D297353CC}">
                <c16:uniqueId val="{00000016-00D3-3D49-B53F-D5DC3F195D95}"/>
              </c:ext>
            </c:extLst>
          </c:dPt>
          <c:dPt>
            <c:idx val="13"/>
            <c:invertIfNegative val="0"/>
            <c:bubble3D val="0"/>
            <c:spPr>
              <a:solidFill>
                <a:schemeClr val="dk1">
                  <a:tint val="75000"/>
                </a:schemeClr>
              </a:solidFill>
              <a:ln>
                <a:noFill/>
              </a:ln>
              <a:effectLst/>
            </c:spPr>
            <c:extLst>
              <c:ext xmlns:c16="http://schemas.microsoft.com/office/drawing/2014/chart" uri="{C3380CC4-5D6E-409C-BE32-E72D297353CC}">
                <c16:uniqueId val="{00000018-00D3-3D49-B53F-D5DC3F195D95}"/>
              </c:ext>
            </c:extLst>
          </c:dPt>
          <c:dPt>
            <c:idx val="14"/>
            <c:invertIfNegative val="0"/>
            <c:bubble3D val="0"/>
            <c:spPr>
              <a:solidFill>
                <a:schemeClr val="dk1">
                  <a:tint val="75000"/>
                </a:schemeClr>
              </a:solidFill>
              <a:ln>
                <a:noFill/>
              </a:ln>
              <a:effectLst/>
            </c:spPr>
            <c:extLst>
              <c:ext xmlns:c16="http://schemas.microsoft.com/office/drawing/2014/chart" uri="{C3380CC4-5D6E-409C-BE32-E72D297353CC}">
                <c16:uniqueId val="{0000001A-00D3-3D49-B53F-D5DC3F195D95}"/>
              </c:ext>
            </c:extLst>
          </c:dPt>
          <c:dPt>
            <c:idx val="15"/>
            <c:invertIfNegative val="0"/>
            <c:bubble3D val="0"/>
            <c:spPr>
              <a:solidFill>
                <a:schemeClr val="tx2"/>
              </a:solidFill>
              <a:ln>
                <a:noFill/>
              </a:ln>
              <a:effectLst/>
            </c:spPr>
            <c:extLst>
              <c:ext xmlns:c16="http://schemas.microsoft.com/office/drawing/2014/chart" uri="{C3380CC4-5D6E-409C-BE32-E72D297353CC}">
                <c16:uniqueId val="{0000001C-00D3-3D49-B53F-D5DC3F195D95}"/>
              </c:ext>
            </c:extLst>
          </c:dPt>
          <c:dLbls>
            <c:dLbl>
              <c:idx val="15"/>
              <c:layout>
                <c:manualLayout>
                  <c:x val="-0.19097231335666401"/>
                  <c:y val="-0.108332841207349"/>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205945610965299"/>
                      <c:h val="0.15405544619422601"/>
                    </c:manualLayout>
                  </c15:layout>
                </c:ext>
                <c:ext xmlns:c16="http://schemas.microsoft.com/office/drawing/2014/chart" uri="{C3380CC4-5D6E-409C-BE32-E72D297353CC}">
                  <c16:uniqueId val="{0000001C-00D3-3D49-B53F-D5DC3F195D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'+State Control Split'!$A$3:$A$70</c:f>
              <c:strCache>
                <c:ptCount val="26"/>
                <c:pt idx="0">
                  <c:v>Top 5 Average</c:v>
                </c:pt>
                <c:pt idx="1">
                  <c:v>OECD Average</c:v>
                </c:pt>
                <c:pt idx="2">
                  <c:v>Peru</c:v>
                </c:pt>
                <c:pt idx="3">
                  <c:v>El Salvador</c:v>
                </c:pt>
                <c:pt idx="4">
                  <c:v>Mexico</c:v>
                </c:pt>
                <c:pt idx="5">
                  <c:v>Chile</c:v>
                </c:pt>
                <c:pt idx="6">
                  <c:v>Nicaragua</c:v>
                </c:pt>
                <c:pt idx="7">
                  <c:v>Panama</c:v>
                </c:pt>
                <c:pt idx="8">
                  <c:v>Dominican Republic</c:v>
                </c:pt>
                <c:pt idx="9">
                  <c:v>Colombia</c:v>
                </c:pt>
                <c:pt idx="10">
                  <c:v>Brazil</c:v>
                </c:pt>
                <c:pt idx="11">
                  <c:v>Philippines</c:v>
                </c:pt>
                <c:pt idx="12">
                  <c:v>Ukraine</c:v>
                </c:pt>
                <c:pt idx="13">
                  <c:v>Honduras</c:v>
                </c:pt>
                <c:pt idx="14">
                  <c:v>Kenya</c:v>
                </c:pt>
                <c:pt idx="15">
                  <c:v>Senegal</c:v>
                </c:pt>
                <c:pt idx="16">
                  <c:v>Jamaica</c:v>
                </c:pt>
                <c:pt idx="17">
                  <c:v>Costa Rica</c:v>
                </c:pt>
                <c:pt idx="18">
                  <c:v>South Africa</c:v>
                </c:pt>
                <c:pt idx="19">
                  <c:v>Bolivia</c:v>
                </c:pt>
                <c:pt idx="20">
                  <c:v>Turkey</c:v>
                </c:pt>
                <c:pt idx="21">
                  <c:v>China</c:v>
                </c:pt>
                <c:pt idx="22">
                  <c:v>Argentina</c:v>
                </c:pt>
                <c:pt idx="23">
                  <c:v>Egypt</c:v>
                </c:pt>
                <c:pt idx="24">
                  <c:v>Tunisia</c:v>
                </c:pt>
                <c:pt idx="25">
                  <c:v>India</c:v>
                </c:pt>
              </c:strCache>
            </c:strRef>
          </c:cat>
          <c:val>
            <c:numRef>
              <c:f>'+State Control Split'!$G$3:$G$70</c:f>
              <c:numCache>
                <c:formatCode>0.00</c:formatCode>
                <c:ptCount val="26"/>
                <c:pt idx="0">
                  <c:v>0.78</c:v>
                </c:pt>
                <c:pt idx="1">
                  <c:v>0.86</c:v>
                </c:pt>
                <c:pt idx="2">
                  <c:v>0.69010400000000005</c:v>
                </c:pt>
                <c:pt idx="3">
                  <c:v>0.90476199999999996</c:v>
                </c:pt>
                <c:pt idx="4">
                  <c:v>0.72135400000000005</c:v>
                </c:pt>
                <c:pt idx="5">
                  <c:v>0.97265650000000003</c:v>
                </c:pt>
                <c:pt idx="6">
                  <c:v>1.032143</c:v>
                </c:pt>
                <c:pt idx="7">
                  <c:v>0.83134925000000004</c:v>
                </c:pt>
                <c:pt idx="8">
                  <c:v>0.76875000000000004</c:v>
                </c:pt>
                <c:pt idx="9">
                  <c:v>1.1845239999999999</c:v>
                </c:pt>
                <c:pt idx="10">
                  <c:v>1.1744790000000001</c:v>
                </c:pt>
                <c:pt idx="11">
                  <c:v>1.0577877499999999</c:v>
                </c:pt>
                <c:pt idx="12">
                  <c:v>1.0069444999999999</c:v>
                </c:pt>
                <c:pt idx="13">
                  <c:v>1.280357</c:v>
                </c:pt>
                <c:pt idx="14">
                  <c:v>1.405</c:v>
                </c:pt>
                <c:pt idx="15">
                  <c:v>1.19940475</c:v>
                </c:pt>
                <c:pt idx="16">
                  <c:v>1.5793155000000001</c:v>
                </c:pt>
                <c:pt idx="17">
                  <c:v>1.4077379999999999</c:v>
                </c:pt>
                <c:pt idx="18">
                  <c:v>1.4286460000000001</c:v>
                </c:pt>
                <c:pt idx="19">
                  <c:v>1.23090275</c:v>
                </c:pt>
                <c:pt idx="20">
                  <c:v>1.6609375</c:v>
                </c:pt>
                <c:pt idx="21">
                  <c:v>1.4913194999999999</c:v>
                </c:pt>
                <c:pt idx="22">
                  <c:v>1.6666665000000001</c:v>
                </c:pt>
                <c:pt idx="23">
                  <c:v>1.37</c:v>
                </c:pt>
                <c:pt idx="24">
                  <c:v>1.4765625</c:v>
                </c:pt>
                <c:pt idx="25">
                  <c:v>1.7726934999999999</c:v>
                </c:pt>
              </c:numCache>
            </c:numRef>
          </c:val>
          <c:extLst>
            <c:ext xmlns:c16="http://schemas.microsoft.com/office/drawing/2014/chart" uri="{C3380CC4-5D6E-409C-BE32-E72D297353CC}">
              <c16:uniqueId val="{0000001D-00D3-3D49-B53F-D5DC3F195D95}"/>
            </c:ext>
          </c:extLst>
        </c:ser>
        <c:dLbls>
          <c:showLegendKey val="0"/>
          <c:showVal val="0"/>
          <c:showCatName val="0"/>
          <c:showSerName val="0"/>
          <c:showPercent val="0"/>
          <c:showBubbleSize val="0"/>
        </c:dLbls>
        <c:gapWidth val="150"/>
        <c:overlap val="100"/>
        <c:axId val="928430496"/>
        <c:axId val="1147479056"/>
      </c:barChart>
      <c:catAx>
        <c:axId val="9284304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7479056"/>
        <c:crosses val="autoZero"/>
        <c:auto val="1"/>
        <c:lblAlgn val="ctr"/>
        <c:lblOffset val="100"/>
        <c:noMultiLvlLbl val="0"/>
      </c:catAx>
      <c:valAx>
        <c:axId val="114747905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430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2"/>
          <c:order val="0"/>
          <c:tx>
            <c:strRef>
              <c:f>'State Control Split'!$D$86</c:f>
              <c:strCache>
                <c:ptCount val="1"/>
                <c:pt idx="0">
                  <c:v>Public Ownership</c:v>
                </c:pt>
              </c:strCache>
            </c:strRef>
          </c:tx>
          <c:spPr>
            <a:solidFill>
              <a:schemeClr val="accent3"/>
            </a:solidFill>
            <a:ln>
              <a:noFill/>
            </a:ln>
            <a:effectLst/>
          </c:spPr>
          <c:invertIfNegative val="0"/>
          <c:dLbls>
            <c:dLbl>
              <c:idx val="0"/>
              <c:tx>
                <c:strRef>
                  <c:f>'State Control Split'!$D$88</c:f>
                  <c:strCache>
                    <c:ptCount val="1"/>
                    <c:pt idx="0">
                      <c:v>58%</c:v>
                    </c:pt>
                  </c:strCache>
                </c:strRef>
              </c:tx>
              <c:dLblPos val="ctr"/>
              <c:showLegendKey val="0"/>
              <c:showVal val="1"/>
              <c:showCatName val="0"/>
              <c:showSerName val="1"/>
              <c:showPercent val="0"/>
              <c:showBubbleSize val="0"/>
              <c:extLst>
                <c:ext xmlns:c15="http://schemas.microsoft.com/office/drawing/2012/chart" uri="{CE6537A1-D6FC-4f65-9D91-7224C49458BB}">
                  <c15:dlblFieldTable>
                    <c15:dlblFTEntry>
                      <c15:txfldGUID>{EE5DAAF0-3AD7-43DD-A056-787E048E0A11}</c15:txfldGUID>
                      <c15:f>'State Control Split'!$D$88</c15:f>
                      <c15:dlblFieldTableCache>
                        <c:ptCount val="1"/>
                        <c:pt idx="0">
                          <c:v>58%</c:v>
                        </c:pt>
                      </c15:dlblFieldTableCache>
                    </c15:dlblFTEntry>
                  </c15:dlblFieldTable>
                  <c15:showDataLabelsRange val="0"/>
                </c:ext>
                <c:ext xmlns:c16="http://schemas.microsoft.com/office/drawing/2014/chart" uri="{C3380CC4-5D6E-409C-BE32-E72D297353CC}">
                  <c16:uniqueId val="{00000000-CBAA-4F80-904B-D7FA417E96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'State Control Split'!$A$87</c:f>
              <c:strCache>
                <c:ptCount val="1"/>
                <c:pt idx="0">
                  <c:v>State Control</c:v>
                </c:pt>
              </c:strCache>
            </c:strRef>
          </c:cat>
          <c:val>
            <c:numRef>
              <c:f>'State Control Split'!$D$87</c:f>
              <c:numCache>
                <c:formatCode>General</c:formatCode>
                <c:ptCount val="1"/>
                <c:pt idx="0">
                  <c:v>1.6830620999999999</c:v>
                </c:pt>
              </c:numCache>
            </c:numRef>
          </c:val>
          <c:extLst>
            <c:ext xmlns:c16="http://schemas.microsoft.com/office/drawing/2014/chart" uri="{C3380CC4-5D6E-409C-BE32-E72D297353CC}">
              <c16:uniqueId val="{00000001-CBAA-4F80-904B-D7FA417E963A}"/>
            </c:ext>
          </c:extLst>
        </c:ser>
        <c:ser>
          <c:idx val="4"/>
          <c:order val="1"/>
          <c:tx>
            <c:strRef>
              <c:f>'State Control Split'!$F$86</c:f>
              <c:strCache>
                <c:ptCount val="1"/>
                <c:pt idx="0">
                  <c:v>Involvement in business operation</c:v>
                </c:pt>
              </c:strCache>
            </c:strRef>
          </c:tx>
          <c:spPr>
            <a:solidFill>
              <a:schemeClr val="accent5"/>
            </a:solidFill>
            <a:ln>
              <a:noFill/>
            </a:ln>
            <a:effectLst/>
          </c:spPr>
          <c:invertIfNegative val="0"/>
          <c:dLbls>
            <c:dLbl>
              <c:idx val="0"/>
              <c:tx>
                <c:strRef>
                  <c:f>'State Control Split'!$F$88</c:f>
                  <c:strCache>
                    <c:ptCount val="1"/>
                    <c:pt idx="0">
                      <c:v>42%</c:v>
                    </c:pt>
                  </c:strCache>
                </c:strRef>
              </c:tx>
              <c:dLblPos val="ctr"/>
              <c:showLegendKey val="0"/>
              <c:showVal val="1"/>
              <c:showCatName val="0"/>
              <c:showSerName val="1"/>
              <c:showPercent val="0"/>
              <c:showBubbleSize val="0"/>
              <c:extLst>
                <c:ext xmlns:c15="http://schemas.microsoft.com/office/drawing/2012/chart" uri="{CE6537A1-D6FC-4f65-9D91-7224C49458BB}">
                  <c15:dlblFieldTable>
                    <c15:dlblFTEntry>
                      <c15:txfldGUID>{42160048-CFC1-463D-A302-7933CD749126}</c15:txfldGUID>
                      <c15:f>'State Control Split'!$F$88</c15:f>
                      <c15:dlblFieldTableCache>
                        <c:ptCount val="1"/>
                        <c:pt idx="0">
                          <c:v>42%</c:v>
                        </c:pt>
                      </c15:dlblFieldTableCache>
                    </c15:dlblFTEntry>
                  </c15:dlblFieldTable>
                  <c15:showDataLabelsRange val="0"/>
                </c:ext>
                <c:ext xmlns:c16="http://schemas.microsoft.com/office/drawing/2014/chart" uri="{C3380CC4-5D6E-409C-BE32-E72D297353CC}">
                  <c16:uniqueId val="{00000002-CBAA-4F80-904B-D7FA417E96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'State Control Split'!$A$87</c:f>
              <c:strCache>
                <c:ptCount val="1"/>
                <c:pt idx="0">
                  <c:v>State Control</c:v>
                </c:pt>
              </c:strCache>
            </c:strRef>
          </c:cat>
          <c:val>
            <c:numRef>
              <c:f>'State Control Split'!$F$87</c:f>
              <c:numCache>
                <c:formatCode>General</c:formatCode>
                <c:ptCount val="1"/>
                <c:pt idx="0">
                  <c:v>1.19940475</c:v>
                </c:pt>
              </c:numCache>
            </c:numRef>
          </c:val>
          <c:extLst>
            <c:ext xmlns:c16="http://schemas.microsoft.com/office/drawing/2014/chart" uri="{C3380CC4-5D6E-409C-BE32-E72D297353CC}">
              <c16:uniqueId val="{00000003-CBAA-4F80-904B-D7FA417E963A}"/>
            </c:ext>
          </c:extLst>
        </c:ser>
        <c:dLbls>
          <c:dLblPos val="ctr"/>
          <c:showLegendKey val="0"/>
          <c:showVal val="1"/>
          <c:showCatName val="0"/>
          <c:showSerName val="0"/>
          <c:showPercent val="0"/>
          <c:showBubbleSize val="0"/>
        </c:dLbls>
        <c:gapWidth val="150"/>
        <c:overlap val="100"/>
        <c:axId val="1101730112"/>
        <c:axId val="1101732432"/>
      </c:barChart>
      <c:catAx>
        <c:axId val="110173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732432"/>
        <c:crosses val="autoZero"/>
        <c:auto val="1"/>
        <c:lblAlgn val="ctr"/>
        <c:lblOffset val="100"/>
        <c:noMultiLvlLbl val="0"/>
      </c:catAx>
      <c:valAx>
        <c:axId val="1101732432"/>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73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'State Control Split'!$B$93</c:f>
              <c:strCache>
                <c:ptCount val="1"/>
                <c:pt idx="0">
                  <c:v>Scope of state-owned enterprises</c:v>
                </c:pt>
              </c:strCache>
            </c:strRef>
          </c:tx>
          <c:spPr>
            <a:solidFill>
              <a:schemeClr val="accent1"/>
            </a:solidFill>
            <a:ln>
              <a:noFill/>
            </a:ln>
            <a:effectLst/>
          </c:spPr>
          <c:invertIfNegative val="0"/>
          <c:dLbls>
            <c:dLbl>
              <c:idx val="0"/>
              <c:tx>
                <c:strRef>
                  <c:f>'State Control Split'!$B$96</c:f>
                  <c:strCache>
                    <c:ptCount val="1"/>
                    <c:pt idx="0">
                      <c:v>22%</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{FE992A5A-83F1-4800-9C76-5AFEF14ADBB1}</c15:txfldGUID>
                      <c15:f>'State Control Split'!$B$96</c15:f>
                      <c15:dlblFieldTableCache>
                        <c:ptCount val="1"/>
                        <c:pt idx="0">
                          <c:v>22%</c:v>
                        </c:pt>
                      </c15:dlblFieldTableCache>
                    </c15:dlblFTEntry>
                  </c15:dlblFieldTable>
                  <c15:showDataLabelsRange val="0"/>
                </c:ext>
                <c:ext xmlns:c16="http://schemas.microsoft.com/office/drawing/2014/chart" uri="{C3380CC4-5D6E-409C-BE32-E72D297353CC}">
                  <c16:uniqueId val="{00000000-B44E-4E44-ADAF-6FCA71385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Control Split'!$A$94:$A$95</c:f>
              <c:strCache>
                <c:ptCount val="2"/>
                <c:pt idx="0">
                  <c:v>Public ownership</c:v>
                </c:pt>
                <c:pt idx="1">
                  <c:v>Involvement in business operation</c:v>
                </c:pt>
              </c:strCache>
            </c:strRef>
          </c:cat>
          <c:val>
            <c:numRef>
              <c:f>'State Control Split'!$B$94:$B$95</c:f>
              <c:numCache>
                <c:formatCode>General</c:formatCode>
                <c:ptCount val="2"/>
                <c:pt idx="0">
                  <c:v>0.72413799999999995</c:v>
                </c:pt>
              </c:numCache>
            </c:numRef>
          </c:val>
          <c:extLst>
            <c:ext xmlns:c16="http://schemas.microsoft.com/office/drawing/2014/chart" uri="{C3380CC4-5D6E-409C-BE32-E72D297353CC}">
              <c16:uniqueId val="{00000001-B44E-4E44-ADAF-6FCA713858F3}"/>
            </c:ext>
          </c:extLst>
        </c:ser>
        <c:ser>
          <c:idx val="1"/>
          <c:order val="1"/>
          <c:tx>
            <c:strRef>
              <c:f>'State Control Split'!$C$93</c:f>
              <c:strCache>
                <c:ptCount val="1"/>
                <c:pt idx="0">
                  <c:v>Government involvement in network sectors</c:v>
                </c:pt>
              </c:strCache>
            </c:strRef>
          </c:tx>
          <c:spPr>
            <a:solidFill>
              <a:schemeClr val="accent2"/>
            </a:solidFill>
            <a:ln>
              <a:noFill/>
            </a:ln>
            <a:effectLst/>
          </c:spPr>
          <c:invertIfNegative val="0"/>
          <c:dLbls>
            <c:dLbl>
              <c:idx val="0"/>
              <c:tx>
                <c:strRef>
                  <c:f>'State Control Split'!$C$96</c:f>
                  <c:strCache>
                    <c:ptCount val="1"/>
                    <c:pt idx="0">
                      <c:v>37%</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{A3119233-425D-4D3D-A447-1738871A2D11}</c15:txfldGUID>
                      <c15:f>'State Control Split'!$C$96</c15:f>
                      <c15:dlblFieldTableCache>
                        <c:ptCount val="1"/>
                        <c:pt idx="0">
                          <c:v>37%</c:v>
                        </c:pt>
                      </c15:dlblFieldTableCache>
                    </c15:dlblFTEntry>
                  </c15:dlblFieldTable>
                  <c15:showDataLabelsRange val="0"/>
                </c:ext>
                <c:ext xmlns:c16="http://schemas.microsoft.com/office/drawing/2014/chart" uri="{C3380CC4-5D6E-409C-BE32-E72D297353CC}">
                  <c16:uniqueId val="{00000002-B44E-4E44-ADAF-6FCA71385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Control Split'!$A$94:$A$95</c:f>
              <c:strCache>
                <c:ptCount val="2"/>
                <c:pt idx="0">
                  <c:v>Public ownership</c:v>
                </c:pt>
                <c:pt idx="1">
                  <c:v>Involvement in business operation</c:v>
                </c:pt>
              </c:strCache>
            </c:strRef>
          </c:cat>
          <c:val>
            <c:numRef>
              <c:f>'State Control Split'!$C$94:$C$95</c:f>
              <c:numCache>
                <c:formatCode>General</c:formatCode>
                <c:ptCount val="2"/>
                <c:pt idx="0">
                  <c:v>1.2519</c:v>
                </c:pt>
              </c:numCache>
            </c:numRef>
          </c:val>
          <c:extLst>
            <c:ext xmlns:c16="http://schemas.microsoft.com/office/drawing/2014/chart" uri="{C3380CC4-5D6E-409C-BE32-E72D297353CC}">
              <c16:uniqueId val="{00000003-B44E-4E44-ADAF-6FCA713858F3}"/>
            </c:ext>
          </c:extLst>
        </c:ser>
        <c:ser>
          <c:idx val="2"/>
          <c:order val="2"/>
          <c:tx>
            <c:strRef>
              <c:f>'State Control Split'!$D$93</c:f>
              <c:strCache>
                <c:ptCount val="1"/>
                <c:pt idx="0">
                  <c:v>Direct control over business enterprises</c:v>
                </c:pt>
              </c:strCache>
            </c:strRef>
          </c:tx>
          <c:spPr>
            <a:solidFill>
              <a:schemeClr val="accent3"/>
            </a:solidFill>
            <a:ln>
              <a:noFill/>
            </a:ln>
            <a:effectLst/>
          </c:spPr>
          <c:invertIfNegative val="0"/>
          <c:dLbls>
            <c:dLbl>
              <c:idx val="0"/>
              <c:tx>
                <c:strRef>
                  <c:f>'State Control Split'!$D$96</c:f>
                  <c:strCache>
                    <c:ptCount val="1"/>
                    <c:pt idx="0">
                      <c:v>2%</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{97C6899F-442E-49FF-8174-DC4FFFF6EDEE}</c15:txfldGUID>
                      <c15:f>'State Control Split'!$D$96</c15:f>
                      <c15:dlblFieldTableCache>
                        <c:ptCount val="1"/>
                        <c:pt idx="0">
                          <c:v>2%</c:v>
                        </c:pt>
                      </c15:dlblFieldTableCache>
                    </c15:dlblFTEntry>
                  </c15:dlblFieldTable>
                  <c15:showDataLabelsRange val="0"/>
                </c:ext>
                <c:ext xmlns:c16="http://schemas.microsoft.com/office/drawing/2014/chart" uri="{C3380CC4-5D6E-409C-BE32-E72D297353CC}">
                  <c16:uniqueId val="{00000004-B44E-4E44-ADAF-6FCA71385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Control Split'!$A$94:$A$95</c:f>
              <c:strCache>
                <c:ptCount val="2"/>
                <c:pt idx="0">
                  <c:v>Public ownership</c:v>
                </c:pt>
                <c:pt idx="1">
                  <c:v>Involvement in business operation</c:v>
                </c:pt>
              </c:strCache>
            </c:strRef>
          </c:cat>
          <c:val>
            <c:numRef>
              <c:f>'State Control Split'!$D$94:$D$95</c:f>
              <c:numCache>
                <c:formatCode>General</c:formatCode>
                <c:ptCount val="2"/>
                <c:pt idx="0">
                  <c:v>7.7586199999999994E-2</c:v>
                </c:pt>
              </c:numCache>
            </c:numRef>
          </c:val>
          <c:extLst>
            <c:ext xmlns:c16="http://schemas.microsoft.com/office/drawing/2014/chart" uri="{C3380CC4-5D6E-409C-BE32-E72D297353CC}">
              <c16:uniqueId val="{00000005-B44E-4E44-ADAF-6FCA713858F3}"/>
            </c:ext>
          </c:extLst>
        </c:ser>
        <c:ser>
          <c:idx val="3"/>
          <c:order val="3"/>
          <c:tx>
            <c:strRef>
              <c:f>'State Control Split'!$E$93</c:f>
              <c:strCache>
                <c:ptCount val="1"/>
                <c:pt idx="0">
                  <c:v>Governance of state-owned enterprises</c:v>
                </c:pt>
              </c:strCache>
            </c:strRef>
          </c:tx>
          <c:spPr>
            <a:solidFill>
              <a:schemeClr val="accent4"/>
            </a:solidFill>
            <a:ln>
              <a:noFill/>
            </a:ln>
            <a:effectLst/>
          </c:spPr>
          <c:invertIfNegative val="0"/>
          <c:dLbls>
            <c:dLbl>
              <c:idx val="0"/>
              <c:tx>
                <c:strRef>
                  <c:f>'State Control Split'!$E$96</c:f>
                  <c:strCache>
                    <c:ptCount val="1"/>
                    <c:pt idx="0">
                      <c:v>39%</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{B7E3B811-58F2-4B50-8F4D-D5FAC3C60722}</c15:txfldGUID>
                      <c15:f>'State Control Split'!$E$96</c15:f>
                      <c15:dlblFieldTableCache>
                        <c:ptCount val="1"/>
                        <c:pt idx="0">
                          <c:v>39%</c:v>
                        </c:pt>
                      </c15:dlblFieldTableCache>
                    </c15:dlblFTEntry>
                  </c15:dlblFieldTable>
                  <c15:showDataLabelsRange val="0"/>
                </c:ext>
                <c:ext xmlns:c16="http://schemas.microsoft.com/office/drawing/2014/chart" uri="{C3380CC4-5D6E-409C-BE32-E72D297353CC}">
                  <c16:uniqueId val="{00000006-B44E-4E44-ADAF-6FCA71385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Control Split'!$A$94:$A$95</c:f>
              <c:strCache>
                <c:ptCount val="2"/>
                <c:pt idx="0">
                  <c:v>Public ownership</c:v>
                </c:pt>
                <c:pt idx="1">
                  <c:v>Involvement in business operation</c:v>
                </c:pt>
              </c:strCache>
            </c:strRef>
          </c:cat>
          <c:val>
            <c:numRef>
              <c:f>'State Control Split'!$E$94:$E$95</c:f>
              <c:numCache>
                <c:formatCode>General</c:formatCode>
                <c:ptCount val="2"/>
                <c:pt idx="0">
                  <c:v>1.3125</c:v>
                </c:pt>
              </c:numCache>
            </c:numRef>
          </c:val>
          <c:extLst>
            <c:ext xmlns:c16="http://schemas.microsoft.com/office/drawing/2014/chart" uri="{C3380CC4-5D6E-409C-BE32-E72D297353CC}">
              <c16:uniqueId val="{00000007-B44E-4E44-ADAF-6FCA713858F3}"/>
            </c:ext>
          </c:extLst>
        </c:ser>
        <c:ser>
          <c:idx val="4"/>
          <c:order val="4"/>
          <c:tx>
            <c:strRef>
              <c:f>'State Control Split'!$F$93</c:f>
              <c:strCache>
                <c:ptCount val="1"/>
                <c:pt idx="0">
                  <c:v>Price controls</c:v>
                </c:pt>
              </c:strCache>
            </c:strRef>
          </c:tx>
          <c:spPr>
            <a:solidFill>
              <a:schemeClr val="accent5"/>
            </a:solidFill>
            <a:ln>
              <a:noFill/>
            </a:ln>
            <a:effectLst/>
          </c:spPr>
          <c:invertIfNegative val="0"/>
          <c:dLbls>
            <c:dLbl>
              <c:idx val="1"/>
              <c:tx>
                <c:strRef>
                  <c:f>'State Control Split'!$F$97</c:f>
                  <c:strCache>
                    <c:ptCount val="1"/>
                    <c:pt idx="0">
                      <c:v>57%</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{24BE3DE8-3EED-4E6C-A34A-9641FD4AD9C1}</c15:txfldGUID>
                      <c15:f>'State Control Split'!$F$97</c15:f>
                      <c15:dlblFieldTableCache>
                        <c:ptCount val="1"/>
                        <c:pt idx="0">
                          <c:v>57%</c:v>
                        </c:pt>
                      </c15:dlblFieldTableCache>
                    </c15:dlblFTEntry>
                  </c15:dlblFieldTable>
                  <c15:showDataLabelsRange val="0"/>
                </c:ext>
                <c:ext xmlns:c16="http://schemas.microsoft.com/office/drawing/2014/chart" uri="{C3380CC4-5D6E-409C-BE32-E72D297353CC}">
                  <c16:uniqueId val="{00000008-B44E-4E44-ADAF-6FCA71385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Control Split'!$A$94:$A$95</c:f>
              <c:strCache>
                <c:ptCount val="2"/>
                <c:pt idx="0">
                  <c:v>Public ownership</c:v>
                </c:pt>
                <c:pt idx="1">
                  <c:v>Involvement in business operation</c:v>
                </c:pt>
              </c:strCache>
            </c:strRef>
          </c:cat>
          <c:val>
            <c:numRef>
              <c:f>'State Control Split'!$F$94:$F$95</c:f>
              <c:numCache>
                <c:formatCode>General</c:formatCode>
                <c:ptCount val="2"/>
                <c:pt idx="1">
                  <c:v>1.357143</c:v>
                </c:pt>
              </c:numCache>
            </c:numRef>
          </c:val>
          <c:extLst>
            <c:ext xmlns:c16="http://schemas.microsoft.com/office/drawing/2014/chart" uri="{C3380CC4-5D6E-409C-BE32-E72D297353CC}">
              <c16:uniqueId val="{00000009-B44E-4E44-ADAF-6FCA713858F3}"/>
            </c:ext>
          </c:extLst>
        </c:ser>
        <c:ser>
          <c:idx val="5"/>
          <c:order val="5"/>
          <c:tx>
            <c:strRef>
              <c:f>'State Control Split'!$G$93</c:f>
              <c:strCache>
                <c:ptCount val="1"/>
                <c:pt idx="0">
                  <c:v>Use of command &amp; control regulation </c:v>
                </c:pt>
              </c:strCache>
            </c:strRef>
          </c:tx>
          <c:spPr>
            <a:solidFill>
              <a:schemeClr val="accent6"/>
            </a:solidFill>
            <a:ln>
              <a:noFill/>
            </a:ln>
            <a:effectLst/>
          </c:spPr>
          <c:invertIfNegative val="0"/>
          <c:dLbls>
            <c:dLbl>
              <c:idx val="1"/>
              <c:tx>
                <c:strRef>
                  <c:f>'State Control Split'!$G$97</c:f>
                  <c:strCache>
                    <c:ptCount val="1"/>
                    <c:pt idx="0">
                      <c:v>43%</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{66F2ACDB-833E-43FF-8CBB-93F9390E6C2D}</c15:txfldGUID>
                      <c15:f>'State Control Split'!$G$97</c15:f>
                      <c15:dlblFieldTableCache>
                        <c:ptCount val="1"/>
                        <c:pt idx="0">
                          <c:v>43%</c:v>
                        </c:pt>
                      </c15:dlblFieldTableCache>
                    </c15:dlblFTEntry>
                  </c15:dlblFieldTable>
                  <c15:showDataLabelsRange val="0"/>
                </c:ext>
                <c:ext xmlns:c16="http://schemas.microsoft.com/office/drawing/2014/chart" uri="{C3380CC4-5D6E-409C-BE32-E72D297353CC}">
                  <c16:uniqueId val="{0000000A-B44E-4E44-ADAF-6FCA71385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Control Split'!$A$94:$A$95</c:f>
              <c:strCache>
                <c:ptCount val="2"/>
                <c:pt idx="0">
                  <c:v>Public ownership</c:v>
                </c:pt>
                <c:pt idx="1">
                  <c:v>Involvement in business operation</c:v>
                </c:pt>
              </c:strCache>
            </c:strRef>
          </c:cat>
          <c:val>
            <c:numRef>
              <c:f>'State Control Split'!$G$94:$G$95</c:f>
              <c:numCache>
                <c:formatCode>General</c:formatCode>
                <c:ptCount val="2"/>
                <c:pt idx="1">
                  <c:v>1.0416665000000001</c:v>
                </c:pt>
              </c:numCache>
            </c:numRef>
          </c:val>
          <c:extLst>
            <c:ext xmlns:c16="http://schemas.microsoft.com/office/drawing/2014/chart" uri="{C3380CC4-5D6E-409C-BE32-E72D297353CC}">
              <c16:uniqueId val="{0000000B-B44E-4E44-ADAF-6FCA713858F3}"/>
            </c:ext>
          </c:extLst>
        </c:ser>
        <c:dLbls>
          <c:dLblPos val="ctr"/>
          <c:showLegendKey val="0"/>
          <c:showVal val="1"/>
          <c:showCatName val="0"/>
          <c:showSerName val="0"/>
          <c:showPercent val="0"/>
          <c:showBubbleSize val="0"/>
        </c:dLbls>
        <c:gapWidth val="150"/>
        <c:overlap val="100"/>
        <c:axId val="1062772960"/>
        <c:axId val="1060898480"/>
      </c:barChart>
      <c:catAx>
        <c:axId val="106277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898480"/>
        <c:crosses val="autoZero"/>
        <c:auto val="1"/>
        <c:lblAlgn val="ctr"/>
        <c:lblOffset val="100"/>
        <c:noMultiLvlLbl val="0"/>
      </c:catAx>
      <c:valAx>
        <c:axId val="106089848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772960"/>
        <c:crosses val="autoZero"/>
        <c:crossBetween val="between"/>
      </c:valAx>
      <c:spPr>
        <a:noFill/>
        <a:ln>
          <a:noFill/>
        </a:ln>
        <a:effectLst/>
      </c:spPr>
    </c:plotArea>
    <c:legend>
      <c:legendPos val="r"/>
      <c:layout>
        <c:manualLayout>
          <c:xMode val="edge"/>
          <c:yMode val="edge"/>
          <c:x val="0.63989419077184495"/>
          <c:y val="5.9333453625463996E-3"/>
          <c:w val="0.33921808076862497"/>
          <c:h val="0.994066654637454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'+Public Ownership'!$B$2</c:f>
              <c:strCache>
                <c:ptCount val="1"/>
                <c:pt idx="0">
                  <c:v>OECD</c:v>
                </c:pt>
              </c:strCache>
            </c:strRef>
          </c:tx>
          <c:spPr>
            <a:solidFill>
              <a:schemeClr val="dk1">
                <a:tint val="88500"/>
              </a:schemeClr>
            </a:solidFill>
            <a:ln>
              <a:noFill/>
            </a:ln>
            <a:effectLst/>
          </c:spPr>
          <c:invertIfNegative val="0"/>
          <c:cat>
            <c:strRef>
              <c:f>'+Public Ownership'!$A$3:$A$69</c:f>
              <c:strCache>
                <c:ptCount val="26"/>
                <c:pt idx="0">
                  <c:v>Top 5 Average</c:v>
                </c:pt>
                <c:pt idx="1">
                  <c:v>El Salvador</c:v>
                </c:pt>
                <c:pt idx="2">
                  <c:v>Peru</c:v>
                </c:pt>
                <c:pt idx="3">
                  <c:v>Nicaragua</c:v>
                </c:pt>
                <c:pt idx="4">
                  <c:v>Chile</c:v>
                </c:pt>
                <c:pt idx="5">
                  <c:v>Colombia</c:v>
                </c:pt>
                <c:pt idx="6">
                  <c:v>Panama</c:v>
                </c:pt>
                <c:pt idx="7">
                  <c:v>Mexico</c:v>
                </c:pt>
                <c:pt idx="8">
                  <c:v>Brazil</c:v>
                </c:pt>
                <c:pt idx="9">
                  <c:v>OECD Average</c:v>
                </c:pt>
                <c:pt idx="10">
                  <c:v>Honduras</c:v>
                </c:pt>
                <c:pt idx="11">
                  <c:v>Kenya</c:v>
                </c:pt>
                <c:pt idx="12">
                  <c:v>Jamaica</c:v>
                </c:pt>
                <c:pt idx="13">
                  <c:v>Dominican Republic</c:v>
                </c:pt>
                <c:pt idx="14">
                  <c:v>Philippines</c:v>
                </c:pt>
                <c:pt idx="15">
                  <c:v>Ukraine</c:v>
                </c:pt>
                <c:pt idx="16">
                  <c:v>Senegal</c:v>
                </c:pt>
                <c:pt idx="17">
                  <c:v>South Africa</c:v>
                </c:pt>
                <c:pt idx="18">
                  <c:v>Costa Rica</c:v>
                </c:pt>
                <c:pt idx="19">
                  <c:v>Turkey</c:v>
                </c:pt>
                <c:pt idx="20">
                  <c:v>Bolivia</c:v>
                </c:pt>
                <c:pt idx="21">
                  <c:v>Argentina</c:v>
                </c:pt>
                <c:pt idx="22">
                  <c:v>China</c:v>
                </c:pt>
                <c:pt idx="23">
                  <c:v>India</c:v>
                </c:pt>
                <c:pt idx="24">
                  <c:v>Egypt</c:v>
                </c:pt>
                <c:pt idx="25">
                  <c:v>Tunisia</c:v>
                </c:pt>
              </c:strCache>
            </c:strRef>
          </c:cat>
          <c:val>
            <c:numRef>
              <c:f>'+Public Ownership'!$B$3:$B$67</c:f>
            </c:numRef>
          </c:val>
          <c:extLst>
            <c:ext xmlns:c16="http://schemas.microsoft.com/office/drawing/2014/chart" uri="{C3380CC4-5D6E-409C-BE32-E72D297353CC}">
              <c16:uniqueId val="{00000000-6D55-E545-B146-83B37AE64719}"/>
            </c:ext>
          </c:extLst>
        </c:ser>
        <c:ser>
          <c:idx val="3"/>
          <c:order val="1"/>
          <c:tx>
            <c:strRef>
              <c:f>'+Public Ownership'!$E$2</c:f>
              <c:strCache>
                <c:ptCount val="1"/>
                <c:pt idx="0">
                  <c:v>Scope of state-owned enterprises</c:v>
                </c:pt>
              </c:strCache>
            </c:strRef>
          </c:tx>
          <c:spPr>
            <a:solidFill>
              <a:schemeClr val="dk1">
                <a:tint val="9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2-6D55-E545-B146-83B37AE64719}"/>
              </c:ext>
            </c:extLst>
          </c:dPt>
          <c:dPt>
            <c:idx val="9"/>
            <c:invertIfNegative val="0"/>
            <c:bubble3D val="0"/>
            <c:spPr>
              <a:solidFill>
                <a:schemeClr val="accent6"/>
              </a:solidFill>
              <a:ln>
                <a:noFill/>
              </a:ln>
              <a:effectLst/>
            </c:spPr>
            <c:extLst>
              <c:ext xmlns:c16="http://schemas.microsoft.com/office/drawing/2014/chart" uri="{C3380CC4-5D6E-409C-BE32-E72D297353CC}">
                <c16:uniqueId val="{00000004-6D55-E545-B146-83B37AE64719}"/>
              </c:ext>
            </c:extLst>
          </c:dPt>
          <c:dPt>
            <c:idx val="13"/>
            <c:invertIfNegative val="0"/>
            <c:bubble3D val="0"/>
            <c:extLst>
              <c:ext xmlns:c16="http://schemas.microsoft.com/office/drawing/2014/chart" uri="{C3380CC4-5D6E-409C-BE32-E72D297353CC}">
                <c16:uniqueId val="{00000005-6D55-E545-B146-83B37AE64719}"/>
              </c:ext>
            </c:extLst>
          </c:dPt>
          <c:dPt>
            <c:idx val="15"/>
            <c:invertIfNegative val="0"/>
            <c:bubble3D val="0"/>
            <c:spPr>
              <a:solidFill>
                <a:schemeClr val="dk1">
                  <a:tint val="98500"/>
                </a:schemeClr>
              </a:solidFill>
              <a:ln>
                <a:noFill/>
              </a:ln>
              <a:effectLst/>
            </c:spPr>
            <c:extLst>
              <c:ext xmlns:c16="http://schemas.microsoft.com/office/drawing/2014/chart" uri="{C3380CC4-5D6E-409C-BE32-E72D297353CC}">
                <c16:uniqueId val="{00000007-6D55-E545-B146-83B37AE64719}"/>
              </c:ext>
            </c:extLst>
          </c:dPt>
          <c:dPt>
            <c:idx val="16"/>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6D55-E545-B146-83B37AE64719}"/>
              </c:ext>
            </c:extLst>
          </c:dPt>
          <c:dLbls>
            <c:dLbl>
              <c:idx val="16"/>
              <c:layout>
                <c:manualLayout>
                  <c:x val="0.15625"/>
                  <c:y val="-3.822629969418969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569808982211"/>
                      <c:h val="0.14133527173782201"/>
                    </c:manualLayout>
                  </c15:layout>
                </c:ext>
                <c:ext xmlns:c16="http://schemas.microsoft.com/office/drawing/2014/chart" uri="{C3380CC4-5D6E-409C-BE32-E72D297353CC}">
                  <c16:uniqueId val="{00000009-6D55-E545-B146-83B37AE647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'+Public Ownership'!$A$3:$A$69</c:f>
              <c:strCache>
                <c:ptCount val="26"/>
                <c:pt idx="0">
                  <c:v>Top 5 Average</c:v>
                </c:pt>
                <c:pt idx="1">
                  <c:v>El Salvador</c:v>
                </c:pt>
                <c:pt idx="2">
                  <c:v>Peru</c:v>
                </c:pt>
                <c:pt idx="3">
                  <c:v>Nicaragua</c:v>
                </c:pt>
                <c:pt idx="4">
                  <c:v>Chile</c:v>
                </c:pt>
                <c:pt idx="5">
                  <c:v>Colombia</c:v>
                </c:pt>
                <c:pt idx="6">
                  <c:v>Panama</c:v>
                </c:pt>
                <c:pt idx="7">
                  <c:v>Mexico</c:v>
                </c:pt>
                <c:pt idx="8">
                  <c:v>Brazil</c:v>
                </c:pt>
                <c:pt idx="9">
                  <c:v>OECD Average</c:v>
                </c:pt>
                <c:pt idx="10">
                  <c:v>Honduras</c:v>
                </c:pt>
                <c:pt idx="11">
                  <c:v>Kenya</c:v>
                </c:pt>
                <c:pt idx="12">
                  <c:v>Jamaica</c:v>
                </c:pt>
                <c:pt idx="13">
                  <c:v>Dominican Republic</c:v>
                </c:pt>
                <c:pt idx="14">
                  <c:v>Philippines</c:v>
                </c:pt>
                <c:pt idx="15">
                  <c:v>Ukraine</c:v>
                </c:pt>
                <c:pt idx="16">
                  <c:v>Senegal</c:v>
                </c:pt>
                <c:pt idx="17">
                  <c:v>South Africa</c:v>
                </c:pt>
                <c:pt idx="18">
                  <c:v>Costa Rica</c:v>
                </c:pt>
                <c:pt idx="19">
                  <c:v>Turkey</c:v>
                </c:pt>
                <c:pt idx="20">
                  <c:v>Bolivia</c:v>
                </c:pt>
                <c:pt idx="21">
                  <c:v>Argentina</c:v>
                </c:pt>
                <c:pt idx="22">
                  <c:v>China</c:v>
                </c:pt>
                <c:pt idx="23">
                  <c:v>India</c:v>
                </c:pt>
                <c:pt idx="24">
                  <c:v>Egypt</c:v>
                </c:pt>
                <c:pt idx="25">
                  <c:v>Tunisia</c:v>
                </c:pt>
              </c:strCache>
            </c:strRef>
          </c:cat>
          <c:val>
            <c:numRef>
              <c:f>'+Public Ownership'!$E$3:$E$69</c:f>
              <c:numCache>
                <c:formatCode>0.00</c:formatCode>
                <c:ptCount val="26"/>
                <c:pt idx="0">
                  <c:v>0.44</c:v>
                </c:pt>
                <c:pt idx="1">
                  <c:v>0.48275849999999998</c:v>
                </c:pt>
                <c:pt idx="2">
                  <c:v>0.67241375000000003</c:v>
                </c:pt>
                <c:pt idx="3">
                  <c:v>0.58333325000000003</c:v>
                </c:pt>
                <c:pt idx="4">
                  <c:v>0.61875000000000002</c:v>
                </c:pt>
                <c:pt idx="5">
                  <c:v>0.72413799999999995</c:v>
                </c:pt>
                <c:pt idx="6">
                  <c:v>0.29741374999999998</c:v>
                </c:pt>
                <c:pt idx="7">
                  <c:v>0.73750000000000004</c:v>
                </c:pt>
                <c:pt idx="8">
                  <c:v>0.65948275000000001</c:v>
                </c:pt>
                <c:pt idx="9">
                  <c:v>0.67249999999999999</c:v>
                </c:pt>
                <c:pt idx="10">
                  <c:v>0.51923074999999996</c:v>
                </c:pt>
                <c:pt idx="11">
                  <c:v>0.83250000000000002</c:v>
                </c:pt>
                <c:pt idx="12">
                  <c:v>0.65625</c:v>
                </c:pt>
                <c:pt idx="13">
                  <c:v>0.75</c:v>
                </c:pt>
                <c:pt idx="14">
                  <c:v>1.04375</c:v>
                </c:pt>
                <c:pt idx="15">
                  <c:v>1.075</c:v>
                </c:pt>
                <c:pt idx="16">
                  <c:v>0.72413799999999995</c:v>
                </c:pt>
                <c:pt idx="17">
                  <c:v>0.89870700000000003</c:v>
                </c:pt>
                <c:pt idx="18">
                  <c:v>0.67241375000000003</c:v>
                </c:pt>
                <c:pt idx="19">
                  <c:v>1.1125</c:v>
                </c:pt>
                <c:pt idx="20">
                  <c:v>0.92500000000000004</c:v>
                </c:pt>
                <c:pt idx="21">
                  <c:v>0.87931024999999996</c:v>
                </c:pt>
                <c:pt idx="22">
                  <c:v>1.5</c:v>
                </c:pt>
                <c:pt idx="23">
                  <c:v>1.3448275000000001</c:v>
                </c:pt>
                <c:pt idx="24">
                  <c:v>1.4375</c:v>
                </c:pt>
                <c:pt idx="25">
                  <c:v>1.1785715000000001</c:v>
                </c:pt>
              </c:numCache>
            </c:numRef>
          </c:val>
          <c:extLst>
            <c:ext xmlns:c16="http://schemas.microsoft.com/office/drawing/2014/chart" uri="{C3380CC4-5D6E-409C-BE32-E72D297353CC}">
              <c16:uniqueId val="{0000000A-6D55-E545-B146-83B37AE64719}"/>
            </c:ext>
          </c:extLst>
        </c:ser>
        <c:ser>
          <c:idx val="5"/>
          <c:order val="2"/>
          <c:tx>
            <c:strRef>
              <c:f>'+Public Ownership'!$G$2</c:f>
              <c:strCache>
                <c:ptCount val="1"/>
                <c:pt idx="0">
                  <c:v>Government involvement in network sectors</c:v>
                </c:pt>
              </c:strCache>
            </c:strRef>
          </c:tx>
          <c:spPr>
            <a:solidFill>
              <a:schemeClr val="dk1">
                <a:tint val="6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C-6D55-E545-B146-83B37AE64719}"/>
              </c:ext>
            </c:extLst>
          </c:dPt>
          <c:dPt>
            <c:idx val="9"/>
            <c:invertIfNegative val="0"/>
            <c:bubble3D val="0"/>
            <c:spPr>
              <a:solidFill>
                <a:schemeClr val="accent6"/>
              </a:solidFill>
              <a:ln>
                <a:noFill/>
              </a:ln>
              <a:effectLst/>
            </c:spPr>
            <c:extLst>
              <c:ext xmlns:c16="http://schemas.microsoft.com/office/drawing/2014/chart" uri="{C3380CC4-5D6E-409C-BE32-E72D297353CC}">
                <c16:uniqueId val="{0000000E-6D55-E545-B146-83B37AE64719}"/>
              </c:ext>
            </c:extLst>
          </c:dPt>
          <c:dPt>
            <c:idx val="13"/>
            <c:invertIfNegative val="0"/>
            <c:bubble3D val="0"/>
            <c:extLst>
              <c:ext xmlns:c16="http://schemas.microsoft.com/office/drawing/2014/chart" uri="{C3380CC4-5D6E-409C-BE32-E72D297353CC}">
                <c16:uniqueId val="{0000000F-6D55-E545-B146-83B37AE64719}"/>
              </c:ext>
            </c:extLst>
          </c:dPt>
          <c:dPt>
            <c:idx val="15"/>
            <c:invertIfNegative val="0"/>
            <c:bubble3D val="0"/>
            <c:spPr>
              <a:solidFill>
                <a:schemeClr val="dk1">
                  <a:tint val="60000"/>
                </a:schemeClr>
              </a:solidFill>
              <a:ln>
                <a:noFill/>
              </a:ln>
              <a:effectLst/>
            </c:spPr>
            <c:extLst>
              <c:ext xmlns:c16="http://schemas.microsoft.com/office/drawing/2014/chart" uri="{C3380CC4-5D6E-409C-BE32-E72D297353CC}">
                <c16:uniqueId val="{00000011-6D55-E545-B146-83B37AE64719}"/>
              </c:ext>
            </c:extLst>
          </c:dPt>
          <c:dPt>
            <c:idx val="16"/>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13-6D55-E545-B146-83B37AE64719}"/>
              </c:ext>
            </c:extLst>
          </c:dPt>
          <c:dLbls>
            <c:dLbl>
              <c:idx val="16"/>
              <c:layout>
                <c:manualLayout>
                  <c:x val="-0.12037037037037"/>
                  <c:y val="-5.733944954128449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3-6D55-E545-B146-83B37AE647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'+Public Ownership'!$A$3:$A$69</c:f>
              <c:strCache>
                <c:ptCount val="26"/>
                <c:pt idx="0">
                  <c:v>Top 5 Average</c:v>
                </c:pt>
                <c:pt idx="1">
                  <c:v>El Salvador</c:v>
                </c:pt>
                <c:pt idx="2">
                  <c:v>Peru</c:v>
                </c:pt>
                <c:pt idx="3">
                  <c:v>Nicaragua</c:v>
                </c:pt>
                <c:pt idx="4">
                  <c:v>Chile</c:v>
                </c:pt>
                <c:pt idx="5">
                  <c:v>Colombia</c:v>
                </c:pt>
                <c:pt idx="6">
                  <c:v>Panama</c:v>
                </c:pt>
                <c:pt idx="7">
                  <c:v>Mexico</c:v>
                </c:pt>
                <c:pt idx="8">
                  <c:v>Brazil</c:v>
                </c:pt>
                <c:pt idx="9">
                  <c:v>OECD Average</c:v>
                </c:pt>
                <c:pt idx="10">
                  <c:v>Honduras</c:v>
                </c:pt>
                <c:pt idx="11">
                  <c:v>Kenya</c:v>
                </c:pt>
                <c:pt idx="12">
                  <c:v>Jamaica</c:v>
                </c:pt>
                <c:pt idx="13">
                  <c:v>Dominican Republic</c:v>
                </c:pt>
                <c:pt idx="14">
                  <c:v>Philippines</c:v>
                </c:pt>
                <c:pt idx="15">
                  <c:v>Ukraine</c:v>
                </c:pt>
                <c:pt idx="16">
                  <c:v>Senegal</c:v>
                </c:pt>
                <c:pt idx="17">
                  <c:v>South Africa</c:v>
                </c:pt>
                <c:pt idx="18">
                  <c:v>Costa Rica</c:v>
                </c:pt>
                <c:pt idx="19">
                  <c:v>Turkey</c:v>
                </c:pt>
                <c:pt idx="20">
                  <c:v>Bolivia</c:v>
                </c:pt>
                <c:pt idx="21">
                  <c:v>Argentina</c:v>
                </c:pt>
                <c:pt idx="22">
                  <c:v>China</c:v>
                </c:pt>
                <c:pt idx="23">
                  <c:v>India</c:v>
                </c:pt>
                <c:pt idx="24">
                  <c:v>Egypt</c:v>
                </c:pt>
                <c:pt idx="25">
                  <c:v>Tunisia</c:v>
                </c:pt>
              </c:strCache>
            </c:strRef>
          </c:cat>
          <c:val>
            <c:numRef>
              <c:f>'+Public Ownership'!$G$3:$G$69</c:f>
              <c:numCache>
                <c:formatCode>0.00</c:formatCode>
                <c:ptCount val="26"/>
                <c:pt idx="0">
                  <c:v>0.44</c:v>
                </c:pt>
                <c:pt idx="1">
                  <c:v>0.7</c:v>
                </c:pt>
                <c:pt idx="2">
                  <c:v>8.3333325E-2</c:v>
                </c:pt>
                <c:pt idx="3">
                  <c:v>0.51140624999999995</c:v>
                </c:pt>
                <c:pt idx="4">
                  <c:v>0.44791674999999997</c:v>
                </c:pt>
                <c:pt idx="5">
                  <c:v>0.28037499999999999</c:v>
                </c:pt>
                <c:pt idx="6">
                  <c:v>0.50975000000000004</c:v>
                </c:pt>
                <c:pt idx="7">
                  <c:v>0.6875</c:v>
                </c:pt>
                <c:pt idx="8">
                  <c:v>0.442</c:v>
                </c:pt>
                <c:pt idx="9">
                  <c:v>0.67249999999999999</c:v>
                </c:pt>
                <c:pt idx="10">
                  <c:v>0.9375</c:v>
                </c:pt>
                <c:pt idx="11">
                  <c:v>0.66</c:v>
                </c:pt>
                <c:pt idx="12">
                  <c:v>0.50700000000000001</c:v>
                </c:pt>
                <c:pt idx="13">
                  <c:v>0.46242499999999997</c:v>
                </c:pt>
                <c:pt idx="14">
                  <c:v>0.43824999999999997</c:v>
                </c:pt>
                <c:pt idx="15">
                  <c:v>0.58333325000000003</c:v>
                </c:pt>
                <c:pt idx="16">
                  <c:v>1.2519</c:v>
                </c:pt>
                <c:pt idx="17">
                  <c:v>1.0496667500000001</c:v>
                </c:pt>
                <c:pt idx="18">
                  <c:v>1.1000000000000001</c:v>
                </c:pt>
                <c:pt idx="19">
                  <c:v>1.03635425</c:v>
                </c:pt>
                <c:pt idx="20">
                  <c:v>0.93820824999999997</c:v>
                </c:pt>
                <c:pt idx="21">
                  <c:v>0.79831249999999998</c:v>
                </c:pt>
                <c:pt idx="22">
                  <c:v>1.10995</c:v>
                </c:pt>
                <c:pt idx="23">
                  <c:v>1.0479812500000001</c:v>
                </c:pt>
                <c:pt idx="24">
                  <c:v>1.405</c:v>
                </c:pt>
                <c:pt idx="25">
                  <c:v>1.3402499999999999</c:v>
                </c:pt>
              </c:numCache>
            </c:numRef>
          </c:val>
          <c:extLst>
            <c:ext xmlns:c16="http://schemas.microsoft.com/office/drawing/2014/chart" uri="{C3380CC4-5D6E-409C-BE32-E72D297353CC}">
              <c16:uniqueId val="{00000014-6D55-E545-B146-83B37AE64719}"/>
            </c:ext>
          </c:extLst>
        </c:ser>
        <c:ser>
          <c:idx val="7"/>
          <c:order val="3"/>
          <c:tx>
            <c:strRef>
              <c:f>'+Public Ownership'!$I$2</c:f>
              <c:strCache>
                <c:ptCount val="1"/>
                <c:pt idx="0">
                  <c:v>Direct control over business enterprises</c:v>
                </c:pt>
              </c:strCache>
            </c:strRef>
          </c:tx>
          <c:spPr>
            <a:solidFill>
              <a:schemeClr val="dk1">
                <a:tint val="8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16-6D55-E545-B146-83B37AE64719}"/>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8-6D55-E545-B146-83B37AE64719}"/>
              </c:ext>
            </c:extLst>
          </c:dPt>
          <c:dPt>
            <c:idx val="13"/>
            <c:invertIfNegative val="0"/>
            <c:bubble3D val="0"/>
            <c:extLst>
              <c:ext xmlns:c16="http://schemas.microsoft.com/office/drawing/2014/chart" uri="{C3380CC4-5D6E-409C-BE32-E72D297353CC}">
                <c16:uniqueId val="{00000019-6D55-E545-B146-83B37AE64719}"/>
              </c:ext>
            </c:extLst>
          </c:dPt>
          <c:dPt>
            <c:idx val="15"/>
            <c:invertIfNegative val="0"/>
            <c:bubble3D val="0"/>
            <c:spPr>
              <a:solidFill>
                <a:schemeClr val="dk1">
                  <a:tint val="88500"/>
                </a:schemeClr>
              </a:solidFill>
              <a:ln>
                <a:noFill/>
              </a:ln>
              <a:effectLst/>
            </c:spPr>
            <c:extLst>
              <c:ext xmlns:c16="http://schemas.microsoft.com/office/drawing/2014/chart" uri="{C3380CC4-5D6E-409C-BE32-E72D297353CC}">
                <c16:uniqueId val="{0000001B-6D55-E545-B146-83B37AE64719}"/>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1D-6D55-E545-B146-83B37AE64719}"/>
              </c:ext>
            </c:extLst>
          </c:dPt>
          <c:dLbls>
            <c:dLbl>
              <c:idx val="16"/>
              <c:layout>
                <c:manualLayout>
                  <c:x val="0.118055555555556"/>
                  <c:y val="-6.116207951070339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D-6D55-E545-B146-83B37AE647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'+Public Ownership'!$A$3:$A$69</c:f>
              <c:strCache>
                <c:ptCount val="26"/>
                <c:pt idx="0">
                  <c:v>Top 5 Average</c:v>
                </c:pt>
                <c:pt idx="1">
                  <c:v>El Salvador</c:v>
                </c:pt>
                <c:pt idx="2">
                  <c:v>Peru</c:v>
                </c:pt>
                <c:pt idx="3">
                  <c:v>Nicaragua</c:v>
                </c:pt>
                <c:pt idx="4">
                  <c:v>Chile</c:v>
                </c:pt>
                <c:pt idx="5">
                  <c:v>Colombia</c:v>
                </c:pt>
                <c:pt idx="6">
                  <c:v>Panama</c:v>
                </c:pt>
                <c:pt idx="7">
                  <c:v>Mexico</c:v>
                </c:pt>
                <c:pt idx="8">
                  <c:v>Brazil</c:v>
                </c:pt>
                <c:pt idx="9">
                  <c:v>OECD Average</c:v>
                </c:pt>
                <c:pt idx="10">
                  <c:v>Honduras</c:v>
                </c:pt>
                <c:pt idx="11">
                  <c:v>Kenya</c:v>
                </c:pt>
                <c:pt idx="12">
                  <c:v>Jamaica</c:v>
                </c:pt>
                <c:pt idx="13">
                  <c:v>Dominican Republic</c:v>
                </c:pt>
                <c:pt idx="14">
                  <c:v>Philippines</c:v>
                </c:pt>
                <c:pt idx="15">
                  <c:v>Ukraine</c:v>
                </c:pt>
                <c:pt idx="16">
                  <c:v>Senegal</c:v>
                </c:pt>
                <c:pt idx="17">
                  <c:v>South Africa</c:v>
                </c:pt>
                <c:pt idx="18">
                  <c:v>Costa Rica</c:v>
                </c:pt>
                <c:pt idx="19">
                  <c:v>Turkey</c:v>
                </c:pt>
                <c:pt idx="20">
                  <c:v>Bolivia</c:v>
                </c:pt>
                <c:pt idx="21">
                  <c:v>Argentina</c:v>
                </c:pt>
                <c:pt idx="22">
                  <c:v>China</c:v>
                </c:pt>
                <c:pt idx="23">
                  <c:v>India</c:v>
                </c:pt>
                <c:pt idx="24">
                  <c:v>Egypt</c:v>
                </c:pt>
                <c:pt idx="25">
                  <c:v>Tunisia</c:v>
                </c:pt>
              </c:strCache>
            </c:strRef>
          </c:cat>
          <c:val>
            <c:numRef>
              <c:f>'+Public Ownership'!$I$3:$I$69</c:f>
              <c:numCache>
                <c:formatCode>0.00</c:formatCode>
                <c:ptCount val="26"/>
                <c:pt idx="0">
                  <c:v>0.44</c:v>
                </c:pt>
                <c:pt idx="1">
                  <c:v>0.24137929999999999</c:v>
                </c:pt>
                <c:pt idx="2">
                  <c:v>0.60178575000000001</c:v>
                </c:pt>
                <c:pt idx="3">
                  <c:v>0.47291675</c:v>
                </c:pt>
                <c:pt idx="4">
                  <c:v>0.24062500000000001</c:v>
                </c:pt>
                <c:pt idx="5">
                  <c:v>0.36206899999999997</c:v>
                </c:pt>
                <c:pt idx="6">
                  <c:v>0.44866075</c:v>
                </c:pt>
                <c:pt idx="7">
                  <c:v>0.22800925</c:v>
                </c:pt>
                <c:pt idx="8">
                  <c:v>0.57358374999999995</c:v>
                </c:pt>
                <c:pt idx="9">
                  <c:v>0.67249999999999999</c:v>
                </c:pt>
                <c:pt idx="10">
                  <c:v>0.23076922499999999</c:v>
                </c:pt>
                <c:pt idx="11">
                  <c:v>2.75E-2</c:v>
                </c:pt>
                <c:pt idx="12">
                  <c:v>0.21428572500000001</c:v>
                </c:pt>
                <c:pt idx="13">
                  <c:v>0.53125</c:v>
                </c:pt>
                <c:pt idx="14">
                  <c:v>0.46573274999999997</c:v>
                </c:pt>
                <c:pt idx="15">
                  <c:v>0.44866075</c:v>
                </c:pt>
                <c:pt idx="16">
                  <c:v>7.7586199999999994E-2</c:v>
                </c:pt>
                <c:pt idx="17">
                  <c:v>0.22306034999999999</c:v>
                </c:pt>
                <c:pt idx="18">
                  <c:v>0.31034475</c:v>
                </c:pt>
                <c:pt idx="19">
                  <c:v>0.46450900000000001</c:v>
                </c:pt>
                <c:pt idx="20">
                  <c:v>0.4375</c:v>
                </c:pt>
                <c:pt idx="21">
                  <c:v>0.73602975000000004</c:v>
                </c:pt>
                <c:pt idx="22">
                  <c:v>0.79051724999999995</c:v>
                </c:pt>
                <c:pt idx="23">
                  <c:v>0.60892849999999998</c:v>
                </c:pt>
                <c:pt idx="24">
                  <c:v>0.17499999999999999</c:v>
                </c:pt>
                <c:pt idx="25">
                  <c:v>0.73333325000000005</c:v>
                </c:pt>
              </c:numCache>
            </c:numRef>
          </c:val>
          <c:extLst>
            <c:ext xmlns:c16="http://schemas.microsoft.com/office/drawing/2014/chart" uri="{C3380CC4-5D6E-409C-BE32-E72D297353CC}">
              <c16:uniqueId val="{0000001E-6D55-E545-B146-83B37AE64719}"/>
            </c:ext>
          </c:extLst>
        </c:ser>
        <c:ser>
          <c:idx val="9"/>
          <c:order val="4"/>
          <c:tx>
            <c:strRef>
              <c:f>'+Public Ownership'!$K$2</c:f>
              <c:strCache>
                <c:ptCount val="1"/>
                <c:pt idx="0">
                  <c:v>Governance of state-owned enterprises</c:v>
                </c:pt>
              </c:strCache>
            </c:strRef>
          </c:tx>
          <c:spPr>
            <a:solidFill>
              <a:schemeClr val="dk1">
                <a:tint val="75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20-6D55-E545-B146-83B37AE64719}"/>
              </c:ext>
            </c:extLst>
          </c:dPt>
          <c:dPt>
            <c:idx val="9"/>
            <c:invertIfNegative val="0"/>
            <c:bubble3D val="0"/>
            <c:spPr>
              <a:solidFill>
                <a:schemeClr val="accent6"/>
              </a:solidFill>
              <a:ln>
                <a:noFill/>
              </a:ln>
              <a:effectLst/>
            </c:spPr>
            <c:extLst>
              <c:ext xmlns:c16="http://schemas.microsoft.com/office/drawing/2014/chart" uri="{C3380CC4-5D6E-409C-BE32-E72D297353CC}">
                <c16:uniqueId val="{00000022-6D55-E545-B146-83B37AE64719}"/>
              </c:ext>
            </c:extLst>
          </c:dPt>
          <c:dPt>
            <c:idx val="13"/>
            <c:invertIfNegative val="0"/>
            <c:bubble3D val="0"/>
            <c:extLst>
              <c:ext xmlns:c16="http://schemas.microsoft.com/office/drawing/2014/chart" uri="{C3380CC4-5D6E-409C-BE32-E72D297353CC}">
                <c16:uniqueId val="{00000023-6D55-E545-B146-83B37AE64719}"/>
              </c:ext>
            </c:extLst>
          </c:dPt>
          <c:dPt>
            <c:idx val="15"/>
            <c:invertIfNegative val="0"/>
            <c:bubble3D val="0"/>
            <c:spPr>
              <a:solidFill>
                <a:schemeClr val="dk1">
                  <a:tint val="75000"/>
                </a:schemeClr>
              </a:solidFill>
              <a:ln>
                <a:noFill/>
              </a:ln>
              <a:effectLst/>
            </c:spPr>
            <c:extLst>
              <c:ext xmlns:c16="http://schemas.microsoft.com/office/drawing/2014/chart" uri="{C3380CC4-5D6E-409C-BE32-E72D297353CC}">
                <c16:uniqueId val="{00000025-6D55-E545-B146-83B37AE64719}"/>
              </c:ext>
            </c:extLst>
          </c:dPt>
          <c:dPt>
            <c:idx val="16"/>
            <c:invertIfNegative val="0"/>
            <c:bubble3D val="0"/>
            <c:spPr>
              <a:solidFill>
                <a:schemeClr val="tx2"/>
              </a:solidFill>
              <a:ln>
                <a:noFill/>
              </a:ln>
              <a:effectLst/>
            </c:spPr>
            <c:extLst>
              <c:ext xmlns:c16="http://schemas.microsoft.com/office/drawing/2014/chart" uri="{C3380CC4-5D6E-409C-BE32-E72D297353CC}">
                <c16:uniqueId val="{00000027-6D55-E545-B146-83B37AE64719}"/>
              </c:ext>
            </c:extLst>
          </c:dPt>
          <c:dLbls>
            <c:dLbl>
              <c:idx val="16"/>
              <c:layout>
                <c:manualLayout>
                  <c:x val="-0.180555555555556"/>
                  <c:y val="-5.160535408991309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1630212890055"/>
                      <c:h val="0.14515790170724099"/>
                    </c:manualLayout>
                  </c15:layout>
                </c:ext>
                <c:ext xmlns:c16="http://schemas.microsoft.com/office/drawing/2014/chart" uri="{C3380CC4-5D6E-409C-BE32-E72D297353CC}">
                  <c16:uniqueId val="{00000027-6D55-E545-B146-83B37AE647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'+Public Ownership'!$A$3:$A$69</c:f>
              <c:strCache>
                <c:ptCount val="26"/>
                <c:pt idx="0">
                  <c:v>Top 5 Average</c:v>
                </c:pt>
                <c:pt idx="1">
                  <c:v>El Salvador</c:v>
                </c:pt>
                <c:pt idx="2">
                  <c:v>Peru</c:v>
                </c:pt>
                <c:pt idx="3">
                  <c:v>Nicaragua</c:v>
                </c:pt>
                <c:pt idx="4">
                  <c:v>Chile</c:v>
                </c:pt>
                <c:pt idx="5">
                  <c:v>Colombia</c:v>
                </c:pt>
                <c:pt idx="6">
                  <c:v>Panama</c:v>
                </c:pt>
                <c:pt idx="7">
                  <c:v>Mexico</c:v>
                </c:pt>
                <c:pt idx="8">
                  <c:v>Brazil</c:v>
                </c:pt>
                <c:pt idx="9">
                  <c:v>OECD Average</c:v>
                </c:pt>
                <c:pt idx="10">
                  <c:v>Honduras</c:v>
                </c:pt>
                <c:pt idx="11">
                  <c:v>Kenya</c:v>
                </c:pt>
                <c:pt idx="12">
                  <c:v>Jamaica</c:v>
                </c:pt>
                <c:pt idx="13">
                  <c:v>Dominican Republic</c:v>
                </c:pt>
                <c:pt idx="14">
                  <c:v>Philippines</c:v>
                </c:pt>
                <c:pt idx="15">
                  <c:v>Ukraine</c:v>
                </c:pt>
                <c:pt idx="16">
                  <c:v>Senegal</c:v>
                </c:pt>
                <c:pt idx="17">
                  <c:v>South Africa</c:v>
                </c:pt>
                <c:pt idx="18">
                  <c:v>Costa Rica</c:v>
                </c:pt>
                <c:pt idx="19">
                  <c:v>Turkey</c:v>
                </c:pt>
                <c:pt idx="20">
                  <c:v>Bolivia</c:v>
                </c:pt>
                <c:pt idx="21">
                  <c:v>Argentina</c:v>
                </c:pt>
                <c:pt idx="22">
                  <c:v>China</c:v>
                </c:pt>
                <c:pt idx="23">
                  <c:v>India</c:v>
                </c:pt>
                <c:pt idx="24">
                  <c:v>Egypt</c:v>
                </c:pt>
                <c:pt idx="25">
                  <c:v>Tunisia</c:v>
                </c:pt>
              </c:strCache>
            </c:strRef>
          </c:cat>
          <c:val>
            <c:numRef>
              <c:f>'+Public Ownership'!$K$3:$K$69</c:f>
              <c:numCache>
                <c:formatCode>0.00</c:formatCode>
                <c:ptCount val="26"/>
                <c:pt idx="0">
                  <c:v>0.44</c:v>
                </c:pt>
                <c:pt idx="1">
                  <c:v>0.5625</c:v>
                </c:pt>
                <c:pt idx="2">
                  <c:v>0.75</c:v>
                </c:pt>
                <c:pt idx="3">
                  <c:v>0.5625</c:v>
                </c:pt>
                <c:pt idx="4">
                  <c:v>0.9375</c:v>
                </c:pt>
                <c:pt idx="5">
                  <c:v>0.9375</c:v>
                </c:pt>
                <c:pt idx="6">
                  <c:v>1.3125</c:v>
                </c:pt>
                <c:pt idx="7">
                  <c:v>0.9375</c:v>
                </c:pt>
                <c:pt idx="8">
                  <c:v>1</c:v>
                </c:pt>
                <c:pt idx="9">
                  <c:v>0.67249999999999999</c:v>
                </c:pt>
                <c:pt idx="10">
                  <c:v>1.125</c:v>
                </c:pt>
                <c:pt idx="11">
                  <c:v>1.3125</c:v>
                </c:pt>
                <c:pt idx="12">
                  <c:v>1.5</c:v>
                </c:pt>
                <c:pt idx="13">
                  <c:v>1.3125</c:v>
                </c:pt>
                <c:pt idx="14">
                  <c:v>1.125</c:v>
                </c:pt>
                <c:pt idx="15">
                  <c:v>1.125</c:v>
                </c:pt>
                <c:pt idx="16">
                  <c:v>1.3125</c:v>
                </c:pt>
                <c:pt idx="17">
                  <c:v>1.21875</c:v>
                </c:pt>
                <c:pt idx="18">
                  <c:v>1.3125</c:v>
                </c:pt>
                <c:pt idx="19">
                  <c:v>0.9375</c:v>
                </c:pt>
                <c:pt idx="20">
                  <c:v>1.5</c:v>
                </c:pt>
                <c:pt idx="21">
                  <c:v>1.5</c:v>
                </c:pt>
                <c:pt idx="22">
                  <c:v>0.75</c:v>
                </c:pt>
                <c:pt idx="23">
                  <c:v>1.5</c:v>
                </c:pt>
                <c:pt idx="24">
                  <c:v>1.5</c:v>
                </c:pt>
                <c:pt idx="25">
                  <c:v>1.3125</c:v>
                </c:pt>
              </c:numCache>
            </c:numRef>
          </c:val>
          <c:extLst>
            <c:ext xmlns:c16="http://schemas.microsoft.com/office/drawing/2014/chart" uri="{C3380CC4-5D6E-409C-BE32-E72D297353CC}">
              <c16:uniqueId val="{00000028-6D55-E545-B146-83B37AE64719}"/>
            </c:ext>
          </c:extLst>
        </c:ser>
        <c:dLbls>
          <c:showLegendKey val="0"/>
          <c:showVal val="0"/>
          <c:showCatName val="0"/>
          <c:showSerName val="0"/>
          <c:showPercent val="0"/>
          <c:showBubbleSize val="0"/>
        </c:dLbls>
        <c:gapWidth val="150"/>
        <c:overlap val="100"/>
        <c:axId val="1059479264"/>
        <c:axId val="1061004112"/>
      </c:barChart>
      <c:catAx>
        <c:axId val="10594792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004112"/>
        <c:crosses val="autoZero"/>
        <c:auto val="1"/>
        <c:lblAlgn val="ctr"/>
        <c:lblOffset val="100"/>
        <c:noMultiLvlLbl val="0"/>
      </c:catAx>
      <c:valAx>
        <c:axId val="1061004112"/>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479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ysClr val="windowText" lastClr="000000"/>
            </a:solidFill>
            <a:ln>
              <a:noFill/>
            </a:ln>
            <a:effectLst/>
          </c:spPr>
          <c:invertIfNegative val="0"/>
          <c:dPt>
            <c:idx val="32"/>
            <c:invertIfNegative val="0"/>
            <c:bubble3D val="0"/>
            <c:spPr>
              <a:solidFill>
                <a:srgbClr val="4F81BD"/>
              </a:solidFill>
              <a:ln>
                <a:noFill/>
              </a:ln>
              <a:effectLst/>
            </c:spPr>
            <c:extLst>
              <c:ext xmlns:c16="http://schemas.microsoft.com/office/drawing/2014/chart" uri="{C3380CC4-5D6E-409C-BE32-E72D297353CC}">
                <c16:uniqueId val="{00000001-0FDD-4FA1-9C6B-7703BFBF334B}"/>
              </c:ext>
            </c:extLst>
          </c:dPt>
          <c:dPt>
            <c:idx val="33"/>
            <c:invertIfNegative val="0"/>
            <c:bubble3D val="0"/>
            <c:spPr>
              <a:solidFill>
                <a:srgbClr val="F79646"/>
              </a:solidFill>
              <a:ln>
                <a:noFill/>
              </a:ln>
              <a:effectLst/>
            </c:spPr>
            <c:extLst>
              <c:ext xmlns:c16="http://schemas.microsoft.com/office/drawing/2014/chart" uri="{C3380CC4-5D6E-409C-BE32-E72D297353CC}">
                <c16:uniqueId val="{00000003-0FDD-4FA1-9C6B-7703BFBF334B}"/>
              </c:ext>
            </c:extLst>
          </c:dPt>
          <c:dLbls>
            <c:dLbl>
              <c:idx val="32"/>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0FDD-4FA1-9C6B-7703BFBF334B}"/>
                </c:ext>
              </c:extLst>
            </c:dLbl>
            <c:dLbl>
              <c:idx val="33"/>
              <c:layout>
                <c:manualLayout>
                  <c:x val="8.4411930219471E-3"/>
                  <c:y val="-3.240740740740750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0FDD-4FA1-9C6B-7703BFBF33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Sheet1!$B$2:$B$72</c:f>
              <c:strCache>
                <c:ptCount val="70"/>
                <c:pt idx="0">
                  <c:v>Panama</c:v>
                </c:pt>
                <c:pt idx="1">
                  <c:v>Honduras</c:v>
                </c:pt>
                <c:pt idx="2">
                  <c:v>United Kingdom</c:v>
                </c:pt>
                <c:pt idx="3">
                  <c:v>Cyprus</c:v>
                </c:pt>
                <c:pt idx="4">
                  <c:v>Estonia</c:v>
                </c:pt>
                <c:pt idx="5">
                  <c:v>Latvia</c:v>
                </c:pt>
                <c:pt idx="6">
                  <c:v>Malta</c:v>
                </c:pt>
                <c:pt idx="7">
                  <c:v>Netherlands</c:v>
                </c:pt>
                <c:pt idx="8">
                  <c:v>El Salvador</c:v>
                </c:pt>
                <c:pt idx="9">
                  <c:v>Ireland</c:v>
                </c:pt>
                <c:pt idx="10">
                  <c:v>Denmark</c:v>
                </c:pt>
                <c:pt idx="11">
                  <c:v>Guatemala</c:v>
                </c:pt>
                <c:pt idx="12">
                  <c:v>Japan</c:v>
                </c:pt>
                <c:pt idx="13">
                  <c:v>Korea</c:v>
                </c:pt>
                <c:pt idx="14">
                  <c:v>Rwanda</c:v>
                </c:pt>
                <c:pt idx="15">
                  <c:v>United States</c:v>
                </c:pt>
                <c:pt idx="16">
                  <c:v>Bulgaria</c:v>
                </c:pt>
                <c:pt idx="17">
                  <c:v>Canada</c:v>
                </c:pt>
                <c:pt idx="18">
                  <c:v>Germany</c:v>
                </c:pt>
                <c:pt idx="19">
                  <c:v>Iceland</c:v>
                </c:pt>
                <c:pt idx="20">
                  <c:v>Nicaragua</c:v>
                </c:pt>
                <c:pt idx="21">
                  <c:v>Paraguay</c:v>
                </c:pt>
                <c:pt idx="22">
                  <c:v>Slovak Republic</c:v>
                </c:pt>
                <c:pt idx="23">
                  <c:v>Uruguay</c:v>
                </c:pt>
                <c:pt idx="24">
                  <c:v>Brazil</c:v>
                </c:pt>
                <c:pt idx="25">
                  <c:v>Chile</c:v>
                </c:pt>
                <c:pt idx="26">
                  <c:v>Costa Rica</c:v>
                </c:pt>
                <c:pt idx="27">
                  <c:v>Jamaica</c:v>
                </c:pt>
                <c:pt idx="28">
                  <c:v>Peru</c:v>
                </c:pt>
                <c:pt idx="29">
                  <c:v>Austria</c:v>
                </c:pt>
                <c:pt idx="30">
                  <c:v>Belgium</c:v>
                </c:pt>
                <c:pt idx="31">
                  <c:v>Portugal</c:v>
                </c:pt>
                <c:pt idx="32">
                  <c:v>Senegal</c:v>
                </c:pt>
                <c:pt idx="33">
                  <c:v>OECD Average</c:v>
                </c:pt>
                <c:pt idx="34">
                  <c:v>Australia</c:v>
                </c:pt>
                <c:pt idx="35">
                  <c:v>Finland</c:v>
                </c:pt>
                <c:pt idx="36">
                  <c:v>Kenya</c:v>
                </c:pt>
                <c:pt idx="37">
                  <c:v>New Zealand</c:v>
                </c:pt>
                <c:pt idx="38">
                  <c:v>Colombia</c:v>
                </c:pt>
                <c:pt idx="39">
                  <c:v>Czech Republic</c:v>
                </c:pt>
                <c:pt idx="40">
                  <c:v>Dominican Republic</c:v>
                </c:pt>
                <c:pt idx="41">
                  <c:v>Greece</c:v>
                </c:pt>
                <c:pt idx="42">
                  <c:v>Mauritania</c:v>
                </c:pt>
                <c:pt idx="43">
                  <c:v>Namibia</c:v>
                </c:pt>
                <c:pt idx="44">
                  <c:v>Hungary</c:v>
                </c:pt>
                <c:pt idx="45">
                  <c:v>Israel</c:v>
                </c:pt>
                <c:pt idx="46">
                  <c:v>Lithuania</c:v>
                </c:pt>
                <c:pt idx="47">
                  <c:v>Switzerland</c:v>
                </c:pt>
                <c:pt idx="48">
                  <c:v>Argentina</c:v>
                </c:pt>
                <c:pt idx="49">
                  <c:v>Russia</c:v>
                </c:pt>
                <c:pt idx="50">
                  <c:v>Slovenia</c:v>
                </c:pt>
                <c:pt idx="51">
                  <c:v>South Africa</c:v>
                </c:pt>
                <c:pt idx="52">
                  <c:v>Bolivia</c:v>
                </c:pt>
                <c:pt idx="53">
                  <c:v>France</c:v>
                </c:pt>
                <c:pt idx="54">
                  <c:v>Italy</c:v>
                </c:pt>
                <c:pt idx="55">
                  <c:v>Philippines</c:v>
                </c:pt>
                <c:pt idx="56">
                  <c:v>Spain</c:v>
                </c:pt>
                <c:pt idx="57">
                  <c:v>Sweden</c:v>
                </c:pt>
                <c:pt idx="58">
                  <c:v>Norway</c:v>
                </c:pt>
                <c:pt idx="59">
                  <c:v>Tunisia</c:v>
                </c:pt>
                <c:pt idx="60">
                  <c:v>Ukraine</c:v>
                </c:pt>
                <c:pt idx="61">
                  <c:v>Ecuador</c:v>
                </c:pt>
                <c:pt idx="62">
                  <c:v>Indonesia</c:v>
                </c:pt>
                <c:pt idx="63">
                  <c:v>Turkey</c:v>
                </c:pt>
                <c:pt idx="64">
                  <c:v>China</c:v>
                </c:pt>
                <c:pt idx="65">
                  <c:v>Croatia</c:v>
                </c:pt>
                <c:pt idx="66">
                  <c:v>Romania</c:v>
                </c:pt>
                <c:pt idx="67">
                  <c:v>India</c:v>
                </c:pt>
                <c:pt idx="68">
                  <c:v>Poland</c:v>
                </c:pt>
                <c:pt idx="69">
                  <c:v>Egypt</c:v>
                </c:pt>
              </c:strCache>
            </c:strRef>
          </c:cat>
          <c:val>
            <c:numRef>
              <c:f>Sheet1!$C$2:$C$72</c:f>
              <c:numCache>
                <c:formatCode>General</c:formatCode>
                <c:ptCount val="70"/>
                <c:pt idx="0">
                  <c:v>6</c:v>
                </c:pt>
                <c:pt idx="1">
                  <c:v>7</c:v>
                </c:pt>
                <c:pt idx="2">
                  <c:v>7</c:v>
                </c:pt>
                <c:pt idx="3">
                  <c:v>8</c:v>
                </c:pt>
                <c:pt idx="4">
                  <c:v>8</c:v>
                </c:pt>
                <c:pt idx="5">
                  <c:v>8</c:v>
                </c:pt>
                <c:pt idx="6">
                  <c:v>8</c:v>
                </c:pt>
                <c:pt idx="7">
                  <c:v>8</c:v>
                </c:pt>
                <c:pt idx="8">
                  <c:v>9</c:v>
                </c:pt>
                <c:pt idx="9">
                  <c:v>9</c:v>
                </c:pt>
                <c:pt idx="10">
                  <c:v>10</c:v>
                </c:pt>
                <c:pt idx="11">
                  <c:v>10</c:v>
                </c:pt>
                <c:pt idx="12">
                  <c:v>10</c:v>
                </c:pt>
                <c:pt idx="13">
                  <c:v>10</c:v>
                </c:pt>
                <c:pt idx="14">
                  <c:v>10</c:v>
                </c:pt>
                <c:pt idx="15">
                  <c:v>10</c:v>
                </c:pt>
                <c:pt idx="16">
                  <c:v>11</c:v>
                </c:pt>
                <c:pt idx="17">
                  <c:v>11</c:v>
                </c:pt>
                <c:pt idx="18">
                  <c:v>11</c:v>
                </c:pt>
                <c:pt idx="19">
                  <c:v>11</c:v>
                </c:pt>
                <c:pt idx="20">
                  <c:v>11</c:v>
                </c:pt>
                <c:pt idx="21">
                  <c:v>11</c:v>
                </c:pt>
                <c:pt idx="22">
                  <c:v>11</c:v>
                </c:pt>
                <c:pt idx="23">
                  <c:v>11</c:v>
                </c:pt>
                <c:pt idx="24">
                  <c:v>12</c:v>
                </c:pt>
                <c:pt idx="25">
                  <c:v>12</c:v>
                </c:pt>
                <c:pt idx="26">
                  <c:v>12</c:v>
                </c:pt>
                <c:pt idx="27">
                  <c:v>12</c:v>
                </c:pt>
                <c:pt idx="28">
                  <c:v>12</c:v>
                </c:pt>
                <c:pt idx="29">
                  <c:v>13</c:v>
                </c:pt>
                <c:pt idx="30">
                  <c:v>13</c:v>
                </c:pt>
                <c:pt idx="31">
                  <c:v>13</c:v>
                </c:pt>
                <c:pt idx="32">
                  <c:v>13</c:v>
                </c:pt>
                <c:pt idx="33">
                  <c:v>13.7</c:v>
                </c:pt>
                <c:pt idx="34">
                  <c:v>14</c:v>
                </c:pt>
                <c:pt idx="35">
                  <c:v>14</c:v>
                </c:pt>
                <c:pt idx="36">
                  <c:v>14</c:v>
                </c:pt>
                <c:pt idx="37">
                  <c:v>14</c:v>
                </c:pt>
                <c:pt idx="38">
                  <c:v>15</c:v>
                </c:pt>
                <c:pt idx="39">
                  <c:v>15</c:v>
                </c:pt>
                <c:pt idx="40">
                  <c:v>15</c:v>
                </c:pt>
                <c:pt idx="41">
                  <c:v>15</c:v>
                </c:pt>
                <c:pt idx="42">
                  <c:v>15</c:v>
                </c:pt>
                <c:pt idx="43">
                  <c:v>15</c:v>
                </c:pt>
                <c:pt idx="44">
                  <c:v>16</c:v>
                </c:pt>
                <c:pt idx="45">
                  <c:v>16</c:v>
                </c:pt>
                <c:pt idx="46">
                  <c:v>16</c:v>
                </c:pt>
                <c:pt idx="47">
                  <c:v>16</c:v>
                </c:pt>
                <c:pt idx="48">
                  <c:v>17</c:v>
                </c:pt>
                <c:pt idx="49">
                  <c:v>17</c:v>
                </c:pt>
                <c:pt idx="50">
                  <c:v>17</c:v>
                </c:pt>
                <c:pt idx="51">
                  <c:v>17</c:v>
                </c:pt>
                <c:pt idx="52">
                  <c:v>18</c:v>
                </c:pt>
                <c:pt idx="53">
                  <c:v>18</c:v>
                </c:pt>
                <c:pt idx="54">
                  <c:v>18</c:v>
                </c:pt>
                <c:pt idx="55">
                  <c:v>18</c:v>
                </c:pt>
                <c:pt idx="56">
                  <c:v>18</c:v>
                </c:pt>
                <c:pt idx="57">
                  <c:v>18</c:v>
                </c:pt>
                <c:pt idx="58">
                  <c:v>19</c:v>
                </c:pt>
                <c:pt idx="59">
                  <c:v>19</c:v>
                </c:pt>
                <c:pt idx="60">
                  <c:v>19</c:v>
                </c:pt>
                <c:pt idx="61">
                  <c:v>20</c:v>
                </c:pt>
                <c:pt idx="62">
                  <c:v>20</c:v>
                </c:pt>
                <c:pt idx="63">
                  <c:v>21</c:v>
                </c:pt>
                <c:pt idx="64">
                  <c:v>22</c:v>
                </c:pt>
                <c:pt idx="65">
                  <c:v>22</c:v>
                </c:pt>
                <c:pt idx="66">
                  <c:v>22</c:v>
                </c:pt>
                <c:pt idx="67">
                  <c:v>24</c:v>
                </c:pt>
                <c:pt idx="68">
                  <c:v>26</c:v>
                </c:pt>
                <c:pt idx="69">
                  <c:v>27</c:v>
                </c:pt>
              </c:numCache>
            </c:numRef>
          </c:val>
          <c:extLst>
            <c:ext xmlns:c16="http://schemas.microsoft.com/office/drawing/2014/chart" uri="{C3380CC4-5D6E-409C-BE32-E72D297353CC}">
              <c16:uniqueId val="{00000004-0FDD-4FA1-9C6B-7703BFBF334B}"/>
            </c:ext>
          </c:extLst>
        </c:ser>
        <c:dLbls>
          <c:showLegendKey val="0"/>
          <c:showVal val="0"/>
          <c:showCatName val="0"/>
          <c:showSerName val="0"/>
          <c:showPercent val="0"/>
          <c:showBubbleSize val="0"/>
        </c:dLbls>
        <c:gapWidth val="219"/>
        <c:axId val="1059910016"/>
        <c:axId val="1059912064"/>
      </c:barChart>
      <c:catAx>
        <c:axId val="105991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9912064"/>
        <c:crosses val="autoZero"/>
        <c:auto val="1"/>
        <c:lblAlgn val="ctr"/>
        <c:lblOffset val="100"/>
        <c:noMultiLvlLbl val="0"/>
      </c:catAx>
      <c:valAx>
        <c:axId val="1059912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9910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'+Governance of SOEs'!$C$2</c:f>
              <c:strCache>
                <c:ptCount val="1"/>
                <c:pt idx="0">
                  <c:v>Latest</c:v>
                </c:pt>
              </c:strCache>
            </c:strRef>
          </c:tx>
          <c:spPr>
            <a:solidFill>
              <a:schemeClr val="dk1">
                <a:tint val="8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F6D2-9F49-B437-A85FCD6C403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3-F6D2-9F49-B437-A85FCD6C4035}"/>
              </c:ext>
            </c:extLst>
          </c:dPt>
          <c:dPt>
            <c:idx val="16"/>
            <c:invertIfNegative val="0"/>
            <c:bubble3D val="0"/>
            <c:spPr>
              <a:solidFill>
                <a:schemeClr val="dk1">
                  <a:tint val="88500"/>
                </a:schemeClr>
              </a:solidFill>
              <a:ln>
                <a:noFill/>
              </a:ln>
              <a:effectLst/>
            </c:spPr>
            <c:extLst>
              <c:ext xmlns:c16="http://schemas.microsoft.com/office/drawing/2014/chart" uri="{C3380CC4-5D6E-409C-BE32-E72D297353CC}">
                <c16:uniqueId val="{00000005-F6D2-9F49-B437-A85FCD6C4035}"/>
              </c:ext>
            </c:extLst>
          </c:dPt>
          <c:dPt>
            <c:idx val="18"/>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7-F6D2-9F49-B437-A85FCD6C4035}"/>
              </c:ext>
            </c:extLst>
          </c:dPt>
          <c:dLbls>
            <c:dLbl>
              <c:idx val="18"/>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F6D2-9F49-B437-A85FCD6C40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'+Governance of SOEs'!$A$3:$A$68</c:f>
              <c:strCache>
                <c:ptCount val="26"/>
                <c:pt idx="0">
                  <c:v>Top 5 Average</c:v>
                </c:pt>
                <c:pt idx="1">
                  <c:v>El Salvador</c:v>
                </c:pt>
                <c:pt idx="2">
                  <c:v>Nicaragua</c:v>
                </c:pt>
                <c:pt idx="3">
                  <c:v>China</c:v>
                </c:pt>
                <c:pt idx="4">
                  <c:v>Peru</c:v>
                </c:pt>
                <c:pt idx="5">
                  <c:v>OECD Average</c:v>
                </c:pt>
                <c:pt idx="6">
                  <c:v>Colombia</c:v>
                </c:pt>
                <c:pt idx="7">
                  <c:v>Chile</c:v>
                </c:pt>
                <c:pt idx="8">
                  <c:v>Mexico</c:v>
                </c:pt>
                <c:pt idx="9">
                  <c:v>Turkey</c:v>
                </c:pt>
                <c:pt idx="10">
                  <c:v>Brazil</c:v>
                </c:pt>
                <c:pt idx="11">
                  <c:v>Honduras</c:v>
                </c:pt>
                <c:pt idx="12">
                  <c:v>Philippines</c:v>
                </c:pt>
                <c:pt idx="13">
                  <c:v>Ukraine</c:v>
                </c:pt>
                <c:pt idx="14">
                  <c:v>South Africa</c:v>
                </c:pt>
                <c:pt idx="15">
                  <c:v>Costa Rica</c:v>
                </c:pt>
                <c:pt idx="16">
                  <c:v>Dominican Republic</c:v>
                </c:pt>
                <c:pt idx="17">
                  <c:v>Kenya</c:v>
                </c:pt>
                <c:pt idx="18">
                  <c:v>Senegal</c:v>
                </c:pt>
                <c:pt idx="19">
                  <c:v>Panama</c:v>
                </c:pt>
                <c:pt idx="20">
                  <c:v>Tunisia</c:v>
                </c:pt>
                <c:pt idx="21">
                  <c:v>Bolivia</c:v>
                </c:pt>
                <c:pt idx="22">
                  <c:v>Argentina</c:v>
                </c:pt>
                <c:pt idx="23">
                  <c:v>India</c:v>
                </c:pt>
                <c:pt idx="24">
                  <c:v>Jamaica</c:v>
                </c:pt>
                <c:pt idx="25">
                  <c:v>Egypt</c:v>
                </c:pt>
              </c:strCache>
            </c:strRef>
          </c:cat>
          <c:val>
            <c:numRef>
              <c:f>'+Governance of SOEs'!$C$3:$C$68</c:f>
              <c:numCache>
                <c:formatCode>0.00</c:formatCode>
                <c:ptCount val="26"/>
                <c:pt idx="0">
                  <c:v>1.2</c:v>
                </c:pt>
                <c:pt idx="1">
                  <c:v>2.25</c:v>
                </c:pt>
                <c:pt idx="2">
                  <c:v>2.25</c:v>
                </c:pt>
                <c:pt idx="3">
                  <c:v>3</c:v>
                </c:pt>
                <c:pt idx="4">
                  <c:v>3</c:v>
                </c:pt>
                <c:pt idx="5">
                  <c:v>3.57</c:v>
                </c:pt>
                <c:pt idx="6">
                  <c:v>3.75</c:v>
                </c:pt>
                <c:pt idx="7">
                  <c:v>3.75</c:v>
                </c:pt>
                <c:pt idx="8">
                  <c:v>3.75</c:v>
                </c:pt>
                <c:pt idx="9">
                  <c:v>3.75</c:v>
                </c:pt>
                <c:pt idx="10">
                  <c:v>4</c:v>
                </c:pt>
                <c:pt idx="11">
                  <c:v>4.5</c:v>
                </c:pt>
                <c:pt idx="12">
                  <c:v>4.5</c:v>
                </c:pt>
                <c:pt idx="13">
                  <c:v>4.5</c:v>
                </c:pt>
                <c:pt idx="14">
                  <c:v>4.875</c:v>
                </c:pt>
                <c:pt idx="15">
                  <c:v>5.25</c:v>
                </c:pt>
                <c:pt idx="16">
                  <c:v>5.25</c:v>
                </c:pt>
                <c:pt idx="17">
                  <c:v>5.25</c:v>
                </c:pt>
                <c:pt idx="18">
                  <c:v>5.25</c:v>
                </c:pt>
                <c:pt idx="19">
                  <c:v>5.25</c:v>
                </c:pt>
                <c:pt idx="20" formatCode="General">
                  <c:v>5.25</c:v>
                </c:pt>
                <c:pt idx="21">
                  <c:v>6</c:v>
                </c:pt>
                <c:pt idx="22">
                  <c:v>6</c:v>
                </c:pt>
                <c:pt idx="23">
                  <c:v>6</c:v>
                </c:pt>
                <c:pt idx="24">
                  <c:v>6</c:v>
                </c:pt>
                <c:pt idx="25">
                  <c:v>6</c:v>
                </c:pt>
              </c:numCache>
            </c:numRef>
          </c:val>
          <c:extLst>
            <c:ext xmlns:c16="http://schemas.microsoft.com/office/drawing/2014/chart" uri="{C3380CC4-5D6E-409C-BE32-E72D297353CC}">
              <c16:uniqueId val="{00000008-F6D2-9F49-B437-A85FCD6C4035}"/>
            </c:ext>
          </c:extLst>
        </c:ser>
        <c:dLbls>
          <c:showLegendKey val="0"/>
          <c:showVal val="0"/>
          <c:showCatName val="0"/>
          <c:showSerName val="0"/>
          <c:showPercent val="0"/>
          <c:showBubbleSize val="0"/>
        </c:dLbls>
        <c:gapWidth val="219"/>
        <c:overlap val="-27"/>
        <c:axId val="985197520"/>
        <c:axId val="985199840"/>
      </c:barChart>
      <c:catAx>
        <c:axId val="9851975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199840"/>
        <c:crosses val="autoZero"/>
        <c:auto val="1"/>
        <c:lblAlgn val="ctr"/>
        <c:lblOffset val="100"/>
        <c:noMultiLvlLbl val="0"/>
      </c:catAx>
      <c:valAx>
        <c:axId val="98519984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197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'+Gov involv. in network sectors'!$B$2</c:f>
              <c:strCache>
                <c:ptCount val="1"/>
                <c:pt idx="0">
                  <c:v>OECD</c:v>
                </c:pt>
              </c:strCache>
            </c:strRef>
          </c:tx>
          <c:spPr>
            <a:solidFill>
              <a:schemeClr val="dk1">
                <a:tint val="88500"/>
              </a:schemeClr>
            </a:solidFill>
            <a:ln>
              <a:noFill/>
            </a:ln>
            <a:effectLst/>
          </c:spPr>
          <c:invertIfNegative val="0"/>
          <c:cat>
            <c:strRef>
              <c:f>'+Gov involv. in network sectors'!$A$3:$A$69</c:f>
              <c:strCache>
                <c:ptCount val="26"/>
                <c:pt idx="0">
                  <c:v>Peru</c:v>
                </c:pt>
                <c:pt idx="1">
                  <c:v>Top 5 Average</c:v>
                </c:pt>
                <c:pt idx="2">
                  <c:v>Colombia</c:v>
                </c:pt>
                <c:pt idx="3">
                  <c:v>Philippines</c:v>
                </c:pt>
                <c:pt idx="4">
                  <c:v>Brazil</c:v>
                </c:pt>
                <c:pt idx="5">
                  <c:v>Chile</c:v>
                </c:pt>
                <c:pt idx="6">
                  <c:v>Dominican Republic</c:v>
                </c:pt>
                <c:pt idx="7">
                  <c:v>Jamaica</c:v>
                </c:pt>
                <c:pt idx="8">
                  <c:v>Panama</c:v>
                </c:pt>
                <c:pt idx="9">
                  <c:v>Nicaragua</c:v>
                </c:pt>
                <c:pt idx="10">
                  <c:v>Ukraine</c:v>
                </c:pt>
                <c:pt idx="11">
                  <c:v>Kenya</c:v>
                </c:pt>
                <c:pt idx="12">
                  <c:v>Mexico</c:v>
                </c:pt>
                <c:pt idx="13">
                  <c:v>El Salvador</c:v>
                </c:pt>
                <c:pt idx="14">
                  <c:v>OECD Average</c:v>
                </c:pt>
                <c:pt idx="15">
                  <c:v>Argentina</c:v>
                </c:pt>
                <c:pt idx="16">
                  <c:v>Honduras</c:v>
                </c:pt>
                <c:pt idx="17">
                  <c:v>Bolivia</c:v>
                </c:pt>
                <c:pt idx="18">
                  <c:v>Turkey</c:v>
                </c:pt>
                <c:pt idx="19">
                  <c:v>India</c:v>
                </c:pt>
                <c:pt idx="20">
                  <c:v>South Africa</c:v>
                </c:pt>
                <c:pt idx="21">
                  <c:v>Costa Rica</c:v>
                </c:pt>
                <c:pt idx="22">
                  <c:v>China</c:v>
                </c:pt>
                <c:pt idx="23">
                  <c:v>Senegal</c:v>
                </c:pt>
                <c:pt idx="24">
                  <c:v>Tunisia</c:v>
                </c:pt>
                <c:pt idx="25">
                  <c:v>Egypt</c:v>
                </c:pt>
              </c:strCache>
            </c:strRef>
          </c:cat>
          <c:val>
            <c:numRef>
              <c:f>'+Gov involv. in network sectors'!$B$3:$B$69</c:f>
            </c:numRef>
          </c:val>
          <c:extLst>
            <c:ext xmlns:c16="http://schemas.microsoft.com/office/drawing/2014/chart" uri="{C3380CC4-5D6E-409C-BE32-E72D297353CC}">
              <c16:uniqueId val="{00000000-ED6A-1543-B87A-A17C14123F72}"/>
            </c:ext>
          </c:extLst>
        </c:ser>
        <c:ser>
          <c:idx val="1"/>
          <c:order val="1"/>
          <c:tx>
            <c:strRef>
              <c:f>'+Gov involv. in network sectors'!$C$2</c:f>
              <c:strCache>
                <c:ptCount val="1"/>
                <c:pt idx="0">
                  <c:v>Latest</c:v>
                </c:pt>
              </c:strCache>
            </c:strRef>
          </c:tx>
          <c:spPr>
            <a:solidFill>
              <a:schemeClr val="dk1">
                <a:tint val="55000"/>
              </a:schemeClr>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2-ED6A-1543-B87A-A17C14123F72}"/>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04-ED6A-1543-B87A-A17C14123F72}"/>
              </c:ext>
            </c:extLst>
          </c:dPt>
          <c:dPt>
            <c:idx val="21"/>
            <c:invertIfNegative val="0"/>
            <c:bubble3D val="0"/>
            <c:spPr>
              <a:solidFill>
                <a:schemeClr val="dk1">
                  <a:tint val="55000"/>
                </a:schemeClr>
              </a:solidFill>
              <a:ln>
                <a:noFill/>
              </a:ln>
              <a:effectLst/>
            </c:spPr>
            <c:extLst>
              <c:ext xmlns:c16="http://schemas.microsoft.com/office/drawing/2014/chart" uri="{C3380CC4-5D6E-409C-BE32-E72D297353CC}">
                <c16:uniqueId val="{00000006-ED6A-1543-B87A-A17C14123F72}"/>
              </c:ext>
            </c:extLst>
          </c:dPt>
          <c:dPt>
            <c:idx val="22"/>
            <c:invertIfNegative val="0"/>
            <c:bubble3D val="0"/>
            <c:spPr>
              <a:solidFill>
                <a:schemeClr val="dk1">
                  <a:tint val="55000"/>
                </a:schemeClr>
              </a:solidFill>
              <a:ln>
                <a:noFill/>
              </a:ln>
              <a:effectLst/>
            </c:spPr>
            <c:extLst>
              <c:ext xmlns:c16="http://schemas.microsoft.com/office/drawing/2014/chart" uri="{C3380CC4-5D6E-409C-BE32-E72D297353CC}">
                <c16:uniqueId val="{00000008-ED6A-1543-B87A-A17C14123F72}"/>
              </c:ext>
            </c:extLst>
          </c:dPt>
          <c:dPt>
            <c:idx val="23"/>
            <c:invertIfNegative val="0"/>
            <c:bubble3D val="0"/>
            <c:spPr>
              <a:solidFill>
                <a:schemeClr val="accent1"/>
              </a:solidFill>
              <a:ln>
                <a:noFill/>
              </a:ln>
              <a:effectLst/>
            </c:spPr>
            <c:extLst>
              <c:ext xmlns:c16="http://schemas.microsoft.com/office/drawing/2014/chart" uri="{C3380CC4-5D6E-409C-BE32-E72D297353CC}">
                <c16:uniqueId val="{0000000A-ED6A-1543-B87A-A17C14123F72}"/>
              </c:ext>
            </c:extLst>
          </c:dPt>
          <c:dLbls>
            <c:dLbl>
              <c:idx val="2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A-ED6A-1543-B87A-A17C14123F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'+Gov involv. in network sectors'!$A$3:$A$69</c:f>
              <c:strCache>
                <c:ptCount val="26"/>
                <c:pt idx="0">
                  <c:v>Peru</c:v>
                </c:pt>
                <c:pt idx="1">
                  <c:v>Top 5 Average</c:v>
                </c:pt>
                <c:pt idx="2">
                  <c:v>Colombia</c:v>
                </c:pt>
                <c:pt idx="3">
                  <c:v>Philippines</c:v>
                </c:pt>
                <c:pt idx="4">
                  <c:v>Brazil</c:v>
                </c:pt>
                <c:pt idx="5">
                  <c:v>Chile</c:v>
                </c:pt>
                <c:pt idx="6">
                  <c:v>Dominican Republic</c:v>
                </c:pt>
                <c:pt idx="7">
                  <c:v>Jamaica</c:v>
                </c:pt>
                <c:pt idx="8">
                  <c:v>Panama</c:v>
                </c:pt>
                <c:pt idx="9">
                  <c:v>Nicaragua</c:v>
                </c:pt>
                <c:pt idx="10">
                  <c:v>Ukraine</c:v>
                </c:pt>
                <c:pt idx="11">
                  <c:v>Kenya</c:v>
                </c:pt>
                <c:pt idx="12">
                  <c:v>Mexico</c:v>
                </c:pt>
                <c:pt idx="13">
                  <c:v>El Salvador</c:v>
                </c:pt>
                <c:pt idx="14">
                  <c:v>OECD Average</c:v>
                </c:pt>
                <c:pt idx="15">
                  <c:v>Argentina</c:v>
                </c:pt>
                <c:pt idx="16">
                  <c:v>Honduras</c:v>
                </c:pt>
                <c:pt idx="17">
                  <c:v>Bolivia</c:v>
                </c:pt>
                <c:pt idx="18">
                  <c:v>Turkey</c:v>
                </c:pt>
                <c:pt idx="19">
                  <c:v>India</c:v>
                </c:pt>
                <c:pt idx="20">
                  <c:v>South Africa</c:v>
                </c:pt>
                <c:pt idx="21">
                  <c:v>Costa Rica</c:v>
                </c:pt>
                <c:pt idx="22">
                  <c:v>China</c:v>
                </c:pt>
                <c:pt idx="23">
                  <c:v>Senegal</c:v>
                </c:pt>
                <c:pt idx="24">
                  <c:v>Tunisia</c:v>
                </c:pt>
                <c:pt idx="25">
                  <c:v>Egypt</c:v>
                </c:pt>
              </c:strCache>
            </c:strRef>
          </c:cat>
          <c:val>
            <c:numRef>
              <c:f>'+Gov involv. in network sectors'!$C$3:$C$69</c:f>
              <c:numCache>
                <c:formatCode>0.00</c:formatCode>
                <c:ptCount val="26"/>
                <c:pt idx="0">
                  <c:v>0.3333333</c:v>
                </c:pt>
                <c:pt idx="1">
                  <c:v>0.86</c:v>
                </c:pt>
                <c:pt idx="2">
                  <c:v>1.1214999999999999</c:v>
                </c:pt>
                <c:pt idx="3">
                  <c:v>1.75</c:v>
                </c:pt>
                <c:pt idx="4">
                  <c:v>1.768</c:v>
                </c:pt>
                <c:pt idx="5">
                  <c:v>1.7916669999999999</c:v>
                </c:pt>
                <c:pt idx="6">
                  <c:v>1.8496999999999999</c:v>
                </c:pt>
                <c:pt idx="7">
                  <c:v>2.028</c:v>
                </c:pt>
                <c:pt idx="8">
                  <c:v>2.0390000000000001</c:v>
                </c:pt>
                <c:pt idx="9">
                  <c:v>2.0456249999999998</c:v>
                </c:pt>
                <c:pt idx="10">
                  <c:v>2.3333330000000001</c:v>
                </c:pt>
                <c:pt idx="11">
                  <c:v>2.64</c:v>
                </c:pt>
                <c:pt idx="12">
                  <c:v>2.75</c:v>
                </c:pt>
                <c:pt idx="13">
                  <c:v>2.8</c:v>
                </c:pt>
                <c:pt idx="14">
                  <c:v>2.82</c:v>
                </c:pt>
                <c:pt idx="15">
                  <c:v>3.193249999999999</c:v>
                </c:pt>
                <c:pt idx="16">
                  <c:v>3.75</c:v>
                </c:pt>
                <c:pt idx="17">
                  <c:v>3.7528329999999981</c:v>
                </c:pt>
                <c:pt idx="18">
                  <c:v>4.1454169999999966</c:v>
                </c:pt>
                <c:pt idx="19">
                  <c:v>4.1919249999999977</c:v>
                </c:pt>
                <c:pt idx="20">
                  <c:v>4.1986670000000004</c:v>
                </c:pt>
                <c:pt idx="21">
                  <c:v>4.4000000000000004</c:v>
                </c:pt>
                <c:pt idx="22">
                  <c:v>4.4398</c:v>
                </c:pt>
                <c:pt idx="23">
                  <c:v>5.0076000000000001</c:v>
                </c:pt>
                <c:pt idx="24" formatCode="General">
                  <c:v>5.360999999999998</c:v>
                </c:pt>
                <c:pt idx="25">
                  <c:v>5.6199999999999983</c:v>
                </c:pt>
              </c:numCache>
            </c:numRef>
          </c:val>
          <c:extLst>
            <c:ext xmlns:c16="http://schemas.microsoft.com/office/drawing/2014/chart" uri="{C3380CC4-5D6E-409C-BE32-E72D297353CC}">
              <c16:uniqueId val="{0000000B-ED6A-1543-B87A-A17C14123F72}"/>
            </c:ext>
          </c:extLst>
        </c:ser>
        <c:dLbls>
          <c:showLegendKey val="0"/>
          <c:showVal val="0"/>
          <c:showCatName val="0"/>
          <c:showSerName val="0"/>
          <c:showPercent val="0"/>
          <c:showBubbleSize val="0"/>
        </c:dLbls>
        <c:gapWidth val="219"/>
        <c:overlap val="-27"/>
        <c:axId val="1013330080"/>
        <c:axId val="1013331856"/>
      </c:barChart>
      <c:catAx>
        <c:axId val="10133300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331856"/>
        <c:crosses val="autoZero"/>
        <c:auto val="1"/>
        <c:lblAlgn val="ctr"/>
        <c:lblOffset val="100"/>
        <c:noMultiLvlLbl val="0"/>
      </c:catAx>
      <c:valAx>
        <c:axId val="101333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33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'Network Sectors - Elect.'!$D$3</c:f>
              <c:strCache>
                <c:ptCount val="1"/>
                <c:pt idx="0">
                  <c:v>year</c:v>
                </c:pt>
              </c:strCache>
            </c:strRef>
          </c:tx>
          <c:spPr>
            <a:solidFill>
              <a:schemeClr val="dk1">
                <a:tint val="88500"/>
              </a:schemeClr>
            </a:solidFill>
            <a:ln>
              <a:noFill/>
            </a:ln>
            <a:effectLst/>
          </c:spPr>
          <c:invertIfNegative val="0"/>
          <c:cat>
            <c:strRef>
              <c:f>'Network Sectors - Elect.'!$B$4:$C$72</c:f>
              <c:strCache>
                <c:ptCount val="24"/>
                <c:pt idx="0">
                  <c:v>Top 5 Average</c:v>
                </c:pt>
                <c:pt idx="1">
                  <c:v>Chile</c:v>
                </c:pt>
                <c:pt idx="2">
                  <c:v>Peru</c:v>
                </c:pt>
                <c:pt idx="3">
                  <c:v>Argentina</c:v>
                </c:pt>
                <c:pt idx="4">
                  <c:v>Brazil</c:v>
                </c:pt>
                <c:pt idx="5">
                  <c:v>Philippines</c:v>
                </c:pt>
                <c:pt idx="6">
                  <c:v>El Salvador</c:v>
                </c:pt>
                <c:pt idx="7">
                  <c:v>Panama</c:v>
                </c:pt>
                <c:pt idx="8">
                  <c:v>OECD Average</c:v>
                </c:pt>
                <c:pt idx="9">
                  <c:v>Colombia</c:v>
                </c:pt>
                <c:pt idx="10">
                  <c:v>Bolivia</c:v>
                </c:pt>
                <c:pt idx="11">
                  <c:v>Turkey</c:v>
                </c:pt>
                <c:pt idx="12">
                  <c:v>India</c:v>
                </c:pt>
                <c:pt idx="13">
                  <c:v>Nicaragua</c:v>
                </c:pt>
                <c:pt idx="14">
                  <c:v>Dominican Republic</c:v>
                </c:pt>
                <c:pt idx="15">
                  <c:v>Jamaica</c:v>
                </c:pt>
                <c:pt idx="16">
                  <c:v>Egypt</c:v>
                </c:pt>
                <c:pt idx="17">
                  <c:v>Kenya</c:v>
                </c:pt>
                <c:pt idx="18">
                  <c:v>Costa Rica</c:v>
                </c:pt>
                <c:pt idx="19">
                  <c:v>South Africa</c:v>
                </c:pt>
                <c:pt idx="20">
                  <c:v>Honduras</c:v>
                </c:pt>
                <c:pt idx="21">
                  <c:v>Venezuela</c:v>
                </c:pt>
                <c:pt idx="22">
                  <c:v>Mexico</c:v>
                </c:pt>
                <c:pt idx="23">
                  <c:v>Senegal</c:v>
                </c:pt>
              </c:strCache>
            </c:strRef>
          </c:cat>
          <c:val>
            <c:numRef>
              <c:f>'Network Sectors - Elect.'!$D$4:$D$72</c:f>
            </c:numRef>
          </c:val>
          <c:extLst>
            <c:ext xmlns:c16="http://schemas.microsoft.com/office/drawing/2014/chart" uri="{C3380CC4-5D6E-409C-BE32-E72D297353CC}">
              <c16:uniqueId val="{00000000-65A3-CE4A-BDB6-4D903F38B143}"/>
            </c:ext>
          </c:extLst>
        </c:ser>
        <c:ser>
          <c:idx val="1"/>
          <c:order val="1"/>
          <c:tx>
            <c:strRef>
              <c:f>'+Network Sectors - Overall'!$E$3</c:f>
              <c:strCache>
                <c:ptCount val="1"/>
                <c:pt idx="0">
                  <c:v>Overall</c:v>
                </c:pt>
              </c:strCache>
            </c:strRef>
          </c:tx>
          <c:spPr>
            <a:solidFill>
              <a:schemeClr val="dk1">
                <a:tint val="55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2-65A3-CE4A-BDB6-4D903F38B143}"/>
              </c:ext>
            </c:extLst>
          </c:dPt>
          <c:dPt>
            <c:idx val="8"/>
            <c:invertIfNegative val="0"/>
            <c:bubble3D val="0"/>
            <c:spPr>
              <a:solidFill>
                <a:schemeClr val="accent6"/>
              </a:solidFill>
              <a:ln>
                <a:noFill/>
              </a:ln>
              <a:effectLst/>
            </c:spPr>
            <c:extLst>
              <c:ext xmlns:c16="http://schemas.microsoft.com/office/drawing/2014/chart" uri="{C3380CC4-5D6E-409C-BE32-E72D297353CC}">
                <c16:uniqueId val="{00000004-65A3-CE4A-BDB6-4D903F38B143}"/>
              </c:ext>
            </c:extLst>
          </c:dPt>
          <c:dPt>
            <c:idx val="17"/>
            <c:invertIfNegative val="0"/>
            <c:bubble3D val="0"/>
            <c:spPr>
              <a:solidFill>
                <a:schemeClr val="dk1">
                  <a:tint val="55000"/>
                </a:schemeClr>
              </a:solidFill>
              <a:ln>
                <a:noFill/>
              </a:ln>
              <a:effectLst/>
            </c:spPr>
            <c:extLst>
              <c:ext xmlns:c16="http://schemas.microsoft.com/office/drawing/2014/chart" uri="{C3380CC4-5D6E-409C-BE32-E72D297353CC}">
                <c16:uniqueId val="{00000006-65A3-CE4A-BDB6-4D903F38B143}"/>
              </c:ext>
            </c:extLst>
          </c:dPt>
          <c:dPt>
            <c:idx val="18"/>
            <c:invertIfNegative val="0"/>
            <c:bubble3D val="0"/>
            <c:spPr>
              <a:solidFill>
                <a:schemeClr val="accent1"/>
              </a:solidFill>
              <a:ln>
                <a:noFill/>
              </a:ln>
              <a:effectLst/>
            </c:spPr>
            <c:extLst>
              <c:ext xmlns:c16="http://schemas.microsoft.com/office/drawing/2014/chart" uri="{C3380CC4-5D6E-409C-BE32-E72D297353CC}">
                <c16:uniqueId val="{00000008-65A3-CE4A-BDB6-4D903F38B143}"/>
              </c:ext>
            </c:extLst>
          </c:dPt>
          <c:dLbls>
            <c:dLbl>
              <c:idx val="18"/>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8-65A3-CE4A-BDB6-4D903F38B1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'+Network Sectors - Overall'!$B$4:$C$74</c:f>
              <c:strCache>
                <c:ptCount val="26"/>
                <c:pt idx="0">
                  <c:v>Top 5 Average</c:v>
                </c:pt>
                <c:pt idx="1">
                  <c:v>Peru</c:v>
                </c:pt>
                <c:pt idx="2">
                  <c:v>Colombia</c:v>
                </c:pt>
                <c:pt idx="3">
                  <c:v>El Salvador</c:v>
                </c:pt>
                <c:pt idx="4">
                  <c:v>Chile</c:v>
                </c:pt>
                <c:pt idx="5">
                  <c:v>Nicaragua</c:v>
                </c:pt>
                <c:pt idx="6">
                  <c:v>Ukraine</c:v>
                </c:pt>
                <c:pt idx="7">
                  <c:v>Brazil</c:v>
                </c:pt>
                <c:pt idx="8">
                  <c:v>OECD Average</c:v>
                </c:pt>
                <c:pt idx="9">
                  <c:v>Philippines</c:v>
                </c:pt>
                <c:pt idx="10">
                  <c:v>Dominican Republic</c:v>
                </c:pt>
                <c:pt idx="11">
                  <c:v>Panama</c:v>
                </c:pt>
                <c:pt idx="12">
                  <c:v>Argentina</c:v>
                </c:pt>
                <c:pt idx="13">
                  <c:v>India</c:v>
                </c:pt>
                <c:pt idx="14">
                  <c:v>Honduras</c:v>
                </c:pt>
                <c:pt idx="15">
                  <c:v>Mexico</c:v>
                </c:pt>
                <c:pt idx="16">
                  <c:v>Jamaica</c:v>
                </c:pt>
                <c:pt idx="17">
                  <c:v>Costa Rica</c:v>
                </c:pt>
                <c:pt idx="18">
                  <c:v>Senegal</c:v>
                </c:pt>
                <c:pt idx="19">
                  <c:v>Turkey</c:v>
                </c:pt>
                <c:pt idx="20">
                  <c:v>Kenya</c:v>
                </c:pt>
                <c:pt idx="21">
                  <c:v>Bolivia</c:v>
                </c:pt>
                <c:pt idx="22">
                  <c:v>China</c:v>
                </c:pt>
                <c:pt idx="23">
                  <c:v>South Africa</c:v>
                </c:pt>
                <c:pt idx="24">
                  <c:v>Egypt</c:v>
                </c:pt>
                <c:pt idx="25">
                  <c:v>Tunisia</c:v>
                </c:pt>
              </c:strCache>
            </c:strRef>
          </c:cat>
          <c:val>
            <c:numRef>
              <c:f>'+Network Sectors - Overall'!$E$4:$E$74</c:f>
              <c:numCache>
                <c:formatCode>0.00</c:formatCode>
                <c:ptCount val="26"/>
                <c:pt idx="0">
                  <c:v>1.27</c:v>
                </c:pt>
                <c:pt idx="1">
                  <c:v>1.3685809511904761</c:v>
                </c:pt>
                <c:pt idx="2">
                  <c:v>1.759964285714285</c:v>
                </c:pt>
                <c:pt idx="3">
                  <c:v>1.9425833333333331</c:v>
                </c:pt>
                <c:pt idx="4">
                  <c:v>1.9545238081898011</c:v>
                </c:pt>
                <c:pt idx="5">
                  <c:v>1.981625</c:v>
                </c:pt>
                <c:pt idx="6">
                  <c:v>2.0148809523809521</c:v>
                </c:pt>
                <c:pt idx="7">
                  <c:v>2.0573273739289681</c:v>
                </c:pt>
                <c:pt idx="8">
                  <c:v>2.11</c:v>
                </c:pt>
                <c:pt idx="9">
                  <c:v>2.2871222083333351</c:v>
                </c:pt>
                <c:pt idx="10">
                  <c:v>2.357746999999998</c:v>
                </c:pt>
                <c:pt idx="11">
                  <c:v>2.3956944444444441</c:v>
                </c:pt>
                <c:pt idx="12">
                  <c:v>2.7143511904761901</c:v>
                </c:pt>
                <c:pt idx="13">
                  <c:v>2.7507934404761909</c:v>
                </c:pt>
                <c:pt idx="14">
                  <c:v>2.921333333333334</c:v>
                </c:pt>
                <c:pt idx="15">
                  <c:v>3.0032476186752319</c:v>
                </c:pt>
                <c:pt idx="16">
                  <c:v>3.0322222222222219</c:v>
                </c:pt>
                <c:pt idx="17">
                  <c:v>3.059444444444444</c:v>
                </c:pt>
                <c:pt idx="18">
                  <c:v>3.27</c:v>
                </c:pt>
                <c:pt idx="19">
                  <c:v>3.308500000763507</c:v>
                </c:pt>
                <c:pt idx="20">
                  <c:v>3.3576631944444428</c:v>
                </c:pt>
                <c:pt idx="21">
                  <c:v>3.3791785714285711</c:v>
                </c:pt>
                <c:pt idx="22">
                  <c:v>3.4082297619047628</c:v>
                </c:pt>
                <c:pt idx="23">
                  <c:v>3.792178562709263</c:v>
                </c:pt>
                <c:pt idx="24">
                  <c:v>4.0108095238095238</c:v>
                </c:pt>
                <c:pt idx="25" formatCode="General">
                  <c:v>4.5902857142857147</c:v>
                </c:pt>
              </c:numCache>
            </c:numRef>
          </c:val>
          <c:extLst>
            <c:ext xmlns:c16="http://schemas.microsoft.com/office/drawing/2014/chart" uri="{C3380CC4-5D6E-409C-BE32-E72D297353CC}">
              <c16:uniqueId val="{00000009-65A3-CE4A-BDB6-4D903F38B143}"/>
            </c:ext>
          </c:extLst>
        </c:ser>
        <c:dLbls>
          <c:showLegendKey val="0"/>
          <c:showVal val="0"/>
          <c:showCatName val="0"/>
          <c:showSerName val="0"/>
          <c:showPercent val="0"/>
          <c:showBubbleSize val="0"/>
        </c:dLbls>
        <c:gapWidth val="219"/>
        <c:overlap val="-27"/>
        <c:axId val="1062478688"/>
        <c:axId val="1060375280"/>
      </c:barChart>
      <c:catAx>
        <c:axId val="106247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375280"/>
        <c:crosses val="autoZero"/>
        <c:auto val="1"/>
        <c:lblAlgn val="ctr"/>
        <c:lblOffset val="100"/>
        <c:noMultiLvlLbl val="0"/>
      </c:catAx>
      <c:valAx>
        <c:axId val="106037528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478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'+Involvement in Business Op.'!$B$2</c:f>
              <c:strCache>
                <c:ptCount val="1"/>
                <c:pt idx="0">
                  <c:v>OECD</c:v>
                </c:pt>
              </c:strCache>
            </c:strRef>
          </c:tx>
          <c:spPr>
            <a:solidFill>
              <a:schemeClr val="dk1">
                <a:tint val="88500"/>
              </a:schemeClr>
            </a:solidFill>
            <a:ln>
              <a:noFill/>
            </a:ln>
            <a:effectLst/>
          </c:spPr>
          <c:invertIfNegative val="0"/>
          <c:cat>
            <c:strRef>
              <c:f>'+Involvement in Business Op.'!$A$3:$A$69</c:f>
              <c:strCache>
                <c:ptCount val="26"/>
                <c:pt idx="0">
                  <c:v>Top 5 Average</c:v>
                </c:pt>
                <c:pt idx="1">
                  <c:v>Peru</c:v>
                </c:pt>
                <c:pt idx="2">
                  <c:v>Mexico</c:v>
                </c:pt>
                <c:pt idx="3">
                  <c:v>Dominican Republic</c:v>
                </c:pt>
                <c:pt idx="4">
                  <c:v>OECD Average</c:v>
                </c:pt>
                <c:pt idx="5">
                  <c:v>Panama</c:v>
                </c:pt>
                <c:pt idx="6">
                  <c:v>El Salvador</c:v>
                </c:pt>
                <c:pt idx="7">
                  <c:v>Chile</c:v>
                </c:pt>
                <c:pt idx="8">
                  <c:v>Ukraine</c:v>
                </c:pt>
                <c:pt idx="9">
                  <c:v>Nicaragua</c:v>
                </c:pt>
                <c:pt idx="10">
                  <c:v>Philippines</c:v>
                </c:pt>
                <c:pt idx="11">
                  <c:v>Brazil</c:v>
                </c:pt>
                <c:pt idx="12">
                  <c:v>Colombia</c:v>
                </c:pt>
                <c:pt idx="13">
                  <c:v>Senegal</c:v>
                </c:pt>
                <c:pt idx="14">
                  <c:v>Bolivia</c:v>
                </c:pt>
                <c:pt idx="15">
                  <c:v>Honduras</c:v>
                </c:pt>
                <c:pt idx="16">
                  <c:v>Egypt</c:v>
                </c:pt>
                <c:pt idx="17">
                  <c:v>Kenya</c:v>
                </c:pt>
                <c:pt idx="18">
                  <c:v>Costa Rica</c:v>
                </c:pt>
                <c:pt idx="19">
                  <c:v>South Africa</c:v>
                </c:pt>
                <c:pt idx="20">
                  <c:v>Tunisia</c:v>
                </c:pt>
                <c:pt idx="21">
                  <c:v>China</c:v>
                </c:pt>
                <c:pt idx="22">
                  <c:v>Jamaica</c:v>
                </c:pt>
                <c:pt idx="23">
                  <c:v>Turkey</c:v>
                </c:pt>
                <c:pt idx="24">
                  <c:v>Argentina</c:v>
                </c:pt>
                <c:pt idx="25">
                  <c:v>India</c:v>
                </c:pt>
              </c:strCache>
            </c:strRef>
          </c:cat>
          <c:val>
            <c:numRef>
              <c:f>'+Involvement in Business Op.'!$B$3:$B$67</c:f>
            </c:numRef>
          </c:val>
          <c:extLst>
            <c:ext xmlns:c16="http://schemas.microsoft.com/office/drawing/2014/chart" uri="{C3380CC4-5D6E-409C-BE32-E72D297353CC}">
              <c16:uniqueId val="{00000000-E4B6-3746-ABA5-A7D61D44C665}"/>
            </c:ext>
          </c:extLst>
        </c:ser>
        <c:ser>
          <c:idx val="3"/>
          <c:order val="1"/>
          <c:tx>
            <c:strRef>
              <c:f>'+Involvement in Business Op.'!$E$2</c:f>
              <c:strCache>
                <c:ptCount val="1"/>
                <c:pt idx="0">
                  <c:v>Price controls</c:v>
                </c:pt>
              </c:strCache>
            </c:strRef>
          </c:tx>
          <c:spPr>
            <a:solidFill>
              <a:schemeClr val="dk1">
                <a:tint val="9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2-E4B6-3746-ABA5-A7D61D44C665}"/>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4-E4B6-3746-ABA5-A7D61D44C665}"/>
              </c:ext>
            </c:extLst>
          </c:dPt>
          <c:dPt>
            <c:idx val="10"/>
            <c:invertIfNegative val="0"/>
            <c:bubble3D val="0"/>
            <c:extLst>
              <c:ext xmlns:c16="http://schemas.microsoft.com/office/drawing/2014/chart" uri="{C3380CC4-5D6E-409C-BE32-E72D297353CC}">
                <c16:uniqueId val="{00000005-E4B6-3746-ABA5-A7D61D44C665}"/>
              </c:ext>
            </c:extLst>
          </c:dPt>
          <c:dPt>
            <c:idx val="12"/>
            <c:invertIfNegative val="0"/>
            <c:bubble3D val="0"/>
            <c:extLst>
              <c:ext xmlns:c16="http://schemas.microsoft.com/office/drawing/2014/chart" uri="{C3380CC4-5D6E-409C-BE32-E72D297353CC}">
                <c16:uniqueId val="{00000006-E4B6-3746-ABA5-A7D61D44C665}"/>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8-E4B6-3746-ABA5-A7D61D44C665}"/>
              </c:ext>
            </c:extLst>
          </c:dPt>
          <c:dLbls>
            <c:dLbl>
              <c:idx val="1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8-E4B6-3746-ABA5-A7D61D44C6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'+Involvement in Business Op.'!$A$3:$A$69</c:f>
              <c:strCache>
                <c:ptCount val="26"/>
                <c:pt idx="0">
                  <c:v>Top 5 Average</c:v>
                </c:pt>
                <c:pt idx="1">
                  <c:v>Peru</c:v>
                </c:pt>
                <c:pt idx="2">
                  <c:v>Mexico</c:v>
                </c:pt>
                <c:pt idx="3">
                  <c:v>Dominican Republic</c:v>
                </c:pt>
                <c:pt idx="4">
                  <c:v>OECD Average</c:v>
                </c:pt>
                <c:pt idx="5">
                  <c:v>Panama</c:v>
                </c:pt>
                <c:pt idx="6">
                  <c:v>El Salvador</c:v>
                </c:pt>
                <c:pt idx="7">
                  <c:v>Chile</c:v>
                </c:pt>
                <c:pt idx="8">
                  <c:v>Ukraine</c:v>
                </c:pt>
                <c:pt idx="9">
                  <c:v>Nicaragua</c:v>
                </c:pt>
                <c:pt idx="10">
                  <c:v>Philippines</c:v>
                </c:pt>
                <c:pt idx="11">
                  <c:v>Brazil</c:v>
                </c:pt>
                <c:pt idx="12">
                  <c:v>Colombia</c:v>
                </c:pt>
                <c:pt idx="13">
                  <c:v>Senegal</c:v>
                </c:pt>
                <c:pt idx="14">
                  <c:v>Bolivia</c:v>
                </c:pt>
                <c:pt idx="15">
                  <c:v>Honduras</c:v>
                </c:pt>
                <c:pt idx="16">
                  <c:v>Egypt</c:v>
                </c:pt>
                <c:pt idx="17">
                  <c:v>Kenya</c:v>
                </c:pt>
                <c:pt idx="18">
                  <c:v>Costa Rica</c:v>
                </c:pt>
                <c:pt idx="19">
                  <c:v>South Africa</c:v>
                </c:pt>
                <c:pt idx="20">
                  <c:v>Tunisia</c:v>
                </c:pt>
                <c:pt idx="21">
                  <c:v>China</c:v>
                </c:pt>
                <c:pt idx="22">
                  <c:v>Jamaica</c:v>
                </c:pt>
                <c:pt idx="23">
                  <c:v>Turkey</c:v>
                </c:pt>
                <c:pt idx="24">
                  <c:v>Argentina</c:v>
                </c:pt>
                <c:pt idx="25">
                  <c:v>India</c:v>
                </c:pt>
              </c:strCache>
            </c:strRef>
          </c:cat>
          <c:val>
            <c:numRef>
              <c:f>'+Involvement in Business Op.'!$E$3:$E$69</c:f>
              <c:numCache>
                <c:formatCode>0.00</c:formatCode>
                <c:ptCount val="26"/>
                <c:pt idx="0">
                  <c:v>0.49</c:v>
                </c:pt>
                <c:pt idx="1">
                  <c:v>0.546875</c:v>
                </c:pt>
                <c:pt idx="2">
                  <c:v>1.171875</c:v>
                </c:pt>
                <c:pt idx="3">
                  <c:v>0.9375</c:v>
                </c:pt>
                <c:pt idx="4">
                  <c:v>0.81499999999999995</c:v>
                </c:pt>
                <c:pt idx="5">
                  <c:v>1.107143</c:v>
                </c:pt>
                <c:pt idx="6">
                  <c:v>1.017857</c:v>
                </c:pt>
                <c:pt idx="7">
                  <c:v>1.1953125</c:v>
                </c:pt>
                <c:pt idx="8">
                  <c:v>1.21875</c:v>
                </c:pt>
                <c:pt idx="9">
                  <c:v>0.96428550000000002</c:v>
                </c:pt>
                <c:pt idx="10">
                  <c:v>0.78500000000000003</c:v>
                </c:pt>
                <c:pt idx="11">
                  <c:v>1.265625</c:v>
                </c:pt>
                <c:pt idx="12">
                  <c:v>1.1607145000000001</c:v>
                </c:pt>
                <c:pt idx="13">
                  <c:v>1.357143</c:v>
                </c:pt>
                <c:pt idx="14">
                  <c:v>1.75</c:v>
                </c:pt>
                <c:pt idx="15">
                  <c:v>1.6607145000000001</c:v>
                </c:pt>
                <c:pt idx="16">
                  <c:v>1.44</c:v>
                </c:pt>
                <c:pt idx="17">
                  <c:v>1.625</c:v>
                </c:pt>
                <c:pt idx="18">
                  <c:v>1.982143</c:v>
                </c:pt>
                <c:pt idx="19">
                  <c:v>1.565625</c:v>
                </c:pt>
                <c:pt idx="20">
                  <c:v>2.078125</c:v>
                </c:pt>
                <c:pt idx="21">
                  <c:v>1.53125</c:v>
                </c:pt>
                <c:pt idx="22">
                  <c:v>1.3357140000000001</c:v>
                </c:pt>
                <c:pt idx="23">
                  <c:v>1.734375</c:v>
                </c:pt>
                <c:pt idx="24">
                  <c:v>1.75</c:v>
                </c:pt>
                <c:pt idx="25">
                  <c:v>1.453125</c:v>
                </c:pt>
              </c:numCache>
            </c:numRef>
          </c:val>
          <c:extLst>
            <c:ext xmlns:c16="http://schemas.microsoft.com/office/drawing/2014/chart" uri="{C3380CC4-5D6E-409C-BE32-E72D297353CC}">
              <c16:uniqueId val="{00000009-E4B6-3746-ABA5-A7D61D44C665}"/>
            </c:ext>
          </c:extLst>
        </c:ser>
        <c:ser>
          <c:idx val="5"/>
          <c:order val="2"/>
          <c:tx>
            <c:strRef>
              <c:f>'+Involvement in Business Op.'!$G$2</c:f>
              <c:strCache>
                <c:ptCount val="1"/>
                <c:pt idx="0">
                  <c:v>Command &amp; control regulation</c:v>
                </c:pt>
              </c:strCache>
            </c:strRef>
          </c:tx>
          <c:spPr>
            <a:solidFill>
              <a:schemeClr val="dk1">
                <a:tint val="6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B-E4B6-3746-ABA5-A7D61D44C665}"/>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D-E4B6-3746-ABA5-A7D61D44C665}"/>
              </c:ext>
            </c:extLst>
          </c:dPt>
          <c:dPt>
            <c:idx val="10"/>
            <c:invertIfNegative val="0"/>
            <c:bubble3D val="0"/>
            <c:extLst>
              <c:ext xmlns:c16="http://schemas.microsoft.com/office/drawing/2014/chart" uri="{C3380CC4-5D6E-409C-BE32-E72D297353CC}">
                <c16:uniqueId val="{0000000E-E4B6-3746-ABA5-A7D61D44C665}"/>
              </c:ext>
            </c:extLst>
          </c:dPt>
          <c:dPt>
            <c:idx val="12"/>
            <c:invertIfNegative val="0"/>
            <c:bubble3D val="0"/>
            <c:extLst>
              <c:ext xmlns:c16="http://schemas.microsoft.com/office/drawing/2014/chart" uri="{C3380CC4-5D6E-409C-BE32-E72D297353CC}">
                <c16:uniqueId val="{0000000F-E4B6-3746-ABA5-A7D61D44C665}"/>
              </c:ext>
            </c:extLst>
          </c:dPt>
          <c:dPt>
            <c:idx val="13"/>
            <c:invertIfNegative val="0"/>
            <c:bubble3D val="0"/>
            <c:spPr>
              <a:solidFill>
                <a:schemeClr val="tx2"/>
              </a:solidFill>
              <a:ln>
                <a:noFill/>
              </a:ln>
              <a:effectLst/>
            </c:spPr>
            <c:extLst>
              <c:ext xmlns:c16="http://schemas.microsoft.com/office/drawing/2014/chart" uri="{C3380CC4-5D6E-409C-BE32-E72D297353CC}">
                <c16:uniqueId val="{00000011-E4B6-3746-ABA5-A7D61D44C665}"/>
              </c:ext>
            </c:extLst>
          </c:dPt>
          <c:dLbls>
            <c:dLbl>
              <c:idx val="1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1-E4B6-3746-ABA5-A7D61D44C6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'+Involvement in Business Op.'!$A$3:$A$69</c:f>
              <c:strCache>
                <c:ptCount val="26"/>
                <c:pt idx="0">
                  <c:v>Top 5 Average</c:v>
                </c:pt>
                <c:pt idx="1">
                  <c:v>Peru</c:v>
                </c:pt>
                <c:pt idx="2">
                  <c:v>Mexico</c:v>
                </c:pt>
                <c:pt idx="3">
                  <c:v>Dominican Republic</c:v>
                </c:pt>
                <c:pt idx="4">
                  <c:v>OECD Average</c:v>
                </c:pt>
                <c:pt idx="5">
                  <c:v>Panama</c:v>
                </c:pt>
                <c:pt idx="6">
                  <c:v>El Salvador</c:v>
                </c:pt>
                <c:pt idx="7">
                  <c:v>Chile</c:v>
                </c:pt>
                <c:pt idx="8">
                  <c:v>Ukraine</c:v>
                </c:pt>
                <c:pt idx="9">
                  <c:v>Nicaragua</c:v>
                </c:pt>
                <c:pt idx="10">
                  <c:v>Philippines</c:v>
                </c:pt>
                <c:pt idx="11">
                  <c:v>Brazil</c:v>
                </c:pt>
                <c:pt idx="12">
                  <c:v>Colombia</c:v>
                </c:pt>
                <c:pt idx="13">
                  <c:v>Senegal</c:v>
                </c:pt>
                <c:pt idx="14">
                  <c:v>Bolivia</c:v>
                </c:pt>
                <c:pt idx="15">
                  <c:v>Honduras</c:v>
                </c:pt>
                <c:pt idx="16">
                  <c:v>Egypt</c:v>
                </c:pt>
                <c:pt idx="17">
                  <c:v>Kenya</c:v>
                </c:pt>
                <c:pt idx="18">
                  <c:v>Costa Rica</c:v>
                </c:pt>
                <c:pt idx="19">
                  <c:v>South Africa</c:v>
                </c:pt>
                <c:pt idx="20">
                  <c:v>Tunisia</c:v>
                </c:pt>
                <c:pt idx="21">
                  <c:v>China</c:v>
                </c:pt>
                <c:pt idx="22">
                  <c:v>Jamaica</c:v>
                </c:pt>
                <c:pt idx="23">
                  <c:v>Turkey</c:v>
                </c:pt>
                <c:pt idx="24">
                  <c:v>Argentina</c:v>
                </c:pt>
                <c:pt idx="25">
                  <c:v>India</c:v>
                </c:pt>
              </c:strCache>
            </c:strRef>
          </c:cat>
          <c:val>
            <c:numRef>
              <c:f>'+Involvement in Business Op.'!$G$3:$G$69</c:f>
              <c:numCache>
                <c:formatCode>0.00</c:formatCode>
                <c:ptCount val="26"/>
                <c:pt idx="0">
                  <c:v>0.49</c:v>
                </c:pt>
                <c:pt idx="1">
                  <c:v>0.83333349999999995</c:v>
                </c:pt>
                <c:pt idx="2">
                  <c:v>0.27083334999999997</c:v>
                </c:pt>
                <c:pt idx="3">
                  <c:v>0.6</c:v>
                </c:pt>
                <c:pt idx="4">
                  <c:v>0.81499999999999995</c:v>
                </c:pt>
                <c:pt idx="5">
                  <c:v>0.55555549999999998</c:v>
                </c:pt>
                <c:pt idx="6">
                  <c:v>0.79166650000000005</c:v>
                </c:pt>
                <c:pt idx="7">
                  <c:v>0.75</c:v>
                </c:pt>
                <c:pt idx="8">
                  <c:v>0.79513900000000004</c:v>
                </c:pt>
                <c:pt idx="9">
                  <c:v>1.1000000000000001</c:v>
                </c:pt>
                <c:pt idx="10">
                  <c:v>1.33</c:v>
                </c:pt>
                <c:pt idx="11">
                  <c:v>1.0833334999999999</c:v>
                </c:pt>
                <c:pt idx="12">
                  <c:v>1.2083334999999999</c:v>
                </c:pt>
                <c:pt idx="13">
                  <c:v>1.0416665000000001</c:v>
                </c:pt>
                <c:pt idx="14">
                  <c:v>0.71180549999999998</c:v>
                </c:pt>
                <c:pt idx="15">
                  <c:v>0.9</c:v>
                </c:pt>
                <c:pt idx="16">
                  <c:v>1.3049999999999999</c:v>
                </c:pt>
                <c:pt idx="17">
                  <c:v>1.18</c:v>
                </c:pt>
                <c:pt idx="18">
                  <c:v>0.83333349999999995</c:v>
                </c:pt>
                <c:pt idx="19">
                  <c:v>1.2916665000000001</c:v>
                </c:pt>
                <c:pt idx="20">
                  <c:v>0.875</c:v>
                </c:pt>
                <c:pt idx="21">
                  <c:v>1.451389</c:v>
                </c:pt>
                <c:pt idx="22">
                  <c:v>1.8229165000000001</c:v>
                </c:pt>
                <c:pt idx="23">
                  <c:v>1.5874999999999999</c:v>
                </c:pt>
                <c:pt idx="24">
                  <c:v>1.5833334999999999</c:v>
                </c:pt>
                <c:pt idx="25">
                  <c:v>2.0922619999999981</c:v>
                </c:pt>
              </c:numCache>
            </c:numRef>
          </c:val>
          <c:extLst>
            <c:ext xmlns:c16="http://schemas.microsoft.com/office/drawing/2014/chart" uri="{C3380CC4-5D6E-409C-BE32-E72D297353CC}">
              <c16:uniqueId val="{00000012-E4B6-3746-ABA5-A7D61D44C665}"/>
            </c:ext>
          </c:extLst>
        </c:ser>
        <c:dLbls>
          <c:showLegendKey val="0"/>
          <c:showVal val="0"/>
          <c:showCatName val="0"/>
          <c:showSerName val="0"/>
          <c:showPercent val="0"/>
          <c:showBubbleSize val="0"/>
        </c:dLbls>
        <c:gapWidth val="150"/>
        <c:overlap val="100"/>
        <c:axId val="1106468752"/>
        <c:axId val="1106485216"/>
      </c:barChart>
      <c:catAx>
        <c:axId val="11064687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485216"/>
        <c:crosses val="autoZero"/>
        <c:auto val="1"/>
        <c:lblAlgn val="ctr"/>
        <c:lblOffset val="100"/>
        <c:noMultiLvlLbl val="0"/>
      </c:catAx>
      <c:valAx>
        <c:axId val="110648521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468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20EF-4A43-BEB8-02906F5A2FA3}"/>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20EF-4A43-BEB8-02906F5A2FA3}"/>
              </c:ext>
            </c:extLst>
          </c:dPt>
          <c:dPt>
            <c:idx val="11"/>
            <c:invertIfNegative val="0"/>
            <c:bubble3D val="0"/>
            <c:spPr>
              <a:solidFill>
                <a:schemeClr val="dk1">
                  <a:tint val="88500"/>
                </a:schemeClr>
              </a:solidFill>
              <a:ln>
                <a:noFill/>
              </a:ln>
              <a:effectLst/>
            </c:spPr>
            <c:extLst>
              <c:ext xmlns:c16="http://schemas.microsoft.com/office/drawing/2014/chart" uri="{C3380CC4-5D6E-409C-BE32-E72D297353CC}">
                <c16:uniqueId val="{00000005-20EF-4A43-BEB8-02906F5A2FA3}"/>
              </c:ext>
            </c:extLst>
          </c:dPt>
          <c:dPt>
            <c:idx val="13"/>
            <c:invertIfNegative val="0"/>
            <c:bubble3D val="0"/>
            <c:spPr>
              <a:solidFill>
                <a:schemeClr val="dk1">
                  <a:tint val="88500"/>
                </a:schemeClr>
              </a:solidFill>
              <a:ln>
                <a:noFill/>
              </a:ln>
              <a:effectLst/>
            </c:spPr>
            <c:extLst>
              <c:ext xmlns:c16="http://schemas.microsoft.com/office/drawing/2014/chart" uri="{C3380CC4-5D6E-409C-BE32-E72D297353CC}">
                <c16:uniqueId val="{00000007-20EF-4A43-BEB8-02906F5A2FA3}"/>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09-20EF-4A43-BEB8-02906F5A2FA3}"/>
              </c:ext>
            </c:extLst>
          </c:dPt>
          <c:dLbls>
            <c:dLbl>
              <c:idx val="14"/>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20EF-4A43-BEB8-02906F5A2F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'+Price Controls'!$A$3:$B$69</c:f>
              <c:strCache>
                <c:ptCount val="26"/>
                <c:pt idx="0">
                  <c:v>Top 5 Average</c:v>
                </c:pt>
                <c:pt idx="1">
                  <c:v>Peru</c:v>
                </c:pt>
                <c:pt idx="2">
                  <c:v>OECD Average</c:v>
                </c:pt>
                <c:pt idx="3">
                  <c:v>Philippines</c:v>
                </c:pt>
                <c:pt idx="4">
                  <c:v>Dominican Republic</c:v>
                </c:pt>
                <c:pt idx="5">
                  <c:v>Nicaragua</c:v>
                </c:pt>
                <c:pt idx="6">
                  <c:v>El Salvador</c:v>
                </c:pt>
                <c:pt idx="7">
                  <c:v>Panama</c:v>
                </c:pt>
                <c:pt idx="8">
                  <c:v>Colombia</c:v>
                </c:pt>
                <c:pt idx="9">
                  <c:v>Mexico</c:v>
                </c:pt>
                <c:pt idx="10">
                  <c:v>Chile</c:v>
                </c:pt>
                <c:pt idx="11">
                  <c:v>Ukraine</c:v>
                </c:pt>
                <c:pt idx="12">
                  <c:v>Brazil</c:v>
                </c:pt>
                <c:pt idx="13">
                  <c:v>Jamaica</c:v>
                </c:pt>
                <c:pt idx="14">
                  <c:v>Senegal</c:v>
                </c:pt>
                <c:pt idx="15">
                  <c:v>Egypt</c:v>
                </c:pt>
                <c:pt idx="16">
                  <c:v>India</c:v>
                </c:pt>
                <c:pt idx="17">
                  <c:v>China</c:v>
                </c:pt>
                <c:pt idx="18">
                  <c:v>South Africa</c:v>
                </c:pt>
                <c:pt idx="19">
                  <c:v>Kenya</c:v>
                </c:pt>
                <c:pt idx="20">
                  <c:v>Honduras</c:v>
                </c:pt>
                <c:pt idx="21">
                  <c:v>Turkey</c:v>
                </c:pt>
                <c:pt idx="22">
                  <c:v>Bolivia</c:v>
                </c:pt>
                <c:pt idx="23">
                  <c:v>Argentina</c:v>
                </c:pt>
                <c:pt idx="24">
                  <c:v>Costa Rica</c:v>
                </c:pt>
                <c:pt idx="25">
                  <c:v>Tunisia</c:v>
                </c:pt>
              </c:strCache>
            </c:strRef>
          </c:cat>
          <c:val>
            <c:numRef>
              <c:f>'+Price Controls'!$C$3:$C$69</c:f>
              <c:numCache>
                <c:formatCode>0.00</c:formatCode>
                <c:ptCount val="26"/>
                <c:pt idx="0">
                  <c:v>0.43</c:v>
                </c:pt>
                <c:pt idx="1">
                  <c:v>1.09375</c:v>
                </c:pt>
                <c:pt idx="2">
                  <c:v>1.35</c:v>
                </c:pt>
                <c:pt idx="3">
                  <c:v>1.571429</c:v>
                </c:pt>
                <c:pt idx="4">
                  <c:v>1.875</c:v>
                </c:pt>
                <c:pt idx="5">
                  <c:v>1.928571</c:v>
                </c:pt>
                <c:pt idx="6">
                  <c:v>2.035714</c:v>
                </c:pt>
                <c:pt idx="7">
                  <c:v>2.214286</c:v>
                </c:pt>
                <c:pt idx="8">
                  <c:v>2.3214290000000002</c:v>
                </c:pt>
                <c:pt idx="9">
                  <c:v>2.34375</c:v>
                </c:pt>
                <c:pt idx="10">
                  <c:v>2.3906249999999991</c:v>
                </c:pt>
                <c:pt idx="11">
                  <c:v>2.4375</c:v>
                </c:pt>
                <c:pt idx="12">
                  <c:v>2.53125</c:v>
                </c:pt>
                <c:pt idx="13">
                  <c:v>2.6714280000000001</c:v>
                </c:pt>
                <c:pt idx="14">
                  <c:v>2.714286</c:v>
                </c:pt>
                <c:pt idx="15">
                  <c:v>2.88</c:v>
                </c:pt>
                <c:pt idx="16">
                  <c:v>2.90625</c:v>
                </c:pt>
                <c:pt idx="17">
                  <c:v>3.0625</c:v>
                </c:pt>
                <c:pt idx="18">
                  <c:v>3.1312500000000001</c:v>
                </c:pt>
                <c:pt idx="19">
                  <c:v>3.25</c:v>
                </c:pt>
                <c:pt idx="20">
                  <c:v>3.3214290000000002</c:v>
                </c:pt>
                <c:pt idx="21">
                  <c:v>3.46875</c:v>
                </c:pt>
                <c:pt idx="22">
                  <c:v>3.5</c:v>
                </c:pt>
                <c:pt idx="23">
                  <c:v>3.5</c:v>
                </c:pt>
                <c:pt idx="24">
                  <c:v>3.964286</c:v>
                </c:pt>
                <c:pt idx="25" formatCode="General">
                  <c:v>4.15625</c:v>
                </c:pt>
              </c:numCache>
            </c:numRef>
          </c:val>
          <c:extLst>
            <c:ext xmlns:c16="http://schemas.microsoft.com/office/drawing/2014/chart" uri="{C3380CC4-5D6E-409C-BE32-E72D297353CC}">
              <c16:uniqueId val="{0000000A-20EF-4A43-BEB8-02906F5A2FA3}"/>
            </c:ext>
          </c:extLst>
        </c:ser>
        <c:dLbls>
          <c:showLegendKey val="0"/>
          <c:showVal val="0"/>
          <c:showCatName val="0"/>
          <c:showSerName val="0"/>
          <c:showPercent val="0"/>
          <c:showBubbleSize val="0"/>
        </c:dLbls>
        <c:gapWidth val="219"/>
        <c:overlap val="-27"/>
        <c:axId val="1106862544"/>
        <c:axId val="1059924736"/>
      </c:barChart>
      <c:catAx>
        <c:axId val="11068625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924736"/>
        <c:crosses val="autoZero"/>
        <c:auto val="1"/>
        <c:lblAlgn val="ctr"/>
        <c:lblOffset val="100"/>
        <c:noMultiLvlLbl val="0"/>
      </c:catAx>
      <c:valAx>
        <c:axId val="1059924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862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Sheet1!$C$2</c:f>
              <c:strCache>
                <c:ptCount val="1"/>
                <c:pt idx="0">
                  <c:v>% of people using the internet (2016)</c:v>
                </c:pt>
              </c:strCache>
            </c:strRef>
          </c:tx>
          <c:spPr>
            <a:solidFill>
              <a:schemeClr val="dk1">
                <a:tint val="88500"/>
              </a:schemeClr>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2428-448E-92AC-96AB128F80FC}"/>
              </c:ext>
            </c:extLst>
          </c:dPt>
          <c:cat>
            <c:strRef>
              <c:f>Sheet1!$B$3:$B$11</c:f>
              <c:strCache>
                <c:ptCount val="8"/>
                <c:pt idx="0">
                  <c:v>Senegal</c:v>
                </c:pt>
                <c:pt idx="1">
                  <c:v>Ghana</c:v>
                </c:pt>
                <c:pt idx="2">
                  <c:v>Kenya</c:v>
                </c:pt>
                <c:pt idx="3">
                  <c:v>Cape Verde</c:v>
                </c:pt>
                <c:pt idx="4">
                  <c:v>South Africa</c:v>
                </c:pt>
                <c:pt idx="5">
                  <c:v>Nigeria</c:v>
                </c:pt>
                <c:pt idx="6">
                  <c:v>Mauritius</c:v>
                </c:pt>
                <c:pt idx="7">
                  <c:v>Morocco</c:v>
                </c:pt>
              </c:strCache>
              <c:extLst/>
            </c:strRef>
          </c:cat>
          <c:val>
            <c:numRef>
              <c:f>Sheet1!$C$3:$C$11</c:f>
              <c:numCache>
                <c:formatCode>0.00%</c:formatCode>
                <c:ptCount val="8"/>
                <c:pt idx="0">
                  <c:v>0.25700000000000001</c:v>
                </c:pt>
                <c:pt idx="1">
                  <c:v>0.34699999999999998</c:v>
                </c:pt>
                <c:pt idx="2">
                  <c:v>0.48</c:v>
                </c:pt>
                <c:pt idx="3">
                  <c:v>0.48199999999999998</c:v>
                </c:pt>
                <c:pt idx="4">
                  <c:v>0.50900000000000001</c:v>
                </c:pt>
                <c:pt idx="5">
                  <c:v>0.52200000000000002</c:v>
                </c:pt>
                <c:pt idx="6">
                  <c:v>0.53200000000000003</c:v>
                </c:pt>
                <c:pt idx="7">
                  <c:v>0.58299999999999996</c:v>
                </c:pt>
              </c:numCache>
              <c:extLst/>
            </c:numRef>
          </c:val>
          <c:extLst>
            <c:ext xmlns:c16="http://schemas.microsoft.com/office/drawing/2014/chart" uri="{C3380CC4-5D6E-409C-BE32-E72D297353CC}">
              <c16:uniqueId val="{00000002-2428-448E-92AC-96AB128F80FC}"/>
            </c:ext>
          </c:extLst>
        </c:ser>
        <c:dLbls>
          <c:showLegendKey val="0"/>
          <c:showVal val="0"/>
          <c:showCatName val="0"/>
          <c:showSerName val="0"/>
          <c:showPercent val="0"/>
          <c:showBubbleSize val="0"/>
        </c:dLbls>
        <c:gapWidth val="219"/>
        <c:overlap val="-27"/>
        <c:axId val="1104435328"/>
        <c:axId val="1407582912"/>
      </c:barChart>
      <c:catAx>
        <c:axId val="110443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7582912"/>
        <c:crosses val="autoZero"/>
        <c:auto val="1"/>
        <c:lblAlgn val="ctr"/>
        <c:lblOffset val="100"/>
        <c:noMultiLvlLbl val="0"/>
      </c:catAx>
      <c:valAx>
        <c:axId val="140758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04435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'+BTE Split'!$B$2</c:f>
              <c:strCache>
                <c:ptCount val="1"/>
                <c:pt idx="0">
                  <c:v>OECD</c:v>
                </c:pt>
              </c:strCache>
            </c:strRef>
          </c:tx>
          <c:spPr>
            <a:solidFill>
              <a:schemeClr val="dk1">
                <a:tint val="88500"/>
              </a:schemeClr>
            </a:solidFill>
            <a:ln>
              <a:noFill/>
            </a:ln>
            <a:effectLst/>
          </c:spPr>
          <c:invertIfNegative val="0"/>
          <c:cat>
            <c:strRef>
              <c:f>'+BTE Split'!$A$3:$A$69</c:f>
              <c:strCache>
                <c:ptCount val="26"/>
                <c:pt idx="0">
                  <c:v>Ukraine</c:v>
                </c:pt>
                <c:pt idx="1">
                  <c:v>Top 5 Average</c:v>
                </c:pt>
                <c:pt idx="2">
                  <c:v>OECD Average</c:v>
                </c:pt>
                <c:pt idx="3">
                  <c:v>Panama</c:v>
                </c:pt>
                <c:pt idx="4">
                  <c:v>Colombia</c:v>
                </c:pt>
                <c:pt idx="5">
                  <c:v>Chile</c:v>
                </c:pt>
                <c:pt idx="6">
                  <c:v>Peru</c:v>
                </c:pt>
                <c:pt idx="7">
                  <c:v>South Africa</c:v>
                </c:pt>
                <c:pt idx="8">
                  <c:v>Mexico</c:v>
                </c:pt>
                <c:pt idx="9">
                  <c:v>Dominican Republic</c:v>
                </c:pt>
                <c:pt idx="10">
                  <c:v>El Salvador</c:v>
                </c:pt>
                <c:pt idx="11">
                  <c:v>Philippines</c:v>
                </c:pt>
                <c:pt idx="12">
                  <c:v>Costa Rica</c:v>
                </c:pt>
                <c:pt idx="13">
                  <c:v>Senegal</c:v>
                </c:pt>
                <c:pt idx="14">
                  <c:v>Turkey</c:v>
                </c:pt>
                <c:pt idx="15">
                  <c:v>Kenya</c:v>
                </c:pt>
                <c:pt idx="16">
                  <c:v>Brazil</c:v>
                </c:pt>
                <c:pt idx="17">
                  <c:v>Argentina</c:v>
                </c:pt>
                <c:pt idx="18">
                  <c:v>Nicaragua</c:v>
                </c:pt>
                <c:pt idx="19">
                  <c:v>Jamaica</c:v>
                </c:pt>
                <c:pt idx="20">
                  <c:v>China</c:v>
                </c:pt>
                <c:pt idx="21">
                  <c:v>Egypt</c:v>
                </c:pt>
                <c:pt idx="22">
                  <c:v>Honduras</c:v>
                </c:pt>
                <c:pt idx="23">
                  <c:v>India</c:v>
                </c:pt>
                <c:pt idx="24">
                  <c:v>Bolivia</c:v>
                </c:pt>
                <c:pt idx="25">
                  <c:v>Tunisia</c:v>
                </c:pt>
              </c:strCache>
            </c:strRef>
          </c:cat>
          <c:val>
            <c:numRef>
              <c:f>'+BTE Split'!$B$3:$B$67</c:f>
            </c:numRef>
          </c:val>
          <c:extLst>
            <c:ext xmlns:c16="http://schemas.microsoft.com/office/drawing/2014/chart" uri="{C3380CC4-5D6E-409C-BE32-E72D297353CC}">
              <c16:uniqueId val="{00000000-E067-C54C-9535-C54CB71CAE0A}"/>
            </c:ext>
          </c:extLst>
        </c:ser>
        <c:ser>
          <c:idx val="3"/>
          <c:order val="1"/>
          <c:tx>
            <c:strRef>
              <c:f>'+BTE Split'!$E$2</c:f>
              <c:strCache>
                <c:ptCount val="1"/>
                <c:pt idx="0">
                  <c:v>Complexity of regulatory procedures</c:v>
                </c:pt>
              </c:strCache>
            </c:strRef>
          </c:tx>
          <c:spPr>
            <a:solidFill>
              <a:schemeClr val="bg1">
                <a:lumMod val="50000"/>
              </a:schemeClr>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2-E067-C54C-9535-C54CB71CAE0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4-E067-C54C-9535-C54CB71CAE0A}"/>
              </c:ext>
            </c:extLst>
          </c:dPt>
          <c:dPt>
            <c:idx val="12"/>
            <c:invertIfNegative val="0"/>
            <c:bubble3D val="0"/>
            <c:extLst>
              <c:ext xmlns:c16="http://schemas.microsoft.com/office/drawing/2014/chart" uri="{C3380CC4-5D6E-409C-BE32-E72D297353CC}">
                <c16:uniqueId val="{00000005-E067-C54C-9535-C54CB71CAE0A}"/>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7-E067-C54C-9535-C54CB71CAE0A}"/>
              </c:ext>
            </c:extLst>
          </c:dPt>
          <c:dLbls>
            <c:dLbl>
              <c:idx val="13"/>
              <c:layout>
                <c:manualLayout>
                  <c:x val="0.13888888888888901"/>
                  <c:y val="-4.4238000442379998E-3"/>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E067-C54C-9535-C54CB71CAE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'+BTE Split'!$A$3:$A$69</c:f>
              <c:strCache>
                <c:ptCount val="26"/>
                <c:pt idx="0">
                  <c:v>Ukraine</c:v>
                </c:pt>
                <c:pt idx="1">
                  <c:v>Top 5 Average</c:v>
                </c:pt>
                <c:pt idx="2">
                  <c:v>OECD Average</c:v>
                </c:pt>
                <c:pt idx="3">
                  <c:v>Panama</c:v>
                </c:pt>
                <c:pt idx="4">
                  <c:v>Colombia</c:v>
                </c:pt>
                <c:pt idx="5">
                  <c:v>Chile</c:v>
                </c:pt>
                <c:pt idx="6">
                  <c:v>Peru</c:v>
                </c:pt>
                <c:pt idx="7">
                  <c:v>South Africa</c:v>
                </c:pt>
                <c:pt idx="8">
                  <c:v>Mexico</c:v>
                </c:pt>
                <c:pt idx="9">
                  <c:v>Dominican Republic</c:v>
                </c:pt>
                <c:pt idx="10">
                  <c:v>El Salvador</c:v>
                </c:pt>
                <c:pt idx="11">
                  <c:v>Philippines</c:v>
                </c:pt>
                <c:pt idx="12">
                  <c:v>Costa Rica</c:v>
                </c:pt>
                <c:pt idx="13">
                  <c:v>Senegal</c:v>
                </c:pt>
                <c:pt idx="14">
                  <c:v>Turkey</c:v>
                </c:pt>
                <c:pt idx="15">
                  <c:v>Kenya</c:v>
                </c:pt>
                <c:pt idx="16">
                  <c:v>Brazil</c:v>
                </c:pt>
                <c:pt idx="17">
                  <c:v>Argentina</c:v>
                </c:pt>
                <c:pt idx="18">
                  <c:v>Nicaragua</c:v>
                </c:pt>
                <c:pt idx="19">
                  <c:v>Jamaica</c:v>
                </c:pt>
                <c:pt idx="20">
                  <c:v>China</c:v>
                </c:pt>
                <c:pt idx="21">
                  <c:v>Egypt</c:v>
                </c:pt>
                <c:pt idx="22">
                  <c:v>Honduras</c:v>
                </c:pt>
                <c:pt idx="23">
                  <c:v>India</c:v>
                </c:pt>
                <c:pt idx="24">
                  <c:v>Bolivia</c:v>
                </c:pt>
                <c:pt idx="25">
                  <c:v>Tunisia</c:v>
                </c:pt>
              </c:strCache>
            </c:strRef>
          </c:cat>
          <c:val>
            <c:numRef>
              <c:f>'+BTE Split'!$E$3:$E$69</c:f>
              <c:numCache>
                <c:formatCode>General</c:formatCode>
                <c:ptCount val="26"/>
                <c:pt idx="0">
                  <c:v>0.17230899999999999</c:v>
                </c:pt>
                <c:pt idx="1">
                  <c:v>0.36666666666666697</c:v>
                </c:pt>
                <c:pt idx="2">
                  <c:v>0.56000000000000005</c:v>
                </c:pt>
                <c:pt idx="3">
                  <c:v>0.80078133333333301</c:v>
                </c:pt>
                <c:pt idx="4" formatCode="0.00">
                  <c:v>1.8802700000000001</c:v>
                </c:pt>
                <c:pt idx="5" formatCode="0.00">
                  <c:v>2.02</c:v>
                </c:pt>
                <c:pt idx="6" formatCode="0.00">
                  <c:v>2.06</c:v>
                </c:pt>
                <c:pt idx="7" formatCode="0.00">
                  <c:v>2.17</c:v>
                </c:pt>
                <c:pt idx="8" formatCode="0.00">
                  <c:v>2.19</c:v>
                </c:pt>
                <c:pt idx="9" formatCode="0.00">
                  <c:v>2.6</c:v>
                </c:pt>
                <c:pt idx="10" formatCode="0.00">
                  <c:v>2.64</c:v>
                </c:pt>
                <c:pt idx="11">
                  <c:v>0.66064583333333404</c:v>
                </c:pt>
                <c:pt idx="12" formatCode="0.00">
                  <c:v>2.6828479999999981</c:v>
                </c:pt>
                <c:pt idx="13" formatCode="0.00">
                  <c:v>1.430536333333333</c:v>
                </c:pt>
                <c:pt idx="14" formatCode="0.00">
                  <c:v>2.78</c:v>
                </c:pt>
                <c:pt idx="15">
                  <c:v>1.236666666666667</c:v>
                </c:pt>
                <c:pt idx="16" formatCode="0.00">
                  <c:v>2.88</c:v>
                </c:pt>
                <c:pt idx="17" formatCode="0.00">
                  <c:v>2.96</c:v>
                </c:pt>
                <c:pt idx="18" formatCode="0.00">
                  <c:v>2.96</c:v>
                </c:pt>
                <c:pt idx="19" formatCode="0.00">
                  <c:v>3.01</c:v>
                </c:pt>
                <c:pt idx="20" formatCode="0.00">
                  <c:v>3.13</c:v>
                </c:pt>
                <c:pt idx="21">
                  <c:v>1.4499999999999991</c:v>
                </c:pt>
                <c:pt idx="22" formatCode="0.00">
                  <c:v>3.49</c:v>
                </c:pt>
                <c:pt idx="23" formatCode="0.00">
                  <c:v>3.61</c:v>
                </c:pt>
                <c:pt idx="24">
                  <c:v>1.7126543333333331</c:v>
                </c:pt>
                <c:pt idx="25">
                  <c:v>1.5683834999999999</c:v>
                </c:pt>
              </c:numCache>
            </c:numRef>
          </c:val>
          <c:extLst>
            <c:ext xmlns:c16="http://schemas.microsoft.com/office/drawing/2014/chart" uri="{C3380CC4-5D6E-409C-BE32-E72D297353CC}">
              <c16:uniqueId val="{00000008-E067-C54C-9535-C54CB71CAE0A}"/>
            </c:ext>
          </c:extLst>
        </c:ser>
        <c:ser>
          <c:idx val="5"/>
          <c:order val="2"/>
          <c:tx>
            <c:strRef>
              <c:f>'+BTE Split'!$G$2</c:f>
              <c:strCache>
                <c:ptCount val="1"/>
                <c:pt idx="0">
                  <c:v>Administrative burdens on startups</c:v>
                </c:pt>
              </c:strCache>
            </c:strRef>
          </c:tx>
          <c:spPr>
            <a:solidFill>
              <a:schemeClr val="bg1">
                <a:lumMod val="50000"/>
              </a:schemeClr>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A-E067-C54C-9535-C54CB71CAE0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C-E067-C54C-9535-C54CB71CAE0A}"/>
              </c:ext>
            </c:extLst>
          </c:dPt>
          <c:dPt>
            <c:idx val="12"/>
            <c:invertIfNegative val="0"/>
            <c:bubble3D val="0"/>
            <c:extLst>
              <c:ext xmlns:c16="http://schemas.microsoft.com/office/drawing/2014/chart" uri="{C3380CC4-5D6E-409C-BE32-E72D297353CC}">
                <c16:uniqueId val="{0000000D-E067-C54C-9535-C54CB71CAE0A}"/>
              </c:ext>
            </c:extLst>
          </c:dPt>
          <c:dPt>
            <c:idx val="1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F-E067-C54C-9535-C54CB71CAE0A}"/>
              </c:ext>
            </c:extLst>
          </c:dPt>
          <c:dLbls>
            <c:dLbl>
              <c:idx val="13"/>
              <c:layout>
                <c:manualLayout>
                  <c:x val="0.14583333333333301"/>
                  <c:y val="-8.4052200840522007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F-E067-C54C-9535-C54CB71CAE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'+BTE Split'!$A$3:$A$69</c:f>
              <c:strCache>
                <c:ptCount val="26"/>
                <c:pt idx="0">
                  <c:v>Ukraine</c:v>
                </c:pt>
                <c:pt idx="1">
                  <c:v>Top 5 Average</c:v>
                </c:pt>
                <c:pt idx="2">
                  <c:v>OECD Average</c:v>
                </c:pt>
                <c:pt idx="3">
                  <c:v>Panama</c:v>
                </c:pt>
                <c:pt idx="4">
                  <c:v>Colombia</c:v>
                </c:pt>
                <c:pt idx="5">
                  <c:v>Chile</c:v>
                </c:pt>
                <c:pt idx="6">
                  <c:v>Peru</c:v>
                </c:pt>
                <c:pt idx="7">
                  <c:v>South Africa</c:v>
                </c:pt>
                <c:pt idx="8">
                  <c:v>Mexico</c:v>
                </c:pt>
                <c:pt idx="9">
                  <c:v>Dominican Republic</c:v>
                </c:pt>
                <c:pt idx="10">
                  <c:v>El Salvador</c:v>
                </c:pt>
                <c:pt idx="11">
                  <c:v>Philippines</c:v>
                </c:pt>
                <c:pt idx="12">
                  <c:v>Costa Rica</c:v>
                </c:pt>
                <c:pt idx="13">
                  <c:v>Senegal</c:v>
                </c:pt>
                <c:pt idx="14">
                  <c:v>Turkey</c:v>
                </c:pt>
                <c:pt idx="15">
                  <c:v>Kenya</c:v>
                </c:pt>
                <c:pt idx="16">
                  <c:v>Brazil</c:v>
                </c:pt>
                <c:pt idx="17">
                  <c:v>Argentina</c:v>
                </c:pt>
                <c:pt idx="18">
                  <c:v>Nicaragua</c:v>
                </c:pt>
                <c:pt idx="19">
                  <c:v>Jamaica</c:v>
                </c:pt>
                <c:pt idx="20">
                  <c:v>China</c:v>
                </c:pt>
                <c:pt idx="21">
                  <c:v>Egypt</c:v>
                </c:pt>
                <c:pt idx="22">
                  <c:v>Honduras</c:v>
                </c:pt>
                <c:pt idx="23">
                  <c:v>India</c:v>
                </c:pt>
                <c:pt idx="24">
                  <c:v>Bolivia</c:v>
                </c:pt>
                <c:pt idx="25">
                  <c:v>Tunisia</c:v>
                </c:pt>
              </c:strCache>
            </c:strRef>
          </c:cat>
          <c:val>
            <c:numRef>
              <c:f>'+BTE Split'!$G$3:$G$69</c:f>
              <c:numCache>
                <c:formatCode>General</c:formatCode>
                <c:ptCount val="26"/>
                <c:pt idx="0">
                  <c:v>0.13611111111111099</c:v>
                </c:pt>
                <c:pt idx="1">
                  <c:v>0.36666666666666697</c:v>
                </c:pt>
                <c:pt idx="2">
                  <c:v>0.56000000000000005</c:v>
                </c:pt>
                <c:pt idx="3">
                  <c:v>0.46481477777777802</c:v>
                </c:pt>
                <c:pt idx="4">
                  <c:v>0</c:v>
                </c:pt>
                <c:pt idx="6">
                  <c:v>0</c:v>
                </c:pt>
                <c:pt idx="9">
                  <c:v>0</c:v>
                </c:pt>
                <c:pt idx="10">
                  <c:v>0</c:v>
                </c:pt>
                <c:pt idx="11">
                  <c:v>0.97458844444444404</c:v>
                </c:pt>
                <c:pt idx="12">
                  <c:v>0</c:v>
                </c:pt>
                <c:pt idx="13" formatCode="0.00">
                  <c:v>0.74063788888888904</c:v>
                </c:pt>
                <c:pt idx="15">
                  <c:v>1.01</c:v>
                </c:pt>
                <c:pt idx="16">
                  <c:v>0</c:v>
                </c:pt>
                <c:pt idx="17">
                  <c:v>0</c:v>
                </c:pt>
                <c:pt idx="18">
                  <c:v>0</c:v>
                </c:pt>
                <c:pt idx="19">
                  <c:v>0</c:v>
                </c:pt>
                <c:pt idx="20">
                  <c:v>0</c:v>
                </c:pt>
                <c:pt idx="21">
                  <c:v>0.66</c:v>
                </c:pt>
                <c:pt idx="22">
                  <c:v>0</c:v>
                </c:pt>
                <c:pt idx="23">
                  <c:v>0</c:v>
                </c:pt>
                <c:pt idx="24">
                  <c:v>1.3008230000000001</c:v>
                </c:pt>
                <c:pt idx="25">
                  <c:v>0.88323044444444399</c:v>
                </c:pt>
              </c:numCache>
            </c:numRef>
          </c:val>
          <c:extLst>
            <c:ext xmlns:c16="http://schemas.microsoft.com/office/drawing/2014/chart" uri="{C3380CC4-5D6E-409C-BE32-E72D297353CC}">
              <c16:uniqueId val="{00000010-E067-C54C-9535-C54CB71CAE0A}"/>
            </c:ext>
          </c:extLst>
        </c:ser>
        <c:ser>
          <c:idx val="7"/>
          <c:order val="3"/>
          <c:tx>
            <c:strRef>
              <c:f>'+BTE Split'!$I$2</c:f>
              <c:strCache>
                <c:ptCount val="1"/>
                <c:pt idx="0">
                  <c:v>Regulatory protection of incumbents</c:v>
                </c:pt>
              </c:strCache>
            </c:strRef>
          </c:tx>
          <c:spPr>
            <a:solidFill>
              <a:schemeClr val="bg1">
                <a:lumMod val="50000"/>
              </a:schemeClr>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12-E067-C54C-9535-C54CB71CAE0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14-E067-C54C-9535-C54CB71CAE0A}"/>
              </c:ext>
            </c:extLst>
          </c:dPt>
          <c:dPt>
            <c:idx val="12"/>
            <c:invertIfNegative val="0"/>
            <c:bubble3D val="0"/>
            <c:extLst>
              <c:ext xmlns:c16="http://schemas.microsoft.com/office/drawing/2014/chart" uri="{C3380CC4-5D6E-409C-BE32-E72D297353CC}">
                <c16:uniqueId val="{00000015-E067-C54C-9535-C54CB71CAE0A}"/>
              </c:ext>
            </c:extLst>
          </c:dPt>
          <c:dPt>
            <c:idx val="13"/>
            <c:invertIfNegative val="0"/>
            <c:bubble3D val="0"/>
            <c:spPr>
              <a:solidFill>
                <a:schemeClr val="tx2"/>
              </a:solidFill>
              <a:ln>
                <a:noFill/>
              </a:ln>
              <a:effectLst/>
            </c:spPr>
            <c:extLst>
              <c:ext xmlns:c16="http://schemas.microsoft.com/office/drawing/2014/chart" uri="{C3380CC4-5D6E-409C-BE32-E72D297353CC}">
                <c16:uniqueId val="{00000017-E067-C54C-9535-C54CB71CAE0A}"/>
              </c:ext>
            </c:extLst>
          </c:dPt>
          <c:dLbls>
            <c:dLbl>
              <c:idx val="13"/>
              <c:layout>
                <c:manualLayout>
                  <c:x val="-0.12962962962963001"/>
                  <c:y val="-2.6542800265428001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7-E067-C54C-9535-C54CB71CAE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'+BTE Split'!$A$3:$A$69</c:f>
              <c:strCache>
                <c:ptCount val="26"/>
                <c:pt idx="0">
                  <c:v>Ukraine</c:v>
                </c:pt>
                <c:pt idx="1">
                  <c:v>Top 5 Average</c:v>
                </c:pt>
                <c:pt idx="2">
                  <c:v>OECD Average</c:v>
                </c:pt>
                <c:pt idx="3">
                  <c:v>Panama</c:v>
                </c:pt>
                <c:pt idx="4">
                  <c:v>Colombia</c:v>
                </c:pt>
                <c:pt idx="5">
                  <c:v>Chile</c:v>
                </c:pt>
                <c:pt idx="6">
                  <c:v>Peru</c:v>
                </c:pt>
                <c:pt idx="7">
                  <c:v>South Africa</c:v>
                </c:pt>
                <c:pt idx="8">
                  <c:v>Mexico</c:v>
                </c:pt>
                <c:pt idx="9">
                  <c:v>Dominican Republic</c:v>
                </c:pt>
                <c:pt idx="10">
                  <c:v>El Salvador</c:v>
                </c:pt>
                <c:pt idx="11">
                  <c:v>Philippines</c:v>
                </c:pt>
                <c:pt idx="12">
                  <c:v>Costa Rica</c:v>
                </c:pt>
                <c:pt idx="13">
                  <c:v>Senegal</c:v>
                </c:pt>
                <c:pt idx="14">
                  <c:v>Turkey</c:v>
                </c:pt>
                <c:pt idx="15">
                  <c:v>Kenya</c:v>
                </c:pt>
                <c:pt idx="16">
                  <c:v>Brazil</c:v>
                </c:pt>
                <c:pt idx="17">
                  <c:v>Argentina</c:v>
                </c:pt>
                <c:pt idx="18">
                  <c:v>Nicaragua</c:v>
                </c:pt>
                <c:pt idx="19">
                  <c:v>Jamaica</c:v>
                </c:pt>
                <c:pt idx="20">
                  <c:v>China</c:v>
                </c:pt>
                <c:pt idx="21">
                  <c:v>Egypt</c:v>
                </c:pt>
                <c:pt idx="22">
                  <c:v>Honduras</c:v>
                </c:pt>
                <c:pt idx="23">
                  <c:v>India</c:v>
                </c:pt>
                <c:pt idx="24">
                  <c:v>Bolivia</c:v>
                </c:pt>
                <c:pt idx="25">
                  <c:v>Tunisia</c:v>
                </c:pt>
              </c:strCache>
            </c:strRef>
          </c:cat>
          <c:val>
            <c:numRef>
              <c:f>'+BTE Split'!$I$3:$I$69</c:f>
              <c:numCache>
                <c:formatCode>General</c:formatCode>
                <c:ptCount val="26"/>
                <c:pt idx="0">
                  <c:v>0.47268522222222198</c:v>
                </c:pt>
                <c:pt idx="1">
                  <c:v>0.36666666666666697</c:v>
                </c:pt>
                <c:pt idx="2">
                  <c:v>0.56000000000000005</c:v>
                </c:pt>
                <c:pt idx="3">
                  <c:v>0.56306102222222199</c:v>
                </c:pt>
                <c:pt idx="4">
                  <c:v>0</c:v>
                </c:pt>
                <c:pt idx="6">
                  <c:v>0</c:v>
                </c:pt>
                <c:pt idx="9">
                  <c:v>0</c:v>
                </c:pt>
                <c:pt idx="10">
                  <c:v>0</c:v>
                </c:pt>
                <c:pt idx="11">
                  <c:v>1.015509277777777</c:v>
                </c:pt>
                <c:pt idx="12">
                  <c:v>0</c:v>
                </c:pt>
                <c:pt idx="13" formatCode="0.00">
                  <c:v>0.56020796666666595</c:v>
                </c:pt>
                <c:pt idx="15">
                  <c:v>0.52</c:v>
                </c:pt>
                <c:pt idx="16">
                  <c:v>0</c:v>
                </c:pt>
                <c:pt idx="17">
                  <c:v>0</c:v>
                </c:pt>
                <c:pt idx="18">
                  <c:v>0</c:v>
                </c:pt>
                <c:pt idx="19">
                  <c:v>0</c:v>
                </c:pt>
                <c:pt idx="20">
                  <c:v>0</c:v>
                </c:pt>
                <c:pt idx="21">
                  <c:v>1.0466666666666671</c:v>
                </c:pt>
                <c:pt idx="22">
                  <c:v>0</c:v>
                </c:pt>
                <c:pt idx="23">
                  <c:v>0</c:v>
                </c:pt>
                <c:pt idx="24">
                  <c:v>0.721839077777778</c:v>
                </c:pt>
                <c:pt idx="25">
                  <c:v>1.431408555555556</c:v>
                </c:pt>
              </c:numCache>
            </c:numRef>
          </c:val>
          <c:extLst>
            <c:ext xmlns:c16="http://schemas.microsoft.com/office/drawing/2014/chart" uri="{C3380CC4-5D6E-409C-BE32-E72D297353CC}">
              <c16:uniqueId val="{00000018-E067-C54C-9535-C54CB71CAE0A}"/>
            </c:ext>
          </c:extLst>
        </c:ser>
        <c:dLbls>
          <c:showLegendKey val="0"/>
          <c:showVal val="0"/>
          <c:showCatName val="0"/>
          <c:showSerName val="0"/>
          <c:showPercent val="0"/>
          <c:showBubbleSize val="0"/>
        </c:dLbls>
        <c:gapWidth val="150"/>
        <c:overlap val="100"/>
        <c:axId val="1060158432"/>
        <c:axId val="1010194608"/>
      </c:barChart>
      <c:catAx>
        <c:axId val="10601584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194608"/>
        <c:crosses val="autoZero"/>
        <c:auto val="1"/>
        <c:lblAlgn val="ctr"/>
        <c:lblOffset val="100"/>
        <c:noMultiLvlLbl val="0"/>
      </c:catAx>
      <c:valAx>
        <c:axId val="1010194608"/>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158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'BTE Split'!$B$74</c:f>
              <c:strCache>
                <c:ptCount val="1"/>
                <c:pt idx="0">
                  <c:v>Barriers to entrepreneurship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Split'!$A$75</c:f>
              <c:strCache>
                <c:ptCount val="1"/>
                <c:pt idx="0">
                  <c:v>Barriers to Entry and Rivalry</c:v>
                </c:pt>
              </c:strCache>
            </c:strRef>
          </c:cat>
          <c:val>
            <c:numRef>
              <c:f>'BTE Split'!$B$75</c:f>
            </c:numRef>
          </c:val>
          <c:extLst>
            <c:ext xmlns:c16="http://schemas.microsoft.com/office/drawing/2014/chart" uri="{C3380CC4-5D6E-409C-BE32-E72D297353CC}">
              <c16:uniqueId val="{00000000-2F2A-4247-BE66-43103D77506A}"/>
            </c:ext>
          </c:extLst>
        </c:ser>
        <c:ser>
          <c:idx val="2"/>
          <c:order val="1"/>
          <c:tx>
            <c:strRef>
              <c:f>'BTE Split'!$D$74</c:f>
              <c:strCache>
                <c:ptCount val="1"/>
                <c:pt idx="0">
                  <c:v>Complexity of regulatory procedures</c:v>
                </c:pt>
              </c:strCache>
            </c:strRef>
          </c:tx>
          <c:spPr>
            <a:solidFill>
              <a:schemeClr val="accent4"/>
            </a:solidFill>
            <a:ln>
              <a:noFill/>
            </a:ln>
            <a:effectLst/>
          </c:spPr>
          <c:invertIfNegative val="0"/>
          <c:dLbls>
            <c:dLbl>
              <c:idx val="0"/>
              <c:tx>
                <c:strRef>
                  <c:f>'BTE Split'!$D$76</c:f>
                  <c:strCache>
                    <c:ptCount val="1"/>
                    <c:pt idx="0">
                      <c:v>52%</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{8510EA81-B506-4EE7-A945-CD101DAE920E}</c15:txfldGUID>
                      <c15:f>'BTE Split'!$D$76</c15:f>
                      <c15:dlblFieldTableCache>
                        <c:ptCount val="1"/>
                        <c:pt idx="0">
                          <c:v>52%</c:v>
                        </c:pt>
                      </c15:dlblFieldTableCache>
                    </c15:dlblFTEntry>
                  </c15:dlblFieldTable>
                  <c15:showDataLabelsRange val="0"/>
                </c:ext>
                <c:ext xmlns:c16="http://schemas.microsoft.com/office/drawing/2014/chart" uri="{C3380CC4-5D6E-409C-BE32-E72D297353CC}">
                  <c16:uniqueId val="{00000001-2F2A-4247-BE66-43103D77506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Split'!$A$75</c:f>
              <c:strCache>
                <c:ptCount val="1"/>
                <c:pt idx="0">
                  <c:v>Barriers to Entry and Rivalry</c:v>
                </c:pt>
              </c:strCache>
            </c:strRef>
          </c:cat>
          <c:val>
            <c:numRef>
              <c:f>'BTE Split'!$D$75</c:f>
              <c:numCache>
                <c:formatCode>General</c:formatCode>
                <c:ptCount val="1"/>
                <c:pt idx="0">
                  <c:v>1.430536333333333</c:v>
                </c:pt>
              </c:numCache>
            </c:numRef>
          </c:val>
          <c:extLst>
            <c:ext xmlns:c16="http://schemas.microsoft.com/office/drawing/2014/chart" uri="{C3380CC4-5D6E-409C-BE32-E72D297353CC}">
              <c16:uniqueId val="{00000002-2F2A-4247-BE66-43103D77506A}"/>
            </c:ext>
          </c:extLst>
        </c:ser>
        <c:ser>
          <c:idx val="4"/>
          <c:order val="2"/>
          <c:tx>
            <c:strRef>
              <c:f>'BTE Split'!$F$74</c:f>
              <c:strCache>
                <c:ptCount val="1"/>
                <c:pt idx="0">
                  <c:v>Administrative burdens on startups</c:v>
                </c:pt>
              </c:strCache>
            </c:strRef>
          </c:tx>
          <c:spPr>
            <a:solidFill>
              <a:schemeClr val="accent5">
                <a:lumMod val="60000"/>
              </a:schemeClr>
            </a:solidFill>
            <a:ln>
              <a:noFill/>
            </a:ln>
            <a:effectLst/>
          </c:spPr>
          <c:invertIfNegative val="0"/>
          <c:dLbls>
            <c:dLbl>
              <c:idx val="0"/>
              <c:tx>
                <c:strRef>
                  <c:f>'BTE Split'!$F$76</c:f>
                  <c:strCache>
                    <c:ptCount val="1"/>
                    <c:pt idx="0">
                      <c:v>27%</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{72E06D8F-BC2C-43DD-BE8A-77167B3B1487}</c15:txfldGUID>
                      <c15:f>'BTE Split'!$F$76</c15:f>
                      <c15:dlblFieldTableCache>
                        <c:ptCount val="1"/>
                        <c:pt idx="0">
                          <c:v>27%</c:v>
                        </c:pt>
                      </c15:dlblFieldTableCache>
                    </c15:dlblFTEntry>
                  </c15:dlblFieldTable>
                  <c15:showDataLabelsRange val="0"/>
                </c:ext>
                <c:ext xmlns:c16="http://schemas.microsoft.com/office/drawing/2014/chart" uri="{C3380CC4-5D6E-409C-BE32-E72D297353CC}">
                  <c16:uniqueId val="{00000003-2F2A-4247-BE66-43103D77506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Split'!$A$75</c:f>
              <c:strCache>
                <c:ptCount val="1"/>
                <c:pt idx="0">
                  <c:v>Barriers to Entry and Rivalry</c:v>
                </c:pt>
              </c:strCache>
            </c:strRef>
          </c:cat>
          <c:val>
            <c:numRef>
              <c:f>'BTE Split'!$F$75</c:f>
              <c:numCache>
                <c:formatCode>General</c:formatCode>
                <c:ptCount val="1"/>
                <c:pt idx="0">
                  <c:v>0.74063788888888904</c:v>
                </c:pt>
              </c:numCache>
            </c:numRef>
          </c:val>
          <c:extLst>
            <c:ext xmlns:c16="http://schemas.microsoft.com/office/drawing/2014/chart" uri="{C3380CC4-5D6E-409C-BE32-E72D297353CC}">
              <c16:uniqueId val="{00000004-2F2A-4247-BE66-43103D77506A}"/>
            </c:ext>
          </c:extLst>
        </c:ser>
        <c:ser>
          <c:idx val="6"/>
          <c:order val="3"/>
          <c:tx>
            <c:strRef>
              <c:f>'BTE Split'!$H$74</c:f>
              <c:strCache>
                <c:ptCount val="1"/>
                <c:pt idx="0">
                  <c:v>Regulatory protection of incumbents</c:v>
                </c:pt>
              </c:strCache>
            </c:strRef>
          </c:tx>
          <c:spPr>
            <a:solidFill>
              <a:schemeClr val="accent6">
                <a:lumMod val="80000"/>
                <a:lumOff val="20000"/>
              </a:schemeClr>
            </a:solidFill>
            <a:ln>
              <a:noFill/>
            </a:ln>
            <a:effectLst/>
          </c:spPr>
          <c:invertIfNegative val="0"/>
          <c:dLbls>
            <c:dLbl>
              <c:idx val="0"/>
              <c:tx>
                <c:strRef>
                  <c:f>'BTE Split'!$H$76</c:f>
                  <c:strCache>
                    <c:ptCount val="1"/>
                    <c:pt idx="0">
                      <c:v>21%</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{5C66897E-C585-47A4-8EF1-48BDE64A0F96}</c15:txfldGUID>
                      <c15:f>'BTE Split'!$H$76</c15:f>
                      <c15:dlblFieldTableCache>
                        <c:ptCount val="1"/>
                        <c:pt idx="0">
                          <c:v>21%</c:v>
                        </c:pt>
                      </c15:dlblFieldTableCache>
                    </c15:dlblFTEntry>
                  </c15:dlblFieldTable>
                  <c15:showDataLabelsRange val="0"/>
                </c:ext>
                <c:ext xmlns:c16="http://schemas.microsoft.com/office/drawing/2014/chart" uri="{C3380CC4-5D6E-409C-BE32-E72D297353CC}">
                  <c16:uniqueId val="{00000005-2F2A-4247-BE66-43103D77506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Split'!$A$75</c:f>
              <c:strCache>
                <c:ptCount val="1"/>
                <c:pt idx="0">
                  <c:v>Barriers to Entry and Rivalry</c:v>
                </c:pt>
              </c:strCache>
            </c:strRef>
          </c:cat>
          <c:val>
            <c:numRef>
              <c:f>'BTE Split'!$H$75</c:f>
              <c:numCache>
                <c:formatCode>General</c:formatCode>
                <c:ptCount val="1"/>
                <c:pt idx="0">
                  <c:v>0.56020796666666595</c:v>
                </c:pt>
              </c:numCache>
            </c:numRef>
          </c:val>
          <c:extLst>
            <c:ext xmlns:c16="http://schemas.microsoft.com/office/drawing/2014/chart" uri="{C3380CC4-5D6E-409C-BE32-E72D297353CC}">
              <c16:uniqueId val="{00000006-2F2A-4247-BE66-43103D77506A}"/>
            </c:ext>
          </c:extLst>
        </c:ser>
        <c:dLbls>
          <c:dLblPos val="ctr"/>
          <c:showLegendKey val="0"/>
          <c:showVal val="1"/>
          <c:showCatName val="0"/>
          <c:showSerName val="0"/>
          <c:showPercent val="0"/>
          <c:showBubbleSize val="0"/>
        </c:dLbls>
        <c:gapWidth val="150"/>
        <c:overlap val="100"/>
        <c:axId val="1106551936"/>
        <c:axId val="1010547744"/>
      </c:barChart>
      <c:catAx>
        <c:axId val="11065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10547744"/>
        <c:crosses val="autoZero"/>
        <c:auto val="1"/>
        <c:lblAlgn val="ctr"/>
        <c:lblOffset val="100"/>
        <c:noMultiLvlLbl val="0"/>
      </c:catAx>
      <c:valAx>
        <c:axId val="1010547744"/>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06551936"/>
        <c:crosses val="autoZero"/>
        <c:crossBetween val="between"/>
      </c:valAx>
      <c:spPr>
        <a:noFill/>
        <a:ln>
          <a:noFill/>
        </a:ln>
        <a:effectLst/>
      </c:spPr>
    </c:plotArea>
    <c:legend>
      <c:legendPos val="b"/>
      <c:layout>
        <c:manualLayout>
          <c:xMode val="edge"/>
          <c:yMode val="edge"/>
          <c:x val="0.103148774829757"/>
          <c:y val="0.74140130788736203"/>
          <c:w val="0.79370245034048703"/>
          <c:h val="0.24480567047763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'BTE Split'!$C$79</c:f>
              <c:strCache>
                <c:ptCount val="1"/>
                <c:pt idx="0">
                  <c:v>Licence and permits system</c:v>
                </c:pt>
              </c:strCache>
            </c:strRef>
          </c:tx>
          <c:spPr>
            <a:solidFill>
              <a:schemeClr val="accent1"/>
            </a:solidFill>
            <a:ln>
              <a:noFill/>
            </a:ln>
            <a:effectLst/>
          </c:spPr>
          <c:invertIfNegative val="0"/>
          <c:dLbls>
            <c:dLbl>
              <c:idx val="0"/>
              <c:tx>
                <c:strRef>
                  <c:f>'BTE Split'!$C$83</c:f>
                  <c:strCache>
                    <c:ptCount val="1"/>
                    <c:pt idx="0">
                      <c:v>47%</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{53E37592-6C3C-41BB-8920-CDE18FCC8504}</c15:txfldGUID>
                      <c15:f>'BTE Split'!$C$83</c15:f>
                      <c15:dlblFieldTableCache>
                        <c:ptCount val="1"/>
                        <c:pt idx="0">
                          <c:v>47%</c:v>
                        </c:pt>
                      </c15:dlblFieldTableCache>
                    </c15:dlblFTEntry>
                  </c15:dlblFieldTable>
                  <c15:showDataLabelsRange val="0"/>
                </c:ext>
                <c:ext xmlns:c16="http://schemas.microsoft.com/office/drawing/2014/chart" uri="{C3380CC4-5D6E-409C-BE32-E72D297353CC}">
                  <c16:uniqueId val="{00000000-5A1B-4CE7-A61B-565D52477A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Split'!$A$80:$B$82</c:f>
              <c:strCache>
                <c:ptCount val="3"/>
                <c:pt idx="0">
                  <c:v>Complexity of regulatory procedures</c:v>
                </c:pt>
                <c:pt idx="1">
                  <c:v>Administrative burdens on startups</c:v>
                </c:pt>
                <c:pt idx="2">
                  <c:v>Regulatory protection of incumbents</c:v>
                </c:pt>
              </c:strCache>
            </c:strRef>
          </c:cat>
          <c:val>
            <c:numRef>
              <c:f>'BTE Split'!$C$80:$C$82</c:f>
              <c:numCache>
                <c:formatCode>General</c:formatCode>
                <c:ptCount val="3"/>
                <c:pt idx="0">
                  <c:v>2</c:v>
                </c:pt>
              </c:numCache>
            </c:numRef>
          </c:val>
          <c:extLst>
            <c:ext xmlns:c16="http://schemas.microsoft.com/office/drawing/2014/chart" uri="{C3380CC4-5D6E-409C-BE32-E72D297353CC}">
              <c16:uniqueId val="{00000001-5A1B-4CE7-A61B-565D52477AF0}"/>
            </c:ext>
          </c:extLst>
        </c:ser>
        <c:ser>
          <c:idx val="1"/>
          <c:order val="1"/>
          <c:tx>
            <c:strRef>
              <c:f>'BTE Split'!$D$79</c:f>
              <c:strCache>
                <c:ptCount val="1"/>
                <c:pt idx="0">
                  <c:v>Communication and simplification of rules and procedures</c:v>
                </c:pt>
              </c:strCache>
            </c:strRef>
          </c:tx>
          <c:spPr>
            <a:solidFill>
              <a:schemeClr val="accent2"/>
            </a:solidFill>
            <a:ln>
              <a:noFill/>
            </a:ln>
            <a:effectLst/>
          </c:spPr>
          <c:invertIfNegative val="0"/>
          <c:dLbls>
            <c:dLbl>
              <c:idx val="0"/>
              <c:tx>
                <c:strRef>
                  <c:f>'BTE Split'!$D$83</c:f>
                  <c:strCache>
                    <c:ptCount val="1"/>
                    <c:pt idx="0">
                      <c:v>53%</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{1F89A049-6084-4CDC-8489-9B68FDE8DAF1}</c15:txfldGUID>
                      <c15:f>'BTE Split'!$D$83</c15:f>
                      <c15:dlblFieldTableCache>
                        <c:ptCount val="1"/>
                        <c:pt idx="0">
                          <c:v>53%</c:v>
                        </c:pt>
                      </c15:dlblFieldTableCache>
                    </c15:dlblFTEntry>
                  </c15:dlblFieldTable>
                  <c15:showDataLabelsRange val="0"/>
                </c:ext>
                <c:ext xmlns:c16="http://schemas.microsoft.com/office/drawing/2014/chart" uri="{C3380CC4-5D6E-409C-BE32-E72D297353CC}">
                  <c16:uniqueId val="{00000002-5A1B-4CE7-A61B-565D52477A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Split'!$A$80:$B$82</c:f>
              <c:strCache>
                <c:ptCount val="3"/>
                <c:pt idx="0">
                  <c:v>Complexity of regulatory procedures</c:v>
                </c:pt>
                <c:pt idx="1">
                  <c:v>Administrative burdens on startups</c:v>
                </c:pt>
                <c:pt idx="2">
                  <c:v>Regulatory protection of incumbents</c:v>
                </c:pt>
              </c:strCache>
            </c:strRef>
          </c:cat>
          <c:val>
            <c:numRef>
              <c:f>'BTE Split'!$D$80:$D$82</c:f>
              <c:numCache>
                <c:formatCode>General</c:formatCode>
                <c:ptCount val="3"/>
                <c:pt idx="0">
                  <c:v>2.291608999999998</c:v>
                </c:pt>
              </c:numCache>
            </c:numRef>
          </c:val>
          <c:extLst>
            <c:ext xmlns:c16="http://schemas.microsoft.com/office/drawing/2014/chart" uri="{C3380CC4-5D6E-409C-BE32-E72D297353CC}">
              <c16:uniqueId val="{00000003-5A1B-4CE7-A61B-565D52477AF0}"/>
            </c:ext>
          </c:extLst>
        </c:ser>
        <c:ser>
          <c:idx val="2"/>
          <c:order val="2"/>
          <c:tx>
            <c:strRef>
              <c:f>'BTE Split'!$E$79</c:f>
              <c:strCache>
                <c:ptCount val="1"/>
                <c:pt idx="0">
                  <c:v>Administrative burdens for corporations </c:v>
                </c:pt>
              </c:strCache>
            </c:strRef>
          </c:tx>
          <c:spPr>
            <a:solidFill>
              <a:schemeClr val="accent3"/>
            </a:solidFill>
            <a:ln>
              <a:noFill/>
            </a:ln>
            <a:effectLst/>
          </c:spPr>
          <c:invertIfNegative val="0"/>
          <c:dLbls>
            <c:dLbl>
              <c:idx val="1"/>
              <c:tx>
                <c:strRef>
                  <c:f>'BTE Split'!$E$84</c:f>
                  <c:strCache>
                    <c:ptCount val="1"/>
                    <c:pt idx="0">
                      <c:v>36%</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{50DA1883-879C-488B-BAF0-B77D4A8F3824}</c15:txfldGUID>
                      <c15:f>'BTE Split'!$E$84</c15:f>
                      <c15:dlblFieldTableCache>
                        <c:ptCount val="1"/>
                        <c:pt idx="0">
                          <c:v>36%</c:v>
                        </c:pt>
                      </c15:dlblFieldTableCache>
                    </c15:dlblFTEntry>
                  </c15:dlblFieldTable>
                  <c15:showDataLabelsRange val="0"/>
                </c:ext>
                <c:ext xmlns:c16="http://schemas.microsoft.com/office/drawing/2014/chart" uri="{C3380CC4-5D6E-409C-BE32-E72D297353CC}">
                  <c16:uniqueId val="{00000004-5A1B-4CE7-A61B-565D52477A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Split'!$A$80:$B$82</c:f>
              <c:strCache>
                <c:ptCount val="3"/>
                <c:pt idx="0">
                  <c:v>Complexity of regulatory procedures</c:v>
                </c:pt>
                <c:pt idx="1">
                  <c:v>Administrative burdens on startups</c:v>
                </c:pt>
                <c:pt idx="2">
                  <c:v>Regulatory protection of incumbents</c:v>
                </c:pt>
              </c:strCache>
            </c:strRef>
          </c:cat>
          <c:val>
            <c:numRef>
              <c:f>'BTE Split'!$E$80:$E$82</c:f>
              <c:numCache>
                <c:formatCode>General</c:formatCode>
                <c:ptCount val="3"/>
                <c:pt idx="1">
                  <c:v>0.8</c:v>
                </c:pt>
              </c:numCache>
            </c:numRef>
          </c:val>
          <c:extLst>
            <c:ext xmlns:c16="http://schemas.microsoft.com/office/drawing/2014/chart" uri="{C3380CC4-5D6E-409C-BE32-E72D297353CC}">
              <c16:uniqueId val="{00000005-5A1B-4CE7-A61B-565D52477AF0}"/>
            </c:ext>
          </c:extLst>
        </c:ser>
        <c:ser>
          <c:idx val="3"/>
          <c:order val="3"/>
          <c:tx>
            <c:strRef>
              <c:f>'BTE Split'!$F$79</c:f>
              <c:strCache>
                <c:ptCount val="1"/>
                <c:pt idx="0">
                  <c:v>Administrative burdens for sole proprietor firms </c:v>
                </c:pt>
              </c:strCache>
            </c:strRef>
          </c:tx>
          <c:spPr>
            <a:solidFill>
              <a:schemeClr val="accent4"/>
            </a:solidFill>
            <a:ln>
              <a:noFill/>
            </a:ln>
            <a:effectLst/>
          </c:spPr>
          <c:invertIfNegative val="0"/>
          <c:dLbls>
            <c:dLbl>
              <c:idx val="1"/>
              <c:tx>
                <c:strRef>
                  <c:f>'BTE Split'!$F$84</c:f>
                  <c:strCache>
                    <c:ptCount val="1"/>
                    <c:pt idx="0">
                      <c:v>27%</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{3DD478C7-3683-405A-B8A8-F327EEF4956C}</c15:txfldGUID>
                      <c15:f>'BTE Split'!$F$84</c15:f>
                      <c15:dlblFieldTableCache>
                        <c:ptCount val="1"/>
                        <c:pt idx="0">
                          <c:v>27%</c:v>
                        </c:pt>
                      </c15:dlblFieldTableCache>
                    </c15:dlblFTEntry>
                  </c15:dlblFieldTable>
                  <c15:showDataLabelsRange val="0"/>
                </c:ext>
                <c:ext xmlns:c16="http://schemas.microsoft.com/office/drawing/2014/chart" uri="{C3380CC4-5D6E-409C-BE32-E72D297353CC}">
                  <c16:uniqueId val="{00000006-5A1B-4CE7-A61B-565D52477A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Split'!$A$80:$B$82</c:f>
              <c:strCache>
                <c:ptCount val="3"/>
                <c:pt idx="0">
                  <c:v>Complexity of regulatory procedures</c:v>
                </c:pt>
                <c:pt idx="1">
                  <c:v>Administrative burdens on startups</c:v>
                </c:pt>
                <c:pt idx="2">
                  <c:v>Regulatory protection of incumbents</c:v>
                </c:pt>
              </c:strCache>
            </c:strRef>
          </c:cat>
          <c:val>
            <c:numRef>
              <c:f>'BTE Split'!$F$80:$F$82</c:f>
              <c:numCache>
                <c:formatCode>General</c:formatCode>
                <c:ptCount val="3"/>
                <c:pt idx="1">
                  <c:v>0.6</c:v>
                </c:pt>
              </c:numCache>
            </c:numRef>
          </c:val>
          <c:extLst>
            <c:ext xmlns:c16="http://schemas.microsoft.com/office/drawing/2014/chart" uri="{C3380CC4-5D6E-409C-BE32-E72D297353CC}">
              <c16:uniqueId val="{00000007-5A1B-4CE7-A61B-565D52477AF0}"/>
            </c:ext>
          </c:extLst>
        </c:ser>
        <c:ser>
          <c:idx val="4"/>
          <c:order val="4"/>
          <c:tx>
            <c:strRef>
              <c:f>'BTE Split'!$G$79</c:f>
              <c:strCache>
                <c:ptCount val="1"/>
                <c:pt idx="0">
                  <c:v>Barriers in services sectors </c:v>
                </c:pt>
              </c:strCache>
            </c:strRef>
          </c:tx>
          <c:spPr>
            <a:solidFill>
              <a:schemeClr val="accent5"/>
            </a:solidFill>
            <a:ln>
              <a:noFill/>
            </a:ln>
            <a:effectLst/>
          </c:spPr>
          <c:invertIfNegative val="0"/>
          <c:dLbls>
            <c:dLbl>
              <c:idx val="1"/>
              <c:tx>
                <c:strRef>
                  <c:f>'BTE Split'!$G$84</c:f>
                  <c:strCache>
                    <c:ptCount val="1"/>
                    <c:pt idx="0">
                      <c:v>37%</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{9DDC8BD3-6D65-407B-B3F6-8A72BA3D0AA9}</c15:txfldGUID>
                      <c15:f>'BTE Split'!$G$84</c15:f>
                      <c15:dlblFieldTableCache>
                        <c:ptCount val="1"/>
                        <c:pt idx="0">
                          <c:v>37%</c:v>
                        </c:pt>
                      </c15:dlblFieldTableCache>
                    </c15:dlblFTEntry>
                  </c15:dlblFieldTable>
                  <c15:showDataLabelsRange val="0"/>
                </c:ext>
                <c:ext xmlns:c16="http://schemas.microsoft.com/office/drawing/2014/chart" uri="{C3380CC4-5D6E-409C-BE32-E72D297353CC}">
                  <c16:uniqueId val="{00000008-5A1B-4CE7-A61B-565D52477A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Split'!$A$80:$B$82</c:f>
              <c:strCache>
                <c:ptCount val="3"/>
                <c:pt idx="0">
                  <c:v>Complexity of regulatory procedures</c:v>
                </c:pt>
                <c:pt idx="1">
                  <c:v>Administrative burdens on startups</c:v>
                </c:pt>
                <c:pt idx="2">
                  <c:v>Regulatory protection of incumbents</c:v>
                </c:pt>
              </c:strCache>
            </c:strRef>
          </c:cat>
          <c:val>
            <c:numRef>
              <c:f>'BTE Split'!$G$80:$G$82</c:f>
              <c:numCache>
                <c:formatCode>General</c:formatCode>
                <c:ptCount val="3"/>
                <c:pt idx="1">
                  <c:v>0.82191366666666599</c:v>
                </c:pt>
              </c:numCache>
            </c:numRef>
          </c:val>
          <c:extLst>
            <c:ext xmlns:c16="http://schemas.microsoft.com/office/drawing/2014/chart" uri="{C3380CC4-5D6E-409C-BE32-E72D297353CC}">
              <c16:uniqueId val="{00000009-5A1B-4CE7-A61B-565D52477AF0}"/>
            </c:ext>
          </c:extLst>
        </c:ser>
        <c:ser>
          <c:idx val="5"/>
          <c:order val="5"/>
          <c:tx>
            <c:strRef>
              <c:f>'BTE Split'!$H$79</c:f>
              <c:strCache>
                <c:ptCount val="1"/>
                <c:pt idx="0">
                  <c:v>Legal barriers </c:v>
                </c:pt>
              </c:strCache>
            </c:strRef>
          </c:tx>
          <c:spPr>
            <a:solidFill>
              <a:schemeClr val="accent6"/>
            </a:solidFill>
            <a:ln>
              <a:noFill/>
            </a:ln>
            <a:effectLst/>
          </c:spPr>
          <c:invertIfNegative val="0"/>
          <c:dLbls>
            <c:dLbl>
              <c:idx val="2"/>
              <c:tx>
                <c:strRef>
                  <c:f>'BTE Split'!$H$85</c:f>
                  <c:strCache>
                    <c:ptCount val="1"/>
                    <c:pt idx="0">
                      <c:v>16%</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{7530956E-96EF-414B-9AD0-3BF8458CFA9E}</c15:txfldGUID>
                      <c15:f>'BTE Split'!$H$85</c15:f>
                      <c15:dlblFieldTableCache>
                        <c:ptCount val="1"/>
                        <c:pt idx="0">
                          <c:v>16%</c:v>
                        </c:pt>
                      </c15:dlblFieldTableCache>
                    </c15:dlblFTEntry>
                  </c15:dlblFieldTable>
                  <c15:showDataLabelsRange val="0"/>
                </c:ext>
                <c:ext xmlns:c16="http://schemas.microsoft.com/office/drawing/2014/chart" uri="{C3380CC4-5D6E-409C-BE32-E72D297353CC}">
                  <c16:uniqueId val="{0000000A-5A1B-4CE7-A61B-565D52477A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Split'!$A$80:$B$82</c:f>
              <c:strCache>
                <c:ptCount val="3"/>
                <c:pt idx="0">
                  <c:v>Complexity of regulatory procedures</c:v>
                </c:pt>
                <c:pt idx="1">
                  <c:v>Administrative burdens on startups</c:v>
                </c:pt>
                <c:pt idx="2">
                  <c:v>Regulatory protection of incumbents</c:v>
                </c:pt>
              </c:strCache>
            </c:strRef>
          </c:cat>
          <c:val>
            <c:numRef>
              <c:f>'BTE Split'!$H$80:$H$82</c:f>
              <c:numCache>
                <c:formatCode>General</c:formatCode>
                <c:ptCount val="3"/>
                <c:pt idx="2">
                  <c:v>0.27586206666666702</c:v>
                </c:pt>
              </c:numCache>
            </c:numRef>
          </c:val>
          <c:extLst>
            <c:ext xmlns:c16="http://schemas.microsoft.com/office/drawing/2014/chart" uri="{C3380CC4-5D6E-409C-BE32-E72D297353CC}">
              <c16:uniqueId val="{0000000B-5A1B-4CE7-A61B-565D52477AF0}"/>
            </c:ext>
          </c:extLst>
        </c:ser>
        <c:ser>
          <c:idx val="6"/>
          <c:order val="6"/>
          <c:tx>
            <c:strRef>
              <c:f>'BTE Split'!$I$79</c:f>
              <c:strCache>
                <c:ptCount val="1"/>
                <c:pt idx="0">
                  <c:v>Antitrust exemptions </c:v>
                </c:pt>
              </c:strCache>
            </c:strRef>
          </c:tx>
          <c:spPr>
            <a:solidFill>
              <a:schemeClr val="accent1">
                <a:lumMod val="60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B925-D740-9F0E-8F23126B57C1}"/>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Split'!$A$80:$B$82</c:f>
              <c:strCache>
                <c:ptCount val="3"/>
                <c:pt idx="0">
                  <c:v>Complexity of regulatory procedures</c:v>
                </c:pt>
                <c:pt idx="1">
                  <c:v>Administrative burdens on startups</c:v>
                </c:pt>
                <c:pt idx="2">
                  <c:v>Regulatory protection of incumbents</c:v>
                </c:pt>
              </c:strCache>
            </c:strRef>
          </c:cat>
          <c:val>
            <c:numRef>
              <c:f>'BTE Split'!$I$80:$I$82</c:f>
              <c:numCache>
                <c:formatCode>General</c:formatCode>
                <c:ptCount val="3"/>
                <c:pt idx="2">
                  <c:v>0</c:v>
                </c:pt>
              </c:numCache>
            </c:numRef>
          </c:val>
          <c:extLst>
            <c:ext xmlns:c16="http://schemas.microsoft.com/office/drawing/2014/chart" uri="{C3380CC4-5D6E-409C-BE32-E72D297353CC}">
              <c16:uniqueId val="{0000000C-5A1B-4CE7-A61B-565D52477AF0}"/>
            </c:ext>
          </c:extLst>
        </c:ser>
        <c:ser>
          <c:idx val="7"/>
          <c:order val="7"/>
          <c:tx>
            <c:strRef>
              <c:f>'BTE Split'!$J$79</c:f>
              <c:strCache>
                <c:ptCount val="1"/>
                <c:pt idx="0">
                  <c:v>Barriers in network sectors</c:v>
                </c:pt>
              </c:strCache>
            </c:strRef>
          </c:tx>
          <c:spPr>
            <a:solidFill>
              <a:schemeClr val="accent2">
                <a:lumMod val="60000"/>
              </a:schemeClr>
            </a:solidFill>
            <a:ln>
              <a:noFill/>
            </a:ln>
            <a:effectLst/>
          </c:spPr>
          <c:invertIfNegative val="0"/>
          <c:dLbls>
            <c:dLbl>
              <c:idx val="2"/>
              <c:tx>
                <c:strRef>
                  <c:f>'BTE Split'!$J$85</c:f>
                  <c:strCache>
                    <c:ptCount val="1"/>
                    <c:pt idx="0">
                      <c:v>84%</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{FC72BF6C-447B-40EF-922B-A8F3DD705BC7}</c15:txfldGUID>
                      <c15:f>'BTE Split'!$J$85</c15:f>
                      <c15:dlblFieldTableCache>
                        <c:ptCount val="1"/>
                        <c:pt idx="0">
                          <c:v>84%</c:v>
                        </c:pt>
                      </c15:dlblFieldTableCache>
                    </c15:dlblFTEntry>
                  </c15:dlblFieldTable>
                  <c15:showDataLabelsRange val="0"/>
                </c:ext>
                <c:ext xmlns:c16="http://schemas.microsoft.com/office/drawing/2014/chart" uri="{C3380CC4-5D6E-409C-BE32-E72D297353CC}">
                  <c16:uniqueId val="{0000000D-5A1B-4CE7-A61B-565D52477A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 Split'!$A$80:$B$82</c:f>
              <c:strCache>
                <c:ptCount val="3"/>
                <c:pt idx="0">
                  <c:v>Complexity of regulatory procedures</c:v>
                </c:pt>
                <c:pt idx="1">
                  <c:v>Administrative burdens on startups</c:v>
                </c:pt>
                <c:pt idx="2">
                  <c:v>Regulatory protection of incumbents</c:v>
                </c:pt>
              </c:strCache>
            </c:strRef>
          </c:cat>
          <c:val>
            <c:numRef>
              <c:f>'BTE Split'!$J$80:$J$82</c:f>
              <c:numCache>
                <c:formatCode>General</c:formatCode>
                <c:ptCount val="3"/>
                <c:pt idx="2">
                  <c:v>1.4047618333333329</c:v>
                </c:pt>
              </c:numCache>
            </c:numRef>
          </c:val>
          <c:extLst>
            <c:ext xmlns:c16="http://schemas.microsoft.com/office/drawing/2014/chart" uri="{C3380CC4-5D6E-409C-BE32-E72D297353CC}">
              <c16:uniqueId val="{0000000E-5A1B-4CE7-A61B-565D52477AF0}"/>
            </c:ext>
          </c:extLst>
        </c:ser>
        <c:dLbls>
          <c:dLblPos val="ctr"/>
          <c:showLegendKey val="0"/>
          <c:showVal val="1"/>
          <c:showCatName val="0"/>
          <c:showSerName val="0"/>
          <c:showPercent val="0"/>
          <c:showBubbleSize val="0"/>
        </c:dLbls>
        <c:gapWidth val="150"/>
        <c:overlap val="100"/>
        <c:axId val="987098864"/>
        <c:axId val="1062321600"/>
      </c:barChart>
      <c:catAx>
        <c:axId val="98709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62321600"/>
        <c:crosses val="autoZero"/>
        <c:auto val="1"/>
        <c:lblAlgn val="ctr"/>
        <c:lblOffset val="100"/>
        <c:noMultiLvlLbl val="0"/>
      </c:catAx>
      <c:valAx>
        <c:axId val="106232160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098864"/>
        <c:crosses val="autoZero"/>
        <c:crossBetween val="between"/>
      </c:valAx>
      <c:spPr>
        <a:noFill/>
        <a:ln>
          <a:noFill/>
        </a:ln>
        <a:effectLst/>
      </c:spPr>
    </c:plotArea>
    <c:legend>
      <c:legendPos val="r"/>
      <c:layout>
        <c:manualLayout>
          <c:xMode val="edge"/>
          <c:yMode val="edge"/>
          <c:x val="0.63823064770932103"/>
          <c:y val="4.2639982502187196E-3"/>
          <c:w val="0.34281200631911501"/>
          <c:h val="0.995736001749781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'+Complexity'!$C$2</c:f>
              <c:strCache>
                <c:ptCount val="1"/>
                <c:pt idx="0">
                  <c:v>Latest</c:v>
                </c:pt>
              </c:strCache>
            </c:strRef>
          </c:tx>
          <c:spPr>
            <a:solidFill>
              <a:schemeClr val="dk1">
                <a:tint val="8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FAC0-6144-ABE2-01721D12687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3-FAC0-6144-ABE2-01721D126877}"/>
              </c:ext>
            </c:extLst>
          </c:dPt>
          <c:dPt>
            <c:idx val="17"/>
            <c:invertIfNegative val="0"/>
            <c:bubble3D val="0"/>
            <c:spPr>
              <a:solidFill>
                <a:schemeClr val="dk1">
                  <a:tint val="88500"/>
                </a:schemeClr>
              </a:solidFill>
              <a:ln>
                <a:noFill/>
              </a:ln>
              <a:effectLst/>
            </c:spPr>
            <c:extLst>
              <c:ext xmlns:c16="http://schemas.microsoft.com/office/drawing/2014/chart" uri="{C3380CC4-5D6E-409C-BE32-E72D297353CC}">
                <c16:uniqueId val="{00000005-FAC0-6144-ABE2-01721D126877}"/>
              </c:ext>
            </c:extLst>
          </c:dPt>
          <c:dPt>
            <c:idx val="18"/>
            <c:invertIfNegative val="0"/>
            <c:bubble3D val="0"/>
            <c:spPr>
              <a:solidFill>
                <a:schemeClr val="dk1">
                  <a:tint val="88500"/>
                </a:schemeClr>
              </a:solidFill>
              <a:ln>
                <a:noFill/>
              </a:ln>
              <a:effectLst/>
            </c:spPr>
            <c:extLst>
              <c:ext xmlns:c16="http://schemas.microsoft.com/office/drawing/2014/chart" uri="{C3380CC4-5D6E-409C-BE32-E72D297353CC}">
                <c16:uniqueId val="{00000007-FAC0-6144-ABE2-01721D126877}"/>
              </c:ext>
            </c:extLst>
          </c:dPt>
          <c:dPt>
            <c:idx val="19"/>
            <c:invertIfNegative val="0"/>
            <c:bubble3D val="0"/>
            <c:spPr>
              <a:solidFill>
                <a:schemeClr val="accent1"/>
              </a:solidFill>
              <a:ln>
                <a:noFill/>
              </a:ln>
              <a:effectLst/>
            </c:spPr>
            <c:extLst>
              <c:ext xmlns:c16="http://schemas.microsoft.com/office/drawing/2014/chart" uri="{C3380CC4-5D6E-409C-BE32-E72D297353CC}">
                <c16:uniqueId val="{00000009-FAC0-6144-ABE2-01721D126877}"/>
              </c:ext>
            </c:extLst>
          </c:dPt>
          <c:dLbls>
            <c:dLbl>
              <c:idx val="19"/>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FAC0-6144-ABE2-01721D1268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'+Complexity'!$A$3:$A$69</c:f>
              <c:strCache>
                <c:ptCount val="26"/>
                <c:pt idx="0">
                  <c:v>Top 5 Average</c:v>
                </c:pt>
                <c:pt idx="1">
                  <c:v>Ukraine</c:v>
                </c:pt>
                <c:pt idx="2">
                  <c:v>Mexico</c:v>
                </c:pt>
                <c:pt idx="3">
                  <c:v>OECD Average</c:v>
                </c:pt>
                <c:pt idx="4">
                  <c:v>Philippines</c:v>
                </c:pt>
                <c:pt idx="5">
                  <c:v>Colombia</c:v>
                </c:pt>
                <c:pt idx="6">
                  <c:v>Panama</c:v>
                </c:pt>
                <c:pt idx="7">
                  <c:v>Peru</c:v>
                </c:pt>
                <c:pt idx="8">
                  <c:v>South Africa</c:v>
                </c:pt>
                <c:pt idx="9">
                  <c:v>Costa Rica</c:v>
                </c:pt>
                <c:pt idx="10">
                  <c:v>Turkey</c:v>
                </c:pt>
                <c:pt idx="11">
                  <c:v>China</c:v>
                </c:pt>
                <c:pt idx="12">
                  <c:v>Kenya</c:v>
                </c:pt>
                <c:pt idx="13">
                  <c:v>El Salvador</c:v>
                </c:pt>
                <c:pt idx="14">
                  <c:v>Chile</c:v>
                </c:pt>
                <c:pt idx="15">
                  <c:v>Brazil</c:v>
                </c:pt>
                <c:pt idx="16">
                  <c:v>Dominican Republic</c:v>
                </c:pt>
                <c:pt idx="17">
                  <c:v>Jamaica</c:v>
                </c:pt>
                <c:pt idx="18">
                  <c:v>Argentina</c:v>
                </c:pt>
                <c:pt idx="19">
                  <c:v>Senegal</c:v>
                </c:pt>
                <c:pt idx="20">
                  <c:v>Nicaragua</c:v>
                </c:pt>
                <c:pt idx="21">
                  <c:v>Egypt</c:v>
                </c:pt>
                <c:pt idx="22">
                  <c:v>Honduras</c:v>
                </c:pt>
                <c:pt idx="23">
                  <c:v>India</c:v>
                </c:pt>
                <c:pt idx="24">
                  <c:v>Tunisia</c:v>
                </c:pt>
                <c:pt idx="25">
                  <c:v>Bolivia</c:v>
                </c:pt>
              </c:strCache>
            </c:strRef>
          </c:cat>
          <c:val>
            <c:numRef>
              <c:f>'+Complexity'!$C$3:$C$69</c:f>
              <c:numCache>
                <c:formatCode>0.00</c:formatCode>
                <c:ptCount val="26"/>
                <c:pt idx="0">
                  <c:v>0.31</c:v>
                </c:pt>
                <c:pt idx="1">
                  <c:v>0.51692700000000003</c:v>
                </c:pt>
                <c:pt idx="2">
                  <c:v>1.4092789999999999</c:v>
                </c:pt>
                <c:pt idx="3">
                  <c:v>1.85</c:v>
                </c:pt>
                <c:pt idx="4">
                  <c:v>1.9819374999999999</c:v>
                </c:pt>
                <c:pt idx="5">
                  <c:v>2.3199999999999981</c:v>
                </c:pt>
                <c:pt idx="6">
                  <c:v>2.4023439999999998</c:v>
                </c:pt>
                <c:pt idx="7">
                  <c:v>2.75</c:v>
                </c:pt>
                <c:pt idx="8">
                  <c:v>2.7649300000000001</c:v>
                </c:pt>
                <c:pt idx="9">
                  <c:v>2.9</c:v>
                </c:pt>
                <c:pt idx="10">
                  <c:v>3.4868830000000002</c:v>
                </c:pt>
                <c:pt idx="11">
                  <c:v>3.6458330000000001</c:v>
                </c:pt>
                <c:pt idx="12">
                  <c:v>3.71</c:v>
                </c:pt>
                <c:pt idx="13">
                  <c:v>3.71</c:v>
                </c:pt>
                <c:pt idx="14">
                  <c:v>3.75</c:v>
                </c:pt>
                <c:pt idx="15">
                  <c:v>3.7864939999999998</c:v>
                </c:pt>
                <c:pt idx="16">
                  <c:v>3.89</c:v>
                </c:pt>
                <c:pt idx="17">
                  <c:v>4</c:v>
                </c:pt>
                <c:pt idx="18">
                  <c:v>4.0599999999999996</c:v>
                </c:pt>
                <c:pt idx="19">
                  <c:v>4.2916090000000002</c:v>
                </c:pt>
                <c:pt idx="20">
                  <c:v>4.34</c:v>
                </c:pt>
                <c:pt idx="21">
                  <c:v>4.3499999999999996</c:v>
                </c:pt>
                <c:pt idx="22">
                  <c:v>4.45</c:v>
                </c:pt>
                <c:pt idx="23">
                  <c:v>4.6472230000000003</c:v>
                </c:pt>
                <c:pt idx="24" formatCode="General">
                  <c:v>4.7051504999999976</c:v>
                </c:pt>
                <c:pt idx="25">
                  <c:v>5.1379630000000001</c:v>
                </c:pt>
              </c:numCache>
            </c:numRef>
          </c:val>
          <c:extLst>
            <c:ext xmlns:c16="http://schemas.microsoft.com/office/drawing/2014/chart" uri="{C3380CC4-5D6E-409C-BE32-E72D297353CC}">
              <c16:uniqueId val="{0000000A-FAC0-6144-ABE2-01721D126877}"/>
            </c:ext>
          </c:extLst>
        </c:ser>
        <c:dLbls>
          <c:showLegendKey val="0"/>
          <c:showVal val="0"/>
          <c:showCatName val="0"/>
          <c:showSerName val="0"/>
          <c:showPercent val="0"/>
          <c:showBubbleSize val="0"/>
        </c:dLbls>
        <c:gapWidth val="219"/>
        <c:overlap val="-27"/>
        <c:axId val="1060603200"/>
        <c:axId val="1060605520"/>
      </c:barChart>
      <c:catAx>
        <c:axId val="106060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605520"/>
        <c:crosses val="autoZero"/>
        <c:auto val="1"/>
        <c:lblAlgn val="ctr"/>
        <c:lblOffset val="100"/>
        <c:noMultiLvlLbl val="0"/>
      </c:catAx>
      <c:valAx>
        <c:axId val="106060552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603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'+Prot. Incumbents'!$C$2</c:f>
              <c:strCache>
                <c:ptCount val="1"/>
                <c:pt idx="0">
                  <c:v>Latest</c:v>
                </c:pt>
              </c:strCache>
            </c:strRef>
          </c:tx>
          <c:spPr>
            <a:solidFill>
              <a:schemeClr val="dk1">
                <a:tint val="8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71E5-8946-887A-5239E380F03D}"/>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3-71E5-8946-887A-5239E380F03D}"/>
              </c:ext>
            </c:extLst>
          </c:dPt>
          <c:dPt>
            <c:idx val="8"/>
            <c:invertIfNegative val="0"/>
            <c:bubble3D val="0"/>
            <c:spPr>
              <a:solidFill>
                <a:schemeClr val="dk1">
                  <a:tint val="88500"/>
                </a:schemeClr>
              </a:solidFill>
              <a:ln>
                <a:noFill/>
              </a:ln>
              <a:effectLst/>
            </c:spPr>
            <c:extLst>
              <c:ext xmlns:c16="http://schemas.microsoft.com/office/drawing/2014/chart" uri="{C3380CC4-5D6E-409C-BE32-E72D297353CC}">
                <c16:uniqueId val="{00000005-71E5-8946-887A-5239E380F03D}"/>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07-71E5-8946-887A-5239E380F03D}"/>
              </c:ext>
            </c:extLst>
          </c:dPt>
          <c:dLbls>
            <c:dLbl>
              <c:idx val="1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71E5-8946-887A-5239E380F03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'+Prot. Incumbents'!$A$3:$A$69</c:f>
              <c:strCache>
                <c:ptCount val="26"/>
                <c:pt idx="0">
                  <c:v>Top 5 Average</c:v>
                </c:pt>
                <c:pt idx="1">
                  <c:v>Colombia</c:v>
                </c:pt>
                <c:pt idx="2">
                  <c:v>Chile</c:v>
                </c:pt>
                <c:pt idx="3">
                  <c:v>Peru</c:v>
                </c:pt>
                <c:pt idx="4">
                  <c:v>OECD Average</c:v>
                </c:pt>
                <c:pt idx="5">
                  <c:v>Ukraine</c:v>
                </c:pt>
                <c:pt idx="6">
                  <c:v>Kenya</c:v>
                </c:pt>
                <c:pt idx="7">
                  <c:v>Dominican Republic</c:v>
                </c:pt>
                <c:pt idx="8">
                  <c:v>China</c:v>
                </c:pt>
                <c:pt idx="9">
                  <c:v>Argentina</c:v>
                </c:pt>
                <c:pt idx="10">
                  <c:v>Senegal</c:v>
                </c:pt>
                <c:pt idx="11">
                  <c:v>Panama</c:v>
                </c:pt>
                <c:pt idx="12">
                  <c:v>Turkey</c:v>
                </c:pt>
                <c:pt idx="13">
                  <c:v>Brazil</c:v>
                </c:pt>
                <c:pt idx="14">
                  <c:v>El Salvador</c:v>
                </c:pt>
                <c:pt idx="15">
                  <c:v>Nicaragua</c:v>
                </c:pt>
                <c:pt idx="16">
                  <c:v>Jamaica</c:v>
                </c:pt>
                <c:pt idx="17">
                  <c:v>India</c:v>
                </c:pt>
                <c:pt idx="18">
                  <c:v>South Africa</c:v>
                </c:pt>
                <c:pt idx="19">
                  <c:v>Bolivia</c:v>
                </c:pt>
                <c:pt idx="20">
                  <c:v>Honduras</c:v>
                </c:pt>
                <c:pt idx="21">
                  <c:v>Costa Rica</c:v>
                </c:pt>
                <c:pt idx="22">
                  <c:v>Mexico</c:v>
                </c:pt>
                <c:pt idx="23">
                  <c:v>Philippines</c:v>
                </c:pt>
                <c:pt idx="24">
                  <c:v>Egypt</c:v>
                </c:pt>
                <c:pt idx="25">
                  <c:v>Tunisia</c:v>
                </c:pt>
              </c:strCache>
            </c:strRef>
          </c:cat>
          <c:val>
            <c:numRef>
              <c:f>'+Prot. Incumbents'!$C$3:$C$69</c:f>
              <c:numCache>
                <c:formatCode>0.00</c:formatCode>
                <c:ptCount val="26"/>
                <c:pt idx="0">
                  <c:v>0.82</c:v>
                </c:pt>
                <c:pt idx="1">
                  <c:v>1.17</c:v>
                </c:pt>
                <c:pt idx="2">
                  <c:v>1.1933279999999999</c:v>
                </c:pt>
                <c:pt idx="3">
                  <c:v>1.27</c:v>
                </c:pt>
                <c:pt idx="4">
                  <c:v>1.35</c:v>
                </c:pt>
                <c:pt idx="5">
                  <c:v>1.418055666666667</c:v>
                </c:pt>
                <c:pt idx="6">
                  <c:v>1.56</c:v>
                </c:pt>
                <c:pt idx="7">
                  <c:v>1.6</c:v>
                </c:pt>
                <c:pt idx="8">
                  <c:v>1.62602</c:v>
                </c:pt>
                <c:pt idx="9">
                  <c:v>1.63</c:v>
                </c:pt>
                <c:pt idx="10">
                  <c:v>1.6806239000000001</c:v>
                </c:pt>
                <c:pt idx="11">
                  <c:v>1.689183066666667</c:v>
                </c:pt>
                <c:pt idx="12">
                  <c:v>1.7710939999999999</c:v>
                </c:pt>
                <c:pt idx="13">
                  <c:v>1.8355900000000001</c:v>
                </c:pt>
                <c:pt idx="14">
                  <c:v>1.86</c:v>
                </c:pt>
                <c:pt idx="15">
                  <c:v>1.86</c:v>
                </c:pt>
                <c:pt idx="16">
                  <c:v>1.98</c:v>
                </c:pt>
                <c:pt idx="17">
                  <c:v>2.0994969999999991</c:v>
                </c:pt>
                <c:pt idx="18">
                  <c:v>2.1520290000000002</c:v>
                </c:pt>
                <c:pt idx="19">
                  <c:v>2.1655172333333339</c:v>
                </c:pt>
                <c:pt idx="20">
                  <c:v>2.2599999999999998</c:v>
                </c:pt>
                <c:pt idx="21">
                  <c:v>2.67</c:v>
                </c:pt>
                <c:pt idx="22">
                  <c:v>2.7169270000000001</c:v>
                </c:pt>
                <c:pt idx="23">
                  <c:v>3.0465278333333332</c:v>
                </c:pt>
                <c:pt idx="24">
                  <c:v>3.14</c:v>
                </c:pt>
                <c:pt idx="25" formatCode="General">
                  <c:v>4.2942256666666667</c:v>
                </c:pt>
              </c:numCache>
            </c:numRef>
          </c:val>
          <c:extLst>
            <c:ext xmlns:c16="http://schemas.microsoft.com/office/drawing/2014/chart" uri="{C3380CC4-5D6E-409C-BE32-E72D297353CC}">
              <c16:uniqueId val="{00000008-71E5-8946-887A-5239E380F03D}"/>
            </c:ext>
          </c:extLst>
        </c:ser>
        <c:dLbls>
          <c:showLegendKey val="0"/>
          <c:showVal val="0"/>
          <c:showCatName val="0"/>
          <c:showSerName val="0"/>
          <c:showPercent val="0"/>
          <c:showBubbleSize val="0"/>
        </c:dLbls>
        <c:gapWidth val="219"/>
        <c:overlap val="-27"/>
        <c:axId val="1062764304"/>
        <c:axId val="1062766624"/>
      </c:barChart>
      <c:catAx>
        <c:axId val="106276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766624"/>
        <c:crosses val="autoZero"/>
        <c:auto val="1"/>
        <c:lblAlgn val="ctr"/>
        <c:lblOffset val="100"/>
        <c:noMultiLvlLbl val="0"/>
      </c:catAx>
      <c:valAx>
        <c:axId val="1062766624"/>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764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'+Professional services'!$H$8:$K$8</c:f>
              <c:strCache>
                <c:ptCount val="1"/>
                <c:pt idx="0">
                  <c:v>Accounting</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279C-DE4A-946B-8F59727399B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03-279C-DE4A-946B-8F59727399B2}"/>
              </c:ext>
            </c:extLst>
          </c:dPt>
          <c:cat>
            <c:strRef>
              <c:f>'+Professional services'!$B$12:$B$80</c:f>
              <c:strCache>
                <c:ptCount val="24"/>
                <c:pt idx="0">
                  <c:v>Top 5 Average</c:v>
                </c:pt>
                <c:pt idx="1">
                  <c:v>Ukraine</c:v>
                </c:pt>
                <c:pt idx="2">
                  <c:v>Nicaragua</c:v>
                </c:pt>
                <c:pt idx="3">
                  <c:v>El Salvador</c:v>
                </c:pt>
                <c:pt idx="4">
                  <c:v>Mexico</c:v>
                </c:pt>
                <c:pt idx="5">
                  <c:v>Chile</c:v>
                </c:pt>
                <c:pt idx="6">
                  <c:v>Peru</c:v>
                </c:pt>
                <c:pt idx="7">
                  <c:v>Colombia</c:v>
                </c:pt>
                <c:pt idx="8">
                  <c:v>Dominican Republic</c:v>
                </c:pt>
                <c:pt idx="9">
                  <c:v>OECD Average</c:v>
                </c:pt>
                <c:pt idx="10">
                  <c:v>Jamaica</c:v>
                </c:pt>
                <c:pt idx="11">
                  <c:v>Panama</c:v>
                </c:pt>
                <c:pt idx="12">
                  <c:v>Argentina</c:v>
                </c:pt>
                <c:pt idx="13">
                  <c:v>Costa Rica</c:v>
                </c:pt>
                <c:pt idx="14">
                  <c:v>Bolivia</c:v>
                </c:pt>
                <c:pt idx="15">
                  <c:v>Honduras</c:v>
                </c:pt>
                <c:pt idx="16">
                  <c:v>Egypt</c:v>
                </c:pt>
                <c:pt idx="17">
                  <c:v>South Africa</c:v>
                </c:pt>
                <c:pt idx="18">
                  <c:v>Kenya</c:v>
                </c:pt>
                <c:pt idx="19">
                  <c:v>Brazil</c:v>
                </c:pt>
                <c:pt idx="20">
                  <c:v>Turkey</c:v>
                </c:pt>
                <c:pt idx="21">
                  <c:v>Senegal</c:v>
                </c:pt>
                <c:pt idx="22">
                  <c:v>Philippines</c:v>
                </c:pt>
                <c:pt idx="23">
                  <c:v>Tunisia</c:v>
                </c:pt>
              </c:strCache>
            </c:strRef>
          </c:cat>
          <c:val>
            <c:numRef>
              <c:f>'+Professional services'!$L$12:$L$80</c:f>
              <c:numCache>
                <c:formatCode>0.00</c:formatCode>
                <c:ptCount val="24"/>
                <c:pt idx="0">
                  <c:v>0.185</c:v>
                </c:pt>
                <c:pt idx="1">
                  <c:v>0</c:v>
                </c:pt>
                <c:pt idx="2">
                  <c:v>0.44270825000000003</c:v>
                </c:pt>
                <c:pt idx="3">
                  <c:v>0.22395832500000001</c:v>
                </c:pt>
                <c:pt idx="4">
                  <c:v>0.33333325000000003</c:v>
                </c:pt>
                <c:pt idx="5">
                  <c:v>0.42708325000000003</c:v>
                </c:pt>
                <c:pt idx="6">
                  <c:v>0.42708325000000003</c:v>
                </c:pt>
                <c:pt idx="7">
                  <c:v>0.45833325000000003</c:v>
                </c:pt>
                <c:pt idx="8">
                  <c:v>0.41666674999999997</c:v>
                </c:pt>
                <c:pt idx="9">
                  <c:v>0.5</c:v>
                </c:pt>
                <c:pt idx="10">
                  <c:v>0.59375</c:v>
                </c:pt>
                <c:pt idx="11">
                  <c:v>0.43229174999999997</c:v>
                </c:pt>
                <c:pt idx="12">
                  <c:v>0.55208325000000003</c:v>
                </c:pt>
                <c:pt idx="13">
                  <c:v>0.72916674999999997</c:v>
                </c:pt>
                <c:pt idx="14">
                  <c:v>0.85416674999999997</c:v>
                </c:pt>
                <c:pt idx="15">
                  <c:v>0.61458325000000003</c:v>
                </c:pt>
                <c:pt idx="16">
                  <c:v>0.65104174999999997</c:v>
                </c:pt>
                <c:pt idx="17">
                  <c:v>0.76041674999999997</c:v>
                </c:pt>
                <c:pt idx="18">
                  <c:v>0.65625</c:v>
                </c:pt>
                <c:pt idx="19">
                  <c:v>1.0572917500000001</c:v>
                </c:pt>
                <c:pt idx="20">
                  <c:v>1.2135417500000001</c:v>
                </c:pt>
                <c:pt idx="21">
                  <c:v>1.1875</c:v>
                </c:pt>
                <c:pt idx="22">
                  <c:v>1.1536457499999999</c:v>
                </c:pt>
                <c:pt idx="23">
                  <c:v>1.1625000000000001</c:v>
                </c:pt>
              </c:numCache>
            </c:numRef>
          </c:val>
          <c:extLst>
            <c:ext xmlns:c16="http://schemas.microsoft.com/office/drawing/2014/chart" uri="{C3380CC4-5D6E-409C-BE32-E72D297353CC}">
              <c16:uniqueId val="{00000004-279C-DE4A-946B-8F59727399B2}"/>
            </c:ext>
          </c:extLst>
        </c:ser>
        <c:ser>
          <c:idx val="1"/>
          <c:order val="1"/>
          <c:tx>
            <c:strRef>
              <c:f>'+Professional services'!$M$8:$P$8</c:f>
              <c:strCache>
                <c:ptCount val="1"/>
                <c:pt idx="0">
                  <c:v>Legal</c:v>
                </c:pt>
              </c:strCache>
            </c:strRef>
          </c:tx>
          <c:spPr>
            <a:solidFill>
              <a:schemeClr val="accent2"/>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6-279C-DE4A-946B-8F59727399B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08-279C-DE4A-946B-8F59727399B2}"/>
              </c:ext>
            </c:extLst>
          </c:dPt>
          <c:cat>
            <c:strRef>
              <c:f>'+Professional services'!$B$12:$B$80</c:f>
              <c:strCache>
                <c:ptCount val="24"/>
                <c:pt idx="0">
                  <c:v>Top 5 Average</c:v>
                </c:pt>
                <c:pt idx="1">
                  <c:v>Ukraine</c:v>
                </c:pt>
                <c:pt idx="2">
                  <c:v>Nicaragua</c:v>
                </c:pt>
                <c:pt idx="3">
                  <c:v>El Salvador</c:v>
                </c:pt>
                <c:pt idx="4">
                  <c:v>Mexico</c:v>
                </c:pt>
                <c:pt idx="5">
                  <c:v>Chile</c:v>
                </c:pt>
                <c:pt idx="6">
                  <c:v>Peru</c:v>
                </c:pt>
                <c:pt idx="7">
                  <c:v>Colombia</c:v>
                </c:pt>
                <c:pt idx="8">
                  <c:v>Dominican Republic</c:v>
                </c:pt>
                <c:pt idx="9">
                  <c:v>OECD Average</c:v>
                </c:pt>
                <c:pt idx="10">
                  <c:v>Jamaica</c:v>
                </c:pt>
                <c:pt idx="11">
                  <c:v>Panama</c:v>
                </c:pt>
                <c:pt idx="12">
                  <c:v>Argentina</c:v>
                </c:pt>
                <c:pt idx="13">
                  <c:v>Costa Rica</c:v>
                </c:pt>
                <c:pt idx="14">
                  <c:v>Bolivia</c:v>
                </c:pt>
                <c:pt idx="15">
                  <c:v>Honduras</c:v>
                </c:pt>
                <c:pt idx="16">
                  <c:v>Egypt</c:v>
                </c:pt>
                <c:pt idx="17">
                  <c:v>South Africa</c:v>
                </c:pt>
                <c:pt idx="18">
                  <c:v>Kenya</c:v>
                </c:pt>
                <c:pt idx="19">
                  <c:v>Brazil</c:v>
                </c:pt>
                <c:pt idx="20">
                  <c:v>Turkey</c:v>
                </c:pt>
                <c:pt idx="21">
                  <c:v>Senegal</c:v>
                </c:pt>
                <c:pt idx="22">
                  <c:v>Philippines</c:v>
                </c:pt>
                <c:pt idx="23">
                  <c:v>Tunisia</c:v>
                </c:pt>
              </c:strCache>
            </c:strRef>
          </c:cat>
          <c:val>
            <c:numRef>
              <c:f>'+Professional services'!$Q$12:$Q$80</c:f>
              <c:numCache>
                <c:formatCode>0.00</c:formatCode>
                <c:ptCount val="24"/>
                <c:pt idx="0">
                  <c:v>0.185</c:v>
                </c:pt>
                <c:pt idx="1">
                  <c:v>0.69750000000000001</c:v>
                </c:pt>
                <c:pt idx="2">
                  <c:v>0.23958332500000001</c:v>
                </c:pt>
                <c:pt idx="3">
                  <c:v>0.40625</c:v>
                </c:pt>
                <c:pt idx="4">
                  <c:v>0.42708325000000003</c:v>
                </c:pt>
                <c:pt idx="5">
                  <c:v>0.33854174999999997</c:v>
                </c:pt>
                <c:pt idx="6">
                  <c:v>0.48958325000000003</c:v>
                </c:pt>
                <c:pt idx="7">
                  <c:v>0.45833325000000003</c:v>
                </c:pt>
                <c:pt idx="8">
                  <c:v>0.57291674999999997</c:v>
                </c:pt>
                <c:pt idx="9">
                  <c:v>0.5</c:v>
                </c:pt>
                <c:pt idx="10">
                  <c:v>0.50520825000000003</c:v>
                </c:pt>
                <c:pt idx="11">
                  <c:v>0.61979174999999997</c:v>
                </c:pt>
                <c:pt idx="12">
                  <c:v>0.67708325000000003</c:v>
                </c:pt>
                <c:pt idx="13">
                  <c:v>0.70833325000000003</c:v>
                </c:pt>
                <c:pt idx="14">
                  <c:v>0.71875</c:v>
                </c:pt>
                <c:pt idx="15">
                  <c:v>0.76041674999999997</c:v>
                </c:pt>
                <c:pt idx="16">
                  <c:v>0.84375</c:v>
                </c:pt>
                <c:pt idx="17">
                  <c:v>1</c:v>
                </c:pt>
                <c:pt idx="18">
                  <c:v>1.1354167500000001</c:v>
                </c:pt>
                <c:pt idx="19">
                  <c:v>0.98958325000000003</c:v>
                </c:pt>
                <c:pt idx="20">
                  <c:v>1.3645832499999999</c:v>
                </c:pt>
                <c:pt idx="21">
                  <c:v>1.1770832499999999</c:v>
                </c:pt>
                <c:pt idx="22">
                  <c:v>1.0651042500000001</c:v>
                </c:pt>
                <c:pt idx="23">
                  <c:v>1.2450000000000001</c:v>
                </c:pt>
              </c:numCache>
            </c:numRef>
          </c:val>
          <c:extLst>
            <c:ext xmlns:c16="http://schemas.microsoft.com/office/drawing/2014/chart" uri="{C3380CC4-5D6E-409C-BE32-E72D297353CC}">
              <c16:uniqueId val="{00000009-279C-DE4A-946B-8F59727399B2}"/>
            </c:ext>
          </c:extLst>
        </c:ser>
        <c:ser>
          <c:idx val="2"/>
          <c:order val="2"/>
          <c:tx>
            <c:strRef>
              <c:f>'+Professional services'!$R$8:$U$8</c:f>
              <c:strCache>
                <c:ptCount val="1"/>
                <c:pt idx="0">
                  <c:v>Architect</c:v>
                </c:pt>
              </c:strCache>
            </c:strRef>
          </c:tx>
          <c:spPr>
            <a:solidFill>
              <a:schemeClr val="accent3"/>
            </a:solidFill>
            <a:ln>
              <a:noFill/>
            </a:ln>
            <a:effectLst/>
          </c:spPr>
          <c:invertIfNegative val="0"/>
          <c:dPt>
            <c:idx val="9"/>
            <c:invertIfNegative val="0"/>
            <c:bubble3D val="0"/>
            <c:spPr>
              <a:solidFill>
                <a:schemeClr val="accent6"/>
              </a:solidFill>
              <a:ln>
                <a:noFill/>
              </a:ln>
              <a:effectLst/>
            </c:spPr>
            <c:extLst>
              <c:ext xmlns:c16="http://schemas.microsoft.com/office/drawing/2014/chart" uri="{C3380CC4-5D6E-409C-BE32-E72D297353CC}">
                <c16:uniqueId val="{0000000B-279C-DE4A-946B-8F59727399B2}"/>
              </c:ext>
            </c:extLst>
          </c:dPt>
          <c:cat>
            <c:strRef>
              <c:f>'+Professional services'!$B$12:$B$80</c:f>
              <c:strCache>
                <c:ptCount val="24"/>
                <c:pt idx="0">
                  <c:v>Top 5 Average</c:v>
                </c:pt>
                <c:pt idx="1">
                  <c:v>Ukraine</c:v>
                </c:pt>
                <c:pt idx="2">
                  <c:v>Nicaragua</c:v>
                </c:pt>
                <c:pt idx="3">
                  <c:v>El Salvador</c:v>
                </c:pt>
                <c:pt idx="4">
                  <c:v>Mexico</c:v>
                </c:pt>
                <c:pt idx="5">
                  <c:v>Chile</c:v>
                </c:pt>
                <c:pt idx="6">
                  <c:v>Peru</c:v>
                </c:pt>
                <c:pt idx="7">
                  <c:v>Colombia</c:v>
                </c:pt>
                <c:pt idx="8">
                  <c:v>Dominican Republic</c:v>
                </c:pt>
                <c:pt idx="9">
                  <c:v>OECD Average</c:v>
                </c:pt>
                <c:pt idx="10">
                  <c:v>Jamaica</c:v>
                </c:pt>
                <c:pt idx="11">
                  <c:v>Panama</c:v>
                </c:pt>
                <c:pt idx="12">
                  <c:v>Argentina</c:v>
                </c:pt>
                <c:pt idx="13">
                  <c:v>Costa Rica</c:v>
                </c:pt>
                <c:pt idx="14">
                  <c:v>Bolivia</c:v>
                </c:pt>
                <c:pt idx="15">
                  <c:v>Honduras</c:v>
                </c:pt>
                <c:pt idx="16">
                  <c:v>Egypt</c:v>
                </c:pt>
                <c:pt idx="17">
                  <c:v>South Africa</c:v>
                </c:pt>
                <c:pt idx="18">
                  <c:v>Kenya</c:v>
                </c:pt>
                <c:pt idx="19">
                  <c:v>Brazil</c:v>
                </c:pt>
                <c:pt idx="20">
                  <c:v>Turkey</c:v>
                </c:pt>
                <c:pt idx="21">
                  <c:v>Senegal</c:v>
                </c:pt>
                <c:pt idx="22">
                  <c:v>Philippines</c:v>
                </c:pt>
                <c:pt idx="23">
                  <c:v>Tunisia</c:v>
                </c:pt>
              </c:strCache>
            </c:strRef>
          </c:cat>
          <c:val>
            <c:numRef>
              <c:f>'+Professional services'!$V$12:$V$80</c:f>
              <c:numCache>
                <c:formatCode>0.00</c:formatCode>
                <c:ptCount val="24"/>
                <c:pt idx="0">
                  <c:v>0.185</c:v>
                </c:pt>
                <c:pt idx="1">
                  <c:v>0.20749999999999999</c:v>
                </c:pt>
                <c:pt idx="2">
                  <c:v>0.19270832500000001</c:v>
                </c:pt>
                <c:pt idx="3">
                  <c:v>0.24479167499999999</c:v>
                </c:pt>
                <c:pt idx="4">
                  <c:v>0.30208325000000003</c:v>
                </c:pt>
                <c:pt idx="5">
                  <c:v>0.27083325000000003</c:v>
                </c:pt>
                <c:pt idx="6">
                  <c:v>0.42708325000000003</c:v>
                </c:pt>
                <c:pt idx="7">
                  <c:v>0.45833325000000003</c:v>
                </c:pt>
                <c:pt idx="8">
                  <c:v>0.4375</c:v>
                </c:pt>
                <c:pt idx="9">
                  <c:v>0.5</c:v>
                </c:pt>
                <c:pt idx="10">
                  <c:v>0.54166674999999997</c:v>
                </c:pt>
                <c:pt idx="11">
                  <c:v>0.50520825000000003</c:v>
                </c:pt>
                <c:pt idx="12">
                  <c:v>0.48958325000000003</c:v>
                </c:pt>
                <c:pt idx="13">
                  <c:v>0.68229174999999997</c:v>
                </c:pt>
                <c:pt idx="14">
                  <c:v>0.61458325000000003</c:v>
                </c:pt>
                <c:pt idx="15">
                  <c:v>0.77083325000000003</c:v>
                </c:pt>
                <c:pt idx="16">
                  <c:v>0.71354174999999997</c:v>
                </c:pt>
                <c:pt idx="17">
                  <c:v>0.72916674999999997</c:v>
                </c:pt>
                <c:pt idx="18">
                  <c:v>0.57291674999999997</c:v>
                </c:pt>
                <c:pt idx="19">
                  <c:v>0.61458325000000003</c:v>
                </c:pt>
                <c:pt idx="20">
                  <c:v>0.57291674999999997</c:v>
                </c:pt>
                <c:pt idx="21">
                  <c:v>0.859375</c:v>
                </c:pt>
                <c:pt idx="22">
                  <c:v>1.0885417500000001</c:v>
                </c:pt>
                <c:pt idx="23">
                  <c:v>1.2749999999999999</c:v>
                </c:pt>
              </c:numCache>
            </c:numRef>
          </c:val>
          <c:extLst>
            <c:ext xmlns:c16="http://schemas.microsoft.com/office/drawing/2014/chart" uri="{C3380CC4-5D6E-409C-BE32-E72D297353CC}">
              <c16:uniqueId val="{0000000C-279C-DE4A-946B-8F59727399B2}"/>
            </c:ext>
          </c:extLst>
        </c:ser>
        <c:ser>
          <c:idx val="3"/>
          <c:order val="3"/>
          <c:tx>
            <c:strRef>
              <c:f>'+Professional services'!$W$8:$AA$8</c:f>
              <c:strCache>
                <c:ptCount val="1"/>
                <c:pt idx="0">
                  <c:v>Engineer</c:v>
                </c:pt>
              </c:strCache>
            </c:strRef>
          </c:tx>
          <c:spPr>
            <a:solidFill>
              <a:schemeClr val="accent4"/>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E-279C-DE4A-946B-8F59727399B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0-279C-DE4A-946B-8F59727399B2}"/>
              </c:ext>
            </c:extLst>
          </c:dPt>
          <c:cat>
            <c:strRef>
              <c:f>'+Professional services'!$B$12:$B$80</c:f>
              <c:strCache>
                <c:ptCount val="24"/>
                <c:pt idx="0">
                  <c:v>Top 5 Average</c:v>
                </c:pt>
                <c:pt idx="1">
                  <c:v>Ukraine</c:v>
                </c:pt>
                <c:pt idx="2">
                  <c:v>Nicaragua</c:v>
                </c:pt>
                <c:pt idx="3">
                  <c:v>El Salvador</c:v>
                </c:pt>
                <c:pt idx="4">
                  <c:v>Mexico</c:v>
                </c:pt>
                <c:pt idx="5">
                  <c:v>Chile</c:v>
                </c:pt>
                <c:pt idx="6">
                  <c:v>Peru</c:v>
                </c:pt>
                <c:pt idx="7">
                  <c:v>Colombia</c:v>
                </c:pt>
                <c:pt idx="8">
                  <c:v>Dominican Republic</c:v>
                </c:pt>
                <c:pt idx="9">
                  <c:v>OECD Average</c:v>
                </c:pt>
                <c:pt idx="10">
                  <c:v>Jamaica</c:v>
                </c:pt>
                <c:pt idx="11">
                  <c:v>Panama</c:v>
                </c:pt>
                <c:pt idx="12">
                  <c:v>Argentina</c:v>
                </c:pt>
                <c:pt idx="13">
                  <c:v>Costa Rica</c:v>
                </c:pt>
                <c:pt idx="14">
                  <c:v>Bolivia</c:v>
                </c:pt>
                <c:pt idx="15">
                  <c:v>Honduras</c:v>
                </c:pt>
                <c:pt idx="16">
                  <c:v>Egypt</c:v>
                </c:pt>
                <c:pt idx="17">
                  <c:v>South Africa</c:v>
                </c:pt>
                <c:pt idx="18">
                  <c:v>Kenya</c:v>
                </c:pt>
                <c:pt idx="19">
                  <c:v>Brazil</c:v>
                </c:pt>
                <c:pt idx="20">
                  <c:v>Turkey</c:v>
                </c:pt>
                <c:pt idx="21">
                  <c:v>Senegal</c:v>
                </c:pt>
                <c:pt idx="22">
                  <c:v>Philippines</c:v>
                </c:pt>
                <c:pt idx="23">
                  <c:v>Tunisia</c:v>
                </c:pt>
              </c:strCache>
            </c:strRef>
          </c:cat>
          <c:val>
            <c:numRef>
              <c:f>'+Professional services'!$Z$12:$Z$80</c:f>
              <c:numCache>
                <c:formatCode>0.00</c:formatCode>
                <c:ptCount val="24"/>
                <c:pt idx="0">
                  <c:v>0.185</c:v>
                </c:pt>
                <c:pt idx="1">
                  <c:v>0</c:v>
                </c:pt>
                <c:pt idx="2">
                  <c:v>0.23958332500000001</c:v>
                </c:pt>
                <c:pt idx="3">
                  <c:v>0.24479167499999999</c:v>
                </c:pt>
                <c:pt idx="4">
                  <c:v>0.23958332500000001</c:v>
                </c:pt>
                <c:pt idx="5">
                  <c:v>0.28125</c:v>
                </c:pt>
                <c:pt idx="6">
                  <c:v>0.42708325000000003</c:v>
                </c:pt>
                <c:pt idx="7">
                  <c:v>0.45833325000000003</c:v>
                </c:pt>
                <c:pt idx="8">
                  <c:v>0.42708325000000003</c:v>
                </c:pt>
                <c:pt idx="9">
                  <c:v>0.5</c:v>
                </c:pt>
                <c:pt idx="10">
                  <c:v>0.54166674999999997</c:v>
                </c:pt>
                <c:pt idx="11">
                  <c:v>0.63020825000000003</c:v>
                </c:pt>
                <c:pt idx="12">
                  <c:v>0.5</c:v>
                </c:pt>
                <c:pt idx="13">
                  <c:v>0.68229174999999997</c:v>
                </c:pt>
                <c:pt idx="14">
                  <c:v>0.67708325000000003</c:v>
                </c:pt>
                <c:pt idx="15">
                  <c:v>0.77083325000000003</c:v>
                </c:pt>
                <c:pt idx="16">
                  <c:v>0.72395825000000003</c:v>
                </c:pt>
                <c:pt idx="17">
                  <c:v>0.47916674999999997</c:v>
                </c:pt>
                <c:pt idx="18">
                  <c:v>0.63020825000000003</c:v>
                </c:pt>
                <c:pt idx="19">
                  <c:v>0.61458325000000003</c:v>
                </c:pt>
                <c:pt idx="20">
                  <c:v>0.57291674999999997</c:v>
                </c:pt>
                <c:pt idx="21">
                  <c:v>0.65625</c:v>
                </c:pt>
                <c:pt idx="22">
                  <c:v>1.0260417500000001</c:v>
                </c:pt>
                <c:pt idx="23">
                  <c:v>0.85499999999999998</c:v>
                </c:pt>
              </c:numCache>
            </c:numRef>
          </c:val>
          <c:extLst>
            <c:ext xmlns:c16="http://schemas.microsoft.com/office/drawing/2014/chart" uri="{C3380CC4-5D6E-409C-BE32-E72D297353CC}">
              <c16:uniqueId val="{00000011-279C-DE4A-946B-8F59727399B2}"/>
            </c:ext>
          </c:extLst>
        </c:ser>
        <c:dLbls>
          <c:showLegendKey val="0"/>
          <c:showVal val="0"/>
          <c:showCatName val="0"/>
          <c:showSerName val="0"/>
          <c:showPercent val="0"/>
          <c:showBubbleSize val="0"/>
        </c:dLbls>
        <c:gapWidth val="150"/>
        <c:overlap val="100"/>
        <c:axId val="1060524192"/>
        <c:axId val="1060526064"/>
      </c:barChart>
      <c:catAx>
        <c:axId val="10605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526064"/>
        <c:crosses val="autoZero"/>
        <c:auto val="1"/>
        <c:lblAlgn val="ctr"/>
        <c:lblOffset val="100"/>
        <c:noMultiLvlLbl val="0"/>
      </c:catAx>
      <c:valAx>
        <c:axId val="1060526064"/>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52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9"/>
          <c:order val="0"/>
          <c:tx>
            <c:strRef>
              <c:f>'+Retail trade'!$L$8</c:f>
              <c:strCache>
                <c:ptCount val="1"/>
                <c:pt idx="0">
                  <c:v>Licences or permits needed</c:v>
                </c:pt>
              </c:strCache>
            </c:strRef>
          </c:tx>
          <c:spPr>
            <a:solidFill>
              <a:schemeClr val="accent4">
                <a:lumMod val="6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A8CA-FC40-A952-E3E25529074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03-A8CA-FC40-A952-E3E25529074F}"/>
              </c:ext>
            </c:extLst>
          </c:dPt>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trade'!$L$9:$L$80</c:f>
              <c:numCache>
                <c:formatCode>0.00</c:formatCode>
                <c:ptCount val="23"/>
                <c:pt idx="0" formatCode="General">
                  <c:v>6.3333333333333297E-2</c:v>
                </c:pt>
                <c:pt idx="1">
                  <c:v>0.6</c:v>
                </c:pt>
                <c:pt idx="2">
                  <c:v>0.75</c:v>
                </c:pt>
                <c:pt idx="3">
                  <c:v>0.4</c:v>
                </c:pt>
                <c:pt idx="4">
                  <c:v>1</c:v>
                </c:pt>
                <c:pt idx="5">
                  <c:v>0.8</c:v>
                </c:pt>
                <c:pt idx="6">
                  <c:v>0.4</c:v>
                </c:pt>
                <c:pt idx="7">
                  <c:v>1</c:v>
                </c:pt>
                <c:pt idx="8">
                  <c:v>0.4</c:v>
                </c:pt>
                <c:pt idx="9">
                  <c:v>0.5</c:v>
                </c:pt>
                <c:pt idx="10">
                  <c:v>0.4</c:v>
                </c:pt>
                <c:pt idx="11">
                  <c:v>0.95</c:v>
                </c:pt>
                <c:pt idx="12" formatCode="General">
                  <c:v>0.32833333333333298</c:v>
                </c:pt>
                <c:pt idx="13">
                  <c:v>1.99</c:v>
                </c:pt>
                <c:pt idx="14">
                  <c:v>1</c:v>
                </c:pt>
                <c:pt idx="15">
                  <c:v>0.8</c:v>
                </c:pt>
                <c:pt idx="16">
                  <c:v>0.4</c:v>
                </c:pt>
                <c:pt idx="17">
                  <c:v>2.31</c:v>
                </c:pt>
                <c:pt idx="18">
                  <c:v>2.38</c:v>
                </c:pt>
                <c:pt idx="19">
                  <c:v>0.8</c:v>
                </c:pt>
                <c:pt idx="20">
                  <c:v>2.4900000000000002</c:v>
                </c:pt>
                <c:pt idx="21">
                  <c:v>0.7</c:v>
                </c:pt>
                <c:pt idx="22">
                  <c:v>0.9</c:v>
                </c:pt>
              </c:numCache>
            </c:numRef>
          </c:val>
          <c:extLst>
            <c:ext xmlns:c16="http://schemas.microsoft.com/office/drawing/2014/chart" uri="{C3380CC4-5D6E-409C-BE32-E72D297353CC}">
              <c16:uniqueId val="{00000004-A8CA-FC40-A952-E3E25529074F}"/>
            </c:ext>
          </c:extLst>
        </c:ser>
        <c:ser>
          <c:idx val="10"/>
          <c:order val="1"/>
          <c:tx>
            <c:strRef>
              <c:f>'+Retail trade'!$M$7</c:f>
              <c:strCache>
                <c:ptCount val="1"/>
                <c:pt idx="0">
                  <c:v>Specific regulation of large outlet</c:v>
                </c:pt>
              </c:strCache>
            </c:strRef>
          </c:tx>
          <c:spPr>
            <a:solidFill>
              <a:schemeClr val="accent5">
                <a:lumMod val="6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trade'!$M$9:$M$78</c:f>
            </c:numRef>
          </c:val>
          <c:extLst>
            <c:ext xmlns:c16="http://schemas.microsoft.com/office/drawing/2014/chart" uri="{C3380CC4-5D6E-409C-BE32-E72D297353CC}">
              <c16:uniqueId val="{00000005-A8CA-FC40-A952-E3E25529074F}"/>
            </c:ext>
          </c:extLst>
        </c:ser>
        <c:ser>
          <c:idx val="11"/>
          <c:order val="2"/>
          <c:tx>
            <c:strRef>
              <c:f>'+Retail trade'!$N$7</c:f>
              <c:strCache>
                <c:ptCount val="1"/>
              </c:strCache>
            </c:strRef>
          </c:tx>
          <c:spPr>
            <a:solidFill>
              <a:schemeClr val="accent6">
                <a:lumMod val="6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trade'!$N$9:$N$78</c:f>
            </c:numRef>
          </c:val>
          <c:extLst>
            <c:ext xmlns:c16="http://schemas.microsoft.com/office/drawing/2014/chart" uri="{C3380CC4-5D6E-409C-BE32-E72D297353CC}">
              <c16:uniqueId val="{00000006-A8CA-FC40-A952-E3E25529074F}"/>
            </c:ext>
          </c:extLst>
        </c:ser>
        <c:ser>
          <c:idx val="12"/>
          <c:order val="3"/>
          <c:tx>
            <c:strRef>
              <c:f>'+Retail trade'!$O$7</c:f>
              <c:strCache>
                <c:ptCount val="1"/>
              </c:strCache>
            </c:strRef>
          </c:tx>
          <c:spPr>
            <a:solidFill>
              <a:schemeClr val="accent1">
                <a:lumMod val="80000"/>
                <a:lumOff val="2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trade'!$O$9:$O$78</c:f>
            </c:numRef>
          </c:val>
          <c:extLst>
            <c:ext xmlns:c16="http://schemas.microsoft.com/office/drawing/2014/chart" uri="{C3380CC4-5D6E-409C-BE32-E72D297353CC}">
              <c16:uniqueId val="{00000007-A8CA-FC40-A952-E3E25529074F}"/>
            </c:ext>
          </c:extLst>
        </c:ser>
        <c:ser>
          <c:idx val="13"/>
          <c:order val="4"/>
          <c:tx>
            <c:strRef>
              <c:f>'+Retail trade'!$P$7</c:f>
              <c:strCache>
                <c:ptCount val="1"/>
              </c:strCache>
            </c:strRef>
          </c:tx>
          <c:spPr>
            <a:solidFill>
              <a:schemeClr val="accent2">
                <a:lumMod val="80000"/>
                <a:lumOff val="2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trade'!$P$9:$P$78</c:f>
            </c:numRef>
          </c:val>
          <c:extLst>
            <c:ext xmlns:c16="http://schemas.microsoft.com/office/drawing/2014/chart" uri="{C3380CC4-5D6E-409C-BE32-E72D297353CC}">
              <c16:uniqueId val="{00000008-A8CA-FC40-A952-E3E25529074F}"/>
            </c:ext>
          </c:extLst>
        </c:ser>
        <c:ser>
          <c:idx val="14"/>
          <c:order val="5"/>
          <c:tx>
            <c:strRef>
              <c:f>'+Retail trade'!$Q$8</c:f>
              <c:strCache>
                <c:ptCount val="1"/>
                <c:pt idx="0">
                  <c:v>Specific regulation of large outlet</c:v>
                </c:pt>
              </c:strCache>
            </c:strRef>
          </c:tx>
          <c:spPr>
            <a:solidFill>
              <a:schemeClr val="accent3">
                <a:lumMod val="80000"/>
                <a:lumOff val="2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A-A8CA-FC40-A952-E3E25529074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0C-A8CA-FC40-A952-E3E25529074F}"/>
              </c:ext>
            </c:extLst>
          </c:dPt>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trade'!$Q$9:$Q$80</c:f>
              <c:numCache>
                <c:formatCode>0.00</c:formatCode>
                <c:ptCount val="23"/>
                <c:pt idx="0" formatCode="General">
                  <c:v>6.3333333333333297E-2</c:v>
                </c:pt>
                <c:pt idx="1">
                  <c:v>0</c:v>
                </c:pt>
                <c:pt idx="2">
                  <c:v>0</c:v>
                </c:pt>
                <c:pt idx="3">
                  <c:v>0</c:v>
                </c:pt>
                <c:pt idx="4">
                  <c:v>0</c:v>
                </c:pt>
                <c:pt idx="5">
                  <c:v>0</c:v>
                </c:pt>
                <c:pt idx="6">
                  <c:v>0</c:v>
                </c:pt>
                <c:pt idx="7">
                  <c:v>0</c:v>
                </c:pt>
                <c:pt idx="8">
                  <c:v>0</c:v>
                </c:pt>
                <c:pt idx="9">
                  <c:v>0.33333333333333298</c:v>
                </c:pt>
                <c:pt idx="10">
                  <c:v>0.83333333333333304</c:v>
                </c:pt>
                <c:pt idx="11">
                  <c:v>0</c:v>
                </c:pt>
                <c:pt idx="12" formatCode="General">
                  <c:v>0.32833333333333298</c:v>
                </c:pt>
                <c:pt idx="13">
                  <c:v>0</c:v>
                </c:pt>
                <c:pt idx="14">
                  <c:v>0</c:v>
                </c:pt>
                <c:pt idx="15">
                  <c:v>0.66666666666666696</c:v>
                </c:pt>
                <c:pt idx="16">
                  <c:v>0</c:v>
                </c:pt>
                <c:pt idx="17">
                  <c:v>0</c:v>
                </c:pt>
                <c:pt idx="18">
                  <c:v>0</c:v>
                </c:pt>
                <c:pt idx="19">
                  <c:v>0</c:v>
                </c:pt>
                <c:pt idx="20">
                  <c:v>0</c:v>
                </c:pt>
                <c:pt idx="21">
                  <c:v>0</c:v>
                </c:pt>
                <c:pt idx="22">
                  <c:v>0.83333333333333304</c:v>
                </c:pt>
              </c:numCache>
            </c:numRef>
          </c:val>
          <c:extLst>
            <c:ext xmlns:c16="http://schemas.microsoft.com/office/drawing/2014/chart" uri="{C3380CC4-5D6E-409C-BE32-E72D297353CC}">
              <c16:uniqueId val="{0000000D-A8CA-FC40-A952-E3E25529074F}"/>
            </c:ext>
          </c:extLst>
        </c:ser>
        <c:ser>
          <c:idx val="15"/>
          <c:order val="6"/>
          <c:tx>
            <c:strRef>
              <c:f>'+Retail trade'!$R$7</c:f>
              <c:strCache>
                <c:ptCount val="1"/>
                <c:pt idx="0">
                  <c:v>Protection of existing firms</c:v>
                </c:pt>
              </c:strCache>
            </c:strRef>
          </c:tx>
          <c:spPr>
            <a:solidFill>
              <a:schemeClr val="accent4">
                <a:lumMod val="80000"/>
                <a:lumOff val="2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trade'!$R$9:$R$78</c:f>
            </c:numRef>
          </c:val>
          <c:extLst>
            <c:ext xmlns:c16="http://schemas.microsoft.com/office/drawing/2014/chart" uri="{C3380CC4-5D6E-409C-BE32-E72D297353CC}">
              <c16:uniqueId val="{0000000E-A8CA-FC40-A952-E3E25529074F}"/>
            </c:ext>
          </c:extLst>
        </c:ser>
        <c:ser>
          <c:idx val="16"/>
          <c:order val="7"/>
          <c:tx>
            <c:strRef>
              <c:f>'+Retail trade'!$S$7</c:f>
              <c:strCache>
                <c:ptCount val="1"/>
              </c:strCache>
            </c:strRef>
          </c:tx>
          <c:spPr>
            <a:solidFill>
              <a:schemeClr val="accent5">
                <a:lumMod val="80000"/>
                <a:lumOff val="2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trade'!$S$9:$S$78</c:f>
            </c:numRef>
          </c:val>
          <c:extLst>
            <c:ext xmlns:c16="http://schemas.microsoft.com/office/drawing/2014/chart" uri="{C3380CC4-5D6E-409C-BE32-E72D297353CC}">
              <c16:uniqueId val="{0000000F-A8CA-FC40-A952-E3E25529074F}"/>
            </c:ext>
          </c:extLst>
        </c:ser>
        <c:ser>
          <c:idx val="17"/>
          <c:order val="8"/>
          <c:tx>
            <c:strRef>
              <c:f>'+Retail trade'!$T$7</c:f>
              <c:strCache>
                <c:ptCount val="1"/>
              </c:strCache>
            </c:strRef>
          </c:tx>
          <c:spPr>
            <a:solidFill>
              <a:schemeClr val="accent6">
                <a:lumMod val="80000"/>
                <a:lumOff val="2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trade'!$T$9:$T$78</c:f>
            </c:numRef>
          </c:val>
          <c:extLst>
            <c:ext xmlns:c16="http://schemas.microsoft.com/office/drawing/2014/chart" uri="{C3380CC4-5D6E-409C-BE32-E72D297353CC}">
              <c16:uniqueId val="{00000010-A8CA-FC40-A952-E3E25529074F}"/>
            </c:ext>
          </c:extLst>
        </c:ser>
        <c:ser>
          <c:idx val="18"/>
          <c:order val="9"/>
          <c:tx>
            <c:strRef>
              <c:f>'+Retail trade'!$U$7</c:f>
              <c:strCache>
                <c:ptCount val="1"/>
              </c:strCache>
            </c:strRef>
          </c:tx>
          <c:spPr>
            <a:solidFill>
              <a:schemeClr val="accent1">
                <a:lumMod val="8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trade'!$U$9:$U$78</c:f>
            </c:numRef>
          </c:val>
          <c:extLst>
            <c:ext xmlns:c16="http://schemas.microsoft.com/office/drawing/2014/chart" uri="{C3380CC4-5D6E-409C-BE32-E72D297353CC}">
              <c16:uniqueId val="{00000011-A8CA-FC40-A952-E3E25529074F}"/>
            </c:ext>
          </c:extLst>
        </c:ser>
        <c:ser>
          <c:idx val="19"/>
          <c:order val="10"/>
          <c:tx>
            <c:strRef>
              <c:f>'+Retail trade'!$V$8</c:f>
              <c:strCache>
                <c:ptCount val="1"/>
                <c:pt idx="0">
                  <c:v>Protection of existing firms</c:v>
                </c:pt>
              </c:strCache>
            </c:strRef>
          </c:tx>
          <c:spPr>
            <a:solidFill>
              <a:schemeClr val="accent2">
                <a:lumMod val="8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13-A8CA-FC40-A952-E3E25529074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5-A8CA-FC40-A952-E3E25529074F}"/>
              </c:ext>
            </c:extLst>
          </c:dPt>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trade'!$V$9:$V$80</c:f>
              <c:numCache>
                <c:formatCode>0.00</c:formatCode>
                <c:ptCount val="23"/>
                <c:pt idx="0" formatCode="General">
                  <c:v>6.3333333333333297E-2</c:v>
                </c:pt>
                <c:pt idx="1">
                  <c:v>0</c:v>
                </c:pt>
                <c:pt idx="2">
                  <c:v>0</c:v>
                </c:pt>
                <c:pt idx="3">
                  <c:v>0</c:v>
                </c:pt>
                <c:pt idx="4">
                  <c:v>0</c:v>
                </c:pt>
                <c:pt idx="5">
                  <c:v>0</c:v>
                </c:pt>
                <c:pt idx="6">
                  <c:v>0</c:v>
                </c:pt>
                <c:pt idx="7">
                  <c:v>0</c:v>
                </c:pt>
                <c:pt idx="8">
                  <c:v>0.5</c:v>
                </c:pt>
                <c:pt idx="9">
                  <c:v>0</c:v>
                </c:pt>
                <c:pt idx="10">
                  <c:v>0</c:v>
                </c:pt>
                <c:pt idx="11">
                  <c:v>0</c:v>
                </c:pt>
                <c:pt idx="12" formatCode="General">
                  <c:v>0.32833333333333298</c:v>
                </c:pt>
                <c:pt idx="13">
                  <c:v>0</c:v>
                </c:pt>
                <c:pt idx="14">
                  <c:v>0.5</c:v>
                </c:pt>
                <c:pt idx="15">
                  <c:v>0.5</c:v>
                </c:pt>
                <c:pt idx="16">
                  <c:v>0.5</c:v>
                </c:pt>
                <c:pt idx="17">
                  <c:v>0</c:v>
                </c:pt>
                <c:pt idx="18">
                  <c:v>0</c:v>
                </c:pt>
                <c:pt idx="19">
                  <c:v>0.5</c:v>
                </c:pt>
                <c:pt idx="20">
                  <c:v>0</c:v>
                </c:pt>
                <c:pt idx="21">
                  <c:v>1</c:v>
                </c:pt>
                <c:pt idx="22">
                  <c:v>1</c:v>
                </c:pt>
              </c:numCache>
            </c:numRef>
          </c:val>
          <c:extLst>
            <c:ext xmlns:c16="http://schemas.microsoft.com/office/drawing/2014/chart" uri="{C3380CC4-5D6E-409C-BE32-E72D297353CC}">
              <c16:uniqueId val="{00000016-A8CA-FC40-A952-E3E25529074F}"/>
            </c:ext>
          </c:extLst>
        </c:ser>
        <c:ser>
          <c:idx val="20"/>
          <c:order val="11"/>
          <c:tx>
            <c:strRef>
              <c:f>'+Retail trade'!$W$7</c:f>
              <c:strCache>
                <c:ptCount val="1"/>
                <c:pt idx="0">
                  <c:v>Regulation of shop opening hours</c:v>
                </c:pt>
              </c:strCache>
            </c:strRef>
          </c:tx>
          <c:spPr>
            <a:solidFill>
              <a:schemeClr val="accent3">
                <a:lumMod val="8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trade'!$W$9:$W$78</c:f>
            </c:numRef>
          </c:val>
          <c:extLst>
            <c:ext xmlns:c16="http://schemas.microsoft.com/office/drawing/2014/chart" uri="{C3380CC4-5D6E-409C-BE32-E72D297353CC}">
              <c16:uniqueId val="{00000017-A8CA-FC40-A952-E3E25529074F}"/>
            </c:ext>
          </c:extLst>
        </c:ser>
        <c:ser>
          <c:idx val="21"/>
          <c:order val="12"/>
          <c:tx>
            <c:strRef>
              <c:f>'+Retail trade'!$X$7</c:f>
              <c:strCache>
                <c:ptCount val="1"/>
              </c:strCache>
            </c:strRef>
          </c:tx>
          <c:spPr>
            <a:solidFill>
              <a:schemeClr val="accent4">
                <a:lumMod val="8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trade'!$X$9:$X$78</c:f>
            </c:numRef>
          </c:val>
          <c:extLst>
            <c:ext xmlns:c16="http://schemas.microsoft.com/office/drawing/2014/chart" uri="{C3380CC4-5D6E-409C-BE32-E72D297353CC}">
              <c16:uniqueId val="{00000018-A8CA-FC40-A952-E3E25529074F}"/>
            </c:ext>
          </c:extLst>
        </c:ser>
        <c:ser>
          <c:idx val="22"/>
          <c:order val="13"/>
          <c:tx>
            <c:strRef>
              <c:f>'+Retail trade'!$Y$7</c:f>
              <c:strCache>
                <c:ptCount val="1"/>
              </c:strCache>
            </c:strRef>
          </c:tx>
          <c:spPr>
            <a:solidFill>
              <a:schemeClr val="accent5">
                <a:lumMod val="8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trade'!$Y$9:$Y$78</c:f>
            </c:numRef>
          </c:val>
          <c:extLst>
            <c:ext xmlns:c16="http://schemas.microsoft.com/office/drawing/2014/chart" uri="{C3380CC4-5D6E-409C-BE32-E72D297353CC}">
              <c16:uniqueId val="{00000019-A8CA-FC40-A952-E3E25529074F}"/>
            </c:ext>
          </c:extLst>
        </c:ser>
        <c:ser>
          <c:idx val="23"/>
          <c:order val="14"/>
          <c:tx>
            <c:strRef>
              <c:f>'+Retail trade'!$Z$7</c:f>
              <c:strCache>
                <c:ptCount val="1"/>
              </c:strCache>
            </c:strRef>
          </c:tx>
          <c:spPr>
            <a:solidFill>
              <a:schemeClr val="accent6">
                <a:lumMod val="8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trade'!$Z$9:$Z$78</c:f>
            </c:numRef>
          </c:val>
          <c:extLst>
            <c:ext xmlns:c16="http://schemas.microsoft.com/office/drawing/2014/chart" uri="{C3380CC4-5D6E-409C-BE32-E72D297353CC}">
              <c16:uniqueId val="{0000001A-A8CA-FC40-A952-E3E25529074F}"/>
            </c:ext>
          </c:extLst>
        </c:ser>
        <c:ser>
          <c:idx val="24"/>
          <c:order val="15"/>
          <c:tx>
            <c:strRef>
              <c:f>'+Retail trade'!$AA$8</c:f>
              <c:strCache>
                <c:ptCount val="1"/>
                <c:pt idx="0">
                  <c:v>Regulation of shop opening hours</c:v>
                </c:pt>
              </c:strCache>
            </c:strRef>
          </c:tx>
          <c:spPr>
            <a:solidFill>
              <a:schemeClr val="accent1">
                <a:lumMod val="60000"/>
                <a:lumOff val="4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1C-A8CA-FC40-A952-E3E25529074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E-A8CA-FC40-A952-E3E25529074F}"/>
              </c:ext>
            </c:extLst>
          </c:dPt>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trade'!$AA$9:$AA$80</c:f>
              <c:numCache>
                <c:formatCode>0.00</c:formatCode>
                <c:ptCount val="23"/>
                <c:pt idx="0" formatCode="General">
                  <c:v>6.3333333333333297E-2</c:v>
                </c:pt>
                <c:pt idx="1">
                  <c:v>0</c:v>
                </c:pt>
                <c:pt idx="2">
                  <c:v>0</c:v>
                </c:pt>
                <c:pt idx="3">
                  <c:v>0</c:v>
                </c:pt>
                <c:pt idx="4">
                  <c:v>0</c:v>
                </c:pt>
                <c:pt idx="5">
                  <c:v>0</c:v>
                </c:pt>
                <c:pt idx="6">
                  <c:v>0</c:v>
                </c:pt>
                <c:pt idx="7">
                  <c:v>0</c:v>
                </c:pt>
                <c:pt idx="8">
                  <c:v>0</c:v>
                </c:pt>
                <c:pt idx="9">
                  <c:v>0</c:v>
                </c:pt>
                <c:pt idx="10">
                  <c:v>0.41666666666666702</c:v>
                </c:pt>
                <c:pt idx="11">
                  <c:v>0</c:v>
                </c:pt>
                <c:pt idx="12" formatCode="General">
                  <c:v>0.32833333333333298</c:v>
                </c:pt>
                <c:pt idx="13">
                  <c:v>0</c:v>
                </c:pt>
                <c:pt idx="14">
                  <c:v>0</c:v>
                </c:pt>
                <c:pt idx="15">
                  <c:v>0</c:v>
                </c:pt>
                <c:pt idx="16">
                  <c:v>0.64285716666666703</c:v>
                </c:pt>
                <c:pt idx="17">
                  <c:v>0</c:v>
                </c:pt>
                <c:pt idx="18">
                  <c:v>0</c:v>
                </c:pt>
                <c:pt idx="19">
                  <c:v>1</c:v>
                </c:pt>
                <c:pt idx="20">
                  <c:v>0</c:v>
                </c:pt>
                <c:pt idx="21">
                  <c:v>0</c:v>
                </c:pt>
                <c:pt idx="22">
                  <c:v>0.5</c:v>
                </c:pt>
              </c:numCache>
            </c:numRef>
          </c:val>
          <c:extLst>
            <c:ext xmlns:c16="http://schemas.microsoft.com/office/drawing/2014/chart" uri="{C3380CC4-5D6E-409C-BE32-E72D297353CC}">
              <c16:uniqueId val="{0000001F-A8CA-FC40-A952-E3E25529074F}"/>
            </c:ext>
          </c:extLst>
        </c:ser>
        <c:ser>
          <c:idx val="25"/>
          <c:order val="16"/>
          <c:tx>
            <c:strRef>
              <c:f>'+Retail trade'!$AB$7</c:f>
              <c:strCache>
                <c:ptCount val="1"/>
                <c:pt idx="0">
                  <c:v>Price controls</c:v>
                </c:pt>
              </c:strCache>
            </c:strRef>
          </c:tx>
          <c:spPr>
            <a:solidFill>
              <a:schemeClr val="accent2">
                <a:lumMod val="60000"/>
                <a:lumOff val="4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trade'!$AB$9:$AB$78</c:f>
            </c:numRef>
          </c:val>
          <c:extLst>
            <c:ext xmlns:c16="http://schemas.microsoft.com/office/drawing/2014/chart" uri="{C3380CC4-5D6E-409C-BE32-E72D297353CC}">
              <c16:uniqueId val="{00000020-A8CA-FC40-A952-E3E25529074F}"/>
            </c:ext>
          </c:extLst>
        </c:ser>
        <c:ser>
          <c:idx val="26"/>
          <c:order val="17"/>
          <c:tx>
            <c:strRef>
              <c:f>'+Retail trade'!$AC$7</c:f>
              <c:strCache>
                <c:ptCount val="1"/>
              </c:strCache>
            </c:strRef>
          </c:tx>
          <c:spPr>
            <a:solidFill>
              <a:schemeClr val="accent3">
                <a:lumMod val="60000"/>
                <a:lumOff val="4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trade'!$AC$9:$AC$78</c:f>
            </c:numRef>
          </c:val>
          <c:extLst>
            <c:ext xmlns:c16="http://schemas.microsoft.com/office/drawing/2014/chart" uri="{C3380CC4-5D6E-409C-BE32-E72D297353CC}">
              <c16:uniqueId val="{00000021-A8CA-FC40-A952-E3E25529074F}"/>
            </c:ext>
          </c:extLst>
        </c:ser>
        <c:ser>
          <c:idx val="27"/>
          <c:order val="18"/>
          <c:tx>
            <c:strRef>
              <c:f>'+Retail trade'!$AD$7</c:f>
              <c:strCache>
                <c:ptCount val="1"/>
              </c:strCache>
            </c:strRef>
          </c:tx>
          <c:spPr>
            <a:solidFill>
              <a:schemeClr val="accent4">
                <a:lumMod val="60000"/>
                <a:lumOff val="4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trade'!$AD$9:$AD$78</c:f>
            </c:numRef>
          </c:val>
          <c:extLst>
            <c:ext xmlns:c16="http://schemas.microsoft.com/office/drawing/2014/chart" uri="{C3380CC4-5D6E-409C-BE32-E72D297353CC}">
              <c16:uniqueId val="{00000022-A8CA-FC40-A952-E3E25529074F}"/>
            </c:ext>
          </c:extLst>
        </c:ser>
        <c:ser>
          <c:idx val="28"/>
          <c:order val="19"/>
          <c:tx>
            <c:strRef>
              <c:f>'+Retail trade'!$AE$7</c:f>
              <c:strCache>
                <c:ptCount val="1"/>
              </c:strCache>
            </c:strRef>
          </c:tx>
          <c:spPr>
            <a:solidFill>
              <a:schemeClr val="accent5">
                <a:lumMod val="60000"/>
                <a:lumOff val="4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trade'!$AE$9:$AE$78</c:f>
            </c:numRef>
          </c:val>
          <c:extLst>
            <c:ext xmlns:c16="http://schemas.microsoft.com/office/drawing/2014/chart" uri="{C3380CC4-5D6E-409C-BE32-E72D297353CC}">
              <c16:uniqueId val="{00000023-A8CA-FC40-A952-E3E25529074F}"/>
            </c:ext>
          </c:extLst>
        </c:ser>
        <c:ser>
          <c:idx val="29"/>
          <c:order val="20"/>
          <c:tx>
            <c:strRef>
              <c:f>'+Retail trade'!$AF$8</c:f>
              <c:strCache>
                <c:ptCount val="1"/>
                <c:pt idx="0">
                  <c:v>Price controls</c:v>
                </c:pt>
              </c:strCache>
            </c:strRef>
          </c:tx>
          <c:spPr>
            <a:solidFill>
              <a:schemeClr val="accent6">
                <a:lumMod val="60000"/>
                <a:lumOff val="4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25-A8CA-FC40-A952-E3E25529074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27-A8CA-FC40-A952-E3E25529074F}"/>
              </c:ext>
            </c:extLst>
          </c:dPt>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trade'!$AF$9:$AF$80</c:f>
              <c:numCache>
                <c:formatCode>0.00</c:formatCode>
                <c:ptCount val="23"/>
                <c:pt idx="0" formatCode="General">
                  <c:v>6.3333333333333297E-2</c:v>
                </c:pt>
                <c:pt idx="1">
                  <c:v>0.28571433333333301</c:v>
                </c:pt>
                <c:pt idx="2">
                  <c:v>0.14285714999999999</c:v>
                </c:pt>
                <c:pt idx="3">
                  <c:v>0.57142850000000001</c:v>
                </c:pt>
                <c:pt idx="4">
                  <c:v>0</c:v>
                </c:pt>
                <c:pt idx="5">
                  <c:v>0.42857149999999999</c:v>
                </c:pt>
                <c:pt idx="6">
                  <c:v>0.57142850000000001</c:v>
                </c:pt>
                <c:pt idx="7">
                  <c:v>0.42857149999999999</c:v>
                </c:pt>
                <c:pt idx="8">
                  <c:v>0.57142850000000001</c:v>
                </c:pt>
                <c:pt idx="9">
                  <c:v>0.57142850000000001</c:v>
                </c:pt>
                <c:pt idx="10">
                  <c:v>0.14285714999999999</c:v>
                </c:pt>
                <c:pt idx="11">
                  <c:v>0.57142850000000001</c:v>
                </c:pt>
                <c:pt idx="12" formatCode="General">
                  <c:v>0.32833333333333298</c:v>
                </c:pt>
                <c:pt idx="13">
                  <c:v>0</c:v>
                </c:pt>
                <c:pt idx="14">
                  <c:v>0.57142850000000001</c:v>
                </c:pt>
                <c:pt idx="15">
                  <c:v>0.14285714999999999</c:v>
                </c:pt>
                <c:pt idx="16">
                  <c:v>0.57142850000000001</c:v>
                </c:pt>
                <c:pt idx="17">
                  <c:v>0</c:v>
                </c:pt>
                <c:pt idx="18">
                  <c:v>0</c:v>
                </c:pt>
                <c:pt idx="19">
                  <c:v>0.14285714999999999</c:v>
                </c:pt>
                <c:pt idx="20">
                  <c:v>0</c:v>
                </c:pt>
                <c:pt idx="21">
                  <c:v>0.57142850000000001</c:v>
                </c:pt>
                <c:pt idx="22">
                  <c:v>0.71428566666666704</c:v>
                </c:pt>
              </c:numCache>
            </c:numRef>
          </c:val>
          <c:extLst>
            <c:ext xmlns:c16="http://schemas.microsoft.com/office/drawing/2014/chart" uri="{C3380CC4-5D6E-409C-BE32-E72D297353CC}">
              <c16:uniqueId val="{00000028-A8CA-FC40-A952-E3E25529074F}"/>
            </c:ext>
          </c:extLst>
        </c:ser>
        <c:ser>
          <c:idx val="30"/>
          <c:order val="21"/>
          <c:tx>
            <c:strRef>
              <c:f>'+Retail trade'!$AG$7</c:f>
              <c:strCache>
                <c:ptCount val="1"/>
                <c:pt idx="0">
                  <c:v>Promotions/discounts</c:v>
                </c:pt>
              </c:strCache>
            </c:strRef>
          </c:tx>
          <c:spPr>
            <a:solidFill>
              <a:schemeClr val="accent1">
                <a:lumMod val="5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trade'!$AG$9:$AG$78</c:f>
            </c:numRef>
          </c:val>
          <c:extLst>
            <c:ext xmlns:c16="http://schemas.microsoft.com/office/drawing/2014/chart" uri="{C3380CC4-5D6E-409C-BE32-E72D297353CC}">
              <c16:uniqueId val="{00000029-A8CA-FC40-A952-E3E25529074F}"/>
            </c:ext>
          </c:extLst>
        </c:ser>
        <c:ser>
          <c:idx val="31"/>
          <c:order val="22"/>
          <c:tx>
            <c:strRef>
              <c:f>'+Retail trade'!$AH$7</c:f>
              <c:strCache>
                <c:ptCount val="1"/>
              </c:strCache>
            </c:strRef>
          </c:tx>
          <c:spPr>
            <a:solidFill>
              <a:schemeClr val="accent2">
                <a:lumMod val="5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trade'!$AH$9:$AH$78</c:f>
            </c:numRef>
          </c:val>
          <c:extLst>
            <c:ext xmlns:c16="http://schemas.microsoft.com/office/drawing/2014/chart" uri="{C3380CC4-5D6E-409C-BE32-E72D297353CC}">
              <c16:uniqueId val="{0000002A-A8CA-FC40-A952-E3E25529074F}"/>
            </c:ext>
          </c:extLst>
        </c:ser>
        <c:ser>
          <c:idx val="32"/>
          <c:order val="23"/>
          <c:tx>
            <c:strRef>
              <c:f>'+Retail trade'!$AI$7</c:f>
              <c:strCache>
                <c:ptCount val="1"/>
              </c:strCache>
            </c:strRef>
          </c:tx>
          <c:spPr>
            <a:solidFill>
              <a:schemeClr val="accent3">
                <a:lumMod val="5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trade'!$AI$9:$AI$78</c:f>
            </c:numRef>
          </c:val>
          <c:extLst>
            <c:ext xmlns:c16="http://schemas.microsoft.com/office/drawing/2014/chart" uri="{C3380CC4-5D6E-409C-BE32-E72D297353CC}">
              <c16:uniqueId val="{0000002B-A8CA-FC40-A952-E3E25529074F}"/>
            </c:ext>
          </c:extLst>
        </c:ser>
        <c:ser>
          <c:idx val="33"/>
          <c:order val="24"/>
          <c:tx>
            <c:strRef>
              <c:f>'+Retail trade'!$AJ$7</c:f>
              <c:strCache>
                <c:ptCount val="1"/>
              </c:strCache>
            </c:strRef>
          </c:tx>
          <c:spPr>
            <a:solidFill>
              <a:schemeClr val="accent4">
                <a:lumMod val="50000"/>
              </a:schemeClr>
            </a:solidFill>
            <a:ln>
              <a:noFill/>
            </a:ln>
            <a:effectLst/>
          </c:spPr>
          <c:invertIfNegative val="0"/>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trade'!$AJ$9:$AJ$78</c:f>
            </c:numRef>
          </c:val>
          <c:extLst>
            <c:ext xmlns:c16="http://schemas.microsoft.com/office/drawing/2014/chart" uri="{C3380CC4-5D6E-409C-BE32-E72D297353CC}">
              <c16:uniqueId val="{0000002C-A8CA-FC40-A952-E3E25529074F}"/>
            </c:ext>
          </c:extLst>
        </c:ser>
        <c:ser>
          <c:idx val="34"/>
          <c:order val="25"/>
          <c:tx>
            <c:strRef>
              <c:f>'+Retail trade'!$AK$8</c:f>
              <c:strCache>
                <c:ptCount val="1"/>
                <c:pt idx="0">
                  <c:v>Promotions/discounts</c:v>
                </c:pt>
              </c:strCache>
            </c:strRef>
          </c:tx>
          <c:spPr>
            <a:solidFill>
              <a:schemeClr val="accent5">
                <a:lumMod val="5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2E-A8CA-FC40-A952-E3E25529074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30-A8CA-FC40-A952-E3E25529074F}"/>
              </c:ext>
            </c:extLst>
          </c:dPt>
          <c:cat>
            <c:strRef>
              <c:f>'+Retail trade'!$B$9:$B$80</c:f>
              <c:strCache>
                <c:ptCount val="23"/>
                <c:pt idx="0">
                  <c:v>Top 5 Average</c:v>
                </c:pt>
                <c:pt idx="1">
                  <c:v>South Africa</c:v>
                </c:pt>
                <c:pt idx="2">
                  <c:v>Kenya</c:v>
                </c:pt>
                <c:pt idx="3">
                  <c:v>Colombia</c:v>
                </c:pt>
                <c:pt idx="4">
                  <c:v>Chile</c:v>
                </c:pt>
                <c:pt idx="5">
                  <c:v>El Salvador</c:v>
                </c:pt>
                <c:pt idx="6">
                  <c:v>Egypt</c:v>
                </c:pt>
                <c:pt idx="7">
                  <c:v>Dominican Republic</c:v>
                </c:pt>
                <c:pt idx="8">
                  <c:v>Costa Rica</c:v>
                </c:pt>
                <c:pt idx="9">
                  <c:v>Philippines</c:v>
                </c:pt>
                <c:pt idx="10">
                  <c:v>Peru</c:v>
                </c:pt>
                <c:pt idx="11">
                  <c:v>Bolivia</c:v>
                </c:pt>
                <c:pt idx="12">
                  <c:v>OECD Average</c:v>
                </c:pt>
                <c:pt idx="13">
                  <c:v>Brazil</c:v>
                </c:pt>
                <c:pt idx="14">
                  <c:v>Panama</c:v>
                </c:pt>
                <c:pt idx="15">
                  <c:v>Mexico</c:v>
                </c:pt>
                <c:pt idx="16">
                  <c:v>India</c:v>
                </c:pt>
                <c:pt idx="17">
                  <c:v>Nicaragua</c:v>
                </c:pt>
                <c:pt idx="18">
                  <c:v>Turkey</c:v>
                </c:pt>
                <c:pt idx="19">
                  <c:v>Jamaica</c:v>
                </c:pt>
                <c:pt idx="20">
                  <c:v>Honduras</c:v>
                </c:pt>
                <c:pt idx="21">
                  <c:v>Senegal</c:v>
                </c:pt>
                <c:pt idx="22">
                  <c:v>Argentina</c:v>
                </c:pt>
              </c:strCache>
            </c:strRef>
          </c:cat>
          <c:val>
            <c:numRef>
              <c:f>'+Retail trade'!$AK$9:$AK$80</c:f>
              <c:numCache>
                <c:formatCode>General</c:formatCode>
                <c:ptCount val="23"/>
                <c:pt idx="0">
                  <c:v>6.3333333333333297E-2</c:v>
                </c:pt>
                <c:pt idx="1">
                  <c:v>0</c:v>
                </c:pt>
                <c:pt idx="2">
                  <c:v>0</c:v>
                </c:pt>
                <c:pt idx="3">
                  <c:v>0</c:v>
                </c:pt>
                <c:pt idx="4">
                  <c:v>0</c:v>
                </c:pt>
                <c:pt idx="5">
                  <c:v>0</c:v>
                </c:pt>
                <c:pt idx="6">
                  <c:v>0.33333333333333298</c:v>
                </c:pt>
                <c:pt idx="7">
                  <c:v>0</c:v>
                </c:pt>
                <c:pt idx="8">
                  <c:v>0</c:v>
                </c:pt>
                <c:pt idx="9">
                  <c:v>0.33333333333333298</c:v>
                </c:pt>
                <c:pt idx="10">
                  <c:v>0</c:v>
                </c:pt>
                <c:pt idx="11">
                  <c:v>0.33333333333333298</c:v>
                </c:pt>
                <c:pt idx="12">
                  <c:v>0.32833333333333298</c:v>
                </c:pt>
                <c:pt idx="13">
                  <c:v>0</c:v>
                </c:pt>
                <c:pt idx="14">
                  <c:v>0</c:v>
                </c:pt>
                <c:pt idx="15">
                  <c:v>0</c:v>
                </c:pt>
                <c:pt idx="16">
                  <c:v>0</c:v>
                </c:pt>
                <c:pt idx="17">
                  <c:v>0</c:v>
                </c:pt>
                <c:pt idx="18">
                  <c:v>0</c:v>
                </c:pt>
                <c:pt idx="19">
                  <c:v>0</c:v>
                </c:pt>
                <c:pt idx="20">
                  <c:v>0</c:v>
                </c:pt>
                <c:pt idx="21">
                  <c:v>0.33333333333333298</c:v>
                </c:pt>
                <c:pt idx="22">
                  <c:v>0.33333333333333298</c:v>
                </c:pt>
              </c:numCache>
            </c:numRef>
          </c:val>
          <c:extLst>
            <c:ext xmlns:c16="http://schemas.microsoft.com/office/drawing/2014/chart" uri="{C3380CC4-5D6E-409C-BE32-E72D297353CC}">
              <c16:uniqueId val="{00000031-A8CA-FC40-A952-E3E25529074F}"/>
            </c:ext>
          </c:extLst>
        </c:ser>
        <c:dLbls>
          <c:showLegendKey val="0"/>
          <c:showVal val="0"/>
          <c:showCatName val="0"/>
          <c:showSerName val="0"/>
          <c:showPercent val="0"/>
          <c:showBubbleSize val="0"/>
        </c:dLbls>
        <c:gapWidth val="150"/>
        <c:overlap val="100"/>
        <c:axId val="1403099856"/>
        <c:axId val="1403101632"/>
        <c:extLst/>
      </c:barChart>
      <c:catAx>
        <c:axId val="140309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101632"/>
        <c:crosses val="autoZero"/>
        <c:auto val="1"/>
        <c:lblAlgn val="ctr"/>
        <c:lblOffset val="100"/>
        <c:noMultiLvlLbl val="0"/>
      </c:catAx>
      <c:valAx>
        <c:axId val="1403101632"/>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09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'BTI Split'!$B$2</c:f>
              <c:strCache>
                <c:ptCount val="1"/>
                <c:pt idx="0">
                  <c:v>OECD</c:v>
                </c:pt>
              </c:strCache>
            </c:strRef>
          </c:tx>
          <c:spPr>
            <a:solidFill>
              <a:schemeClr val="dk1">
                <a:tint val="88500"/>
              </a:schemeClr>
            </a:solidFill>
            <a:ln>
              <a:noFill/>
            </a:ln>
            <a:effectLst/>
          </c:spPr>
          <c:invertIfNegative val="0"/>
          <c:cat>
            <c:strRef>
              <c:f>'BTI Split'!$A$3:$A$69</c:f>
              <c:strCache>
                <c:ptCount val="26"/>
                <c:pt idx="0">
                  <c:v>Top 5 Average</c:v>
                </c:pt>
                <c:pt idx="1">
                  <c:v>Chile</c:v>
                </c:pt>
                <c:pt idx="2">
                  <c:v>OECD Average</c:v>
                </c:pt>
                <c:pt idx="3">
                  <c:v>Nicaragua</c:v>
                </c:pt>
                <c:pt idx="4">
                  <c:v>Turkey</c:v>
                </c:pt>
                <c:pt idx="5">
                  <c:v>Jamaica</c:v>
                </c:pt>
                <c:pt idx="6">
                  <c:v>Ukraine</c:v>
                </c:pt>
                <c:pt idx="7">
                  <c:v>Colombia</c:v>
                </c:pt>
                <c:pt idx="8">
                  <c:v>South Africa</c:v>
                </c:pt>
                <c:pt idx="9">
                  <c:v>El Salvador</c:v>
                </c:pt>
                <c:pt idx="10">
                  <c:v>Costa Rica</c:v>
                </c:pt>
                <c:pt idx="11">
                  <c:v>Mexico</c:v>
                </c:pt>
                <c:pt idx="12">
                  <c:v>India</c:v>
                </c:pt>
                <c:pt idx="13">
                  <c:v>Egypt</c:v>
                </c:pt>
                <c:pt idx="14">
                  <c:v>Dominican Republic</c:v>
                </c:pt>
                <c:pt idx="15">
                  <c:v>China</c:v>
                </c:pt>
                <c:pt idx="16">
                  <c:v>Peru</c:v>
                </c:pt>
                <c:pt idx="17">
                  <c:v>Kenya</c:v>
                </c:pt>
                <c:pt idx="18">
                  <c:v>Philippines</c:v>
                </c:pt>
                <c:pt idx="19">
                  <c:v>Senegal</c:v>
                </c:pt>
                <c:pt idx="20">
                  <c:v>Brazil</c:v>
                </c:pt>
                <c:pt idx="21">
                  <c:v>Honduras</c:v>
                </c:pt>
                <c:pt idx="22">
                  <c:v>Tunisia</c:v>
                </c:pt>
                <c:pt idx="23">
                  <c:v>Panama</c:v>
                </c:pt>
                <c:pt idx="24">
                  <c:v>Argentina</c:v>
                </c:pt>
                <c:pt idx="25">
                  <c:v>Bolivia</c:v>
                </c:pt>
              </c:strCache>
            </c:strRef>
          </c:cat>
          <c:val>
            <c:numRef>
              <c:f>'BTI Split'!$B$3:$B$67</c:f>
            </c:numRef>
          </c:val>
          <c:extLst>
            <c:ext xmlns:c16="http://schemas.microsoft.com/office/drawing/2014/chart" uri="{C3380CC4-5D6E-409C-BE32-E72D297353CC}">
              <c16:uniqueId val="{00000000-92FB-4BC5-8CB4-65CC6C26BF73}"/>
            </c:ext>
          </c:extLst>
        </c:ser>
        <c:ser>
          <c:idx val="3"/>
          <c:order val="1"/>
          <c:tx>
            <c:strRef>
              <c:f>'BTI Split'!$E$2</c:f>
              <c:strCache>
                <c:ptCount val="1"/>
                <c:pt idx="0">
                  <c:v>Explicit barriers to trade and investment</c:v>
                </c:pt>
              </c:strCache>
            </c:strRef>
          </c:tx>
          <c:spPr>
            <a:solidFill>
              <a:schemeClr val="dk1">
                <a:tint val="9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2-92FB-4BC5-8CB4-65CC6C26BF73}"/>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4-92FB-4BC5-8CB4-65CC6C26BF73}"/>
              </c:ext>
            </c:extLst>
          </c:dPt>
          <c:dPt>
            <c:idx val="15"/>
            <c:invertIfNegative val="0"/>
            <c:bubble3D val="0"/>
            <c:spPr>
              <a:solidFill>
                <a:schemeClr val="dk1">
                  <a:tint val="98500"/>
                </a:schemeClr>
              </a:solidFill>
              <a:ln>
                <a:noFill/>
              </a:ln>
              <a:effectLst/>
            </c:spPr>
            <c:extLst>
              <c:ext xmlns:c16="http://schemas.microsoft.com/office/drawing/2014/chart" uri="{C3380CC4-5D6E-409C-BE32-E72D297353CC}">
                <c16:uniqueId val="{00000006-92FB-4BC5-8CB4-65CC6C26BF73}"/>
              </c:ext>
            </c:extLst>
          </c:dPt>
          <c:dPt>
            <c:idx val="17"/>
            <c:invertIfNegative val="0"/>
            <c:bubble3D val="0"/>
            <c:spPr>
              <a:solidFill>
                <a:schemeClr val="dk1">
                  <a:tint val="98500"/>
                </a:schemeClr>
              </a:solidFill>
              <a:ln>
                <a:noFill/>
              </a:ln>
              <a:effectLst/>
            </c:spPr>
            <c:extLst>
              <c:ext xmlns:c16="http://schemas.microsoft.com/office/drawing/2014/chart" uri="{C3380CC4-5D6E-409C-BE32-E72D297353CC}">
                <c16:uniqueId val="{00000008-92FB-4BC5-8CB4-65CC6C26BF73}"/>
              </c:ext>
            </c:extLst>
          </c:dPt>
          <c:dPt>
            <c:idx val="19"/>
            <c:invertIfNegative val="0"/>
            <c:bubble3D val="0"/>
            <c:spPr>
              <a:solidFill>
                <a:schemeClr val="tx2"/>
              </a:solidFill>
              <a:ln>
                <a:noFill/>
              </a:ln>
              <a:effectLst/>
            </c:spPr>
            <c:extLst>
              <c:ext xmlns:c16="http://schemas.microsoft.com/office/drawing/2014/chart" uri="{C3380CC4-5D6E-409C-BE32-E72D297353CC}">
                <c16:uniqueId val="{0000000A-92FB-4BC5-8CB4-65CC6C26BF73}"/>
              </c:ext>
            </c:extLst>
          </c:dPt>
          <c:dLbls>
            <c:dLbl>
              <c:idx val="19"/>
              <c:layout>
                <c:manualLayout>
                  <c:x val="0.123149792776791"/>
                  <c:y val="-3.647586980920324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A-92FB-4BC5-8CB4-65CC6C26BF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'BTI Split'!$A$3:$A$69</c:f>
              <c:strCache>
                <c:ptCount val="26"/>
                <c:pt idx="0">
                  <c:v>Top 5 Average</c:v>
                </c:pt>
                <c:pt idx="1">
                  <c:v>Chile</c:v>
                </c:pt>
                <c:pt idx="2">
                  <c:v>OECD Average</c:v>
                </c:pt>
                <c:pt idx="3">
                  <c:v>Nicaragua</c:v>
                </c:pt>
                <c:pt idx="4">
                  <c:v>Turkey</c:v>
                </c:pt>
                <c:pt idx="5">
                  <c:v>Jamaica</c:v>
                </c:pt>
                <c:pt idx="6">
                  <c:v>Ukraine</c:v>
                </c:pt>
                <c:pt idx="7">
                  <c:v>Colombia</c:v>
                </c:pt>
                <c:pt idx="8">
                  <c:v>South Africa</c:v>
                </c:pt>
                <c:pt idx="9">
                  <c:v>El Salvador</c:v>
                </c:pt>
                <c:pt idx="10">
                  <c:v>Costa Rica</c:v>
                </c:pt>
                <c:pt idx="11">
                  <c:v>Mexico</c:v>
                </c:pt>
                <c:pt idx="12">
                  <c:v>India</c:v>
                </c:pt>
                <c:pt idx="13">
                  <c:v>Egypt</c:v>
                </c:pt>
                <c:pt idx="14">
                  <c:v>Dominican Republic</c:v>
                </c:pt>
                <c:pt idx="15">
                  <c:v>China</c:v>
                </c:pt>
                <c:pt idx="16">
                  <c:v>Peru</c:v>
                </c:pt>
                <c:pt idx="17">
                  <c:v>Kenya</c:v>
                </c:pt>
                <c:pt idx="18">
                  <c:v>Philippines</c:v>
                </c:pt>
                <c:pt idx="19">
                  <c:v>Senegal</c:v>
                </c:pt>
                <c:pt idx="20">
                  <c:v>Brazil</c:v>
                </c:pt>
                <c:pt idx="21">
                  <c:v>Honduras</c:v>
                </c:pt>
                <c:pt idx="22">
                  <c:v>Tunisia</c:v>
                </c:pt>
                <c:pt idx="23">
                  <c:v>Panama</c:v>
                </c:pt>
                <c:pt idx="24">
                  <c:v>Argentina</c:v>
                </c:pt>
                <c:pt idx="25">
                  <c:v>Bolivia</c:v>
                </c:pt>
              </c:strCache>
            </c:strRef>
          </c:cat>
          <c:val>
            <c:numRef>
              <c:f>'BTI Split'!$E$3:$E$69</c:f>
              <c:numCache>
                <c:formatCode>0.00</c:formatCode>
                <c:ptCount val="26"/>
                <c:pt idx="0">
                  <c:v>0.09</c:v>
                </c:pt>
                <c:pt idx="1">
                  <c:v>8.6079550000000005E-2</c:v>
                </c:pt>
                <c:pt idx="2">
                  <c:v>0.26500000000000001</c:v>
                </c:pt>
                <c:pt idx="3">
                  <c:v>0.23529410000000001</c:v>
                </c:pt>
                <c:pt idx="4">
                  <c:v>8.9204549999999994E-2</c:v>
                </c:pt>
                <c:pt idx="5">
                  <c:v>0.5234375</c:v>
                </c:pt>
                <c:pt idx="6">
                  <c:v>0.311</c:v>
                </c:pt>
                <c:pt idx="7">
                  <c:v>0.52573550000000002</c:v>
                </c:pt>
                <c:pt idx="8">
                  <c:v>0.45789770000000002</c:v>
                </c:pt>
                <c:pt idx="9">
                  <c:v>0.125</c:v>
                </c:pt>
                <c:pt idx="10">
                  <c:v>0.49264704999999998</c:v>
                </c:pt>
                <c:pt idx="11">
                  <c:v>0.685693</c:v>
                </c:pt>
                <c:pt idx="12">
                  <c:v>1.021193</c:v>
                </c:pt>
                <c:pt idx="13">
                  <c:v>0.72</c:v>
                </c:pt>
                <c:pt idx="14">
                  <c:v>0.67647049999999997</c:v>
                </c:pt>
                <c:pt idx="15">
                  <c:v>1.1851</c:v>
                </c:pt>
                <c:pt idx="16">
                  <c:v>1.1200000000000001</c:v>
                </c:pt>
                <c:pt idx="17">
                  <c:v>0.90500000000000003</c:v>
                </c:pt>
                <c:pt idx="18">
                  <c:v>1.09375</c:v>
                </c:pt>
                <c:pt idx="19">
                  <c:v>0.99835737499999999</c:v>
                </c:pt>
                <c:pt idx="20">
                  <c:v>1.1517044999999999</c:v>
                </c:pt>
                <c:pt idx="21">
                  <c:v>0.59558800000000001</c:v>
                </c:pt>
                <c:pt idx="22">
                  <c:v>0.68399999999999994</c:v>
                </c:pt>
                <c:pt idx="23">
                  <c:v>1.2132352499999999</c:v>
                </c:pt>
                <c:pt idx="24">
                  <c:v>0.85661750000000003</c:v>
                </c:pt>
                <c:pt idx="25">
                  <c:v>1.375</c:v>
                </c:pt>
              </c:numCache>
            </c:numRef>
          </c:val>
          <c:extLst>
            <c:ext xmlns:c16="http://schemas.microsoft.com/office/drawing/2014/chart" uri="{C3380CC4-5D6E-409C-BE32-E72D297353CC}">
              <c16:uniqueId val="{0000000B-92FB-4BC5-8CB4-65CC6C26BF73}"/>
            </c:ext>
          </c:extLst>
        </c:ser>
        <c:ser>
          <c:idx val="5"/>
          <c:order val="2"/>
          <c:tx>
            <c:strRef>
              <c:f>'BTI Split'!$G$2</c:f>
              <c:strCache>
                <c:ptCount val="1"/>
                <c:pt idx="0">
                  <c:v>Other barriers to trade and investment</c:v>
                </c:pt>
              </c:strCache>
            </c:strRef>
          </c:tx>
          <c:spPr>
            <a:solidFill>
              <a:schemeClr val="dk1">
                <a:tint val="6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D-92FB-4BC5-8CB4-65CC6C26BF73}"/>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F-92FB-4BC5-8CB4-65CC6C26BF73}"/>
              </c:ext>
            </c:extLst>
          </c:dPt>
          <c:dPt>
            <c:idx val="15"/>
            <c:invertIfNegative val="0"/>
            <c:bubble3D val="0"/>
            <c:spPr>
              <a:solidFill>
                <a:schemeClr val="dk1">
                  <a:tint val="60000"/>
                </a:schemeClr>
              </a:solidFill>
              <a:ln>
                <a:noFill/>
              </a:ln>
              <a:effectLst/>
            </c:spPr>
            <c:extLst>
              <c:ext xmlns:c16="http://schemas.microsoft.com/office/drawing/2014/chart" uri="{C3380CC4-5D6E-409C-BE32-E72D297353CC}">
                <c16:uniqueId val="{00000011-92FB-4BC5-8CB4-65CC6C26BF73}"/>
              </c:ext>
            </c:extLst>
          </c:dPt>
          <c:dPt>
            <c:idx val="17"/>
            <c:invertIfNegative val="0"/>
            <c:bubble3D val="0"/>
            <c:spPr>
              <a:solidFill>
                <a:schemeClr val="dk1">
                  <a:tint val="60000"/>
                </a:schemeClr>
              </a:solidFill>
              <a:ln>
                <a:noFill/>
              </a:ln>
              <a:effectLst/>
            </c:spPr>
            <c:extLst>
              <c:ext xmlns:c16="http://schemas.microsoft.com/office/drawing/2014/chart" uri="{C3380CC4-5D6E-409C-BE32-E72D297353CC}">
                <c16:uniqueId val="{00000013-92FB-4BC5-8CB4-65CC6C26BF73}"/>
              </c:ext>
            </c:extLst>
          </c:dPt>
          <c:dPt>
            <c:idx val="19"/>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15-92FB-4BC5-8CB4-65CC6C26BF73}"/>
              </c:ext>
            </c:extLst>
          </c:dPt>
          <c:dLbls>
            <c:dLbl>
              <c:idx val="19"/>
              <c:layout>
                <c:manualLayout>
                  <c:x val="-0.23445825932504441"/>
                  <c:y val="-0.10101010101010106"/>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5-92FB-4BC5-8CB4-65CC6C26BF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'BTI Split'!$A$3:$A$69</c:f>
              <c:strCache>
                <c:ptCount val="26"/>
                <c:pt idx="0">
                  <c:v>Top 5 Average</c:v>
                </c:pt>
                <c:pt idx="1">
                  <c:v>Chile</c:v>
                </c:pt>
                <c:pt idx="2">
                  <c:v>OECD Average</c:v>
                </c:pt>
                <c:pt idx="3">
                  <c:v>Nicaragua</c:v>
                </c:pt>
                <c:pt idx="4">
                  <c:v>Turkey</c:v>
                </c:pt>
                <c:pt idx="5">
                  <c:v>Jamaica</c:v>
                </c:pt>
                <c:pt idx="6">
                  <c:v>Ukraine</c:v>
                </c:pt>
                <c:pt idx="7">
                  <c:v>Colombia</c:v>
                </c:pt>
                <c:pt idx="8">
                  <c:v>South Africa</c:v>
                </c:pt>
                <c:pt idx="9">
                  <c:v>El Salvador</c:v>
                </c:pt>
                <c:pt idx="10">
                  <c:v>Costa Rica</c:v>
                </c:pt>
                <c:pt idx="11">
                  <c:v>Mexico</c:v>
                </c:pt>
                <c:pt idx="12">
                  <c:v>India</c:v>
                </c:pt>
                <c:pt idx="13">
                  <c:v>Egypt</c:v>
                </c:pt>
                <c:pt idx="14">
                  <c:v>Dominican Republic</c:v>
                </c:pt>
                <c:pt idx="15">
                  <c:v>China</c:v>
                </c:pt>
                <c:pt idx="16">
                  <c:v>Peru</c:v>
                </c:pt>
                <c:pt idx="17">
                  <c:v>Kenya</c:v>
                </c:pt>
                <c:pt idx="18">
                  <c:v>Philippines</c:v>
                </c:pt>
                <c:pt idx="19">
                  <c:v>Senegal</c:v>
                </c:pt>
                <c:pt idx="20">
                  <c:v>Brazil</c:v>
                </c:pt>
                <c:pt idx="21">
                  <c:v>Honduras</c:v>
                </c:pt>
                <c:pt idx="22">
                  <c:v>Tunisia</c:v>
                </c:pt>
                <c:pt idx="23">
                  <c:v>Panama</c:v>
                </c:pt>
                <c:pt idx="24">
                  <c:v>Argentina</c:v>
                </c:pt>
                <c:pt idx="25">
                  <c:v>Bolivia</c:v>
                </c:pt>
              </c:strCache>
            </c:strRef>
          </c:cat>
          <c:val>
            <c:numRef>
              <c:f>'BTI Split'!$G$3:$G$69</c:f>
              <c:numCache>
                <c:formatCode>0.00</c:formatCode>
                <c:ptCount val="26"/>
                <c:pt idx="0">
                  <c:v>0.09</c:v>
                </c:pt>
                <c:pt idx="1">
                  <c:v>0.33973215000000001</c:v>
                </c:pt>
                <c:pt idx="2">
                  <c:v>0.26500000000000001</c:v>
                </c:pt>
                <c:pt idx="3">
                  <c:v>0.72523800000000005</c:v>
                </c:pt>
                <c:pt idx="4">
                  <c:v>1.0750109999999999</c:v>
                </c:pt>
                <c:pt idx="5">
                  <c:v>0.68189350000000004</c:v>
                </c:pt>
                <c:pt idx="6">
                  <c:v>0.90441174999999996</c:v>
                </c:pt>
                <c:pt idx="7">
                  <c:v>0.79427099999999995</c:v>
                </c:pt>
                <c:pt idx="8">
                  <c:v>0.88040200000000002</c:v>
                </c:pt>
                <c:pt idx="9">
                  <c:v>1.3102940000000001</c:v>
                </c:pt>
                <c:pt idx="10">
                  <c:v>1.0110585000000001</c:v>
                </c:pt>
                <c:pt idx="11">
                  <c:v>0.83089299999999999</c:v>
                </c:pt>
                <c:pt idx="12">
                  <c:v>0.6456925</c:v>
                </c:pt>
                <c:pt idx="13">
                  <c:v>1.0149999999999999</c:v>
                </c:pt>
                <c:pt idx="14">
                  <c:v>1.197255</c:v>
                </c:pt>
                <c:pt idx="15">
                  <c:v>0.70159249999999995</c:v>
                </c:pt>
                <c:pt idx="16">
                  <c:v>0.84895849999999995</c:v>
                </c:pt>
                <c:pt idx="17">
                  <c:v>1.175</c:v>
                </c:pt>
                <c:pt idx="18">
                  <c:v>1.07986425</c:v>
                </c:pt>
                <c:pt idx="19">
                  <c:v>1.1933333500000001</c:v>
                </c:pt>
                <c:pt idx="20">
                  <c:v>1.08684</c:v>
                </c:pt>
                <c:pt idx="21">
                  <c:v>1.931432</c:v>
                </c:pt>
                <c:pt idx="22">
                  <c:v>1.97571425</c:v>
                </c:pt>
                <c:pt idx="23">
                  <c:v>1.5464704999999999</c:v>
                </c:pt>
                <c:pt idx="24">
                  <c:v>2.0789569999999999</c:v>
                </c:pt>
                <c:pt idx="25">
                  <c:v>1.727136</c:v>
                </c:pt>
              </c:numCache>
            </c:numRef>
          </c:val>
          <c:extLst>
            <c:ext xmlns:c16="http://schemas.microsoft.com/office/drawing/2014/chart" uri="{C3380CC4-5D6E-409C-BE32-E72D297353CC}">
              <c16:uniqueId val="{00000016-92FB-4BC5-8CB4-65CC6C26BF73}"/>
            </c:ext>
          </c:extLst>
        </c:ser>
        <c:dLbls>
          <c:showLegendKey val="0"/>
          <c:showVal val="0"/>
          <c:showCatName val="0"/>
          <c:showSerName val="0"/>
          <c:showPercent val="0"/>
          <c:showBubbleSize val="0"/>
        </c:dLbls>
        <c:gapWidth val="150"/>
        <c:overlap val="100"/>
        <c:axId val="-1222846096"/>
        <c:axId val="-1222842576"/>
      </c:barChart>
      <c:catAx>
        <c:axId val="-1222846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2842576"/>
        <c:crosses val="autoZero"/>
        <c:auto val="1"/>
        <c:lblAlgn val="ctr"/>
        <c:lblOffset val="100"/>
        <c:noMultiLvlLbl val="0"/>
      </c:catAx>
      <c:valAx>
        <c:axId val="-122284257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846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'BTI Split'!$B$79</c:f>
              <c:strCache>
                <c:ptCount val="1"/>
                <c:pt idx="0">
                  <c:v>Barriers to trade and investment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'BTI Split'!$A$80</c:f>
              <c:strCache>
                <c:ptCount val="1"/>
                <c:pt idx="0">
                  <c:v>Barriers to trade and investment</c:v>
                </c:pt>
              </c:strCache>
            </c:strRef>
          </c:cat>
          <c:val>
            <c:numRef>
              <c:f>'BTI Split'!$B$80</c:f>
            </c:numRef>
          </c:val>
          <c:extLst>
            <c:ext xmlns:c16="http://schemas.microsoft.com/office/drawing/2014/chart" uri="{C3380CC4-5D6E-409C-BE32-E72D297353CC}">
              <c16:uniqueId val="{00000000-29C7-42E2-A292-302961CCCA25}"/>
            </c:ext>
          </c:extLst>
        </c:ser>
        <c:ser>
          <c:idx val="2"/>
          <c:order val="1"/>
          <c:tx>
            <c:strRef>
              <c:f>'BTI Split'!$D$79</c:f>
              <c:strCache>
                <c:ptCount val="1"/>
                <c:pt idx="0">
                  <c:v>Explicit barriers to trade and investment</c:v>
                </c:pt>
              </c:strCache>
            </c:strRef>
          </c:tx>
          <c:spPr>
            <a:solidFill>
              <a:schemeClr val="accent3"/>
            </a:solidFill>
            <a:ln>
              <a:noFill/>
            </a:ln>
            <a:effectLst/>
          </c:spPr>
          <c:invertIfNegative val="0"/>
          <c:dLbls>
            <c:dLbl>
              <c:idx val="0"/>
              <c:tx>
                <c:strRef>
                  <c:f>'BTI Split'!$D$81</c:f>
                  <c:strCache>
                    <c:ptCount val="1"/>
                    <c:pt idx="0">
                      <c:v>46%</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{73C1A6CB-9CA0-48CE-BB96-7ABAF9B8FB14}</c15:txfldGUID>
                      <c15:f>'BTI Split'!$D$81</c15:f>
                      <c15:dlblFieldTableCache>
                        <c:ptCount val="1"/>
                        <c:pt idx="0">
                          <c:v>46%</c:v>
                        </c:pt>
                      </c15:dlblFieldTableCache>
                    </c15:dlblFTEntry>
                  </c15:dlblFieldTable>
                  <c15:showDataLabelsRange val="0"/>
                </c:ext>
                <c:ext xmlns:c16="http://schemas.microsoft.com/office/drawing/2014/chart" uri="{C3380CC4-5D6E-409C-BE32-E72D297353CC}">
                  <c16:uniqueId val="{00000001-29C7-42E2-A292-302961CCCA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'BTI Split'!$A$80</c:f>
              <c:strCache>
                <c:ptCount val="1"/>
                <c:pt idx="0">
                  <c:v>Barriers to trade and investment</c:v>
                </c:pt>
              </c:strCache>
            </c:strRef>
          </c:cat>
          <c:val>
            <c:numRef>
              <c:f>'BTI Split'!$D$80</c:f>
              <c:numCache>
                <c:formatCode>0.00</c:formatCode>
                <c:ptCount val="1"/>
                <c:pt idx="0">
                  <c:v>1</c:v>
                </c:pt>
              </c:numCache>
            </c:numRef>
          </c:val>
          <c:extLst>
            <c:ext xmlns:c16="http://schemas.microsoft.com/office/drawing/2014/chart" uri="{C3380CC4-5D6E-409C-BE32-E72D297353CC}">
              <c16:uniqueId val="{00000002-29C7-42E2-A292-302961CCCA25}"/>
            </c:ext>
          </c:extLst>
        </c:ser>
        <c:ser>
          <c:idx val="4"/>
          <c:order val="2"/>
          <c:tx>
            <c:strRef>
              <c:f>'BTI Split'!$F$79</c:f>
              <c:strCache>
                <c:ptCount val="1"/>
                <c:pt idx="0">
                  <c:v>Other barriers to trade and investment</c:v>
                </c:pt>
              </c:strCache>
            </c:strRef>
          </c:tx>
          <c:spPr>
            <a:solidFill>
              <a:schemeClr val="accent5"/>
            </a:solidFill>
            <a:ln>
              <a:noFill/>
            </a:ln>
            <a:effectLst/>
          </c:spPr>
          <c:invertIfNegative val="0"/>
          <c:dLbls>
            <c:dLbl>
              <c:idx val="0"/>
              <c:tx>
                <c:strRef>
                  <c:f>'BTI Split'!$F$81</c:f>
                  <c:strCache>
                    <c:ptCount val="1"/>
                    <c:pt idx="0">
                      <c:v>54%</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{90D19035-D99B-4891-A96B-8F8F0B4465C5}</c15:txfldGUID>
                      <c15:f>'BTI Split'!$F$81</c15:f>
                      <c15:dlblFieldTableCache>
                        <c:ptCount val="1"/>
                        <c:pt idx="0">
                          <c:v>54%</c:v>
                        </c:pt>
                      </c15:dlblFieldTableCache>
                    </c15:dlblFTEntry>
                  </c15:dlblFieldTable>
                  <c15:showDataLabelsRange val="0"/>
                </c:ext>
                <c:ext xmlns:c16="http://schemas.microsoft.com/office/drawing/2014/chart" uri="{C3380CC4-5D6E-409C-BE32-E72D297353CC}">
                  <c16:uniqueId val="{00000003-29C7-42E2-A292-302961CCCA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'BTI Split'!$A$80</c:f>
              <c:strCache>
                <c:ptCount val="1"/>
                <c:pt idx="0">
                  <c:v>Barriers to trade and investment</c:v>
                </c:pt>
              </c:strCache>
            </c:strRef>
          </c:cat>
          <c:val>
            <c:numRef>
              <c:f>'BTI Split'!$F$80</c:f>
              <c:numCache>
                <c:formatCode>0.00</c:formatCode>
                <c:ptCount val="1"/>
                <c:pt idx="0">
                  <c:v>1.1933333500000001</c:v>
                </c:pt>
              </c:numCache>
            </c:numRef>
          </c:val>
          <c:extLst>
            <c:ext xmlns:c16="http://schemas.microsoft.com/office/drawing/2014/chart" uri="{C3380CC4-5D6E-409C-BE32-E72D297353CC}">
              <c16:uniqueId val="{00000004-29C7-42E2-A292-302961CCCA25}"/>
            </c:ext>
          </c:extLst>
        </c:ser>
        <c:dLbls>
          <c:dLblPos val="ctr"/>
          <c:showLegendKey val="0"/>
          <c:showVal val="1"/>
          <c:showCatName val="0"/>
          <c:showSerName val="0"/>
          <c:showPercent val="0"/>
          <c:showBubbleSize val="0"/>
        </c:dLbls>
        <c:gapWidth val="150"/>
        <c:overlap val="100"/>
        <c:axId val="-1222810688"/>
        <c:axId val="-1222807424"/>
      </c:barChart>
      <c:catAx>
        <c:axId val="-12228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807424"/>
        <c:crosses val="autoZero"/>
        <c:auto val="1"/>
        <c:lblAlgn val="ctr"/>
        <c:lblOffset val="100"/>
        <c:noMultiLvlLbl val="0"/>
      </c:catAx>
      <c:valAx>
        <c:axId val="-1222807424"/>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81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'BTI Split'!$C$84</c:f>
              <c:strCache>
                <c:ptCount val="1"/>
                <c:pt idx="0">
                  <c:v>Barriers to FDI</c:v>
                </c:pt>
              </c:strCache>
            </c:strRef>
          </c:tx>
          <c:spPr>
            <a:solidFill>
              <a:schemeClr val="accent1"/>
            </a:solidFill>
            <a:ln>
              <a:noFill/>
            </a:ln>
            <a:effectLst/>
          </c:spPr>
          <c:invertIfNegative val="0"/>
          <c:dLbls>
            <c:dLbl>
              <c:idx val="0"/>
              <c:tx>
                <c:rich>
                  <a:bodyPr/>
                  <a:lstStyle/>
                  <a:p>
                    <a:fld id="{26B69EF6-D9A2-4448-BEF1-F156F09EBDE3}" type="CELLREF">
                      <a:rPr lang="en-US"/>
                      <a:pPr/>
                      <a:t>[CELLREF]</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{26B69EF6-D9A2-4448-BEF1-F156F09EBDE3}</c15:txfldGUID>
                      <c15:f>'BTI Split'!$C$87</c15:f>
                      <c15:dlblFieldTableCache>
                        <c:ptCount val="1"/>
                        <c:pt idx="0">
                          <c:v>12%</c:v>
                        </c:pt>
                      </c15:dlblFieldTableCache>
                    </c15:dlblFTEntry>
                  </c15:dlblFieldTable>
                  <c15:showDataLabelsRange val="0"/>
                </c:ext>
                <c:ext xmlns:c16="http://schemas.microsoft.com/office/drawing/2014/chart" uri="{C3380CC4-5D6E-409C-BE32-E72D297353CC}">
                  <c16:uniqueId val="{00000000-772E-42CE-93A2-79C545A6A6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'BTI Split'!$A$85:$B$86</c:f>
              <c:strCache>
                <c:ptCount val="2"/>
                <c:pt idx="0">
                  <c:v>Explicit barriers to trade and investment</c:v>
                </c:pt>
                <c:pt idx="1">
                  <c:v>Other barriers to trade and investment</c:v>
                </c:pt>
              </c:strCache>
            </c:strRef>
          </c:cat>
          <c:val>
            <c:numRef>
              <c:f>'BTI Split'!$C$85:$C$86</c:f>
              <c:numCache>
                <c:formatCode>General</c:formatCode>
                <c:ptCount val="2"/>
                <c:pt idx="0" formatCode="0.00">
                  <c:v>0.24671475000000001</c:v>
                </c:pt>
              </c:numCache>
            </c:numRef>
          </c:val>
          <c:extLst>
            <c:ext xmlns:c16="http://schemas.microsoft.com/office/drawing/2014/chart" uri="{C3380CC4-5D6E-409C-BE32-E72D297353CC}">
              <c16:uniqueId val="{00000001-772E-42CE-93A2-79C545A6A647}"/>
            </c:ext>
          </c:extLst>
        </c:ser>
        <c:ser>
          <c:idx val="1"/>
          <c:order val="1"/>
          <c:tx>
            <c:strRef>
              <c:f>'BTI Split'!$D$84</c:f>
              <c:strCache>
                <c:ptCount val="1"/>
                <c:pt idx="0">
                  <c:v>Tariff barriers</c:v>
                </c:pt>
              </c:strCache>
            </c:strRef>
          </c:tx>
          <c:spPr>
            <a:solidFill>
              <a:schemeClr val="accent2"/>
            </a:solidFill>
            <a:ln>
              <a:noFill/>
            </a:ln>
            <a:effectLst/>
          </c:spPr>
          <c:invertIfNegative val="0"/>
          <c:dLbls>
            <c:dLbl>
              <c:idx val="0"/>
              <c:tx>
                <c:strRef>
                  <c:f>'BTI Split'!$D$87</c:f>
                  <c:strCache>
                    <c:ptCount val="1"/>
                    <c:pt idx="0">
                      <c:v>88%</c:v>
                    </c:pt>
                  </c:strCache>
                </c:strRef>
              </c:tx>
              <c:dLblPos val="ctr"/>
              <c:showLegendKey val="0"/>
              <c:showVal val="0"/>
              <c:showCatName val="1"/>
              <c:showSerName val="1"/>
              <c:showPercent val="0"/>
              <c:showBubbleSize val="0"/>
              <c:extLst>
                <c:ext xmlns:c15="http://schemas.microsoft.com/office/drawing/2012/chart" uri="{CE6537A1-D6FC-4f65-9D91-7224C49458BB}">
                  <c15:dlblFieldTable>
                    <c15:dlblFTEntry>
                      <c15:txfldGUID>{66BF09B7-3DF6-4F6A-B888-34DEE0084DA7}</c15:txfldGUID>
                      <c15:f>'BTI Split'!$D$87</c15:f>
                      <c15:dlblFieldTableCache>
                        <c:ptCount val="1"/>
                        <c:pt idx="0">
                          <c:v>88%</c:v>
                        </c:pt>
                      </c15:dlblFieldTableCache>
                    </c15:dlblFTEntry>
                  </c15:dlblFieldTable>
                  <c15:showDataLabelsRange val="0"/>
                </c:ext>
                <c:ext xmlns:c16="http://schemas.microsoft.com/office/drawing/2014/chart" uri="{C3380CC4-5D6E-409C-BE32-E72D297353CC}">
                  <c16:uniqueId val="{00000002-772E-42CE-93A2-79C545A6A6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1"/>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'BTI Split'!$A$85:$B$86</c:f>
              <c:strCache>
                <c:ptCount val="2"/>
                <c:pt idx="0">
                  <c:v>Explicit barriers to trade and investment</c:v>
                </c:pt>
                <c:pt idx="1">
                  <c:v>Other barriers to trade and investment</c:v>
                </c:pt>
              </c:strCache>
            </c:strRef>
          </c:cat>
          <c:val>
            <c:numRef>
              <c:f>'BTI Split'!$D$85:$D$86</c:f>
              <c:numCache>
                <c:formatCode>General</c:formatCode>
                <c:ptCount val="2"/>
                <c:pt idx="0" formatCode="0.00">
                  <c:v>1.75</c:v>
                </c:pt>
              </c:numCache>
            </c:numRef>
          </c:val>
          <c:extLst>
            <c:ext xmlns:c16="http://schemas.microsoft.com/office/drawing/2014/chart" uri="{C3380CC4-5D6E-409C-BE32-E72D297353CC}">
              <c16:uniqueId val="{00000003-772E-42CE-93A2-79C545A6A647}"/>
            </c:ext>
          </c:extLst>
        </c:ser>
        <c:ser>
          <c:idx val="2"/>
          <c:order val="2"/>
          <c:tx>
            <c:strRef>
              <c:f>'BTI Split'!$E$84</c:f>
              <c:strCache>
                <c:ptCount val="1"/>
                <c:pt idx="0">
                  <c:v>Differential treatment of foreign suppliers</c:v>
                </c:pt>
              </c:strCache>
            </c:strRef>
          </c:tx>
          <c:spPr>
            <a:solidFill>
              <a:schemeClr val="accent3"/>
            </a:solidFill>
            <a:ln>
              <a:noFill/>
            </a:ln>
            <a:effectLst/>
          </c:spPr>
          <c:invertIfNegative val="0"/>
          <c:dLbls>
            <c:dLbl>
              <c:idx val="1"/>
              <c:tx>
                <c:strRef>
                  <c:f>'BTI Split'!$E$88</c:f>
                  <c:strCache>
                    <c:ptCount val="1"/>
                    <c:pt idx="0">
                      <c:v>16%</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{31494CC4-C8A7-41F9-92C0-978C6D92FC36}</c15:txfldGUID>
                      <c15:f>'BTI Split'!$E$88</c15:f>
                      <c15:dlblFieldTableCache>
                        <c:ptCount val="1"/>
                        <c:pt idx="0">
                          <c:v>16%</c:v>
                        </c:pt>
                      </c15:dlblFieldTableCache>
                    </c15:dlblFTEntry>
                  </c15:dlblFieldTable>
                  <c15:showDataLabelsRange val="0"/>
                </c:ext>
                <c:ext xmlns:c16="http://schemas.microsoft.com/office/drawing/2014/chart" uri="{C3380CC4-5D6E-409C-BE32-E72D297353CC}">
                  <c16:uniqueId val="{00000004-772E-42CE-93A2-79C545A6A6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'BTI Split'!$A$85:$B$86</c:f>
              <c:strCache>
                <c:ptCount val="2"/>
                <c:pt idx="0">
                  <c:v>Explicit barriers to trade and investment</c:v>
                </c:pt>
                <c:pt idx="1">
                  <c:v>Other barriers to trade and investment</c:v>
                </c:pt>
              </c:strCache>
            </c:strRef>
          </c:cat>
          <c:val>
            <c:numRef>
              <c:f>'BTI Split'!$E$85:$E$86</c:f>
              <c:numCache>
                <c:formatCode>0.00</c:formatCode>
                <c:ptCount val="2"/>
                <c:pt idx="1">
                  <c:v>0.38666669999999997</c:v>
                </c:pt>
              </c:numCache>
            </c:numRef>
          </c:val>
          <c:extLst>
            <c:ext xmlns:c16="http://schemas.microsoft.com/office/drawing/2014/chart" uri="{C3380CC4-5D6E-409C-BE32-E72D297353CC}">
              <c16:uniqueId val="{00000005-772E-42CE-93A2-79C545A6A647}"/>
            </c:ext>
          </c:extLst>
        </c:ser>
        <c:ser>
          <c:idx val="3"/>
          <c:order val="3"/>
          <c:tx>
            <c:strRef>
              <c:f>'BTI Split'!$F$84</c:f>
              <c:strCache>
                <c:ptCount val="1"/>
                <c:pt idx="0">
                  <c:v>Barriers to trade facilitation</c:v>
                </c:pt>
              </c:strCache>
            </c:strRef>
          </c:tx>
          <c:spPr>
            <a:solidFill>
              <a:schemeClr val="accent4"/>
            </a:solidFill>
            <a:ln>
              <a:noFill/>
            </a:ln>
            <a:effectLst/>
          </c:spPr>
          <c:invertIfNegative val="0"/>
          <c:dLbls>
            <c:dLbl>
              <c:idx val="1"/>
              <c:tx>
                <c:strRef>
                  <c:f>'BTI Split'!$F$88</c:f>
                  <c:strCache>
                    <c:ptCount val="1"/>
                    <c:pt idx="0">
                      <c:v>84%</c:v>
                    </c:pt>
                  </c:strCache>
                </c:strRef>
              </c:tx>
              <c:dLblPos val="ctr"/>
              <c:showLegendKey val="0"/>
              <c:showVal val="1"/>
              <c:showCatName val="0"/>
              <c:showSerName val="0"/>
              <c:showPercent val="0"/>
              <c:showBubbleSize val="0"/>
              <c:extLst>
                <c:ext xmlns:c15="http://schemas.microsoft.com/office/drawing/2012/chart" uri="{CE6537A1-D6FC-4f65-9D91-7224C49458BB}">
                  <c15:dlblFieldTable>
                    <c15:dlblFTEntry>
                      <c15:txfldGUID>{2C75503B-24B7-459A-B27C-16BFDC49FE5D}</c15:txfldGUID>
                      <c15:f>'BTI Split'!$F$88</c15:f>
                      <c15:dlblFieldTableCache>
                        <c:ptCount val="1"/>
                        <c:pt idx="0">
                          <c:v>84%</c:v>
                        </c:pt>
                      </c15:dlblFieldTableCache>
                    </c15:dlblFTEntry>
                  </c15:dlblFieldTable>
                  <c15:showDataLabelsRange val="0"/>
                </c:ext>
                <c:ext xmlns:c16="http://schemas.microsoft.com/office/drawing/2014/chart" uri="{C3380CC4-5D6E-409C-BE32-E72D297353CC}">
                  <c16:uniqueId val="{00000006-772E-42CE-93A2-79C545A6A6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'BTI Split'!$A$85:$B$86</c:f>
              <c:strCache>
                <c:ptCount val="2"/>
                <c:pt idx="0">
                  <c:v>Explicit barriers to trade and investment</c:v>
                </c:pt>
                <c:pt idx="1">
                  <c:v>Other barriers to trade and investment</c:v>
                </c:pt>
              </c:strCache>
            </c:strRef>
          </c:cat>
          <c:val>
            <c:numRef>
              <c:f>'BTI Split'!$F$85:$F$86</c:f>
              <c:numCache>
                <c:formatCode>0.00</c:formatCode>
                <c:ptCount val="2"/>
                <c:pt idx="1">
                  <c:v>2</c:v>
                </c:pt>
              </c:numCache>
            </c:numRef>
          </c:val>
          <c:extLst>
            <c:ext xmlns:c16="http://schemas.microsoft.com/office/drawing/2014/chart" uri="{C3380CC4-5D6E-409C-BE32-E72D297353CC}">
              <c16:uniqueId val="{00000007-772E-42CE-93A2-79C545A6A647}"/>
            </c:ext>
          </c:extLst>
        </c:ser>
        <c:dLbls>
          <c:dLblPos val="ctr"/>
          <c:showLegendKey val="0"/>
          <c:showVal val="1"/>
          <c:showCatName val="0"/>
          <c:showSerName val="0"/>
          <c:showPercent val="0"/>
          <c:showBubbleSize val="0"/>
        </c:dLbls>
        <c:gapWidth val="150"/>
        <c:overlap val="100"/>
        <c:axId val="-1222767152"/>
        <c:axId val="-1222764400"/>
      </c:barChart>
      <c:catAx>
        <c:axId val="-122276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764400"/>
        <c:crosses val="autoZero"/>
        <c:auto val="1"/>
        <c:lblAlgn val="ctr"/>
        <c:lblOffset val="100"/>
        <c:noMultiLvlLbl val="0"/>
      </c:catAx>
      <c:valAx>
        <c:axId val="-122276440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76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Data!$B$5</c:f>
              <c:strCache>
                <c:ptCount val="1"/>
                <c:pt idx="0">
                  <c:v>GDP growth (annual %)</c:v>
                </c:pt>
              </c:strCache>
            </c:strRef>
          </c:tx>
          <c:spPr>
            <a:ln w="28575" cap="rnd">
              <a:solidFill>
                <a:schemeClr val="accent1"/>
              </a:solidFill>
              <a:round/>
            </a:ln>
            <a:effectLst/>
          </c:spPr>
          <c:marker>
            <c:symbol val="none"/>
          </c:marker>
          <c:cat>
            <c:strRef>
              <c:f>Data!$F$1:$AA$1</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Data!$F$5:$AA$5</c:f>
              <c:numCache>
                <c:formatCode>General</c:formatCode>
                <c:ptCount val="22"/>
                <c:pt idx="0">
                  <c:v>3.1866391015223878</c:v>
                </c:pt>
                <c:pt idx="1">
                  <c:v>4.5809164192489167</c:v>
                </c:pt>
                <c:pt idx="2">
                  <c:v>0.65480369234636304</c:v>
                </c:pt>
                <c:pt idx="3">
                  <c:v>6.6832281337212427</c:v>
                </c:pt>
                <c:pt idx="4">
                  <c:v>5.8707722138835834</c:v>
                </c:pt>
                <c:pt idx="5">
                  <c:v>5.6226068571964749</c:v>
                </c:pt>
                <c:pt idx="6">
                  <c:v>2.4615702534971859</c:v>
                </c:pt>
                <c:pt idx="7">
                  <c:v>4.938485083151491</c:v>
                </c:pt>
                <c:pt idx="8">
                  <c:v>3.6825244028335651</c:v>
                </c:pt>
                <c:pt idx="9">
                  <c:v>2.4231759171114802</c:v>
                </c:pt>
                <c:pt idx="10">
                  <c:v>4.17936306255051</c:v>
                </c:pt>
                <c:pt idx="11">
                  <c:v>1.7611180480465971</c:v>
                </c:pt>
                <c:pt idx="12">
                  <c:v>4.4111802845008441</c:v>
                </c:pt>
                <c:pt idx="13">
                  <c:v>3.4852173457435209</c:v>
                </c:pt>
                <c:pt idx="14">
                  <c:v>4.3110510222670486</c:v>
                </c:pt>
                <c:pt idx="15">
                  <c:v>6.4851947535192949</c:v>
                </c:pt>
                <c:pt idx="16">
                  <c:v>6.6</c:v>
                </c:pt>
                <c:pt idx="17">
                  <c:v>6.8</c:v>
                </c:pt>
                <c:pt idx="18">
                  <c:v>7</c:v>
                </c:pt>
                <c:pt idx="19">
                  <c:v>7.1</c:v>
                </c:pt>
                <c:pt idx="20">
                  <c:v>7.1</c:v>
                </c:pt>
                <c:pt idx="21">
                  <c:v>7.1</c:v>
                </c:pt>
              </c:numCache>
            </c:numRef>
          </c:val>
          <c:smooth val="0"/>
          <c:extLst>
            <c:ext xmlns:c16="http://schemas.microsoft.com/office/drawing/2014/chart" uri="{C3380CC4-5D6E-409C-BE32-E72D297353CC}">
              <c16:uniqueId val="{00000000-30E1-4A61-A79F-A559B8C08154}"/>
            </c:ext>
          </c:extLst>
        </c:ser>
        <c:dLbls>
          <c:showLegendKey val="0"/>
          <c:showVal val="0"/>
          <c:showCatName val="0"/>
          <c:showSerName val="0"/>
          <c:showPercent val="0"/>
          <c:showBubbleSize val="0"/>
        </c:dLbls>
        <c:smooth val="0"/>
        <c:axId val="1064262528"/>
        <c:axId val="927219232"/>
      </c:lineChart>
      <c:catAx>
        <c:axId val="106426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7219232"/>
        <c:crosses val="autoZero"/>
        <c:auto val="1"/>
        <c:lblAlgn val="ctr"/>
        <c:lblOffset val="100"/>
        <c:noMultiLvlLbl val="0"/>
      </c:catAx>
      <c:valAx>
        <c:axId val="92721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262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5587-D744-A656-595E5D7986D2}"/>
              </c:ext>
            </c:extLst>
          </c:dPt>
          <c:dPt>
            <c:idx val="17"/>
            <c:invertIfNegative val="0"/>
            <c:bubble3D val="0"/>
            <c:spPr>
              <a:solidFill>
                <a:schemeClr val="dk1">
                  <a:tint val="88500"/>
                </a:schemeClr>
              </a:solidFill>
              <a:ln>
                <a:noFill/>
              </a:ln>
              <a:effectLst/>
            </c:spPr>
            <c:extLst>
              <c:ext xmlns:c16="http://schemas.microsoft.com/office/drawing/2014/chart" uri="{C3380CC4-5D6E-409C-BE32-E72D297353CC}">
                <c16:uniqueId val="{00000003-5587-D744-A656-595E5D7986D2}"/>
              </c:ext>
            </c:extLst>
          </c:dPt>
          <c:dPt>
            <c:idx val="19"/>
            <c:invertIfNegative val="0"/>
            <c:bubble3D val="0"/>
            <c:spPr>
              <a:solidFill>
                <a:schemeClr val="accent1"/>
              </a:solidFill>
              <a:ln>
                <a:noFill/>
              </a:ln>
              <a:effectLst/>
            </c:spPr>
            <c:extLst>
              <c:ext xmlns:c16="http://schemas.microsoft.com/office/drawing/2014/chart" uri="{C3380CC4-5D6E-409C-BE32-E72D297353CC}">
                <c16:uniqueId val="{00000005-5587-D744-A656-595E5D7986D2}"/>
              </c:ext>
            </c:extLst>
          </c:dPt>
          <c:dLbls>
            <c:dLbl>
              <c:idx val="19"/>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5587-D744-A656-595E5D7986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'+Barriers to Trade Facilitation'!$A$3:$B$69</c:f>
              <c:strCache>
                <c:ptCount val="26"/>
                <c:pt idx="0">
                  <c:v>Top 5 Average</c:v>
                </c:pt>
                <c:pt idx="1">
                  <c:v>OECD Average</c:v>
                </c:pt>
                <c:pt idx="2">
                  <c:v>China</c:v>
                </c:pt>
                <c:pt idx="3">
                  <c:v>South Africa</c:v>
                </c:pt>
                <c:pt idx="4">
                  <c:v>Chile</c:v>
                </c:pt>
                <c:pt idx="5">
                  <c:v>Mexico</c:v>
                </c:pt>
                <c:pt idx="6">
                  <c:v>Philippines</c:v>
                </c:pt>
                <c:pt idx="7">
                  <c:v>Colombia</c:v>
                </c:pt>
                <c:pt idx="8">
                  <c:v>India</c:v>
                </c:pt>
                <c:pt idx="9">
                  <c:v>Peru</c:v>
                </c:pt>
                <c:pt idx="10">
                  <c:v>Nicaragua</c:v>
                </c:pt>
                <c:pt idx="11">
                  <c:v>Jamaica</c:v>
                </c:pt>
                <c:pt idx="12">
                  <c:v>Kenya</c:v>
                </c:pt>
                <c:pt idx="13">
                  <c:v>Turkey</c:v>
                </c:pt>
                <c:pt idx="14">
                  <c:v>Costa Rica</c:v>
                </c:pt>
                <c:pt idx="15">
                  <c:v>Egypt</c:v>
                </c:pt>
                <c:pt idx="16">
                  <c:v>Brazil</c:v>
                </c:pt>
                <c:pt idx="17">
                  <c:v>Ukraine</c:v>
                </c:pt>
                <c:pt idx="18">
                  <c:v>Dominican Republic</c:v>
                </c:pt>
                <c:pt idx="19">
                  <c:v>Senegal</c:v>
                </c:pt>
                <c:pt idx="20">
                  <c:v>Argentina</c:v>
                </c:pt>
                <c:pt idx="21">
                  <c:v>Panama</c:v>
                </c:pt>
                <c:pt idx="22">
                  <c:v>Honduras</c:v>
                </c:pt>
                <c:pt idx="23">
                  <c:v>El Salvador</c:v>
                </c:pt>
                <c:pt idx="24">
                  <c:v>Bolivia</c:v>
                </c:pt>
                <c:pt idx="25">
                  <c:v>Tunisia</c:v>
                </c:pt>
              </c:strCache>
            </c:strRef>
          </c:cat>
          <c:val>
            <c:numRef>
              <c:f>'+Barriers to Trade Facilitation'!$C$3:$C$69</c:f>
              <c:numCache>
                <c:formatCode>0.00</c:formatCode>
                <c:ptCount val="26"/>
                <c:pt idx="0">
                  <c:v>0</c:v>
                </c:pt>
                <c:pt idx="1">
                  <c:v>1</c:v>
                </c:pt>
                <c:pt idx="2">
                  <c:v>1.21875</c:v>
                </c:pt>
                <c:pt idx="3">
                  <c:v>1.21875</c:v>
                </c:pt>
                <c:pt idx="4">
                  <c:v>1.258929</c:v>
                </c:pt>
                <c:pt idx="5">
                  <c:v>1.5642860000000001</c:v>
                </c:pt>
                <c:pt idx="6" formatCode="General">
                  <c:v>1.626838</c:v>
                </c:pt>
                <c:pt idx="7">
                  <c:v>1.84375</c:v>
                </c:pt>
                <c:pt idx="8">
                  <c:v>2.0818180000000002</c:v>
                </c:pt>
                <c:pt idx="9">
                  <c:v>2.4375</c:v>
                </c:pt>
                <c:pt idx="10">
                  <c:v>2.5</c:v>
                </c:pt>
                <c:pt idx="11">
                  <c:v>2.527574</c:v>
                </c:pt>
                <c:pt idx="12">
                  <c:v>2.84</c:v>
                </c:pt>
                <c:pt idx="13">
                  <c:v>3.1590910000000001</c:v>
                </c:pt>
                <c:pt idx="14">
                  <c:v>3.435661999999998</c:v>
                </c:pt>
                <c:pt idx="15">
                  <c:v>3.47</c:v>
                </c:pt>
                <c:pt idx="16">
                  <c:v>3.545455</c:v>
                </c:pt>
                <c:pt idx="17">
                  <c:v>3.6176469999999981</c:v>
                </c:pt>
                <c:pt idx="18">
                  <c:v>3.8823530000000002</c:v>
                </c:pt>
                <c:pt idx="19">
                  <c:v>4</c:v>
                </c:pt>
                <c:pt idx="20">
                  <c:v>4.3731619999999998</c:v>
                </c:pt>
                <c:pt idx="21">
                  <c:v>4.7058819999999981</c:v>
                </c:pt>
                <c:pt idx="22">
                  <c:v>4.7588229999999996</c:v>
                </c:pt>
                <c:pt idx="23">
                  <c:v>4.9411759999999996</c:v>
                </c:pt>
                <c:pt idx="24">
                  <c:v>5.3823530000000002</c:v>
                </c:pt>
                <c:pt idx="25" formatCode="General">
                  <c:v>6</c:v>
                </c:pt>
              </c:numCache>
            </c:numRef>
          </c:val>
          <c:extLst>
            <c:ext xmlns:c16="http://schemas.microsoft.com/office/drawing/2014/chart" uri="{C3380CC4-5D6E-409C-BE32-E72D297353CC}">
              <c16:uniqueId val="{00000006-5587-D744-A656-595E5D7986D2}"/>
            </c:ext>
          </c:extLst>
        </c:ser>
        <c:dLbls>
          <c:showLegendKey val="0"/>
          <c:showVal val="0"/>
          <c:showCatName val="0"/>
          <c:showSerName val="0"/>
          <c:showPercent val="0"/>
          <c:showBubbleSize val="0"/>
        </c:dLbls>
        <c:gapWidth val="219"/>
        <c:overlap val="-27"/>
        <c:axId val="1104552528"/>
        <c:axId val="1011381808"/>
      </c:barChart>
      <c:catAx>
        <c:axId val="1104552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381808"/>
        <c:crosses val="autoZero"/>
        <c:auto val="1"/>
        <c:lblAlgn val="ctr"/>
        <c:lblOffset val="100"/>
        <c:noMultiLvlLbl val="0"/>
      </c:catAx>
      <c:valAx>
        <c:axId val="1011381808"/>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552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02588218139401E-2"/>
          <c:y val="4.3069694596711103E-2"/>
          <c:w val="0.62759095217264504"/>
          <c:h val="0.70513182120891604"/>
        </c:manualLayout>
      </c:layout>
      <c:lineChart>
        <c:grouping val="standard"/>
        <c:varyColors val="0"/>
        <c:ser>
          <c:idx val="0"/>
          <c:order val="0"/>
          <c:tx>
            <c:strRef>
              <c:f>Sheet1!$C$2</c:f>
              <c:strCache>
                <c:ptCount val="1"/>
                <c:pt idx="0">
                  <c:v>Share in global groundnut oil exports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Sheet1!$D$1:$AU$1</c:f>
              <c:strCache>
                <c:ptCount val="44"/>
                <c:pt idx="0">
                  <c:v>1972/73</c:v>
                </c:pt>
                <c:pt idx="1">
                  <c:v>1973/74</c:v>
                </c:pt>
                <c:pt idx="2">
                  <c:v>1974/75</c:v>
                </c:pt>
                <c:pt idx="3">
                  <c:v>1975/76</c:v>
                </c:pt>
                <c:pt idx="4">
                  <c:v>1976/77</c:v>
                </c:pt>
                <c:pt idx="5">
                  <c:v>1977/78</c:v>
                </c:pt>
                <c:pt idx="6">
                  <c:v>1978/79</c:v>
                </c:pt>
                <c:pt idx="7">
                  <c:v>1979/80</c:v>
                </c:pt>
                <c:pt idx="8">
                  <c:v>1980/81</c:v>
                </c:pt>
                <c:pt idx="9">
                  <c:v>1981/82</c:v>
                </c:pt>
                <c:pt idx="10">
                  <c:v>1982/83</c:v>
                </c:pt>
                <c:pt idx="11">
                  <c:v>1983/84</c:v>
                </c:pt>
                <c:pt idx="12">
                  <c:v>1984/85</c:v>
                </c:pt>
                <c:pt idx="13">
                  <c:v>1985/86</c:v>
                </c:pt>
                <c:pt idx="14">
                  <c:v>1986/87</c:v>
                </c:pt>
                <c:pt idx="15">
                  <c:v>1987/88</c:v>
                </c:pt>
                <c:pt idx="16">
                  <c:v>1988/89</c:v>
                </c:pt>
                <c:pt idx="17">
                  <c:v>1989/90</c:v>
                </c:pt>
                <c:pt idx="18">
                  <c:v>1990/91</c:v>
                </c:pt>
                <c:pt idx="19">
                  <c:v>1991/92</c:v>
                </c:pt>
                <c:pt idx="20">
                  <c:v>1992/93</c:v>
                </c:pt>
                <c:pt idx="21">
                  <c:v>1993/94</c:v>
                </c:pt>
                <c:pt idx="22">
                  <c:v>1994/95</c:v>
                </c:pt>
                <c:pt idx="23">
                  <c:v>1995/96</c:v>
                </c:pt>
                <c:pt idx="24">
                  <c:v>1996/97</c:v>
                </c:pt>
                <c:pt idx="25">
                  <c:v>1997/98</c:v>
                </c:pt>
                <c:pt idx="26">
                  <c:v>1998/99</c:v>
                </c:pt>
                <c:pt idx="27">
                  <c:v>1999/00</c:v>
                </c:pt>
                <c:pt idx="28">
                  <c:v>2000/01</c:v>
                </c:pt>
                <c:pt idx="29">
                  <c:v>2001/02</c:v>
                </c:pt>
                <c:pt idx="30">
                  <c:v>2002/03</c:v>
                </c:pt>
                <c:pt idx="31">
                  <c:v>2003/04</c:v>
                </c:pt>
                <c:pt idx="32">
                  <c:v>2004/05</c:v>
                </c:pt>
                <c:pt idx="33">
                  <c:v>2005/06</c:v>
                </c:pt>
                <c:pt idx="34">
                  <c:v>2006/07</c:v>
                </c:pt>
                <c:pt idx="35">
                  <c:v>2007/08</c:v>
                </c:pt>
                <c:pt idx="36">
                  <c:v>2008/09</c:v>
                </c:pt>
                <c:pt idx="37">
                  <c:v>2009/10</c:v>
                </c:pt>
                <c:pt idx="38">
                  <c:v>2010/11</c:v>
                </c:pt>
                <c:pt idx="39">
                  <c:v>2011/12</c:v>
                </c:pt>
                <c:pt idx="40">
                  <c:v>2012/13</c:v>
                </c:pt>
                <c:pt idx="41">
                  <c:v>2013/14</c:v>
                </c:pt>
                <c:pt idx="42">
                  <c:v>2014/15</c:v>
                </c:pt>
                <c:pt idx="43">
                  <c:v>2015/16</c:v>
                </c:pt>
              </c:strCache>
            </c:strRef>
          </c:cat>
          <c:val>
            <c:numRef>
              <c:f>Sheet1!$D$2:$AU$2</c:f>
              <c:numCache>
                <c:formatCode>0.00%</c:formatCode>
                <c:ptCount val="44"/>
                <c:pt idx="0">
                  <c:v>0.14516129032258099</c:v>
                </c:pt>
                <c:pt idx="1">
                  <c:v>0.29230769230769199</c:v>
                </c:pt>
                <c:pt idx="2">
                  <c:v>0.53977272727272696</c:v>
                </c:pt>
                <c:pt idx="3">
                  <c:v>0.50530035335689105</c:v>
                </c:pt>
                <c:pt idx="4">
                  <c:v>0.40160642570281102</c:v>
                </c:pt>
                <c:pt idx="5">
                  <c:v>0.28169014084506999</c:v>
                </c:pt>
                <c:pt idx="6">
                  <c:v>0.26086956521739102</c:v>
                </c:pt>
                <c:pt idx="7">
                  <c:v>0.16908212560386501</c:v>
                </c:pt>
                <c:pt idx="8">
                  <c:v>7.54716981132076E-2</c:v>
                </c:pt>
                <c:pt idx="9">
                  <c:v>0.36363636363636398</c:v>
                </c:pt>
                <c:pt idx="10">
                  <c:v>0.40376569037656901</c:v>
                </c:pt>
                <c:pt idx="11">
                  <c:v>0.32055749128919903</c:v>
                </c:pt>
                <c:pt idx="12">
                  <c:v>0.16342412451361901</c:v>
                </c:pt>
                <c:pt idx="13">
                  <c:v>0.27551020408163301</c:v>
                </c:pt>
                <c:pt idx="14">
                  <c:v>0.290697674418605</c:v>
                </c:pt>
                <c:pt idx="15">
                  <c:v>0.44483985765124601</c:v>
                </c:pt>
                <c:pt idx="16">
                  <c:v>0.466321243523316</c:v>
                </c:pt>
                <c:pt idx="17">
                  <c:v>0.44061302681992298</c:v>
                </c:pt>
                <c:pt idx="18">
                  <c:v>0.34859154929577502</c:v>
                </c:pt>
                <c:pt idx="19">
                  <c:v>0.32996632996633002</c:v>
                </c:pt>
                <c:pt idx="20">
                  <c:v>0.47191011235955099</c:v>
                </c:pt>
                <c:pt idx="21">
                  <c:v>0.30188679245283001</c:v>
                </c:pt>
                <c:pt idx="22">
                  <c:v>0.35807860262008701</c:v>
                </c:pt>
                <c:pt idx="23">
                  <c:v>0.33187772925764197</c:v>
                </c:pt>
                <c:pt idx="24">
                  <c:v>0.24479166666666699</c:v>
                </c:pt>
                <c:pt idx="25">
                  <c:v>0.26442307692307698</c:v>
                </c:pt>
                <c:pt idx="26">
                  <c:v>0.26070038910505799</c:v>
                </c:pt>
                <c:pt idx="27">
                  <c:v>0.33215547703180198</c:v>
                </c:pt>
                <c:pt idx="28">
                  <c:v>0.55502392344497598</c:v>
                </c:pt>
                <c:pt idx="29">
                  <c:v>0.40465116279069802</c:v>
                </c:pt>
                <c:pt idx="30">
                  <c:v>0.32450331125827803</c:v>
                </c:pt>
                <c:pt idx="31">
                  <c:v>0.10752688172043</c:v>
                </c:pt>
                <c:pt idx="32">
                  <c:v>0.135483870967742</c:v>
                </c:pt>
                <c:pt idx="33">
                  <c:v>0.22051282051282101</c:v>
                </c:pt>
                <c:pt idx="34">
                  <c:v>0.42934782608695699</c:v>
                </c:pt>
                <c:pt idx="35">
                  <c:v>0.12727272727272701</c:v>
                </c:pt>
                <c:pt idx="36">
                  <c:v>0.111650485436893</c:v>
                </c:pt>
                <c:pt idx="37">
                  <c:v>0.23267326732673299</c:v>
                </c:pt>
                <c:pt idx="38">
                  <c:v>0.32307692307692298</c:v>
                </c:pt>
                <c:pt idx="39">
                  <c:v>8.9552238805970102E-2</c:v>
                </c:pt>
                <c:pt idx="40">
                  <c:v>7.18232044198895E-2</c:v>
                </c:pt>
                <c:pt idx="41">
                  <c:v>0.121621621621622</c:v>
                </c:pt>
                <c:pt idx="42">
                  <c:v>0.17374517374517401</c:v>
                </c:pt>
                <c:pt idx="43">
                  <c:v>0.11111111111111099</c:v>
                </c:pt>
              </c:numCache>
            </c:numRef>
          </c:val>
          <c:smooth val="0"/>
          <c:extLst>
            <c:ext xmlns:c16="http://schemas.microsoft.com/office/drawing/2014/chart" uri="{C3380CC4-5D6E-409C-BE32-E72D297353CC}">
              <c16:uniqueId val="{00000001-1D94-4B47-AE35-30DFF1EFBCC4}"/>
            </c:ext>
          </c:extLst>
        </c:ser>
        <c:ser>
          <c:idx val="1"/>
          <c:order val="1"/>
          <c:tx>
            <c:strRef>
              <c:f>Sheet1!$C$3</c:f>
              <c:strCache>
                <c:ptCount val="1"/>
                <c:pt idx="0">
                  <c:v>Share in global groundnut exports</c:v>
                </c:pt>
              </c:strCache>
            </c:strRef>
          </c:tx>
          <c:spPr>
            <a:ln w="28575" cap="rnd">
              <a:solidFill>
                <a:schemeClr val="accent2"/>
              </a:solidFill>
              <a:round/>
            </a:ln>
            <a:effectLst/>
          </c:spPr>
          <c:marker>
            <c:symbol val="none"/>
          </c:marker>
          <c:cat>
            <c:strRef>
              <c:f>Sheet1!$D$1:$AU$1</c:f>
              <c:strCache>
                <c:ptCount val="44"/>
                <c:pt idx="0">
                  <c:v>1972/73</c:v>
                </c:pt>
                <c:pt idx="1">
                  <c:v>1973/74</c:v>
                </c:pt>
                <c:pt idx="2">
                  <c:v>1974/75</c:v>
                </c:pt>
                <c:pt idx="3">
                  <c:v>1975/76</c:v>
                </c:pt>
                <c:pt idx="4">
                  <c:v>1976/77</c:v>
                </c:pt>
                <c:pt idx="5">
                  <c:v>1977/78</c:v>
                </c:pt>
                <c:pt idx="6">
                  <c:v>1978/79</c:v>
                </c:pt>
                <c:pt idx="7">
                  <c:v>1979/80</c:v>
                </c:pt>
                <c:pt idx="8">
                  <c:v>1980/81</c:v>
                </c:pt>
                <c:pt idx="9">
                  <c:v>1981/82</c:v>
                </c:pt>
                <c:pt idx="10">
                  <c:v>1982/83</c:v>
                </c:pt>
                <c:pt idx="11">
                  <c:v>1983/84</c:v>
                </c:pt>
                <c:pt idx="12">
                  <c:v>1984/85</c:v>
                </c:pt>
                <c:pt idx="13">
                  <c:v>1985/86</c:v>
                </c:pt>
                <c:pt idx="14">
                  <c:v>1986/87</c:v>
                </c:pt>
                <c:pt idx="15">
                  <c:v>1987/88</c:v>
                </c:pt>
                <c:pt idx="16">
                  <c:v>1988/89</c:v>
                </c:pt>
                <c:pt idx="17">
                  <c:v>1989/90</c:v>
                </c:pt>
                <c:pt idx="18">
                  <c:v>1990/91</c:v>
                </c:pt>
                <c:pt idx="19">
                  <c:v>1991/92</c:v>
                </c:pt>
                <c:pt idx="20">
                  <c:v>1992/93</c:v>
                </c:pt>
                <c:pt idx="21">
                  <c:v>1993/94</c:v>
                </c:pt>
                <c:pt idx="22">
                  <c:v>1994/95</c:v>
                </c:pt>
                <c:pt idx="23">
                  <c:v>1995/96</c:v>
                </c:pt>
                <c:pt idx="24">
                  <c:v>1996/97</c:v>
                </c:pt>
                <c:pt idx="25">
                  <c:v>1997/98</c:v>
                </c:pt>
                <c:pt idx="26">
                  <c:v>1998/99</c:v>
                </c:pt>
                <c:pt idx="27">
                  <c:v>1999/00</c:v>
                </c:pt>
                <c:pt idx="28">
                  <c:v>2000/01</c:v>
                </c:pt>
                <c:pt idx="29">
                  <c:v>2001/02</c:v>
                </c:pt>
                <c:pt idx="30">
                  <c:v>2002/03</c:v>
                </c:pt>
                <c:pt idx="31">
                  <c:v>2003/04</c:v>
                </c:pt>
                <c:pt idx="32">
                  <c:v>2004/05</c:v>
                </c:pt>
                <c:pt idx="33">
                  <c:v>2005/06</c:v>
                </c:pt>
                <c:pt idx="34">
                  <c:v>2006/07</c:v>
                </c:pt>
                <c:pt idx="35">
                  <c:v>2007/08</c:v>
                </c:pt>
                <c:pt idx="36">
                  <c:v>2008/09</c:v>
                </c:pt>
                <c:pt idx="37">
                  <c:v>2009/10</c:v>
                </c:pt>
                <c:pt idx="38">
                  <c:v>2010/11</c:v>
                </c:pt>
                <c:pt idx="39">
                  <c:v>2011/12</c:v>
                </c:pt>
                <c:pt idx="40">
                  <c:v>2012/13</c:v>
                </c:pt>
                <c:pt idx="41">
                  <c:v>2013/14</c:v>
                </c:pt>
                <c:pt idx="42">
                  <c:v>2014/15</c:v>
                </c:pt>
                <c:pt idx="43">
                  <c:v>2015/16</c:v>
                </c:pt>
              </c:strCache>
            </c:strRef>
          </c:cat>
          <c:val>
            <c:numRef>
              <c:f>Sheet1!$D$3:$AU$3</c:f>
              <c:numCache>
                <c:formatCode>0.00%</c:formatCode>
                <c:ptCount val="44"/>
                <c:pt idx="0">
                  <c:v>5.9422750424448197E-3</c:v>
                </c:pt>
                <c:pt idx="1">
                  <c:v>1.35623869801085E-2</c:v>
                </c:pt>
                <c:pt idx="2">
                  <c:v>1.42450142450142E-2</c:v>
                </c:pt>
                <c:pt idx="3">
                  <c:v>0.13668499607227</c:v>
                </c:pt>
                <c:pt idx="4">
                  <c:v>7.0652173913043501E-2</c:v>
                </c:pt>
                <c:pt idx="5">
                  <c:v>5.0050050050050102E-2</c:v>
                </c:pt>
                <c:pt idx="6">
                  <c:v>4.71698113207547E-2</c:v>
                </c:pt>
                <c:pt idx="7">
                  <c:v>2.08116545265349E-3</c:v>
                </c:pt>
                <c:pt idx="8">
                  <c:v>2.6954177897574099E-3</c:v>
                </c:pt>
                <c:pt idx="9">
                  <c:v>6.1162079510703399E-3</c:v>
                </c:pt>
                <c:pt idx="10">
                  <c:v>0</c:v>
                </c:pt>
                <c:pt idx="11">
                  <c:v>1.6443987667009299E-2</c:v>
                </c:pt>
                <c:pt idx="12">
                  <c:v>0</c:v>
                </c:pt>
                <c:pt idx="13">
                  <c:v>1.59108989657916E-3</c:v>
                </c:pt>
                <c:pt idx="14">
                  <c:v>0</c:v>
                </c:pt>
                <c:pt idx="15">
                  <c:v>7.5930144267274101E-4</c:v>
                </c:pt>
                <c:pt idx="16">
                  <c:v>8.8888888888888904E-4</c:v>
                </c:pt>
                <c:pt idx="17">
                  <c:v>2.34192037470726E-3</c:v>
                </c:pt>
                <c:pt idx="18">
                  <c:v>3.0674846625766898E-3</c:v>
                </c:pt>
                <c:pt idx="19">
                  <c:v>4.0716612377850198E-3</c:v>
                </c:pt>
                <c:pt idx="20">
                  <c:v>1.57604412923562E-3</c:v>
                </c:pt>
                <c:pt idx="21">
                  <c:v>1.82370820668693E-2</c:v>
                </c:pt>
                <c:pt idx="22">
                  <c:v>2.0435967302452299E-2</c:v>
                </c:pt>
                <c:pt idx="23">
                  <c:v>1.8844221105527598E-2</c:v>
                </c:pt>
                <c:pt idx="24">
                  <c:v>1.10192837465565E-2</c:v>
                </c:pt>
                <c:pt idx="25">
                  <c:v>3.4435261707988999E-3</c:v>
                </c:pt>
                <c:pt idx="26">
                  <c:v>4.4576523031203599E-3</c:v>
                </c:pt>
                <c:pt idx="27">
                  <c:v>3.6687631027253701E-3</c:v>
                </c:pt>
                <c:pt idx="28">
                  <c:v>2.07146556188503E-3</c:v>
                </c:pt>
                <c:pt idx="29">
                  <c:v>1.50526843953838E-3</c:v>
                </c:pt>
                <c:pt idx="30">
                  <c:v>4.8332527791203502E-4</c:v>
                </c:pt>
                <c:pt idx="31">
                  <c:v>0</c:v>
                </c:pt>
                <c:pt idx="32">
                  <c:v>4.4014084507042298E-4</c:v>
                </c:pt>
                <c:pt idx="33">
                  <c:v>4.4228217602830598E-4</c:v>
                </c:pt>
                <c:pt idx="34">
                  <c:v>1.26050420168067E-2</c:v>
                </c:pt>
                <c:pt idx="35">
                  <c:v>4.0950040950041001E-4</c:v>
                </c:pt>
                <c:pt idx="36">
                  <c:v>0</c:v>
                </c:pt>
                <c:pt idx="37">
                  <c:v>1.2474012474012501E-3</c:v>
                </c:pt>
                <c:pt idx="38">
                  <c:v>6.1763054463784403E-3</c:v>
                </c:pt>
                <c:pt idx="39">
                  <c:v>6.3985374771480799E-3</c:v>
                </c:pt>
                <c:pt idx="40">
                  <c:v>1.72997367431365E-2</c:v>
                </c:pt>
                <c:pt idx="41">
                  <c:v>3.44589937973811E-4</c:v>
                </c:pt>
                <c:pt idx="42">
                  <c:v>0</c:v>
                </c:pt>
                <c:pt idx="43">
                  <c:v>5.4499006528526801E-2</c:v>
                </c:pt>
              </c:numCache>
            </c:numRef>
          </c:val>
          <c:smooth val="0"/>
          <c:extLst>
            <c:ext xmlns:c16="http://schemas.microsoft.com/office/drawing/2014/chart" uri="{C3380CC4-5D6E-409C-BE32-E72D297353CC}">
              <c16:uniqueId val="{00000002-1D94-4B47-AE35-30DFF1EFBCC4}"/>
            </c:ext>
          </c:extLst>
        </c:ser>
        <c:dLbls>
          <c:showLegendKey val="0"/>
          <c:showVal val="0"/>
          <c:showCatName val="0"/>
          <c:showSerName val="0"/>
          <c:showPercent val="0"/>
          <c:showBubbleSize val="0"/>
        </c:dLbls>
        <c:smooth val="0"/>
        <c:axId val="1062752112"/>
        <c:axId val="1062753888"/>
      </c:lineChart>
      <c:catAx>
        <c:axId val="106275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753888"/>
        <c:crosses val="autoZero"/>
        <c:auto val="1"/>
        <c:lblAlgn val="ctr"/>
        <c:lblOffset val="100"/>
        <c:noMultiLvlLbl val="0"/>
      </c:catAx>
      <c:valAx>
        <c:axId val="1062753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752112"/>
        <c:crosses val="autoZero"/>
        <c:crossBetween val="between"/>
      </c:valAx>
      <c:spPr>
        <a:noFill/>
        <a:ln>
          <a:noFill/>
        </a:ln>
        <a:effectLst/>
      </c:spPr>
    </c:plotArea>
    <c:legend>
      <c:legendPos val="r"/>
      <c:layout>
        <c:manualLayout>
          <c:xMode val="edge"/>
          <c:yMode val="edge"/>
          <c:x val="0.73542687372411797"/>
          <c:y val="7.1913749622330894E-2"/>
          <c:w val="0.25068423738699303"/>
          <c:h val="0.907073048915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'psd (1)'!$B$6:$C$6</c:f>
              <c:strCache>
                <c:ptCount val="2"/>
                <c:pt idx="0">
                  <c:v>Exports</c:v>
                </c:pt>
                <c:pt idx="1">
                  <c:v>Groundnut oil</c:v>
                </c:pt>
              </c:strCache>
            </c:strRef>
          </c:tx>
          <c:spPr>
            <a:ln w="28575" cap="rnd">
              <a:solidFill>
                <a:schemeClr val="accent1"/>
              </a:solidFill>
              <a:round/>
            </a:ln>
            <a:effectLst/>
          </c:spPr>
          <c:marker>
            <c:symbol val="none"/>
          </c:marker>
          <c:cat>
            <c:strRef>
              <c:f>'psd (1)'!$D$1:$AC$1</c:f>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f>'psd (1)'!$D$6:$AC$6</c:f>
              <c:numCache>
                <c:formatCode>General</c:formatCode>
                <c:ptCount val="26"/>
                <c:pt idx="0">
                  <c:v>284</c:v>
                </c:pt>
                <c:pt idx="1">
                  <c:v>297</c:v>
                </c:pt>
                <c:pt idx="2">
                  <c:v>178</c:v>
                </c:pt>
                <c:pt idx="3">
                  <c:v>265</c:v>
                </c:pt>
                <c:pt idx="4">
                  <c:v>229</c:v>
                </c:pt>
                <c:pt idx="5">
                  <c:v>229</c:v>
                </c:pt>
                <c:pt idx="6">
                  <c:v>192</c:v>
                </c:pt>
                <c:pt idx="7">
                  <c:v>208</c:v>
                </c:pt>
                <c:pt idx="8">
                  <c:v>257</c:v>
                </c:pt>
                <c:pt idx="9">
                  <c:v>283</c:v>
                </c:pt>
                <c:pt idx="10">
                  <c:v>209</c:v>
                </c:pt>
                <c:pt idx="11">
                  <c:v>215</c:v>
                </c:pt>
                <c:pt idx="12">
                  <c:v>151</c:v>
                </c:pt>
                <c:pt idx="13">
                  <c:v>186</c:v>
                </c:pt>
                <c:pt idx="14">
                  <c:v>155</c:v>
                </c:pt>
                <c:pt idx="15">
                  <c:v>195</c:v>
                </c:pt>
                <c:pt idx="16">
                  <c:v>184</c:v>
                </c:pt>
                <c:pt idx="17">
                  <c:v>165</c:v>
                </c:pt>
                <c:pt idx="18">
                  <c:v>206</c:v>
                </c:pt>
                <c:pt idx="19">
                  <c:v>202</c:v>
                </c:pt>
                <c:pt idx="20">
                  <c:v>195</c:v>
                </c:pt>
                <c:pt idx="21">
                  <c:v>201</c:v>
                </c:pt>
                <c:pt idx="22">
                  <c:v>181</c:v>
                </c:pt>
                <c:pt idx="23">
                  <c:v>222</c:v>
                </c:pt>
                <c:pt idx="24">
                  <c:v>259</c:v>
                </c:pt>
                <c:pt idx="25">
                  <c:v>252</c:v>
                </c:pt>
              </c:numCache>
            </c:numRef>
          </c:val>
          <c:smooth val="0"/>
          <c:extLst>
            <c:ext xmlns:c16="http://schemas.microsoft.com/office/drawing/2014/chart" uri="{C3380CC4-5D6E-409C-BE32-E72D297353CC}">
              <c16:uniqueId val="{00000000-8162-4940-9D15-813219D57EBB}"/>
            </c:ext>
          </c:extLst>
        </c:ser>
        <c:ser>
          <c:idx val="13"/>
          <c:order val="13"/>
          <c:tx>
            <c:strRef>
              <c:f>'psd (1)'!$B$16:$C$16</c:f>
              <c:strCache>
                <c:ptCount val="2"/>
                <c:pt idx="0">
                  <c:v>Exports</c:v>
                </c:pt>
                <c:pt idx="1">
                  <c:v>Groundnut (oil equivalent)</c:v>
                </c:pt>
              </c:strCache>
            </c:strRef>
          </c:tx>
          <c:spPr>
            <a:ln w="28575" cap="rnd">
              <a:solidFill>
                <a:schemeClr val="accent2">
                  <a:lumMod val="80000"/>
                  <a:lumOff val="20000"/>
                </a:schemeClr>
              </a:solidFill>
              <a:round/>
            </a:ln>
            <a:effectLst/>
          </c:spPr>
          <c:marker>
            <c:symbol val="none"/>
          </c:marker>
          <c:cat>
            <c:strRef>
              <c:f>'psd (1)'!$D$1:$AC$1</c:f>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f>'psd (1)'!$D$16:$AC$16</c:f>
              <c:numCache>
                <c:formatCode>#,##0</c:formatCode>
                <c:ptCount val="26"/>
                <c:pt idx="0">
                  <c:v>365.12000000000012</c:v>
                </c:pt>
                <c:pt idx="1">
                  <c:v>356.11999999999989</c:v>
                </c:pt>
                <c:pt idx="2">
                  <c:v>368.01</c:v>
                </c:pt>
                <c:pt idx="3">
                  <c:v>381.64</c:v>
                </c:pt>
                <c:pt idx="4">
                  <c:v>425.71999999999991</c:v>
                </c:pt>
                <c:pt idx="5">
                  <c:v>461.67999999999989</c:v>
                </c:pt>
                <c:pt idx="6">
                  <c:v>435.59999999999991</c:v>
                </c:pt>
                <c:pt idx="7">
                  <c:v>435.59999999999991</c:v>
                </c:pt>
                <c:pt idx="8">
                  <c:v>403.5</c:v>
                </c:pt>
                <c:pt idx="9">
                  <c:v>610.24</c:v>
                </c:pt>
                <c:pt idx="10">
                  <c:v>617.91999999999996</c:v>
                </c:pt>
                <c:pt idx="11">
                  <c:v>637.76</c:v>
                </c:pt>
                <c:pt idx="12">
                  <c:v>661.76</c:v>
                </c:pt>
                <c:pt idx="13">
                  <c:v>628.48</c:v>
                </c:pt>
                <c:pt idx="14">
                  <c:v>726.72</c:v>
                </c:pt>
                <c:pt idx="15">
                  <c:v>723.52</c:v>
                </c:pt>
                <c:pt idx="16">
                  <c:v>762.88</c:v>
                </c:pt>
                <c:pt idx="17">
                  <c:v>781.12</c:v>
                </c:pt>
                <c:pt idx="18">
                  <c:v>776.64</c:v>
                </c:pt>
                <c:pt idx="19">
                  <c:v>769.6</c:v>
                </c:pt>
                <c:pt idx="20">
                  <c:v>1139.8399999999999</c:v>
                </c:pt>
                <c:pt idx="21">
                  <c:v>1050.24</c:v>
                </c:pt>
                <c:pt idx="22">
                  <c:v>850.88</c:v>
                </c:pt>
                <c:pt idx="23">
                  <c:v>928.95999999999788</c:v>
                </c:pt>
                <c:pt idx="24">
                  <c:v>1056</c:v>
                </c:pt>
                <c:pt idx="25">
                  <c:v>1127.3599999999999</c:v>
                </c:pt>
              </c:numCache>
            </c:numRef>
          </c:val>
          <c:smooth val="0"/>
          <c:extLst>
            <c:ext xmlns:c16="http://schemas.microsoft.com/office/drawing/2014/chart" uri="{C3380CC4-5D6E-409C-BE32-E72D297353CC}">
              <c16:uniqueId val="{00000001-8162-4940-9D15-813219D57EBB}"/>
            </c:ext>
          </c:extLst>
        </c:ser>
        <c:dLbls>
          <c:showLegendKey val="0"/>
          <c:showVal val="0"/>
          <c:showCatName val="0"/>
          <c:showSerName val="0"/>
          <c:showPercent val="0"/>
          <c:showBubbleSize val="0"/>
        </c:dLbls>
        <c:smooth val="0"/>
        <c:axId val="1059001632"/>
        <c:axId val="1290492064"/>
        <c:extLst>
          <c:ext xmlns:c15="http://schemas.microsoft.com/office/drawing/2012/chart" uri="{02D57815-91ED-43cb-92C2-25804820EDAC}">
            <c15:filteredLineSeries>
              <c15:ser>
                <c:idx val="0"/>
                <c:order val="0"/>
                <c:tx>
                  <c:strRef>
                    <c:extLst>
                      <c:ext uri="{02D57815-91ED-43cb-92C2-25804820EDAC}">
                        <c15:formulaRef>
                          <c15:sqref>'psd (1)'!$B$3:$C$3</c15:sqref>
                        </c15:formulaRef>
                      </c:ext>
                    </c:extLst>
                    <c:strCache>
                      <c:ptCount val="2"/>
                      <c:pt idx="0">
                        <c:v>Production</c:v>
                      </c:pt>
                      <c:pt idx="1">
                        <c:v>Groundnut oil</c:v>
                      </c:pt>
                    </c:strCache>
                  </c:strRef>
                </c:tx>
                <c:spPr>
                  <a:ln w="28575" cap="rnd">
                    <a:solidFill>
                      <a:schemeClr val="accent1"/>
                    </a:solidFill>
                    <a:round/>
                  </a:ln>
                  <a:effectLst/>
                </c:spPr>
                <c:marker>
                  <c:symbol val="none"/>
                </c:marker>
                <c:cat>
                  <c:strRef>
                    <c:extLst>
                      <c:ex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c:ext uri="{02D57815-91ED-43cb-92C2-25804820EDAC}">
                        <c15:formulaRef>
                          <c15:sqref>'psd (1)'!$D$3:$AC$3</c15:sqref>
                        </c15:formulaRef>
                      </c:ext>
                    </c:extLst>
                    <c:numCache>
                      <c:formatCode>#,##0</c:formatCode>
                      <c:ptCount val="26"/>
                      <c:pt idx="0">
                        <c:v>3294</c:v>
                      </c:pt>
                      <c:pt idx="1">
                        <c:v>3296</c:v>
                      </c:pt>
                      <c:pt idx="2">
                        <c:v>3512</c:v>
                      </c:pt>
                      <c:pt idx="3">
                        <c:v>3616</c:v>
                      </c:pt>
                      <c:pt idx="4">
                        <c:v>4141</c:v>
                      </c:pt>
                      <c:pt idx="5">
                        <c:v>4076</c:v>
                      </c:pt>
                      <c:pt idx="6">
                        <c:v>4426</c:v>
                      </c:pt>
                      <c:pt idx="7">
                        <c:v>4176</c:v>
                      </c:pt>
                      <c:pt idx="8">
                        <c:v>4440</c:v>
                      </c:pt>
                      <c:pt idx="9">
                        <c:v>4413</c:v>
                      </c:pt>
                      <c:pt idx="10">
                        <c:v>4721</c:v>
                      </c:pt>
                      <c:pt idx="11">
                        <c:v>5292</c:v>
                      </c:pt>
                      <c:pt idx="12">
                        <c:v>4885</c:v>
                      </c:pt>
                      <c:pt idx="13">
                        <c:v>5264</c:v>
                      </c:pt>
                      <c:pt idx="14">
                        <c:v>4931</c:v>
                      </c:pt>
                      <c:pt idx="15">
                        <c:v>5012</c:v>
                      </c:pt>
                      <c:pt idx="16">
                        <c:v>4552</c:v>
                      </c:pt>
                      <c:pt idx="17">
                        <c:v>4926</c:v>
                      </c:pt>
                      <c:pt idx="18">
                        <c:v>5013</c:v>
                      </c:pt>
                      <c:pt idx="19">
                        <c:v>4819</c:v>
                      </c:pt>
                      <c:pt idx="20">
                        <c:v>5155</c:v>
                      </c:pt>
                      <c:pt idx="21">
                        <c:v>5279</c:v>
                      </c:pt>
                      <c:pt idx="22">
                        <c:v>5398</c:v>
                      </c:pt>
                      <c:pt idx="23">
                        <c:v>5724</c:v>
                      </c:pt>
                      <c:pt idx="24">
                        <c:v>5427</c:v>
                      </c:pt>
                      <c:pt idx="25">
                        <c:v>5438</c:v>
                      </c:pt>
                    </c:numCache>
                  </c:numRef>
                </c:val>
                <c:smooth val="0"/>
                <c:extLst>
                  <c:ext xmlns:c16="http://schemas.microsoft.com/office/drawing/2014/chart" uri="{C3380CC4-5D6E-409C-BE32-E72D297353CC}">
                    <c16:uniqueId val="{00000002-8162-4940-9D15-813219D57EB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'psd (1)'!$B$4:$C$4</c15:sqref>
                        </c15:formulaRef>
                      </c:ext>
                    </c:extLst>
                    <c:strCache>
                      <c:ptCount val="2"/>
                      <c:pt idx="0">
                        <c:v>Imports</c:v>
                      </c:pt>
                      <c:pt idx="1">
                        <c:v>Groundnut oil</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(1)'!$D$4:$AC$4</c15:sqref>
                        </c15:formulaRef>
                      </c:ext>
                    </c:extLst>
                    <c:numCache>
                      <c:formatCode>General</c:formatCode>
                      <c:ptCount val="26"/>
                      <c:pt idx="0">
                        <c:v>302</c:v>
                      </c:pt>
                      <c:pt idx="1">
                        <c:v>222</c:v>
                      </c:pt>
                      <c:pt idx="2">
                        <c:v>230</c:v>
                      </c:pt>
                      <c:pt idx="3">
                        <c:v>228</c:v>
                      </c:pt>
                      <c:pt idx="4">
                        <c:v>249</c:v>
                      </c:pt>
                      <c:pt idx="5">
                        <c:v>215</c:v>
                      </c:pt>
                      <c:pt idx="6">
                        <c:v>222</c:v>
                      </c:pt>
                      <c:pt idx="7">
                        <c:v>223</c:v>
                      </c:pt>
                      <c:pt idx="8">
                        <c:v>216</c:v>
                      </c:pt>
                      <c:pt idx="9">
                        <c:v>202</c:v>
                      </c:pt>
                      <c:pt idx="10">
                        <c:v>205</c:v>
                      </c:pt>
                      <c:pt idx="11">
                        <c:v>221</c:v>
                      </c:pt>
                      <c:pt idx="12">
                        <c:v>212</c:v>
                      </c:pt>
                      <c:pt idx="13">
                        <c:v>192</c:v>
                      </c:pt>
                      <c:pt idx="14">
                        <c:v>160</c:v>
                      </c:pt>
                      <c:pt idx="15">
                        <c:v>153</c:v>
                      </c:pt>
                      <c:pt idx="16">
                        <c:v>184</c:v>
                      </c:pt>
                      <c:pt idx="17">
                        <c:v>153</c:v>
                      </c:pt>
                      <c:pt idx="18">
                        <c:v>143</c:v>
                      </c:pt>
                      <c:pt idx="19">
                        <c:v>186</c:v>
                      </c:pt>
                      <c:pt idx="20">
                        <c:v>197</c:v>
                      </c:pt>
                      <c:pt idx="21">
                        <c:v>166</c:v>
                      </c:pt>
                      <c:pt idx="22">
                        <c:v>161</c:v>
                      </c:pt>
                      <c:pt idx="23">
                        <c:v>190</c:v>
                      </c:pt>
                      <c:pt idx="24">
                        <c:v>248</c:v>
                      </c:pt>
                      <c:pt idx="25">
                        <c:v>240</c:v>
                      </c:pt>
                    </c:numCache>
                  </c:numRef>
                </c:val>
                <c:smooth val="0"/>
                <c:extLst xmlns:c15="http://schemas.microsoft.com/office/drawing/2012/chart">
                  <c:ext xmlns:c16="http://schemas.microsoft.com/office/drawing/2014/chart" uri="{C3380CC4-5D6E-409C-BE32-E72D297353CC}">
                    <c16:uniqueId val="{00000003-8162-4940-9D15-813219D57EB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'psd (1)'!$B$5:$C$5</c15:sqref>
                        </c15:formulaRef>
                      </c:ext>
                    </c:extLst>
                    <c:strCache>
                      <c:ptCount val="2"/>
                      <c:pt idx="0">
                        <c:v>Total Supply</c:v>
                      </c:pt>
                      <c:pt idx="1">
                        <c:v>Groundnut oil</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(1)'!$D$5:$AC$5</c15:sqref>
                        </c15:formulaRef>
                      </c:ext>
                    </c:extLst>
                    <c:numCache>
                      <c:formatCode>#,##0</c:formatCode>
                      <c:ptCount val="26"/>
                      <c:pt idx="0">
                        <c:v>3656</c:v>
                      </c:pt>
                      <c:pt idx="1">
                        <c:v>3561</c:v>
                      </c:pt>
                      <c:pt idx="2">
                        <c:v>3820</c:v>
                      </c:pt>
                      <c:pt idx="3">
                        <c:v>3909</c:v>
                      </c:pt>
                      <c:pt idx="4">
                        <c:v>4437</c:v>
                      </c:pt>
                      <c:pt idx="5">
                        <c:v>4358</c:v>
                      </c:pt>
                      <c:pt idx="6">
                        <c:v>4751</c:v>
                      </c:pt>
                      <c:pt idx="7">
                        <c:v>4498</c:v>
                      </c:pt>
                      <c:pt idx="8">
                        <c:v>4728</c:v>
                      </c:pt>
                      <c:pt idx="9">
                        <c:v>4675</c:v>
                      </c:pt>
                      <c:pt idx="10">
                        <c:v>5097</c:v>
                      </c:pt>
                      <c:pt idx="11">
                        <c:v>5697</c:v>
                      </c:pt>
                      <c:pt idx="12">
                        <c:v>5311</c:v>
                      </c:pt>
                      <c:pt idx="13">
                        <c:v>5648</c:v>
                      </c:pt>
                      <c:pt idx="14">
                        <c:v>5407</c:v>
                      </c:pt>
                      <c:pt idx="15">
                        <c:v>5446</c:v>
                      </c:pt>
                      <c:pt idx="16">
                        <c:v>4988</c:v>
                      </c:pt>
                      <c:pt idx="17">
                        <c:v>5281</c:v>
                      </c:pt>
                      <c:pt idx="18">
                        <c:v>5505</c:v>
                      </c:pt>
                      <c:pt idx="19">
                        <c:v>5408</c:v>
                      </c:pt>
                      <c:pt idx="20">
                        <c:v>5671</c:v>
                      </c:pt>
                      <c:pt idx="21">
                        <c:v>5756</c:v>
                      </c:pt>
                      <c:pt idx="22">
                        <c:v>5844</c:v>
                      </c:pt>
                      <c:pt idx="23">
                        <c:v>6135</c:v>
                      </c:pt>
                      <c:pt idx="24">
                        <c:v>5912</c:v>
                      </c:pt>
                      <c:pt idx="25">
                        <c:v>5827</c:v>
                      </c:pt>
                    </c:numCache>
                  </c:numRef>
                </c:val>
                <c:smooth val="0"/>
                <c:extLst xmlns:c15="http://schemas.microsoft.com/office/drawing/2012/chart">
                  <c:ext xmlns:c16="http://schemas.microsoft.com/office/drawing/2014/chart" uri="{C3380CC4-5D6E-409C-BE32-E72D297353CC}">
                    <c16:uniqueId val="{00000004-8162-4940-9D15-813219D57EB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'psd (1)'!$B$7:$C$7</c15:sqref>
                        </c15:formulaRef>
                      </c:ext>
                    </c:extLst>
                    <c:strCache>
                      <c:ptCount val="2"/>
                      <c:pt idx="0">
                        <c:v>Domestic Consumption</c:v>
                      </c:pt>
                      <c:pt idx="1">
                        <c:v>Groundnut oil</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(1)'!$D$7:$AC$7</c15:sqref>
                        </c15:formulaRef>
                      </c:ext>
                    </c:extLst>
                    <c:numCache>
                      <c:formatCode>#,##0</c:formatCode>
                      <c:ptCount val="26"/>
                      <c:pt idx="0">
                        <c:v>3308</c:v>
                      </c:pt>
                      <c:pt idx="1">
                        <c:v>3186</c:v>
                      </c:pt>
                      <c:pt idx="2">
                        <c:v>3577</c:v>
                      </c:pt>
                      <c:pt idx="3">
                        <c:v>3597</c:v>
                      </c:pt>
                      <c:pt idx="4">
                        <c:v>4141</c:v>
                      </c:pt>
                      <c:pt idx="5">
                        <c:v>4026</c:v>
                      </c:pt>
                      <c:pt idx="6">
                        <c:v>4460</c:v>
                      </c:pt>
                      <c:pt idx="7">
                        <c:v>4218</c:v>
                      </c:pt>
                      <c:pt idx="8">
                        <c:v>4411</c:v>
                      </c:pt>
                      <c:pt idx="9">
                        <c:v>4221</c:v>
                      </c:pt>
                      <c:pt idx="10">
                        <c:v>4704</c:v>
                      </c:pt>
                      <c:pt idx="11">
                        <c:v>5268</c:v>
                      </c:pt>
                      <c:pt idx="12">
                        <c:v>4968</c:v>
                      </c:pt>
                      <c:pt idx="13">
                        <c:v>5146</c:v>
                      </c:pt>
                      <c:pt idx="14">
                        <c:v>4971</c:v>
                      </c:pt>
                      <c:pt idx="15">
                        <c:v>4999</c:v>
                      </c:pt>
                      <c:pt idx="16">
                        <c:v>4602</c:v>
                      </c:pt>
                      <c:pt idx="17">
                        <c:v>4767</c:v>
                      </c:pt>
                      <c:pt idx="18">
                        <c:v>4896</c:v>
                      </c:pt>
                      <c:pt idx="19">
                        <c:v>4887</c:v>
                      </c:pt>
                      <c:pt idx="20">
                        <c:v>5165</c:v>
                      </c:pt>
                      <c:pt idx="21">
                        <c:v>5270</c:v>
                      </c:pt>
                      <c:pt idx="22">
                        <c:v>5442</c:v>
                      </c:pt>
                      <c:pt idx="23">
                        <c:v>5676</c:v>
                      </c:pt>
                      <c:pt idx="24">
                        <c:v>5504</c:v>
                      </c:pt>
                      <c:pt idx="25">
                        <c:v>5439</c:v>
                      </c:pt>
                    </c:numCache>
                  </c:numRef>
                </c:val>
                <c:smooth val="0"/>
                <c:extLst xmlns:c15="http://schemas.microsoft.com/office/drawing/2012/chart">
                  <c:ext xmlns:c16="http://schemas.microsoft.com/office/drawing/2014/chart" uri="{C3380CC4-5D6E-409C-BE32-E72D297353CC}">
                    <c16:uniqueId val="{00000005-8162-4940-9D15-813219D57EB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'psd (1)'!$B$8:$C$8</c15:sqref>
                        </c15:formulaRef>
                      </c:ext>
                    </c:extLst>
                    <c:strCache>
                      <c:ptCount val="2"/>
                      <c:pt idx="0">
                        <c:v>Production</c:v>
                      </c:pt>
                      <c:pt idx="1">
                        <c:v>Groundnut</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(1)'!$D$8:$AC$8</c15:sqref>
                        </c15:formulaRef>
                      </c:ext>
                    </c:extLst>
                    <c:numCache>
                      <c:formatCode>#,##0</c:formatCode>
                      <c:ptCount val="26"/>
                      <c:pt idx="0">
                        <c:v>21747</c:v>
                      </c:pt>
                      <c:pt idx="1">
                        <c:v>21953</c:v>
                      </c:pt>
                      <c:pt idx="2">
                        <c:v>23077</c:v>
                      </c:pt>
                      <c:pt idx="3">
                        <c:v>24298</c:v>
                      </c:pt>
                      <c:pt idx="4">
                        <c:v>27482</c:v>
                      </c:pt>
                      <c:pt idx="5">
                        <c:v>27630</c:v>
                      </c:pt>
                      <c:pt idx="6">
                        <c:v>29118</c:v>
                      </c:pt>
                      <c:pt idx="7">
                        <c:v>27518</c:v>
                      </c:pt>
                      <c:pt idx="8">
                        <c:v>29960</c:v>
                      </c:pt>
                      <c:pt idx="9">
                        <c:v>29416</c:v>
                      </c:pt>
                      <c:pt idx="10">
                        <c:v>33297</c:v>
                      </c:pt>
                      <c:pt idx="11">
                        <c:v>35634</c:v>
                      </c:pt>
                      <c:pt idx="12">
                        <c:v>33507</c:v>
                      </c:pt>
                      <c:pt idx="13">
                        <c:v>35179</c:v>
                      </c:pt>
                      <c:pt idx="14">
                        <c:v>34983</c:v>
                      </c:pt>
                      <c:pt idx="15">
                        <c:v>35739</c:v>
                      </c:pt>
                      <c:pt idx="16">
                        <c:v>32621</c:v>
                      </c:pt>
                      <c:pt idx="17">
                        <c:v>34125</c:v>
                      </c:pt>
                      <c:pt idx="18">
                        <c:v>36886</c:v>
                      </c:pt>
                      <c:pt idx="19">
                        <c:v>36369</c:v>
                      </c:pt>
                      <c:pt idx="20">
                        <c:v>39921</c:v>
                      </c:pt>
                      <c:pt idx="21">
                        <c:v>39364</c:v>
                      </c:pt>
                      <c:pt idx="22">
                        <c:v>40891</c:v>
                      </c:pt>
                      <c:pt idx="23">
                        <c:v>41868</c:v>
                      </c:pt>
                      <c:pt idx="24">
                        <c:v>40455</c:v>
                      </c:pt>
                      <c:pt idx="25">
                        <c:v>40423</c:v>
                      </c:pt>
                    </c:numCache>
                  </c:numRef>
                </c:val>
                <c:smooth val="0"/>
                <c:extLst xmlns:c15="http://schemas.microsoft.com/office/drawing/2012/chart">
                  <c:ext xmlns:c16="http://schemas.microsoft.com/office/drawing/2014/chart" uri="{C3380CC4-5D6E-409C-BE32-E72D297353CC}">
                    <c16:uniqueId val="{00000006-8162-4940-9D15-813219D57EBB}"/>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'psd (1)'!$B$9:$C$9</c15:sqref>
                        </c15:formulaRef>
                      </c:ext>
                    </c:extLst>
                    <c:strCache>
                      <c:ptCount val="2"/>
                      <c:pt idx="0">
                        <c:v>Imports</c:v>
                      </c:pt>
                      <c:pt idx="1">
                        <c:v>Groundnut</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(1)'!$D$9:$AC$9</c15:sqref>
                        </c15:formulaRef>
                      </c:ext>
                    </c:extLst>
                    <c:numCache>
                      <c:formatCode>#,##0</c:formatCode>
                      <c:ptCount val="26"/>
                      <c:pt idx="0">
                        <c:v>1363</c:v>
                      </c:pt>
                      <c:pt idx="1">
                        <c:v>1301</c:v>
                      </c:pt>
                      <c:pt idx="2">
                        <c:v>1222</c:v>
                      </c:pt>
                      <c:pt idx="3">
                        <c:v>1356</c:v>
                      </c:pt>
                      <c:pt idx="4">
                        <c:v>1405</c:v>
                      </c:pt>
                      <c:pt idx="5">
                        <c:v>1410</c:v>
                      </c:pt>
                      <c:pt idx="6">
                        <c:v>1459</c:v>
                      </c:pt>
                      <c:pt idx="7">
                        <c:v>1241</c:v>
                      </c:pt>
                      <c:pt idx="8">
                        <c:v>1407</c:v>
                      </c:pt>
                      <c:pt idx="9">
                        <c:v>1800</c:v>
                      </c:pt>
                      <c:pt idx="10">
                        <c:v>1778</c:v>
                      </c:pt>
                      <c:pt idx="11">
                        <c:v>1867</c:v>
                      </c:pt>
                      <c:pt idx="12">
                        <c:v>1719</c:v>
                      </c:pt>
                      <c:pt idx="13">
                        <c:v>1620</c:v>
                      </c:pt>
                      <c:pt idx="14">
                        <c:v>1767</c:v>
                      </c:pt>
                      <c:pt idx="15">
                        <c:v>1870</c:v>
                      </c:pt>
                      <c:pt idx="16">
                        <c:v>1912</c:v>
                      </c:pt>
                      <c:pt idx="17">
                        <c:v>2034</c:v>
                      </c:pt>
                      <c:pt idx="18">
                        <c:v>1892</c:v>
                      </c:pt>
                      <c:pt idx="19">
                        <c:v>2017</c:v>
                      </c:pt>
                      <c:pt idx="20">
                        <c:v>2393</c:v>
                      </c:pt>
                      <c:pt idx="21">
                        <c:v>2377</c:v>
                      </c:pt>
                      <c:pt idx="22">
                        <c:v>2354</c:v>
                      </c:pt>
                      <c:pt idx="23">
                        <c:v>2359</c:v>
                      </c:pt>
                      <c:pt idx="24">
                        <c:v>2537</c:v>
                      </c:pt>
                      <c:pt idx="25">
                        <c:v>3285</c:v>
                      </c:pt>
                    </c:numCache>
                  </c:numRef>
                </c:val>
                <c:smooth val="0"/>
                <c:extLst xmlns:c15="http://schemas.microsoft.com/office/drawing/2012/chart">
                  <c:ext xmlns:c16="http://schemas.microsoft.com/office/drawing/2014/chart" uri="{C3380CC4-5D6E-409C-BE32-E72D297353CC}">
                    <c16:uniqueId val="{00000007-8162-4940-9D15-813219D57EB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'psd (1)'!$B$10:$C$10</c15:sqref>
                        </c15:formulaRef>
                      </c:ext>
                    </c:extLst>
                    <c:strCache>
                      <c:ptCount val="2"/>
                      <c:pt idx="0">
                        <c:v>Total Supply</c:v>
                      </c:pt>
                      <c:pt idx="1">
                        <c:v>Groundnut</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(1)'!$D$10:$AC$10</c15:sqref>
                        </c15:formulaRef>
                      </c:ext>
                    </c:extLst>
                    <c:numCache>
                      <c:formatCode>#,##0</c:formatCode>
                      <c:ptCount val="26"/>
                      <c:pt idx="0">
                        <c:v>23846</c:v>
                      </c:pt>
                      <c:pt idx="1">
                        <c:v>23982</c:v>
                      </c:pt>
                      <c:pt idx="2">
                        <c:v>25170</c:v>
                      </c:pt>
                      <c:pt idx="3">
                        <c:v>26659</c:v>
                      </c:pt>
                      <c:pt idx="4">
                        <c:v>29686</c:v>
                      </c:pt>
                      <c:pt idx="5">
                        <c:v>30034</c:v>
                      </c:pt>
                      <c:pt idx="6">
                        <c:v>31407</c:v>
                      </c:pt>
                      <c:pt idx="7">
                        <c:v>29632</c:v>
                      </c:pt>
                      <c:pt idx="8">
                        <c:v>32405</c:v>
                      </c:pt>
                      <c:pt idx="9">
                        <c:v>32475</c:v>
                      </c:pt>
                      <c:pt idx="10">
                        <c:v>36399</c:v>
                      </c:pt>
                      <c:pt idx="11">
                        <c:v>38910</c:v>
                      </c:pt>
                      <c:pt idx="12">
                        <c:v>36994</c:v>
                      </c:pt>
                      <c:pt idx="13">
                        <c:v>38108</c:v>
                      </c:pt>
                      <c:pt idx="14">
                        <c:v>38062</c:v>
                      </c:pt>
                      <c:pt idx="15">
                        <c:v>39170</c:v>
                      </c:pt>
                      <c:pt idx="16">
                        <c:v>36393</c:v>
                      </c:pt>
                      <c:pt idx="17">
                        <c:v>37634</c:v>
                      </c:pt>
                      <c:pt idx="18">
                        <c:v>40189</c:v>
                      </c:pt>
                      <c:pt idx="19">
                        <c:v>40298</c:v>
                      </c:pt>
                      <c:pt idx="20">
                        <c:v>44276</c:v>
                      </c:pt>
                      <c:pt idx="21">
                        <c:v>44174</c:v>
                      </c:pt>
                      <c:pt idx="22">
                        <c:v>45401</c:v>
                      </c:pt>
                      <c:pt idx="23">
                        <c:v>47424</c:v>
                      </c:pt>
                      <c:pt idx="24">
                        <c:v>46693</c:v>
                      </c:pt>
                      <c:pt idx="25">
                        <c:v>46985</c:v>
                      </c:pt>
                    </c:numCache>
                  </c:numRef>
                </c:val>
                <c:smooth val="0"/>
                <c:extLst xmlns:c15="http://schemas.microsoft.com/office/drawing/2012/chart">
                  <c:ext xmlns:c16="http://schemas.microsoft.com/office/drawing/2014/chart" uri="{C3380CC4-5D6E-409C-BE32-E72D297353CC}">
                    <c16:uniqueId val="{00000008-8162-4940-9D15-813219D57EBB}"/>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'psd (1)'!$B$11:$C$11</c15:sqref>
                        </c15:formulaRef>
                      </c:ext>
                    </c:extLst>
                    <c:strCache>
                      <c:ptCount val="2"/>
                      <c:pt idx="0">
                        <c:v>Exports</c:v>
                      </c:pt>
                      <c:pt idx="1">
                        <c:v>Groundnut</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(1)'!$D$11:$AC$11</c15:sqref>
                        </c15:formulaRef>
                      </c:ext>
                    </c:extLst>
                    <c:numCache>
                      <c:formatCode>#,##0</c:formatCode>
                      <c:ptCount val="26"/>
                      <c:pt idx="0">
                        <c:v>1304</c:v>
                      </c:pt>
                      <c:pt idx="1">
                        <c:v>1228</c:v>
                      </c:pt>
                      <c:pt idx="2">
                        <c:v>1269</c:v>
                      </c:pt>
                      <c:pt idx="3">
                        <c:v>1316</c:v>
                      </c:pt>
                      <c:pt idx="4">
                        <c:v>1468</c:v>
                      </c:pt>
                      <c:pt idx="5">
                        <c:v>1592</c:v>
                      </c:pt>
                      <c:pt idx="6">
                        <c:v>1452</c:v>
                      </c:pt>
                      <c:pt idx="7">
                        <c:v>1452</c:v>
                      </c:pt>
                      <c:pt idx="8">
                        <c:v>1345</c:v>
                      </c:pt>
                      <c:pt idx="9">
                        <c:v>1907</c:v>
                      </c:pt>
                      <c:pt idx="10">
                        <c:v>1931</c:v>
                      </c:pt>
                      <c:pt idx="11">
                        <c:v>1993</c:v>
                      </c:pt>
                      <c:pt idx="12">
                        <c:v>2068</c:v>
                      </c:pt>
                      <c:pt idx="13">
                        <c:v>1964</c:v>
                      </c:pt>
                      <c:pt idx="14">
                        <c:v>2271</c:v>
                      </c:pt>
                      <c:pt idx="15">
                        <c:v>2261</c:v>
                      </c:pt>
                      <c:pt idx="16">
                        <c:v>2384</c:v>
                      </c:pt>
                      <c:pt idx="17">
                        <c:v>2441</c:v>
                      </c:pt>
                      <c:pt idx="18">
                        <c:v>2427</c:v>
                      </c:pt>
                      <c:pt idx="19">
                        <c:v>2405</c:v>
                      </c:pt>
                      <c:pt idx="20">
                        <c:v>3562</c:v>
                      </c:pt>
                      <c:pt idx="21">
                        <c:v>3282</c:v>
                      </c:pt>
                      <c:pt idx="22">
                        <c:v>2659</c:v>
                      </c:pt>
                      <c:pt idx="23">
                        <c:v>2903</c:v>
                      </c:pt>
                      <c:pt idx="24">
                        <c:v>3300</c:v>
                      </c:pt>
                      <c:pt idx="25">
                        <c:v>3523</c:v>
                      </c:pt>
                    </c:numCache>
                  </c:numRef>
                </c:val>
                <c:smooth val="0"/>
                <c:extLst xmlns:c15="http://schemas.microsoft.com/office/drawing/2012/chart">
                  <c:ext xmlns:c16="http://schemas.microsoft.com/office/drawing/2014/chart" uri="{C3380CC4-5D6E-409C-BE32-E72D297353CC}">
                    <c16:uniqueId val="{00000009-8162-4940-9D15-813219D57EBB}"/>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'psd (1)'!$B$12:$C$12</c15:sqref>
                        </c15:formulaRef>
                      </c:ext>
                    </c:extLst>
                    <c:strCache>
                      <c:ptCount val="2"/>
                      <c:pt idx="0">
                        <c:v>Domestic Consumption</c:v>
                      </c:pt>
                      <c:pt idx="1">
                        <c:v>Groundnut</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(1)'!$D$12:$AC$12</c15:sqref>
                        </c15:formulaRef>
                      </c:ext>
                    </c:extLst>
                    <c:numCache>
                      <c:formatCode>#,##0</c:formatCode>
                      <c:ptCount val="26"/>
                      <c:pt idx="0">
                        <c:v>21786</c:v>
                      </c:pt>
                      <c:pt idx="1">
                        <c:v>21883</c:v>
                      </c:pt>
                      <c:pt idx="2">
                        <c:v>22896</c:v>
                      </c:pt>
                      <c:pt idx="3">
                        <c:v>24544</c:v>
                      </c:pt>
                      <c:pt idx="4">
                        <c:v>27224</c:v>
                      </c:pt>
                      <c:pt idx="5">
                        <c:v>27612</c:v>
                      </c:pt>
                      <c:pt idx="6">
                        <c:v>29082</c:v>
                      </c:pt>
                      <c:pt idx="7">
                        <c:v>27142</c:v>
                      </c:pt>
                      <c:pt idx="8">
                        <c:v>29801</c:v>
                      </c:pt>
                      <c:pt idx="9">
                        <c:v>29244</c:v>
                      </c:pt>
                      <c:pt idx="10">
                        <c:v>33059</c:v>
                      </c:pt>
                      <c:pt idx="11">
                        <c:v>35149</c:v>
                      </c:pt>
                      <c:pt idx="12">
                        <c:v>33617</c:v>
                      </c:pt>
                      <c:pt idx="13">
                        <c:v>34832</c:v>
                      </c:pt>
                      <c:pt idx="14">
                        <c:v>34230</c:v>
                      </c:pt>
                      <c:pt idx="15">
                        <c:v>35049</c:v>
                      </c:pt>
                      <c:pt idx="16">
                        <c:v>32534</c:v>
                      </c:pt>
                      <c:pt idx="17">
                        <c:v>33782</c:v>
                      </c:pt>
                      <c:pt idx="18">
                        <c:v>35850</c:v>
                      </c:pt>
                      <c:pt idx="19">
                        <c:v>35931</c:v>
                      </c:pt>
                      <c:pt idx="20">
                        <c:v>38281</c:v>
                      </c:pt>
                      <c:pt idx="21">
                        <c:v>38736</c:v>
                      </c:pt>
                      <c:pt idx="22">
                        <c:v>39545</c:v>
                      </c:pt>
                      <c:pt idx="23">
                        <c:v>40820</c:v>
                      </c:pt>
                      <c:pt idx="24">
                        <c:v>40116</c:v>
                      </c:pt>
                      <c:pt idx="25">
                        <c:v>40892</c:v>
                      </c:pt>
                    </c:numCache>
                  </c:numRef>
                </c:val>
                <c:smooth val="0"/>
                <c:extLst xmlns:c15="http://schemas.microsoft.com/office/drawing/2012/chart">
                  <c:ext xmlns:c16="http://schemas.microsoft.com/office/drawing/2014/chart" uri="{C3380CC4-5D6E-409C-BE32-E72D297353CC}">
                    <c16:uniqueId val="{0000000A-8162-4940-9D15-813219D57EBB}"/>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'psd (1)'!$B$13:$C$13</c15:sqref>
                        </c15:formulaRef>
                      </c:ext>
                    </c:extLst>
                    <c:strCache>
                      <c:ptCount val="2"/>
                      <c:pt idx="0">
                        <c:v>Production</c:v>
                      </c:pt>
                      <c:pt idx="1">
                        <c:v>Groundnut (oil equivalent)</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(1)'!$D$13:$AC$13</c15:sqref>
                        </c15:formulaRef>
                      </c:ext>
                    </c:extLst>
                    <c:numCache>
                      <c:formatCode>#,##0</c:formatCode>
                      <c:ptCount val="26"/>
                      <c:pt idx="0">
                        <c:v>6089.1600000000008</c:v>
                      </c:pt>
                      <c:pt idx="1">
                        <c:v>6366.37</c:v>
                      </c:pt>
                      <c:pt idx="2">
                        <c:v>6692.33</c:v>
                      </c:pt>
                      <c:pt idx="3">
                        <c:v>7046.42</c:v>
                      </c:pt>
                      <c:pt idx="4">
                        <c:v>7969.78</c:v>
                      </c:pt>
                      <c:pt idx="5">
                        <c:v>8012.7</c:v>
                      </c:pt>
                      <c:pt idx="6">
                        <c:v>8735.4</c:v>
                      </c:pt>
                      <c:pt idx="7">
                        <c:v>8255.4</c:v>
                      </c:pt>
                      <c:pt idx="8">
                        <c:v>8988</c:v>
                      </c:pt>
                      <c:pt idx="9">
                        <c:v>9413.1200000000008</c:v>
                      </c:pt>
                      <c:pt idx="10">
                        <c:v>10655.04</c:v>
                      </c:pt>
                      <c:pt idx="11">
                        <c:v>11402.88</c:v>
                      </c:pt>
                      <c:pt idx="12">
                        <c:v>10722.24</c:v>
                      </c:pt>
                      <c:pt idx="13">
                        <c:v>11257.28</c:v>
                      </c:pt>
                      <c:pt idx="14">
                        <c:v>11194.56</c:v>
                      </c:pt>
                      <c:pt idx="15">
                        <c:v>11436.48</c:v>
                      </c:pt>
                      <c:pt idx="16">
                        <c:v>10438.719999999999</c:v>
                      </c:pt>
                      <c:pt idx="17">
                        <c:v>10920</c:v>
                      </c:pt>
                      <c:pt idx="18">
                        <c:v>11803.52</c:v>
                      </c:pt>
                      <c:pt idx="19">
                        <c:v>11638.08</c:v>
                      </c:pt>
                      <c:pt idx="20">
                        <c:v>12774.72</c:v>
                      </c:pt>
                      <c:pt idx="21">
                        <c:v>12596.48</c:v>
                      </c:pt>
                      <c:pt idx="22">
                        <c:v>13085.12</c:v>
                      </c:pt>
                      <c:pt idx="23">
                        <c:v>13397.76</c:v>
                      </c:pt>
                      <c:pt idx="24">
                        <c:v>12945.6</c:v>
                      </c:pt>
                      <c:pt idx="25">
                        <c:v>12935.36</c:v>
                      </c:pt>
                    </c:numCache>
                  </c:numRef>
                </c:val>
                <c:smooth val="0"/>
                <c:extLst xmlns:c15="http://schemas.microsoft.com/office/drawing/2012/chart">
                  <c:ext xmlns:c16="http://schemas.microsoft.com/office/drawing/2014/chart" uri="{C3380CC4-5D6E-409C-BE32-E72D297353CC}">
                    <c16:uniqueId val="{0000000B-8162-4940-9D15-813219D57EBB}"/>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'psd (1)'!$B$14:$C$14</c15:sqref>
                        </c15:formulaRef>
                      </c:ext>
                    </c:extLst>
                    <c:strCache>
                      <c:ptCount val="2"/>
                      <c:pt idx="0">
                        <c:v>Imports</c:v>
                      </c:pt>
                      <c:pt idx="1">
                        <c:v>Groundnut (oil equivalent)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(1)'!$D$14:$AC$14</c15:sqref>
                        </c15:formulaRef>
                      </c:ext>
                    </c:extLst>
                    <c:numCache>
                      <c:formatCode>#,##0</c:formatCode>
                      <c:ptCount val="26"/>
                      <c:pt idx="0">
                        <c:v>381.6400000000001</c:v>
                      </c:pt>
                      <c:pt idx="1">
                        <c:v>377.28999999999962</c:v>
                      </c:pt>
                      <c:pt idx="2">
                        <c:v>354.38</c:v>
                      </c:pt>
                      <c:pt idx="3">
                        <c:v>393.23999999999961</c:v>
                      </c:pt>
                      <c:pt idx="4">
                        <c:v>407.45</c:v>
                      </c:pt>
                      <c:pt idx="5">
                        <c:v>408.9</c:v>
                      </c:pt>
                      <c:pt idx="6">
                        <c:v>437.7</c:v>
                      </c:pt>
                      <c:pt idx="7">
                        <c:v>372.3</c:v>
                      </c:pt>
                      <c:pt idx="8">
                        <c:v>422.09999999999991</c:v>
                      </c:pt>
                      <c:pt idx="9">
                        <c:v>576</c:v>
                      </c:pt>
                      <c:pt idx="10">
                        <c:v>568.95999999999788</c:v>
                      </c:pt>
                      <c:pt idx="11">
                        <c:v>597.43999999999937</c:v>
                      </c:pt>
                      <c:pt idx="12">
                        <c:v>550.08000000000004</c:v>
                      </c:pt>
                      <c:pt idx="13">
                        <c:v>518.4</c:v>
                      </c:pt>
                      <c:pt idx="14">
                        <c:v>565.43999999999937</c:v>
                      </c:pt>
                      <c:pt idx="15">
                        <c:v>598.4</c:v>
                      </c:pt>
                      <c:pt idx="16">
                        <c:v>611.83999999999787</c:v>
                      </c:pt>
                      <c:pt idx="17">
                        <c:v>650.88</c:v>
                      </c:pt>
                      <c:pt idx="18">
                        <c:v>605.43999999999937</c:v>
                      </c:pt>
                      <c:pt idx="19">
                        <c:v>645.43999999999937</c:v>
                      </c:pt>
                      <c:pt idx="20">
                        <c:v>765.76</c:v>
                      </c:pt>
                      <c:pt idx="21">
                        <c:v>760.64</c:v>
                      </c:pt>
                      <c:pt idx="22">
                        <c:v>753.28</c:v>
                      </c:pt>
                      <c:pt idx="23">
                        <c:v>754.88</c:v>
                      </c:pt>
                      <c:pt idx="24">
                        <c:v>811.83999999999787</c:v>
                      </c:pt>
                      <c:pt idx="25">
                        <c:v>1051.2</c:v>
                      </c:pt>
                    </c:numCache>
                  </c:numRef>
                </c:val>
                <c:smooth val="0"/>
                <c:extLst xmlns:c15="http://schemas.microsoft.com/office/drawing/2012/chart">
                  <c:ext xmlns:c16="http://schemas.microsoft.com/office/drawing/2014/chart" uri="{C3380CC4-5D6E-409C-BE32-E72D297353CC}">
                    <c16:uniqueId val="{0000000C-8162-4940-9D15-813219D57EBB}"/>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'psd (1)'!$B$15:$C$15</c15:sqref>
                        </c15:formulaRef>
                      </c:ext>
                    </c:extLst>
                    <c:strCache>
                      <c:ptCount val="2"/>
                      <c:pt idx="0">
                        <c:v>Total Supply</c:v>
                      </c:pt>
                      <c:pt idx="1">
                        <c:v>Groundnut (oil equivalent)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(1)'!$D$15:$AC$15</c15:sqref>
                        </c15:formulaRef>
                      </c:ext>
                    </c:extLst>
                    <c:numCache>
                      <c:formatCode>#,##0</c:formatCode>
                      <c:ptCount val="26"/>
                      <c:pt idx="0">
                        <c:v>6676.880000000001</c:v>
                      </c:pt>
                      <c:pt idx="1">
                        <c:v>6954.78</c:v>
                      </c:pt>
                      <c:pt idx="2">
                        <c:v>7299.3</c:v>
                      </c:pt>
                      <c:pt idx="3">
                        <c:v>7731.11</c:v>
                      </c:pt>
                      <c:pt idx="4">
                        <c:v>8608.9399999999514</c:v>
                      </c:pt>
                      <c:pt idx="5">
                        <c:v>8709.8599999999096</c:v>
                      </c:pt>
                      <c:pt idx="6">
                        <c:v>9422.1</c:v>
                      </c:pt>
                      <c:pt idx="7">
                        <c:v>8889.6</c:v>
                      </c:pt>
                      <c:pt idx="8">
                        <c:v>9721.5</c:v>
                      </c:pt>
                      <c:pt idx="9">
                        <c:v>10392</c:v>
                      </c:pt>
                      <c:pt idx="10">
                        <c:v>11647.68</c:v>
                      </c:pt>
                      <c:pt idx="11">
                        <c:v>12451.2</c:v>
                      </c:pt>
                      <c:pt idx="12">
                        <c:v>11838.08</c:v>
                      </c:pt>
                      <c:pt idx="13">
                        <c:v>12194.56</c:v>
                      </c:pt>
                      <c:pt idx="14">
                        <c:v>12179.84</c:v>
                      </c:pt>
                      <c:pt idx="15">
                        <c:v>12534.4</c:v>
                      </c:pt>
                      <c:pt idx="16">
                        <c:v>11645.76</c:v>
                      </c:pt>
                      <c:pt idx="17">
                        <c:v>12042.88</c:v>
                      </c:pt>
                      <c:pt idx="18">
                        <c:v>12860.48</c:v>
                      </c:pt>
                      <c:pt idx="19">
                        <c:v>12895.36</c:v>
                      </c:pt>
                      <c:pt idx="20">
                        <c:v>14168.32</c:v>
                      </c:pt>
                      <c:pt idx="21">
                        <c:v>14135.68</c:v>
                      </c:pt>
                      <c:pt idx="22">
                        <c:v>14528.32</c:v>
                      </c:pt>
                      <c:pt idx="23">
                        <c:v>15175.68</c:v>
                      </c:pt>
                      <c:pt idx="24">
                        <c:v>14941.76</c:v>
                      </c:pt>
                      <c:pt idx="25">
                        <c:v>15035.2</c:v>
                      </c:pt>
                    </c:numCache>
                  </c:numRef>
                </c:val>
                <c:smooth val="0"/>
                <c:extLst xmlns:c15="http://schemas.microsoft.com/office/drawing/2012/chart">
                  <c:ext xmlns:c16="http://schemas.microsoft.com/office/drawing/2014/chart" uri="{C3380CC4-5D6E-409C-BE32-E72D297353CC}">
                    <c16:uniqueId val="{0000000D-8162-4940-9D15-813219D57EBB}"/>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'psd (1)'!$B$17:$C$17</c15:sqref>
                        </c15:formulaRef>
                      </c:ext>
                    </c:extLst>
                    <c:strCache>
                      <c:ptCount val="2"/>
                      <c:pt idx="0">
                        <c:v>Domestic Consumption</c:v>
                      </c:pt>
                      <c:pt idx="1">
                        <c:v>Groundnut (oil equivalent)</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'psd (1)'!$D$1:$AC$1</c15:sqref>
                        </c15:formulaRef>
                      </c:ext>
                    </c:extLst>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extLst xmlns:c15="http://schemas.microsoft.com/office/drawing/2012/chart">
                      <c:ext xmlns:c15="http://schemas.microsoft.com/office/drawing/2012/chart" uri="{02D57815-91ED-43cb-92C2-25804820EDAC}">
                        <c15:formulaRef>
                          <c15:sqref>'psd (1)'!$D$17:$AC$17</c15:sqref>
                        </c15:formulaRef>
                      </c:ext>
                    </c:extLst>
                    <c:numCache>
                      <c:formatCode>#,##0</c:formatCode>
                      <c:ptCount val="26"/>
                      <c:pt idx="0">
                        <c:v>6100.0800000000008</c:v>
                      </c:pt>
                      <c:pt idx="1">
                        <c:v>6346.07</c:v>
                      </c:pt>
                      <c:pt idx="2">
                        <c:v>6639.84</c:v>
                      </c:pt>
                      <c:pt idx="3">
                        <c:v>7117.76</c:v>
                      </c:pt>
                      <c:pt idx="4">
                        <c:v>7894.96</c:v>
                      </c:pt>
                      <c:pt idx="5">
                        <c:v>8007.48</c:v>
                      </c:pt>
                      <c:pt idx="6">
                        <c:v>8724.6</c:v>
                      </c:pt>
                      <c:pt idx="7">
                        <c:v>8142.6</c:v>
                      </c:pt>
                      <c:pt idx="8">
                        <c:v>8940.2999999999811</c:v>
                      </c:pt>
                      <c:pt idx="9">
                        <c:v>9358.08</c:v>
                      </c:pt>
                      <c:pt idx="10">
                        <c:v>10578.88</c:v>
                      </c:pt>
                      <c:pt idx="11">
                        <c:v>11247.68</c:v>
                      </c:pt>
                      <c:pt idx="12">
                        <c:v>10757.44</c:v>
                      </c:pt>
                      <c:pt idx="13">
                        <c:v>11146.24</c:v>
                      </c:pt>
                      <c:pt idx="14">
                        <c:v>10953.6</c:v>
                      </c:pt>
                      <c:pt idx="15">
                        <c:v>11215.68</c:v>
                      </c:pt>
                      <c:pt idx="16">
                        <c:v>10410.879999999999</c:v>
                      </c:pt>
                      <c:pt idx="17">
                        <c:v>10810.24</c:v>
                      </c:pt>
                      <c:pt idx="18">
                        <c:v>11472</c:v>
                      </c:pt>
                      <c:pt idx="19">
                        <c:v>11497.92</c:v>
                      </c:pt>
                      <c:pt idx="20">
                        <c:v>12249.92</c:v>
                      </c:pt>
                      <c:pt idx="21">
                        <c:v>12395.52</c:v>
                      </c:pt>
                      <c:pt idx="22">
                        <c:v>12654.4</c:v>
                      </c:pt>
                      <c:pt idx="23">
                        <c:v>13062.4</c:v>
                      </c:pt>
                      <c:pt idx="24">
                        <c:v>12837.12</c:v>
                      </c:pt>
                      <c:pt idx="25">
                        <c:v>13085.44</c:v>
                      </c:pt>
                    </c:numCache>
                  </c:numRef>
                </c:val>
                <c:smooth val="0"/>
                <c:extLst xmlns:c15="http://schemas.microsoft.com/office/drawing/2012/chart">
                  <c:ext xmlns:c16="http://schemas.microsoft.com/office/drawing/2014/chart" uri="{C3380CC4-5D6E-409C-BE32-E72D297353CC}">
                    <c16:uniqueId val="{0000000E-8162-4940-9D15-813219D57EBB}"/>
                  </c:ext>
                </c:extLst>
              </c15:ser>
            </c15:filteredLineSeries>
          </c:ext>
        </c:extLst>
      </c:lineChart>
      <c:catAx>
        <c:axId val="105900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492064"/>
        <c:crosses val="autoZero"/>
        <c:auto val="1"/>
        <c:lblAlgn val="ctr"/>
        <c:lblOffset val="100"/>
        <c:noMultiLvlLbl val="0"/>
      </c:catAx>
      <c:valAx>
        <c:axId val="129049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Groundnut oil equivalent in 1000 tons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001632"/>
        <c:crosses val="autoZero"/>
        <c:crossBetween val="between"/>
      </c:valAx>
      <c:spPr>
        <a:noFill/>
        <a:ln>
          <a:noFill/>
        </a:ln>
        <a:effectLst/>
      </c:spPr>
    </c:plotArea>
    <c:legend>
      <c:legendPos val="b"/>
      <c:layout>
        <c:manualLayout>
          <c:xMode val="edge"/>
          <c:yMode val="edge"/>
          <c:x val="0.13063438878650799"/>
          <c:y val="0.88997838505480897"/>
          <c:w val="0.76237188436551795"/>
          <c:h val="8.06098502393083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'psd (2)'!$C$2</c:f>
              <c:strCache>
                <c:ptCount val="1"/>
                <c:pt idx="0">
                  <c:v>India</c:v>
                </c:pt>
              </c:strCache>
            </c:strRef>
          </c:tx>
          <c:spPr>
            <a:ln w="12700" cap="rnd">
              <a:solidFill>
                <a:schemeClr val="accent3">
                  <a:shade val="53000"/>
                </a:schemeClr>
              </a:solidFill>
              <a:round/>
            </a:ln>
            <a:effectLst/>
          </c:spPr>
          <c:marker>
            <c:symbol val="none"/>
          </c:marker>
          <c:cat>
            <c:strRef>
              <c:f>'psd (2)'!$F$1:$AV$1</c:f>
              <c:strCache>
                <c:ptCount val="43"/>
                <c:pt idx="0">
                  <c:v>1974/75</c:v>
                </c:pt>
                <c:pt idx="1">
                  <c:v>1975/76</c:v>
                </c:pt>
                <c:pt idx="2">
                  <c:v>1976/77</c:v>
                </c:pt>
                <c:pt idx="3">
                  <c:v>1977/78</c:v>
                </c:pt>
                <c:pt idx="4">
                  <c:v>1978/79</c:v>
                </c:pt>
                <c:pt idx="5">
                  <c:v>1979/80</c:v>
                </c:pt>
                <c:pt idx="6">
                  <c:v>1980/81</c:v>
                </c:pt>
                <c:pt idx="7">
                  <c:v>1981/82</c:v>
                </c:pt>
                <c:pt idx="8">
                  <c:v>1982/83</c:v>
                </c:pt>
                <c:pt idx="9">
                  <c:v>1983/84</c:v>
                </c:pt>
                <c:pt idx="10">
                  <c:v>1984/85</c:v>
                </c:pt>
                <c:pt idx="11">
                  <c:v>1985/86</c:v>
                </c:pt>
                <c:pt idx="12">
                  <c:v>1986/87</c:v>
                </c:pt>
                <c:pt idx="13">
                  <c:v>1987/88</c:v>
                </c:pt>
                <c:pt idx="14">
                  <c:v>1988/89</c:v>
                </c:pt>
                <c:pt idx="15">
                  <c:v>1989/90</c:v>
                </c:pt>
                <c:pt idx="16">
                  <c:v>1990/91</c:v>
                </c:pt>
                <c:pt idx="17">
                  <c:v>1991/92</c:v>
                </c:pt>
                <c:pt idx="18">
                  <c:v>1992/93</c:v>
                </c:pt>
                <c:pt idx="19">
                  <c:v>1993/94</c:v>
                </c:pt>
                <c:pt idx="20">
                  <c:v>1994/95</c:v>
                </c:pt>
                <c:pt idx="21">
                  <c:v>1995/96</c:v>
                </c:pt>
                <c:pt idx="22">
                  <c:v>1996/97</c:v>
                </c:pt>
                <c:pt idx="23">
                  <c:v>1997/98</c:v>
                </c:pt>
                <c:pt idx="24">
                  <c:v>1998/99</c:v>
                </c:pt>
                <c:pt idx="25">
                  <c:v>1999/00</c:v>
                </c:pt>
                <c:pt idx="26">
                  <c:v>2000/01</c:v>
                </c:pt>
                <c:pt idx="27">
                  <c:v>2001/02</c:v>
                </c:pt>
                <c:pt idx="28">
                  <c:v>2002/03</c:v>
                </c:pt>
                <c:pt idx="29">
                  <c:v>2003/04</c:v>
                </c:pt>
                <c:pt idx="30">
                  <c:v>2004/05</c:v>
                </c:pt>
                <c:pt idx="31">
                  <c:v>2005/06</c:v>
                </c:pt>
                <c:pt idx="32">
                  <c:v>2006/07</c:v>
                </c:pt>
                <c:pt idx="33">
                  <c:v>2007/08</c:v>
                </c:pt>
                <c:pt idx="34">
                  <c:v>2008/09</c:v>
                </c:pt>
                <c:pt idx="35">
                  <c:v>2009/10</c:v>
                </c:pt>
                <c:pt idx="36">
                  <c:v>2010/11</c:v>
                </c:pt>
                <c:pt idx="37">
                  <c:v>2011/12</c:v>
                </c:pt>
                <c:pt idx="38">
                  <c:v>2012/13</c:v>
                </c:pt>
                <c:pt idx="39">
                  <c:v>2013/14</c:v>
                </c:pt>
                <c:pt idx="40">
                  <c:v>2014/15</c:v>
                </c:pt>
                <c:pt idx="41">
                  <c:v>2015/16</c:v>
                </c:pt>
                <c:pt idx="42">
                  <c:v>2016/17</c:v>
                </c:pt>
              </c:strCache>
            </c:strRef>
          </c:cat>
          <c:val>
            <c:numRef>
              <c:f>'psd (2)'!$F$2:$AV$2</c:f>
              <c:numCache>
                <c:formatCode>General</c:formatCode>
                <c:ptCount val="43"/>
                <c:pt idx="0">
                  <c:v>73</c:v>
                </c:pt>
                <c:pt idx="1">
                  <c:v>239</c:v>
                </c:pt>
                <c:pt idx="2">
                  <c:v>90</c:v>
                </c:pt>
                <c:pt idx="3">
                  <c:v>0</c:v>
                </c:pt>
                <c:pt idx="4">
                  <c:v>32</c:v>
                </c:pt>
                <c:pt idx="5">
                  <c:v>14</c:v>
                </c:pt>
                <c:pt idx="6">
                  <c:v>71</c:v>
                </c:pt>
                <c:pt idx="7">
                  <c:v>46</c:v>
                </c:pt>
                <c:pt idx="8">
                  <c:v>35</c:v>
                </c:pt>
                <c:pt idx="9">
                  <c:v>60</c:v>
                </c:pt>
                <c:pt idx="10">
                  <c:v>40</c:v>
                </c:pt>
                <c:pt idx="11">
                  <c:v>15</c:v>
                </c:pt>
                <c:pt idx="12">
                  <c:v>40</c:v>
                </c:pt>
                <c:pt idx="13">
                  <c:v>10</c:v>
                </c:pt>
                <c:pt idx="14">
                  <c:v>70</c:v>
                </c:pt>
                <c:pt idx="15">
                  <c:v>35</c:v>
                </c:pt>
                <c:pt idx="16">
                  <c:v>45</c:v>
                </c:pt>
                <c:pt idx="17">
                  <c:v>1</c:v>
                </c:pt>
                <c:pt idx="18">
                  <c:v>48</c:v>
                </c:pt>
                <c:pt idx="19">
                  <c:v>70</c:v>
                </c:pt>
                <c:pt idx="20">
                  <c:v>50</c:v>
                </c:pt>
                <c:pt idx="21">
                  <c:v>90</c:v>
                </c:pt>
                <c:pt idx="22">
                  <c:v>150</c:v>
                </c:pt>
                <c:pt idx="23">
                  <c:v>50</c:v>
                </c:pt>
                <c:pt idx="24">
                  <c:v>60</c:v>
                </c:pt>
                <c:pt idx="25">
                  <c:v>188</c:v>
                </c:pt>
                <c:pt idx="26">
                  <c:v>204</c:v>
                </c:pt>
                <c:pt idx="27">
                  <c:v>106</c:v>
                </c:pt>
                <c:pt idx="28">
                  <c:v>168</c:v>
                </c:pt>
                <c:pt idx="29">
                  <c:v>271</c:v>
                </c:pt>
                <c:pt idx="30">
                  <c:v>212</c:v>
                </c:pt>
                <c:pt idx="31">
                  <c:v>360</c:v>
                </c:pt>
                <c:pt idx="32">
                  <c:v>254</c:v>
                </c:pt>
                <c:pt idx="33">
                  <c:v>466</c:v>
                </c:pt>
                <c:pt idx="34">
                  <c:v>368</c:v>
                </c:pt>
                <c:pt idx="35">
                  <c:v>456</c:v>
                </c:pt>
                <c:pt idx="36" formatCode="#,##0">
                  <c:v>1534</c:v>
                </c:pt>
                <c:pt idx="37" formatCode="#,##0">
                  <c:v>1361</c:v>
                </c:pt>
                <c:pt idx="38">
                  <c:v>527</c:v>
                </c:pt>
                <c:pt idx="39">
                  <c:v>786</c:v>
                </c:pt>
                <c:pt idx="40">
                  <c:v>873</c:v>
                </c:pt>
                <c:pt idx="41">
                  <c:v>771</c:v>
                </c:pt>
                <c:pt idx="42" formatCode="#,##0">
                  <c:v>1050</c:v>
                </c:pt>
              </c:numCache>
            </c:numRef>
          </c:val>
          <c:smooth val="0"/>
          <c:extLst>
            <c:ext xmlns:c16="http://schemas.microsoft.com/office/drawing/2014/chart" uri="{C3380CC4-5D6E-409C-BE32-E72D297353CC}">
              <c16:uniqueId val="{00000000-7B16-41E6-A430-C74530958AED}"/>
            </c:ext>
          </c:extLst>
        </c:ser>
        <c:ser>
          <c:idx val="1"/>
          <c:order val="1"/>
          <c:tx>
            <c:strRef>
              <c:f>'psd (2)'!$C$3</c:f>
              <c:strCache>
                <c:ptCount val="1"/>
                <c:pt idx="0">
                  <c:v>Argentina</c:v>
                </c:pt>
              </c:strCache>
            </c:strRef>
          </c:tx>
          <c:spPr>
            <a:ln w="12700" cap="rnd">
              <a:solidFill>
                <a:schemeClr val="accent3">
                  <a:shade val="76000"/>
                </a:schemeClr>
              </a:solidFill>
              <a:round/>
            </a:ln>
            <a:effectLst/>
          </c:spPr>
          <c:marker>
            <c:symbol val="none"/>
          </c:marker>
          <c:cat>
            <c:strRef>
              <c:f>'psd (2)'!$F$1:$AV$1</c:f>
              <c:strCache>
                <c:ptCount val="43"/>
                <c:pt idx="0">
                  <c:v>1974/75</c:v>
                </c:pt>
                <c:pt idx="1">
                  <c:v>1975/76</c:v>
                </c:pt>
                <c:pt idx="2">
                  <c:v>1976/77</c:v>
                </c:pt>
                <c:pt idx="3">
                  <c:v>1977/78</c:v>
                </c:pt>
                <c:pt idx="4">
                  <c:v>1978/79</c:v>
                </c:pt>
                <c:pt idx="5">
                  <c:v>1979/80</c:v>
                </c:pt>
                <c:pt idx="6">
                  <c:v>1980/81</c:v>
                </c:pt>
                <c:pt idx="7">
                  <c:v>1981/82</c:v>
                </c:pt>
                <c:pt idx="8">
                  <c:v>1982/83</c:v>
                </c:pt>
                <c:pt idx="9">
                  <c:v>1983/84</c:v>
                </c:pt>
                <c:pt idx="10">
                  <c:v>1984/85</c:v>
                </c:pt>
                <c:pt idx="11">
                  <c:v>1985/86</c:v>
                </c:pt>
                <c:pt idx="12">
                  <c:v>1986/87</c:v>
                </c:pt>
                <c:pt idx="13">
                  <c:v>1987/88</c:v>
                </c:pt>
                <c:pt idx="14">
                  <c:v>1988/89</c:v>
                </c:pt>
                <c:pt idx="15">
                  <c:v>1989/90</c:v>
                </c:pt>
                <c:pt idx="16">
                  <c:v>1990/91</c:v>
                </c:pt>
                <c:pt idx="17">
                  <c:v>1991/92</c:v>
                </c:pt>
                <c:pt idx="18">
                  <c:v>1992/93</c:v>
                </c:pt>
                <c:pt idx="19">
                  <c:v>1993/94</c:v>
                </c:pt>
                <c:pt idx="20">
                  <c:v>1994/95</c:v>
                </c:pt>
                <c:pt idx="21">
                  <c:v>1995/96</c:v>
                </c:pt>
                <c:pt idx="22">
                  <c:v>1996/97</c:v>
                </c:pt>
                <c:pt idx="23">
                  <c:v>1997/98</c:v>
                </c:pt>
                <c:pt idx="24">
                  <c:v>1998/99</c:v>
                </c:pt>
                <c:pt idx="25">
                  <c:v>1999/00</c:v>
                </c:pt>
                <c:pt idx="26">
                  <c:v>2000/01</c:v>
                </c:pt>
                <c:pt idx="27">
                  <c:v>2001/02</c:v>
                </c:pt>
                <c:pt idx="28">
                  <c:v>2002/03</c:v>
                </c:pt>
                <c:pt idx="29">
                  <c:v>2003/04</c:v>
                </c:pt>
                <c:pt idx="30">
                  <c:v>2004/05</c:v>
                </c:pt>
                <c:pt idx="31">
                  <c:v>2005/06</c:v>
                </c:pt>
                <c:pt idx="32">
                  <c:v>2006/07</c:v>
                </c:pt>
                <c:pt idx="33">
                  <c:v>2007/08</c:v>
                </c:pt>
                <c:pt idx="34">
                  <c:v>2008/09</c:v>
                </c:pt>
                <c:pt idx="35">
                  <c:v>2009/10</c:v>
                </c:pt>
                <c:pt idx="36">
                  <c:v>2010/11</c:v>
                </c:pt>
                <c:pt idx="37">
                  <c:v>2011/12</c:v>
                </c:pt>
                <c:pt idx="38">
                  <c:v>2012/13</c:v>
                </c:pt>
                <c:pt idx="39">
                  <c:v>2013/14</c:v>
                </c:pt>
                <c:pt idx="40">
                  <c:v>2014/15</c:v>
                </c:pt>
                <c:pt idx="41">
                  <c:v>2015/16</c:v>
                </c:pt>
                <c:pt idx="42">
                  <c:v>2016/17</c:v>
                </c:pt>
              </c:strCache>
            </c:strRef>
          </c:cat>
          <c:val>
            <c:numRef>
              <c:f>'psd (2)'!$F$3:$AV$3</c:f>
              <c:numCache>
                <c:formatCode>General</c:formatCode>
                <c:ptCount val="43"/>
                <c:pt idx="0">
                  <c:v>7</c:v>
                </c:pt>
                <c:pt idx="1">
                  <c:v>1</c:v>
                </c:pt>
                <c:pt idx="2">
                  <c:v>43</c:v>
                </c:pt>
                <c:pt idx="3">
                  <c:v>49</c:v>
                </c:pt>
                <c:pt idx="4">
                  <c:v>137</c:v>
                </c:pt>
                <c:pt idx="5">
                  <c:v>89</c:v>
                </c:pt>
                <c:pt idx="6">
                  <c:v>74</c:v>
                </c:pt>
                <c:pt idx="7">
                  <c:v>64</c:v>
                </c:pt>
                <c:pt idx="8">
                  <c:v>111</c:v>
                </c:pt>
                <c:pt idx="9">
                  <c:v>121</c:v>
                </c:pt>
                <c:pt idx="10">
                  <c:v>140</c:v>
                </c:pt>
                <c:pt idx="11">
                  <c:v>120</c:v>
                </c:pt>
                <c:pt idx="12">
                  <c:v>170</c:v>
                </c:pt>
                <c:pt idx="13">
                  <c:v>150</c:v>
                </c:pt>
                <c:pt idx="14">
                  <c:v>100</c:v>
                </c:pt>
                <c:pt idx="15">
                  <c:v>100</c:v>
                </c:pt>
                <c:pt idx="16">
                  <c:v>110</c:v>
                </c:pt>
                <c:pt idx="17">
                  <c:v>109</c:v>
                </c:pt>
                <c:pt idx="18">
                  <c:v>110</c:v>
                </c:pt>
                <c:pt idx="19">
                  <c:v>120</c:v>
                </c:pt>
                <c:pt idx="20">
                  <c:v>110</c:v>
                </c:pt>
                <c:pt idx="21">
                  <c:v>350</c:v>
                </c:pt>
                <c:pt idx="22">
                  <c:v>227</c:v>
                </c:pt>
                <c:pt idx="23">
                  <c:v>473</c:v>
                </c:pt>
                <c:pt idx="24">
                  <c:v>281</c:v>
                </c:pt>
                <c:pt idx="25">
                  <c:v>357</c:v>
                </c:pt>
                <c:pt idx="26">
                  <c:v>289</c:v>
                </c:pt>
                <c:pt idx="27">
                  <c:v>268</c:v>
                </c:pt>
                <c:pt idx="28">
                  <c:v>252</c:v>
                </c:pt>
                <c:pt idx="29">
                  <c:v>244</c:v>
                </c:pt>
                <c:pt idx="30">
                  <c:v>397</c:v>
                </c:pt>
                <c:pt idx="31">
                  <c:v>525</c:v>
                </c:pt>
                <c:pt idx="32">
                  <c:v>602</c:v>
                </c:pt>
                <c:pt idx="33">
                  <c:v>502</c:v>
                </c:pt>
                <c:pt idx="34">
                  <c:v>641</c:v>
                </c:pt>
                <c:pt idx="35">
                  <c:v>654</c:v>
                </c:pt>
                <c:pt idx="36">
                  <c:v>726</c:v>
                </c:pt>
                <c:pt idx="37">
                  <c:v>644</c:v>
                </c:pt>
                <c:pt idx="38">
                  <c:v>586</c:v>
                </c:pt>
                <c:pt idx="39">
                  <c:v>578</c:v>
                </c:pt>
                <c:pt idx="40">
                  <c:v>848</c:v>
                </c:pt>
                <c:pt idx="41">
                  <c:v>877</c:v>
                </c:pt>
                <c:pt idx="42">
                  <c:v>860</c:v>
                </c:pt>
              </c:numCache>
            </c:numRef>
          </c:val>
          <c:smooth val="0"/>
          <c:extLst>
            <c:ext xmlns:c16="http://schemas.microsoft.com/office/drawing/2014/chart" uri="{C3380CC4-5D6E-409C-BE32-E72D297353CC}">
              <c16:uniqueId val="{00000001-7B16-41E6-A430-C74530958AED}"/>
            </c:ext>
          </c:extLst>
        </c:ser>
        <c:ser>
          <c:idx val="2"/>
          <c:order val="2"/>
          <c:tx>
            <c:strRef>
              <c:f>'psd (2)'!$C$4</c:f>
              <c:strCache>
                <c:ptCount val="1"/>
                <c:pt idx="0">
                  <c:v>United States</c:v>
                </c:pt>
              </c:strCache>
            </c:strRef>
          </c:tx>
          <c:spPr>
            <a:ln w="12700" cap="rnd">
              <a:solidFill>
                <a:schemeClr val="accent3"/>
              </a:solidFill>
              <a:round/>
            </a:ln>
            <a:effectLst/>
          </c:spPr>
          <c:marker>
            <c:symbol val="none"/>
          </c:marker>
          <c:cat>
            <c:strRef>
              <c:f>'psd (2)'!$F$1:$AV$1</c:f>
              <c:strCache>
                <c:ptCount val="43"/>
                <c:pt idx="0">
                  <c:v>1974/75</c:v>
                </c:pt>
                <c:pt idx="1">
                  <c:v>1975/76</c:v>
                </c:pt>
                <c:pt idx="2">
                  <c:v>1976/77</c:v>
                </c:pt>
                <c:pt idx="3">
                  <c:v>1977/78</c:v>
                </c:pt>
                <c:pt idx="4">
                  <c:v>1978/79</c:v>
                </c:pt>
                <c:pt idx="5">
                  <c:v>1979/80</c:v>
                </c:pt>
                <c:pt idx="6">
                  <c:v>1980/81</c:v>
                </c:pt>
                <c:pt idx="7">
                  <c:v>1981/82</c:v>
                </c:pt>
                <c:pt idx="8">
                  <c:v>1982/83</c:v>
                </c:pt>
                <c:pt idx="9">
                  <c:v>1983/84</c:v>
                </c:pt>
                <c:pt idx="10">
                  <c:v>1984/85</c:v>
                </c:pt>
                <c:pt idx="11">
                  <c:v>1985/86</c:v>
                </c:pt>
                <c:pt idx="12">
                  <c:v>1986/87</c:v>
                </c:pt>
                <c:pt idx="13">
                  <c:v>1987/88</c:v>
                </c:pt>
                <c:pt idx="14">
                  <c:v>1988/89</c:v>
                </c:pt>
                <c:pt idx="15">
                  <c:v>1989/90</c:v>
                </c:pt>
                <c:pt idx="16">
                  <c:v>1990/91</c:v>
                </c:pt>
                <c:pt idx="17">
                  <c:v>1991/92</c:v>
                </c:pt>
                <c:pt idx="18">
                  <c:v>1992/93</c:v>
                </c:pt>
                <c:pt idx="19">
                  <c:v>1993/94</c:v>
                </c:pt>
                <c:pt idx="20">
                  <c:v>1994/95</c:v>
                </c:pt>
                <c:pt idx="21">
                  <c:v>1995/96</c:v>
                </c:pt>
                <c:pt idx="22">
                  <c:v>1996/97</c:v>
                </c:pt>
                <c:pt idx="23">
                  <c:v>1997/98</c:v>
                </c:pt>
                <c:pt idx="24">
                  <c:v>1998/99</c:v>
                </c:pt>
                <c:pt idx="25">
                  <c:v>1999/00</c:v>
                </c:pt>
                <c:pt idx="26">
                  <c:v>2000/01</c:v>
                </c:pt>
                <c:pt idx="27">
                  <c:v>2001/02</c:v>
                </c:pt>
                <c:pt idx="28">
                  <c:v>2002/03</c:v>
                </c:pt>
                <c:pt idx="29">
                  <c:v>2003/04</c:v>
                </c:pt>
                <c:pt idx="30">
                  <c:v>2004/05</c:v>
                </c:pt>
                <c:pt idx="31">
                  <c:v>2005/06</c:v>
                </c:pt>
                <c:pt idx="32">
                  <c:v>2006/07</c:v>
                </c:pt>
                <c:pt idx="33">
                  <c:v>2007/08</c:v>
                </c:pt>
                <c:pt idx="34">
                  <c:v>2008/09</c:v>
                </c:pt>
                <c:pt idx="35">
                  <c:v>2009/10</c:v>
                </c:pt>
                <c:pt idx="36">
                  <c:v>2010/11</c:v>
                </c:pt>
                <c:pt idx="37">
                  <c:v>2011/12</c:v>
                </c:pt>
                <c:pt idx="38">
                  <c:v>2012/13</c:v>
                </c:pt>
                <c:pt idx="39">
                  <c:v>2013/14</c:v>
                </c:pt>
                <c:pt idx="40">
                  <c:v>2014/15</c:v>
                </c:pt>
                <c:pt idx="41">
                  <c:v>2015/16</c:v>
                </c:pt>
                <c:pt idx="42">
                  <c:v>2016/17</c:v>
                </c:pt>
              </c:strCache>
            </c:strRef>
          </c:cat>
          <c:val>
            <c:numRef>
              <c:f>'psd (2)'!$F$4:$AV$4</c:f>
              <c:numCache>
                <c:formatCode>General</c:formatCode>
                <c:ptCount val="43"/>
                <c:pt idx="0">
                  <c:v>336</c:v>
                </c:pt>
                <c:pt idx="1">
                  <c:v>197</c:v>
                </c:pt>
                <c:pt idx="2">
                  <c:v>355</c:v>
                </c:pt>
                <c:pt idx="3">
                  <c:v>465</c:v>
                </c:pt>
                <c:pt idx="4">
                  <c:v>518</c:v>
                </c:pt>
                <c:pt idx="5">
                  <c:v>479</c:v>
                </c:pt>
                <c:pt idx="6">
                  <c:v>228</c:v>
                </c:pt>
                <c:pt idx="7">
                  <c:v>261</c:v>
                </c:pt>
                <c:pt idx="8">
                  <c:v>309</c:v>
                </c:pt>
                <c:pt idx="9">
                  <c:v>337</c:v>
                </c:pt>
                <c:pt idx="10">
                  <c:v>390</c:v>
                </c:pt>
                <c:pt idx="11">
                  <c:v>473</c:v>
                </c:pt>
                <c:pt idx="12">
                  <c:v>301</c:v>
                </c:pt>
                <c:pt idx="13">
                  <c:v>280</c:v>
                </c:pt>
                <c:pt idx="14">
                  <c:v>312</c:v>
                </c:pt>
                <c:pt idx="15">
                  <c:v>449</c:v>
                </c:pt>
                <c:pt idx="16">
                  <c:v>296</c:v>
                </c:pt>
                <c:pt idx="17">
                  <c:v>452</c:v>
                </c:pt>
                <c:pt idx="18">
                  <c:v>431</c:v>
                </c:pt>
                <c:pt idx="19">
                  <c:v>241</c:v>
                </c:pt>
                <c:pt idx="20">
                  <c:v>398</c:v>
                </c:pt>
                <c:pt idx="21">
                  <c:v>374</c:v>
                </c:pt>
                <c:pt idx="22">
                  <c:v>303</c:v>
                </c:pt>
                <c:pt idx="23">
                  <c:v>309</c:v>
                </c:pt>
                <c:pt idx="24">
                  <c:v>255</c:v>
                </c:pt>
                <c:pt idx="25">
                  <c:v>337</c:v>
                </c:pt>
                <c:pt idx="26">
                  <c:v>239</c:v>
                </c:pt>
                <c:pt idx="27">
                  <c:v>317</c:v>
                </c:pt>
                <c:pt idx="28">
                  <c:v>222</c:v>
                </c:pt>
                <c:pt idx="29">
                  <c:v>234</c:v>
                </c:pt>
                <c:pt idx="30">
                  <c:v>223</c:v>
                </c:pt>
                <c:pt idx="31">
                  <c:v>223</c:v>
                </c:pt>
                <c:pt idx="32">
                  <c:v>274</c:v>
                </c:pt>
                <c:pt idx="33">
                  <c:v>340</c:v>
                </c:pt>
                <c:pt idx="34">
                  <c:v>330</c:v>
                </c:pt>
                <c:pt idx="35">
                  <c:v>269</c:v>
                </c:pt>
                <c:pt idx="36">
                  <c:v>275</c:v>
                </c:pt>
                <c:pt idx="37">
                  <c:v>248</c:v>
                </c:pt>
                <c:pt idx="38">
                  <c:v>540</c:v>
                </c:pt>
                <c:pt idx="39">
                  <c:v>497</c:v>
                </c:pt>
                <c:pt idx="40">
                  <c:v>490</c:v>
                </c:pt>
                <c:pt idx="41">
                  <c:v>701</c:v>
                </c:pt>
                <c:pt idx="42">
                  <c:v>635</c:v>
                </c:pt>
              </c:numCache>
            </c:numRef>
          </c:val>
          <c:smooth val="0"/>
          <c:extLst>
            <c:ext xmlns:c16="http://schemas.microsoft.com/office/drawing/2014/chart" uri="{C3380CC4-5D6E-409C-BE32-E72D297353CC}">
              <c16:uniqueId val="{00000002-7B16-41E6-A430-C74530958AED}"/>
            </c:ext>
          </c:extLst>
        </c:ser>
        <c:ser>
          <c:idx val="3"/>
          <c:order val="3"/>
          <c:tx>
            <c:strRef>
              <c:f>'psd (2)'!$C$5</c:f>
              <c:strCache>
                <c:ptCount val="1"/>
                <c:pt idx="0">
                  <c:v>China</c:v>
                </c:pt>
              </c:strCache>
            </c:strRef>
          </c:tx>
          <c:spPr>
            <a:ln w="12700" cap="rnd">
              <a:solidFill>
                <a:schemeClr val="accent3">
                  <a:tint val="77000"/>
                </a:schemeClr>
              </a:solidFill>
              <a:round/>
            </a:ln>
            <a:effectLst/>
          </c:spPr>
          <c:marker>
            <c:symbol val="none"/>
          </c:marker>
          <c:cat>
            <c:strRef>
              <c:f>'psd (2)'!$F$1:$AV$1</c:f>
              <c:strCache>
                <c:ptCount val="43"/>
                <c:pt idx="0">
                  <c:v>1974/75</c:v>
                </c:pt>
                <c:pt idx="1">
                  <c:v>1975/76</c:v>
                </c:pt>
                <c:pt idx="2">
                  <c:v>1976/77</c:v>
                </c:pt>
                <c:pt idx="3">
                  <c:v>1977/78</c:v>
                </c:pt>
                <c:pt idx="4">
                  <c:v>1978/79</c:v>
                </c:pt>
                <c:pt idx="5">
                  <c:v>1979/80</c:v>
                </c:pt>
                <c:pt idx="6">
                  <c:v>1980/81</c:v>
                </c:pt>
                <c:pt idx="7">
                  <c:v>1981/82</c:v>
                </c:pt>
                <c:pt idx="8">
                  <c:v>1982/83</c:v>
                </c:pt>
                <c:pt idx="9">
                  <c:v>1983/84</c:v>
                </c:pt>
                <c:pt idx="10">
                  <c:v>1984/85</c:v>
                </c:pt>
                <c:pt idx="11">
                  <c:v>1985/86</c:v>
                </c:pt>
                <c:pt idx="12">
                  <c:v>1986/87</c:v>
                </c:pt>
                <c:pt idx="13">
                  <c:v>1987/88</c:v>
                </c:pt>
                <c:pt idx="14">
                  <c:v>1988/89</c:v>
                </c:pt>
                <c:pt idx="15">
                  <c:v>1989/90</c:v>
                </c:pt>
                <c:pt idx="16">
                  <c:v>1990/91</c:v>
                </c:pt>
                <c:pt idx="17">
                  <c:v>1991/92</c:v>
                </c:pt>
                <c:pt idx="18">
                  <c:v>1992/93</c:v>
                </c:pt>
                <c:pt idx="19">
                  <c:v>1993/94</c:v>
                </c:pt>
                <c:pt idx="20">
                  <c:v>1994/95</c:v>
                </c:pt>
                <c:pt idx="21">
                  <c:v>1995/96</c:v>
                </c:pt>
                <c:pt idx="22">
                  <c:v>1996/97</c:v>
                </c:pt>
                <c:pt idx="23">
                  <c:v>1997/98</c:v>
                </c:pt>
                <c:pt idx="24">
                  <c:v>1998/99</c:v>
                </c:pt>
                <c:pt idx="25">
                  <c:v>1999/00</c:v>
                </c:pt>
                <c:pt idx="26">
                  <c:v>2000/01</c:v>
                </c:pt>
                <c:pt idx="27">
                  <c:v>2001/02</c:v>
                </c:pt>
                <c:pt idx="28">
                  <c:v>2002/03</c:v>
                </c:pt>
                <c:pt idx="29">
                  <c:v>2003/04</c:v>
                </c:pt>
                <c:pt idx="30">
                  <c:v>2004/05</c:v>
                </c:pt>
                <c:pt idx="31">
                  <c:v>2005/06</c:v>
                </c:pt>
                <c:pt idx="32">
                  <c:v>2006/07</c:v>
                </c:pt>
                <c:pt idx="33">
                  <c:v>2007/08</c:v>
                </c:pt>
                <c:pt idx="34">
                  <c:v>2008/09</c:v>
                </c:pt>
                <c:pt idx="35">
                  <c:v>2009/10</c:v>
                </c:pt>
                <c:pt idx="36">
                  <c:v>2010/11</c:v>
                </c:pt>
                <c:pt idx="37">
                  <c:v>2011/12</c:v>
                </c:pt>
                <c:pt idx="38">
                  <c:v>2012/13</c:v>
                </c:pt>
                <c:pt idx="39">
                  <c:v>2013/14</c:v>
                </c:pt>
                <c:pt idx="40">
                  <c:v>2014/15</c:v>
                </c:pt>
                <c:pt idx="41">
                  <c:v>2015/16</c:v>
                </c:pt>
                <c:pt idx="42">
                  <c:v>2016/17</c:v>
                </c:pt>
              </c:strCache>
            </c:strRef>
          </c:cat>
          <c:val>
            <c:numRef>
              <c:f>'psd (2)'!$F$5:$AV$5</c:f>
              <c:numCache>
                <c:formatCode>General</c:formatCode>
                <c:ptCount val="43"/>
                <c:pt idx="0">
                  <c:v>38</c:v>
                </c:pt>
                <c:pt idx="1">
                  <c:v>41</c:v>
                </c:pt>
                <c:pt idx="2">
                  <c:v>21</c:v>
                </c:pt>
                <c:pt idx="3">
                  <c:v>26</c:v>
                </c:pt>
                <c:pt idx="4">
                  <c:v>41</c:v>
                </c:pt>
                <c:pt idx="5">
                  <c:v>70</c:v>
                </c:pt>
                <c:pt idx="6">
                  <c:v>305</c:v>
                </c:pt>
                <c:pt idx="7">
                  <c:v>157</c:v>
                </c:pt>
                <c:pt idx="8">
                  <c:v>232</c:v>
                </c:pt>
                <c:pt idx="9">
                  <c:v>209</c:v>
                </c:pt>
                <c:pt idx="10">
                  <c:v>213</c:v>
                </c:pt>
                <c:pt idx="11">
                  <c:v>332</c:v>
                </c:pt>
                <c:pt idx="12">
                  <c:v>398</c:v>
                </c:pt>
                <c:pt idx="13">
                  <c:v>359</c:v>
                </c:pt>
                <c:pt idx="14">
                  <c:v>247</c:v>
                </c:pt>
                <c:pt idx="15">
                  <c:v>329</c:v>
                </c:pt>
                <c:pt idx="16">
                  <c:v>448</c:v>
                </c:pt>
                <c:pt idx="17">
                  <c:v>311</c:v>
                </c:pt>
                <c:pt idx="18">
                  <c:v>300</c:v>
                </c:pt>
                <c:pt idx="19">
                  <c:v>472</c:v>
                </c:pt>
                <c:pt idx="20">
                  <c:v>474</c:v>
                </c:pt>
                <c:pt idx="21">
                  <c:v>350</c:v>
                </c:pt>
                <c:pt idx="22">
                  <c:v>425</c:v>
                </c:pt>
                <c:pt idx="23">
                  <c:v>364</c:v>
                </c:pt>
                <c:pt idx="24">
                  <c:v>523</c:v>
                </c:pt>
                <c:pt idx="25">
                  <c:v>727</c:v>
                </c:pt>
                <c:pt idx="26">
                  <c:v>823</c:v>
                </c:pt>
                <c:pt idx="27">
                  <c:v>908</c:v>
                </c:pt>
                <c:pt idx="28" formatCode="#,##0">
                  <c:v>1095</c:v>
                </c:pt>
                <c:pt idx="29">
                  <c:v>822</c:v>
                </c:pt>
                <c:pt idx="30" formatCode="#,##0">
                  <c:v>1022</c:v>
                </c:pt>
                <c:pt idx="31">
                  <c:v>785</c:v>
                </c:pt>
                <c:pt idx="32">
                  <c:v>886</c:v>
                </c:pt>
                <c:pt idx="33">
                  <c:v>713</c:v>
                </c:pt>
                <c:pt idx="34">
                  <c:v>690</c:v>
                </c:pt>
                <c:pt idx="35">
                  <c:v>621</c:v>
                </c:pt>
                <c:pt idx="36">
                  <c:v>604</c:v>
                </c:pt>
                <c:pt idx="37">
                  <c:v>589</c:v>
                </c:pt>
                <c:pt idx="38">
                  <c:v>516</c:v>
                </c:pt>
                <c:pt idx="39">
                  <c:v>565</c:v>
                </c:pt>
                <c:pt idx="40">
                  <c:v>502</c:v>
                </c:pt>
                <c:pt idx="41">
                  <c:v>484</c:v>
                </c:pt>
                <c:pt idx="42">
                  <c:v>550</c:v>
                </c:pt>
              </c:numCache>
            </c:numRef>
          </c:val>
          <c:smooth val="0"/>
          <c:extLst>
            <c:ext xmlns:c16="http://schemas.microsoft.com/office/drawing/2014/chart" uri="{C3380CC4-5D6E-409C-BE32-E72D297353CC}">
              <c16:uniqueId val="{00000003-7B16-41E6-A430-C74530958AED}"/>
            </c:ext>
          </c:extLst>
        </c:ser>
        <c:ser>
          <c:idx val="4"/>
          <c:order val="4"/>
          <c:tx>
            <c:strRef>
              <c:f>'psd (2)'!$C$6</c:f>
              <c:strCache>
                <c:ptCount val="1"/>
                <c:pt idx="0">
                  <c:v>Senegal</c:v>
                </c:pt>
              </c:strCache>
            </c:strRef>
          </c:tx>
          <c:spPr>
            <a:ln w="28575" cap="rnd">
              <a:solidFill>
                <a:schemeClr val="accent1"/>
              </a:solidFill>
              <a:round/>
            </a:ln>
            <a:effectLst/>
          </c:spPr>
          <c:marker>
            <c:symbol val="none"/>
          </c:marker>
          <c:cat>
            <c:strRef>
              <c:f>'psd (2)'!$F$1:$AV$1</c:f>
              <c:strCache>
                <c:ptCount val="43"/>
                <c:pt idx="0">
                  <c:v>1974/75</c:v>
                </c:pt>
                <c:pt idx="1">
                  <c:v>1975/76</c:v>
                </c:pt>
                <c:pt idx="2">
                  <c:v>1976/77</c:v>
                </c:pt>
                <c:pt idx="3">
                  <c:v>1977/78</c:v>
                </c:pt>
                <c:pt idx="4">
                  <c:v>1978/79</c:v>
                </c:pt>
                <c:pt idx="5">
                  <c:v>1979/80</c:v>
                </c:pt>
                <c:pt idx="6">
                  <c:v>1980/81</c:v>
                </c:pt>
                <c:pt idx="7">
                  <c:v>1981/82</c:v>
                </c:pt>
                <c:pt idx="8">
                  <c:v>1982/83</c:v>
                </c:pt>
                <c:pt idx="9">
                  <c:v>1983/84</c:v>
                </c:pt>
                <c:pt idx="10">
                  <c:v>1984/85</c:v>
                </c:pt>
                <c:pt idx="11">
                  <c:v>1985/86</c:v>
                </c:pt>
                <c:pt idx="12">
                  <c:v>1986/87</c:v>
                </c:pt>
                <c:pt idx="13">
                  <c:v>1987/88</c:v>
                </c:pt>
                <c:pt idx="14">
                  <c:v>1988/89</c:v>
                </c:pt>
                <c:pt idx="15">
                  <c:v>1989/90</c:v>
                </c:pt>
                <c:pt idx="16">
                  <c:v>1990/91</c:v>
                </c:pt>
                <c:pt idx="17">
                  <c:v>1991/92</c:v>
                </c:pt>
                <c:pt idx="18">
                  <c:v>1992/93</c:v>
                </c:pt>
                <c:pt idx="19">
                  <c:v>1993/94</c:v>
                </c:pt>
                <c:pt idx="20">
                  <c:v>1994/95</c:v>
                </c:pt>
                <c:pt idx="21">
                  <c:v>1995/96</c:v>
                </c:pt>
                <c:pt idx="22">
                  <c:v>1996/97</c:v>
                </c:pt>
                <c:pt idx="23">
                  <c:v>1997/98</c:v>
                </c:pt>
                <c:pt idx="24">
                  <c:v>1998/99</c:v>
                </c:pt>
                <c:pt idx="25">
                  <c:v>1999/00</c:v>
                </c:pt>
                <c:pt idx="26">
                  <c:v>2000/01</c:v>
                </c:pt>
                <c:pt idx="27">
                  <c:v>2001/02</c:v>
                </c:pt>
                <c:pt idx="28">
                  <c:v>2002/03</c:v>
                </c:pt>
                <c:pt idx="29">
                  <c:v>2003/04</c:v>
                </c:pt>
                <c:pt idx="30">
                  <c:v>2004/05</c:v>
                </c:pt>
                <c:pt idx="31">
                  <c:v>2005/06</c:v>
                </c:pt>
                <c:pt idx="32">
                  <c:v>2006/07</c:v>
                </c:pt>
                <c:pt idx="33">
                  <c:v>2007/08</c:v>
                </c:pt>
                <c:pt idx="34">
                  <c:v>2008/09</c:v>
                </c:pt>
                <c:pt idx="35">
                  <c:v>2009/10</c:v>
                </c:pt>
                <c:pt idx="36">
                  <c:v>2010/11</c:v>
                </c:pt>
                <c:pt idx="37">
                  <c:v>2011/12</c:v>
                </c:pt>
                <c:pt idx="38">
                  <c:v>2012/13</c:v>
                </c:pt>
                <c:pt idx="39">
                  <c:v>2013/14</c:v>
                </c:pt>
                <c:pt idx="40">
                  <c:v>2014/15</c:v>
                </c:pt>
                <c:pt idx="41">
                  <c:v>2015/16</c:v>
                </c:pt>
                <c:pt idx="42">
                  <c:v>2016/17</c:v>
                </c:pt>
              </c:strCache>
            </c:strRef>
          </c:cat>
          <c:val>
            <c:numRef>
              <c:f>'psd (2)'!$F$6:$AV$6</c:f>
              <c:numCache>
                <c:formatCode>General</c:formatCode>
                <c:ptCount val="43"/>
                <c:pt idx="0">
                  <c:v>15</c:v>
                </c:pt>
                <c:pt idx="1">
                  <c:v>174</c:v>
                </c:pt>
                <c:pt idx="2">
                  <c:v>78</c:v>
                </c:pt>
                <c:pt idx="3">
                  <c:v>50</c:v>
                </c:pt>
                <c:pt idx="4">
                  <c:v>5</c:v>
                </c:pt>
                <c:pt idx="5">
                  <c:v>2</c:v>
                </c:pt>
                <c:pt idx="6">
                  <c:v>3</c:v>
                </c:pt>
                <c:pt idx="7">
                  <c:v>6</c:v>
                </c:pt>
                <c:pt idx="8">
                  <c:v>0</c:v>
                </c:pt>
                <c:pt idx="9">
                  <c:v>16</c:v>
                </c:pt>
                <c:pt idx="10">
                  <c:v>0</c:v>
                </c:pt>
                <c:pt idx="11">
                  <c:v>2</c:v>
                </c:pt>
                <c:pt idx="12">
                  <c:v>0</c:v>
                </c:pt>
                <c:pt idx="13">
                  <c:v>1</c:v>
                </c:pt>
                <c:pt idx="14">
                  <c:v>1</c:v>
                </c:pt>
                <c:pt idx="15">
                  <c:v>3</c:v>
                </c:pt>
                <c:pt idx="16">
                  <c:v>4</c:v>
                </c:pt>
                <c:pt idx="17">
                  <c:v>5</c:v>
                </c:pt>
                <c:pt idx="18">
                  <c:v>2</c:v>
                </c:pt>
                <c:pt idx="19">
                  <c:v>24</c:v>
                </c:pt>
                <c:pt idx="20">
                  <c:v>30</c:v>
                </c:pt>
                <c:pt idx="21">
                  <c:v>30</c:v>
                </c:pt>
                <c:pt idx="22">
                  <c:v>16</c:v>
                </c:pt>
                <c:pt idx="23">
                  <c:v>5</c:v>
                </c:pt>
                <c:pt idx="24">
                  <c:v>6</c:v>
                </c:pt>
                <c:pt idx="25">
                  <c:v>7</c:v>
                </c:pt>
                <c:pt idx="26">
                  <c:v>4</c:v>
                </c:pt>
                <c:pt idx="27">
                  <c:v>3</c:v>
                </c:pt>
                <c:pt idx="28">
                  <c:v>1</c:v>
                </c:pt>
                <c:pt idx="29">
                  <c:v>0</c:v>
                </c:pt>
                <c:pt idx="30">
                  <c:v>1</c:v>
                </c:pt>
                <c:pt idx="31">
                  <c:v>1</c:v>
                </c:pt>
                <c:pt idx="32">
                  <c:v>3</c:v>
                </c:pt>
                <c:pt idx="33">
                  <c:v>1</c:v>
                </c:pt>
                <c:pt idx="34">
                  <c:v>0</c:v>
                </c:pt>
                <c:pt idx="35">
                  <c:v>3</c:v>
                </c:pt>
                <c:pt idx="36">
                  <c:v>22</c:v>
                </c:pt>
                <c:pt idx="37">
                  <c:v>21</c:v>
                </c:pt>
                <c:pt idx="38">
                  <c:v>46</c:v>
                </c:pt>
                <c:pt idx="39">
                  <c:v>1</c:v>
                </c:pt>
                <c:pt idx="40">
                  <c:v>86</c:v>
                </c:pt>
                <c:pt idx="41">
                  <c:v>192</c:v>
                </c:pt>
                <c:pt idx="42">
                  <c:v>250</c:v>
                </c:pt>
              </c:numCache>
            </c:numRef>
          </c:val>
          <c:smooth val="0"/>
          <c:extLst>
            <c:ext xmlns:c16="http://schemas.microsoft.com/office/drawing/2014/chart" uri="{C3380CC4-5D6E-409C-BE32-E72D297353CC}">
              <c16:uniqueId val="{00000004-7B16-41E6-A430-C74530958AED}"/>
            </c:ext>
          </c:extLst>
        </c:ser>
        <c:dLbls>
          <c:showLegendKey val="0"/>
          <c:showVal val="0"/>
          <c:showCatName val="0"/>
          <c:showSerName val="0"/>
          <c:showPercent val="0"/>
          <c:showBubbleSize val="0"/>
        </c:dLbls>
        <c:smooth val="0"/>
        <c:axId val="1106741616"/>
        <c:axId val="1106743392"/>
      </c:lineChart>
      <c:catAx>
        <c:axId val="110674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743392"/>
        <c:crosses val="autoZero"/>
        <c:auto val="1"/>
        <c:lblAlgn val="ctr"/>
        <c:lblOffset val="100"/>
        <c:noMultiLvlLbl val="0"/>
      </c:catAx>
      <c:valAx>
        <c:axId val="110674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74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Sheet1!$B$5</c:f>
              <c:strCache>
                <c:ptCount val="1"/>
                <c:pt idx="0">
                  <c:v>Urea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f>
              <c:strCache>
                <c:ptCount val="1"/>
                <c:pt idx="0">
                  <c:v>Consumption</c:v>
                </c:pt>
              </c:strCache>
            </c:strRef>
          </c:cat>
          <c:val>
            <c:numRef>
              <c:f>Sheet1!$C$5</c:f>
              <c:numCache>
                <c:formatCode>0%</c:formatCode>
                <c:ptCount val="1"/>
                <c:pt idx="0">
                  <c:v>0.54</c:v>
                </c:pt>
              </c:numCache>
            </c:numRef>
          </c:val>
          <c:extLst>
            <c:ext xmlns:c16="http://schemas.microsoft.com/office/drawing/2014/chart" uri="{C3380CC4-5D6E-409C-BE32-E72D297353CC}">
              <c16:uniqueId val="{00000000-93BC-4615-95A0-D051AB4CD7D5}"/>
            </c:ext>
          </c:extLst>
        </c:ser>
        <c:ser>
          <c:idx val="1"/>
          <c:order val="1"/>
          <c:tx>
            <c:strRef>
              <c:f>Sheet1!$B$6</c:f>
              <c:strCache>
                <c:ptCount val="1"/>
                <c:pt idx="0">
                  <c:v>NPKs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f>
              <c:strCache>
                <c:ptCount val="1"/>
                <c:pt idx="0">
                  <c:v>Consumption</c:v>
                </c:pt>
              </c:strCache>
            </c:strRef>
          </c:cat>
          <c:val>
            <c:numRef>
              <c:f>Sheet1!$C$6</c:f>
              <c:numCache>
                <c:formatCode>0%</c:formatCode>
                <c:ptCount val="1"/>
                <c:pt idx="0">
                  <c:v>0.21</c:v>
                </c:pt>
              </c:numCache>
            </c:numRef>
          </c:val>
          <c:extLst>
            <c:ext xmlns:c16="http://schemas.microsoft.com/office/drawing/2014/chart" uri="{C3380CC4-5D6E-409C-BE32-E72D297353CC}">
              <c16:uniqueId val="{00000001-93BC-4615-95A0-D051AB4CD7D5}"/>
            </c:ext>
          </c:extLst>
        </c:ser>
        <c:ser>
          <c:idx val="2"/>
          <c:order val="2"/>
          <c:tx>
            <c:strRef>
              <c:f>Sheet1!$B$7</c:f>
              <c:strCache>
                <c:ptCount val="1"/>
                <c:pt idx="0">
                  <c:v>MOP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f>
              <c:strCache>
                <c:ptCount val="1"/>
                <c:pt idx="0">
                  <c:v>Consumption</c:v>
                </c:pt>
              </c:strCache>
            </c:strRef>
          </c:cat>
          <c:val>
            <c:numRef>
              <c:f>Sheet1!$C$7</c:f>
              <c:numCache>
                <c:formatCode>0%</c:formatCode>
                <c:ptCount val="1"/>
                <c:pt idx="0">
                  <c:v>0.17</c:v>
                </c:pt>
              </c:numCache>
            </c:numRef>
          </c:val>
          <c:extLst>
            <c:ext xmlns:c16="http://schemas.microsoft.com/office/drawing/2014/chart" uri="{C3380CC4-5D6E-409C-BE32-E72D297353CC}">
              <c16:uniqueId val="{00000002-93BC-4615-95A0-D051AB4CD7D5}"/>
            </c:ext>
          </c:extLst>
        </c:ser>
        <c:ser>
          <c:idx val="3"/>
          <c:order val="3"/>
          <c:tx>
            <c:strRef>
              <c:f>Sheet1!$B$8</c:f>
              <c:strCache>
                <c:ptCount val="1"/>
                <c:pt idx="0">
                  <c:v>DAP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f>
              <c:strCache>
                <c:ptCount val="1"/>
                <c:pt idx="0">
                  <c:v>Consumption</c:v>
                </c:pt>
              </c:strCache>
            </c:strRef>
          </c:cat>
          <c:val>
            <c:numRef>
              <c:f>Sheet1!$C$8</c:f>
              <c:numCache>
                <c:formatCode>0%</c:formatCode>
                <c:ptCount val="1"/>
              </c:numCache>
            </c:numRef>
          </c:val>
          <c:extLst>
            <c:ext xmlns:c16="http://schemas.microsoft.com/office/drawing/2014/chart" uri="{C3380CC4-5D6E-409C-BE32-E72D297353CC}">
              <c16:uniqueId val="{00000003-93BC-4615-95A0-D051AB4CD7D5}"/>
            </c:ext>
          </c:extLst>
        </c:ser>
        <c:ser>
          <c:idx val="4"/>
          <c:order val="4"/>
          <c:tx>
            <c:strRef>
              <c:f>Sheet1!$B$9</c:f>
              <c:strCache>
                <c:ptCount val="1"/>
                <c:pt idx="0">
                  <c:v>Other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f>
              <c:strCache>
                <c:ptCount val="1"/>
                <c:pt idx="0">
                  <c:v>Consumption</c:v>
                </c:pt>
              </c:strCache>
            </c:strRef>
          </c:cat>
          <c:val>
            <c:numRef>
              <c:f>Sheet1!$C$9</c:f>
              <c:numCache>
                <c:formatCode>0%</c:formatCode>
                <c:ptCount val="1"/>
                <c:pt idx="0">
                  <c:v>0.08</c:v>
                </c:pt>
              </c:numCache>
            </c:numRef>
          </c:val>
          <c:extLst>
            <c:ext xmlns:c16="http://schemas.microsoft.com/office/drawing/2014/chart" uri="{C3380CC4-5D6E-409C-BE32-E72D297353CC}">
              <c16:uniqueId val="{00000004-93BC-4615-95A0-D051AB4CD7D5}"/>
            </c:ext>
          </c:extLst>
        </c:ser>
        <c:dLbls>
          <c:dLblPos val="ctr"/>
          <c:showLegendKey val="0"/>
          <c:showVal val="1"/>
          <c:showCatName val="0"/>
          <c:showSerName val="0"/>
          <c:showPercent val="0"/>
          <c:showBubbleSize val="0"/>
        </c:dLbls>
        <c:gapWidth val="150"/>
        <c:overlap val="100"/>
        <c:axId val="1101466432"/>
        <c:axId val="1107015920"/>
      </c:barChart>
      <c:catAx>
        <c:axId val="11014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015920"/>
        <c:crosses val="autoZero"/>
        <c:auto val="1"/>
        <c:lblAlgn val="ctr"/>
        <c:lblOffset val="100"/>
        <c:noMultiLvlLbl val="0"/>
      </c:catAx>
      <c:valAx>
        <c:axId val="1107015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466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Sheet1!$E$2</c:f>
              <c:strCache>
                <c:ptCount val="1"/>
                <c:pt idx="0">
                  <c:v>Subsidy (F CFA/kg)</c:v>
                </c:pt>
              </c:strCache>
            </c:strRef>
          </c:tx>
          <c:spPr>
            <a:solidFill>
              <a:schemeClr val="accent2"/>
            </a:solidFill>
            <a:ln>
              <a:noFill/>
            </a:ln>
            <a:effectLst/>
          </c:spPr>
          <c:invertIfNegative val="0"/>
          <c:cat>
            <c:strRef>
              <c:f>Sheet1!$B$3:$B$29</c:f>
              <c:strCache>
                <c:ptCount val="27"/>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strCache>
            </c:strRef>
          </c:cat>
          <c:val>
            <c:numRef>
              <c:f>Sheet1!$E$3:$E$29</c:f>
              <c:numCache>
                <c:formatCode>#,##0</c:formatCode>
                <c:ptCount val="27"/>
                <c:pt idx="0">
                  <c:v>0</c:v>
                </c:pt>
                <c:pt idx="1">
                  <c:v>0</c:v>
                </c:pt>
                <c:pt idx="2">
                  <c:v>0</c:v>
                </c:pt>
                <c:pt idx="3">
                  <c:v>0</c:v>
                </c:pt>
                <c:pt idx="4">
                  <c:v>0</c:v>
                </c:pt>
                <c:pt idx="5">
                  <c:v>0</c:v>
                </c:pt>
                <c:pt idx="6">
                  <c:v>0</c:v>
                </c:pt>
                <c:pt idx="7">
                  <c:v>0</c:v>
                </c:pt>
                <c:pt idx="8">
                  <c:v>0</c:v>
                </c:pt>
                <c:pt idx="9">
                  <c:v>0</c:v>
                </c:pt>
                <c:pt idx="10">
                  <c:v>0</c:v>
                </c:pt>
                <c:pt idx="11">
                  <c:v>9</c:v>
                </c:pt>
                <c:pt idx="12">
                  <c:v>0</c:v>
                </c:pt>
                <c:pt idx="13">
                  <c:v>0</c:v>
                </c:pt>
                <c:pt idx="14">
                  <c:v>0</c:v>
                </c:pt>
                <c:pt idx="15">
                  <c:v>0</c:v>
                </c:pt>
                <c:pt idx="16">
                  <c:v>45</c:v>
                </c:pt>
                <c:pt idx="17">
                  <c:v>40</c:v>
                </c:pt>
                <c:pt idx="18">
                  <c:v>15</c:v>
                </c:pt>
                <c:pt idx="19">
                  <c:v>0</c:v>
                </c:pt>
                <c:pt idx="20">
                  <c:v>45</c:v>
                </c:pt>
                <c:pt idx="21">
                  <c:v>40</c:v>
                </c:pt>
                <c:pt idx="22">
                  <c:v>25</c:v>
                </c:pt>
                <c:pt idx="23">
                  <c:v>0</c:v>
                </c:pt>
                <c:pt idx="24">
                  <c:v>57</c:v>
                </c:pt>
                <c:pt idx="25">
                  <c:v>30</c:v>
                </c:pt>
              </c:numCache>
            </c:numRef>
          </c:val>
          <c:extLst>
            <c:ext xmlns:c16="http://schemas.microsoft.com/office/drawing/2014/chart" uri="{C3380CC4-5D6E-409C-BE32-E72D297353CC}">
              <c16:uniqueId val="{00000000-214D-42B3-BBC2-74A627634CAA}"/>
            </c:ext>
          </c:extLst>
        </c:ser>
        <c:dLbls>
          <c:showLegendKey val="0"/>
          <c:showVal val="0"/>
          <c:showCatName val="0"/>
          <c:showSerName val="0"/>
          <c:showPercent val="0"/>
          <c:showBubbleSize val="0"/>
        </c:dLbls>
        <c:gapWidth val="150"/>
        <c:axId val="1106599152"/>
        <c:axId val="1106595760"/>
      </c:barChart>
      <c:lineChart>
        <c:grouping val="standard"/>
        <c:varyColors val="0"/>
        <c:ser>
          <c:idx val="0"/>
          <c:order val="0"/>
          <c:tx>
            <c:strRef>
              <c:f>Sheet1!$C$2</c:f>
              <c:strCache>
                <c:ptCount val="1"/>
                <c:pt idx="0">
                  <c:v>Groundnuts Collected (tons)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Sheet1!$B$3:$B$29</c:f>
              <c:strCache>
                <c:ptCount val="27"/>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strCache>
            </c:strRef>
          </c:cat>
          <c:val>
            <c:numRef>
              <c:f>Sheet1!$C$3:$C$29</c:f>
              <c:numCache>
                <c:formatCode>#,##0</c:formatCode>
                <c:ptCount val="27"/>
                <c:pt idx="0">
                  <c:v>582734</c:v>
                </c:pt>
                <c:pt idx="1">
                  <c:v>243711</c:v>
                </c:pt>
                <c:pt idx="2">
                  <c:v>383282</c:v>
                </c:pt>
                <c:pt idx="3">
                  <c:v>159479</c:v>
                </c:pt>
                <c:pt idx="4">
                  <c:v>232858</c:v>
                </c:pt>
                <c:pt idx="5">
                  <c:v>256657</c:v>
                </c:pt>
                <c:pt idx="6">
                  <c:v>288409</c:v>
                </c:pt>
                <c:pt idx="7">
                  <c:v>110995</c:v>
                </c:pt>
                <c:pt idx="8">
                  <c:v>204075</c:v>
                </c:pt>
                <c:pt idx="9">
                  <c:v>346211</c:v>
                </c:pt>
                <c:pt idx="10">
                  <c:v>470092</c:v>
                </c:pt>
                <c:pt idx="11">
                  <c:v>548477</c:v>
                </c:pt>
                <c:pt idx="12">
                  <c:v>406721</c:v>
                </c:pt>
                <c:pt idx="13">
                  <c:v>16648</c:v>
                </c:pt>
                <c:pt idx="14">
                  <c:v>107633</c:v>
                </c:pt>
                <c:pt idx="15">
                  <c:v>281684</c:v>
                </c:pt>
                <c:pt idx="16">
                  <c:v>186966</c:v>
                </c:pt>
                <c:pt idx="17">
                  <c:v>136270</c:v>
                </c:pt>
                <c:pt idx="18">
                  <c:v>48345</c:v>
                </c:pt>
                <c:pt idx="19">
                  <c:v>123643</c:v>
                </c:pt>
                <c:pt idx="20">
                  <c:v>264093</c:v>
                </c:pt>
                <c:pt idx="21">
                  <c:v>73748</c:v>
                </c:pt>
                <c:pt idx="22">
                  <c:v>35688</c:v>
                </c:pt>
                <c:pt idx="23">
                  <c:v>59719</c:v>
                </c:pt>
                <c:pt idx="24">
                  <c:v>218438</c:v>
                </c:pt>
                <c:pt idx="25">
                  <c:v>103179</c:v>
                </c:pt>
                <c:pt idx="26">
                  <c:v>46400</c:v>
                </c:pt>
              </c:numCache>
            </c:numRef>
          </c:val>
          <c:smooth val="0"/>
          <c:extLst>
            <c:ext xmlns:c16="http://schemas.microsoft.com/office/drawing/2014/chart" uri="{C3380CC4-5D6E-409C-BE32-E72D297353CC}">
              <c16:uniqueId val="{00000002-214D-42B3-BBC2-74A627634CAA}"/>
            </c:ext>
          </c:extLst>
        </c:ser>
        <c:dLbls>
          <c:showLegendKey val="0"/>
          <c:showVal val="0"/>
          <c:showCatName val="0"/>
          <c:showSerName val="0"/>
          <c:showPercent val="0"/>
          <c:showBubbleSize val="0"/>
        </c:dLbls>
        <c:marker val="1"/>
        <c:smooth val="0"/>
        <c:axId val="1339388944"/>
        <c:axId val="1010307168"/>
      </c:lineChart>
      <c:catAx>
        <c:axId val="133938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10307168"/>
        <c:crosses val="autoZero"/>
        <c:auto val="1"/>
        <c:lblAlgn val="ctr"/>
        <c:lblOffset val="100"/>
        <c:noMultiLvlLbl val="0"/>
      </c:catAx>
      <c:valAx>
        <c:axId val="101030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9388944"/>
        <c:crosses val="autoZero"/>
        <c:crossBetween val="between"/>
      </c:valAx>
      <c:valAx>
        <c:axId val="11065957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 CFA/kg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6599152"/>
        <c:crosses val="max"/>
        <c:crossBetween val="between"/>
      </c:valAx>
      <c:catAx>
        <c:axId val="1106599152"/>
        <c:scaling>
          <c:orientation val="minMax"/>
        </c:scaling>
        <c:delete val="1"/>
        <c:axPos val="b"/>
        <c:numFmt formatCode="General" sourceLinked="1"/>
        <c:majorTickMark val="out"/>
        <c:minorTickMark val="none"/>
        <c:tickLblPos val="nextTo"/>
        <c:crossAx val="1106595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Sheet1!$I$4</c:f>
              <c:strCache>
                <c:ptCount val="1"/>
                <c:pt idx="0">
                  <c:v>Burkina Faso</c:v>
                </c:pt>
              </c:strCache>
            </c:strRef>
          </c:tx>
          <c:spPr>
            <a:ln w="25400" cap="rnd">
              <a:noFill/>
              <a:round/>
            </a:ln>
            <a:effectLst/>
          </c:spPr>
          <c:marker>
            <c:symbol val="circle"/>
            <c:size val="5"/>
            <c:spPr>
              <a:solidFill>
                <a:schemeClr val="accent1"/>
              </a:solidFill>
              <a:ln w="9525">
                <a:solidFill>
                  <a:schemeClr val="accent1"/>
                </a:solidFill>
              </a:ln>
              <a:effectLst/>
            </c:spPr>
          </c:marker>
          <c:xVal>
            <c:numRef>
              <c:f>Sheet1!$J$3:$S$3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xVal>
          <c:yVal>
            <c:numRef>
              <c:f>Sheet1!$J$4:$S$4</c:f>
              <c:numCache>
                <c:formatCode>General</c:formatCode>
                <c:ptCount val="10"/>
                <c:pt idx="0">
                  <c:v>12.2505644548113</c:v>
                </c:pt>
                <c:pt idx="1">
                  <c:v>7.7295939099292204</c:v>
                </c:pt>
                <c:pt idx="2">
                  <c:v>-20.222930756512</c:v>
                </c:pt>
                <c:pt idx="3">
                  <c:v>-54.959311190994597</c:v>
                </c:pt>
                <c:pt idx="4">
                  <c:v>-4.0488785486267256</c:v>
                </c:pt>
                <c:pt idx="5">
                  <c:v>-28.418099408828091</c:v>
                </c:pt>
                <c:pt idx="6">
                  <c:v>-22.117807931623901</c:v>
                </c:pt>
                <c:pt idx="7">
                  <c:v>-21.824491247069801</c:v>
                </c:pt>
                <c:pt idx="8">
                  <c:v>46.486828546224302</c:v>
                </c:pt>
                <c:pt idx="9">
                  <c:v>-42.167991516841703</c:v>
                </c:pt>
              </c:numCache>
            </c:numRef>
          </c:yVal>
          <c:smooth val="0"/>
          <c:extLst>
            <c:ext xmlns:c16="http://schemas.microsoft.com/office/drawing/2014/chart" uri="{C3380CC4-5D6E-409C-BE32-E72D297353CC}">
              <c16:uniqueId val="{00000000-CBEF-4215-B414-67FB8F98A282}"/>
            </c:ext>
          </c:extLst>
        </c:ser>
        <c:ser>
          <c:idx val="1"/>
          <c:order val="1"/>
          <c:tx>
            <c:strRef>
              <c:f>Sheet1!$I$5</c:f>
              <c:strCache>
                <c:ptCount val="1"/>
                <c:pt idx="0">
                  <c:v>Ghana</c:v>
                </c:pt>
              </c:strCache>
            </c:strRef>
          </c:tx>
          <c:spPr>
            <a:ln w="25400" cap="rnd">
              <a:noFill/>
              <a:round/>
            </a:ln>
            <a:effectLst/>
          </c:spPr>
          <c:marker>
            <c:symbol val="circle"/>
            <c:size val="5"/>
            <c:spPr>
              <a:solidFill>
                <a:schemeClr val="accent2"/>
              </a:solidFill>
              <a:ln w="9525">
                <a:solidFill>
                  <a:schemeClr val="accent2"/>
                </a:solidFill>
              </a:ln>
              <a:effectLst/>
            </c:spPr>
          </c:marker>
          <c:xVal>
            <c:numRef>
              <c:f>Sheet1!$J$3:$S$3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xVal>
          <c:yVal>
            <c:numRef>
              <c:f>Sheet1!$J$5:$S$5</c:f>
              <c:numCache>
                <c:formatCode>General</c:formatCode>
                <c:ptCount val="10"/>
                <c:pt idx="2">
                  <c:v>-19.370117413401601</c:v>
                </c:pt>
                <c:pt idx="3">
                  <c:v>-25.769904018157799</c:v>
                </c:pt>
                <c:pt idx="4">
                  <c:v>-19.72986288352158</c:v>
                </c:pt>
                <c:pt idx="5">
                  <c:v>-14.1221580769165</c:v>
                </c:pt>
                <c:pt idx="6">
                  <c:v>-13.1048478493773</c:v>
                </c:pt>
                <c:pt idx="7">
                  <c:v>-12.7851848525232</c:v>
                </c:pt>
                <c:pt idx="8">
                  <c:v>41.036564590130197</c:v>
                </c:pt>
                <c:pt idx="9">
                  <c:v>-4.7676953464668843</c:v>
                </c:pt>
              </c:numCache>
            </c:numRef>
          </c:yVal>
          <c:smooth val="0"/>
          <c:extLst>
            <c:ext xmlns:c16="http://schemas.microsoft.com/office/drawing/2014/chart" uri="{C3380CC4-5D6E-409C-BE32-E72D297353CC}">
              <c16:uniqueId val="{00000001-CBEF-4215-B414-67FB8F98A282}"/>
            </c:ext>
          </c:extLst>
        </c:ser>
        <c:ser>
          <c:idx val="2"/>
          <c:order val="2"/>
          <c:tx>
            <c:strRef>
              <c:f>Sheet1!$I$6</c:f>
              <c:strCache>
                <c:ptCount val="1"/>
                <c:pt idx="0">
                  <c:v>Mali</c:v>
                </c:pt>
              </c:strCache>
            </c:strRef>
          </c:tx>
          <c:spPr>
            <a:ln w="25400" cap="rnd">
              <a:noFill/>
              <a:round/>
            </a:ln>
            <a:effectLst/>
          </c:spPr>
          <c:marker>
            <c:symbol val="circle"/>
            <c:size val="5"/>
            <c:spPr>
              <a:solidFill>
                <a:schemeClr val="accent3"/>
              </a:solidFill>
              <a:ln w="9525">
                <a:solidFill>
                  <a:schemeClr val="accent3"/>
                </a:solidFill>
              </a:ln>
              <a:effectLst/>
            </c:spPr>
          </c:marker>
          <c:xVal>
            <c:numRef>
              <c:f>Sheet1!$J$3:$S$3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xVal>
          <c:yVal>
            <c:numRef>
              <c:f>Sheet1!$J$6:$S$6</c:f>
              <c:numCache>
                <c:formatCode>General</c:formatCode>
                <c:ptCount val="10"/>
                <c:pt idx="0">
                  <c:v>31.314979246038799</c:v>
                </c:pt>
                <c:pt idx="1">
                  <c:v>6.1197634543655104</c:v>
                </c:pt>
                <c:pt idx="2">
                  <c:v>-0.495662181120193</c:v>
                </c:pt>
                <c:pt idx="3">
                  <c:v>-20.879760377841301</c:v>
                </c:pt>
                <c:pt idx="4">
                  <c:v>-17.158077589829599</c:v>
                </c:pt>
                <c:pt idx="5">
                  <c:v>-31.973576417041301</c:v>
                </c:pt>
                <c:pt idx="6">
                  <c:v>-3.5969503250692361</c:v>
                </c:pt>
                <c:pt idx="7">
                  <c:v>27.329427908864702</c:v>
                </c:pt>
              </c:numCache>
            </c:numRef>
          </c:yVal>
          <c:smooth val="0"/>
          <c:extLst>
            <c:ext xmlns:c16="http://schemas.microsoft.com/office/drawing/2014/chart" uri="{C3380CC4-5D6E-409C-BE32-E72D297353CC}">
              <c16:uniqueId val="{00000002-CBEF-4215-B414-67FB8F98A282}"/>
            </c:ext>
          </c:extLst>
        </c:ser>
        <c:ser>
          <c:idx val="3"/>
          <c:order val="3"/>
          <c:tx>
            <c:strRef>
              <c:f>Sheet1!$I$7</c:f>
              <c:strCache>
                <c:ptCount val="1"/>
                <c:pt idx="0">
                  <c:v>Malawi</c:v>
                </c:pt>
              </c:strCache>
            </c:strRef>
          </c:tx>
          <c:spPr>
            <a:ln w="25400" cap="rnd">
              <a:noFill/>
              <a:round/>
            </a:ln>
            <a:effectLst/>
          </c:spPr>
          <c:marker>
            <c:symbol val="circle"/>
            <c:size val="5"/>
            <c:spPr>
              <a:solidFill>
                <a:schemeClr val="accent4"/>
              </a:solidFill>
              <a:ln w="9525">
                <a:solidFill>
                  <a:schemeClr val="accent4"/>
                </a:solidFill>
              </a:ln>
              <a:effectLst/>
            </c:spPr>
          </c:marker>
          <c:xVal>
            <c:numRef>
              <c:f>Sheet1!$J$3:$S$3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xVal>
          <c:yVal>
            <c:numRef>
              <c:f>Sheet1!$J$7:$S$7</c:f>
              <c:numCache>
                <c:formatCode>General</c:formatCode>
                <c:ptCount val="10"/>
                <c:pt idx="0">
                  <c:v>5.0226547024546804</c:v>
                </c:pt>
                <c:pt idx="1">
                  <c:v>25.877173989041999</c:v>
                </c:pt>
                <c:pt idx="2">
                  <c:v>-6.3083774849754102</c:v>
                </c:pt>
                <c:pt idx="3">
                  <c:v>-37.982581332662001</c:v>
                </c:pt>
                <c:pt idx="4">
                  <c:v>1.6600130437216001</c:v>
                </c:pt>
                <c:pt idx="5">
                  <c:v>-2.4632580442057002</c:v>
                </c:pt>
                <c:pt idx="6">
                  <c:v>-13.3970025740335</c:v>
                </c:pt>
                <c:pt idx="7">
                  <c:v>-38.0632374345793</c:v>
                </c:pt>
                <c:pt idx="8">
                  <c:v>-68.283517443549982</c:v>
                </c:pt>
              </c:numCache>
            </c:numRef>
          </c:yVal>
          <c:smooth val="0"/>
          <c:extLst>
            <c:ext xmlns:c16="http://schemas.microsoft.com/office/drawing/2014/chart" uri="{C3380CC4-5D6E-409C-BE32-E72D297353CC}">
              <c16:uniqueId val="{00000003-CBEF-4215-B414-67FB8F98A282}"/>
            </c:ext>
          </c:extLst>
        </c:ser>
        <c:ser>
          <c:idx val="4"/>
          <c:order val="4"/>
          <c:tx>
            <c:strRef>
              <c:f>Sheet1!$I$8</c:f>
              <c:strCache>
                <c:ptCount val="1"/>
                <c:pt idx="0">
                  <c:v>Senegal</c:v>
                </c:pt>
              </c:strCache>
            </c:strRef>
          </c:tx>
          <c:spPr>
            <a:ln w="25400" cap="rnd">
              <a:noFill/>
              <a:round/>
            </a:ln>
            <a:effectLst/>
          </c:spPr>
          <c:marker>
            <c:symbol val="circle"/>
            <c:size val="5"/>
            <c:spPr>
              <a:solidFill>
                <a:schemeClr val="accent5"/>
              </a:solidFill>
              <a:ln w="9525">
                <a:solidFill>
                  <a:schemeClr val="accent5"/>
                </a:solidFill>
              </a:ln>
              <a:effectLst/>
            </c:spPr>
          </c:marker>
          <c:xVal>
            <c:numRef>
              <c:f>Sheet1!$J$3:$S$3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xVal>
          <c:yVal>
            <c:numRef>
              <c:f>Sheet1!$J$8:$S$8</c:f>
              <c:numCache>
                <c:formatCode>General</c:formatCode>
                <c:ptCount val="10"/>
                <c:pt idx="1">
                  <c:v>-63.814822259429327</c:v>
                </c:pt>
                <c:pt idx="2">
                  <c:v>-59.849955980208499</c:v>
                </c:pt>
                <c:pt idx="3">
                  <c:v>-63.048108690127798</c:v>
                </c:pt>
                <c:pt idx="4">
                  <c:v>-70.226776484815005</c:v>
                </c:pt>
                <c:pt idx="5">
                  <c:v>-71.745953677258399</c:v>
                </c:pt>
                <c:pt idx="6">
                  <c:v>-71.353150132040113</c:v>
                </c:pt>
                <c:pt idx="7">
                  <c:v>-78.617523222234297</c:v>
                </c:pt>
                <c:pt idx="8">
                  <c:v>-77.998133906944304</c:v>
                </c:pt>
                <c:pt idx="9">
                  <c:v>-71.602001395567953</c:v>
                </c:pt>
              </c:numCache>
            </c:numRef>
          </c:yVal>
          <c:smooth val="0"/>
          <c:extLst>
            <c:ext xmlns:c16="http://schemas.microsoft.com/office/drawing/2014/chart" uri="{C3380CC4-5D6E-409C-BE32-E72D297353CC}">
              <c16:uniqueId val="{00000004-CBEF-4215-B414-67FB8F98A282}"/>
            </c:ext>
          </c:extLst>
        </c:ser>
        <c:dLbls>
          <c:showLegendKey val="0"/>
          <c:showVal val="0"/>
          <c:showCatName val="0"/>
          <c:showSerName val="0"/>
          <c:showPercent val="0"/>
          <c:showBubbleSize val="0"/>
        </c:dLbls>
        <c:axId val="1059146144"/>
        <c:axId val="1010499664"/>
      </c:scatterChart>
      <c:valAx>
        <c:axId val="1059146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499664"/>
        <c:crosses val="autoZero"/>
        <c:crossBetween val="midCat"/>
      </c:valAx>
      <c:valAx>
        <c:axId val="101049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146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Sheet1!$C$2</c:f>
              <c:strCache>
                <c:ptCount val="1"/>
                <c:pt idx="0">
                  <c:v>% of people using the internet (2016)</c:v>
                </c:pt>
              </c:strCache>
            </c:strRef>
          </c:tx>
          <c:spPr>
            <a:solidFill>
              <a:schemeClr val="dk1">
                <a:tint val="88500"/>
              </a:schemeClr>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7B3-DA46-8C66-76EF69DAC221}"/>
              </c:ext>
            </c:extLst>
          </c:dPt>
          <c:cat>
            <c:strRef>
              <c:f>Sheet1!$B$3:$B$11</c:f>
              <c:strCache>
                <c:ptCount val="8"/>
                <c:pt idx="0">
                  <c:v>Senegal</c:v>
                </c:pt>
                <c:pt idx="1">
                  <c:v>Ghana</c:v>
                </c:pt>
                <c:pt idx="2">
                  <c:v>Kenya</c:v>
                </c:pt>
                <c:pt idx="3">
                  <c:v>Cape Verde</c:v>
                </c:pt>
                <c:pt idx="4">
                  <c:v>South Africa</c:v>
                </c:pt>
                <c:pt idx="5">
                  <c:v>Nigeria</c:v>
                </c:pt>
                <c:pt idx="6">
                  <c:v>Mauritius</c:v>
                </c:pt>
                <c:pt idx="7">
                  <c:v>Morocco</c:v>
                </c:pt>
              </c:strCache>
              <c:extLst/>
            </c:strRef>
          </c:cat>
          <c:val>
            <c:numRef>
              <c:f>Sheet1!$C$3:$C$11</c:f>
              <c:numCache>
                <c:formatCode>0.00%</c:formatCode>
                <c:ptCount val="8"/>
                <c:pt idx="0">
                  <c:v>0.25700000000000001</c:v>
                </c:pt>
                <c:pt idx="1">
                  <c:v>0.34699999999999998</c:v>
                </c:pt>
                <c:pt idx="2">
                  <c:v>0.48</c:v>
                </c:pt>
                <c:pt idx="3">
                  <c:v>0.48199999999999998</c:v>
                </c:pt>
                <c:pt idx="4">
                  <c:v>0.50900000000000001</c:v>
                </c:pt>
                <c:pt idx="5">
                  <c:v>0.52200000000000002</c:v>
                </c:pt>
                <c:pt idx="6">
                  <c:v>0.53200000000000003</c:v>
                </c:pt>
                <c:pt idx="7">
                  <c:v>0.58299999999999996</c:v>
                </c:pt>
              </c:numCache>
              <c:extLst/>
            </c:numRef>
          </c:val>
          <c:extLst>
            <c:ext xmlns:c16="http://schemas.microsoft.com/office/drawing/2014/chart" uri="{C3380CC4-5D6E-409C-BE32-E72D297353CC}">
              <c16:uniqueId val="{00000002-D7B3-DA46-8C66-76EF69DAC221}"/>
            </c:ext>
          </c:extLst>
        </c:ser>
        <c:dLbls>
          <c:showLegendKey val="0"/>
          <c:showVal val="0"/>
          <c:showCatName val="0"/>
          <c:showSerName val="0"/>
          <c:showPercent val="0"/>
          <c:showBubbleSize val="0"/>
        </c:dLbls>
        <c:gapWidth val="219"/>
        <c:overlap val="-27"/>
        <c:axId val="1104435328"/>
        <c:axId val="1407582912"/>
      </c:barChart>
      <c:catAx>
        <c:axId val="110443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7582912"/>
        <c:crosses val="autoZero"/>
        <c:auto val="1"/>
        <c:lblAlgn val="ctr"/>
        <c:lblOffset val="100"/>
        <c:noMultiLvlLbl val="0"/>
      </c:catAx>
      <c:valAx>
        <c:axId val="140758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04435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ED7-4B68-85E4-D7D23C820165}"/>
              </c:ext>
            </c:extLst>
          </c:dPt>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FED7-4B68-85E4-D7D23C8201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Sheet1!$B$3:$H$3</c:f>
              <c:strCache>
                <c:ptCount val="7"/>
                <c:pt idx="0">
                  <c:v>Senegal</c:v>
                </c:pt>
                <c:pt idx="1">
                  <c:v>Kenya</c:v>
                </c:pt>
                <c:pt idx="2">
                  <c:v>Ghana</c:v>
                </c:pt>
                <c:pt idx="3">
                  <c:v>Cape Verde</c:v>
                </c:pt>
                <c:pt idx="4">
                  <c:v>Tunisia</c:v>
                </c:pt>
                <c:pt idx="5">
                  <c:v>South Africa</c:v>
                </c:pt>
                <c:pt idx="6">
                  <c:v>Mauritius</c:v>
                </c:pt>
              </c:strCache>
            </c:strRef>
          </c:cat>
          <c:val>
            <c:numRef>
              <c:f>Sheet1!$B$4:$H$4</c:f>
              <c:numCache>
                <c:formatCode>General</c:formatCode>
                <c:ptCount val="7"/>
                <c:pt idx="0">
                  <c:v>2.66</c:v>
                </c:pt>
                <c:pt idx="1">
                  <c:v>2.91</c:v>
                </c:pt>
                <c:pt idx="2">
                  <c:v>4.05</c:v>
                </c:pt>
                <c:pt idx="3">
                  <c:v>4.92</c:v>
                </c:pt>
                <c:pt idx="4">
                  <c:v>4.82</c:v>
                </c:pt>
                <c:pt idx="5">
                  <c:v>4.96</c:v>
                </c:pt>
                <c:pt idx="6">
                  <c:v>5.88</c:v>
                </c:pt>
              </c:numCache>
            </c:numRef>
          </c:val>
          <c:extLst>
            <c:ext xmlns:c16="http://schemas.microsoft.com/office/drawing/2014/chart" uri="{C3380CC4-5D6E-409C-BE32-E72D297353CC}">
              <c16:uniqueId val="{00000002-FED7-4B68-85E4-D7D23C820165}"/>
            </c:ext>
          </c:extLst>
        </c:ser>
        <c:dLbls>
          <c:showLegendKey val="0"/>
          <c:showVal val="0"/>
          <c:showCatName val="0"/>
          <c:showSerName val="0"/>
          <c:showPercent val="0"/>
          <c:showBubbleSize val="0"/>
        </c:dLbls>
        <c:gapWidth val="219"/>
        <c:overlap val="-27"/>
        <c:axId val="293889328"/>
        <c:axId val="344315360"/>
      </c:barChart>
      <c:catAx>
        <c:axId val="29388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315360"/>
        <c:crosses val="autoZero"/>
        <c:auto val="1"/>
        <c:lblAlgn val="ctr"/>
        <c:lblOffset val="100"/>
        <c:noMultiLvlLbl val="0"/>
      </c:catAx>
      <c:valAx>
        <c:axId val="3443153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889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'Network Sectors - Elect.'!$D$3</c:f>
              <c:strCache>
                <c:ptCount val="1"/>
                <c:pt idx="0">
                  <c:v>year</c:v>
                </c:pt>
              </c:strCache>
            </c:strRef>
          </c:tx>
          <c:spPr>
            <a:solidFill>
              <a:schemeClr val="dk1">
                <a:tint val="88500"/>
              </a:schemeClr>
            </a:solidFill>
            <a:ln>
              <a:noFill/>
            </a:ln>
            <a:effectLst/>
          </c:spPr>
          <c:invertIfNegative val="0"/>
          <c:cat>
            <c:strRef>
              <c:f>'Network Sectors - Elect.'!$B$4:$C$72</c:f>
              <c:strCache>
                <c:ptCount val="24"/>
                <c:pt idx="0">
                  <c:v>Top 5 Average</c:v>
                </c:pt>
                <c:pt idx="1">
                  <c:v>Chile</c:v>
                </c:pt>
                <c:pt idx="2">
                  <c:v>Peru</c:v>
                </c:pt>
                <c:pt idx="3">
                  <c:v>Argentina</c:v>
                </c:pt>
                <c:pt idx="4">
                  <c:v>Brazil</c:v>
                </c:pt>
                <c:pt idx="5">
                  <c:v>Philippines</c:v>
                </c:pt>
                <c:pt idx="6">
                  <c:v>El Salvador</c:v>
                </c:pt>
                <c:pt idx="7">
                  <c:v>Panama</c:v>
                </c:pt>
                <c:pt idx="8">
                  <c:v>OECD Average</c:v>
                </c:pt>
                <c:pt idx="9">
                  <c:v>Colombia</c:v>
                </c:pt>
                <c:pt idx="10">
                  <c:v>Bolivia</c:v>
                </c:pt>
                <c:pt idx="11">
                  <c:v>Turkey</c:v>
                </c:pt>
                <c:pt idx="12">
                  <c:v>India</c:v>
                </c:pt>
                <c:pt idx="13">
                  <c:v>Nicaragua</c:v>
                </c:pt>
                <c:pt idx="14">
                  <c:v>Dominican Republic</c:v>
                </c:pt>
                <c:pt idx="15">
                  <c:v>Jamaica</c:v>
                </c:pt>
                <c:pt idx="16">
                  <c:v>Egypt</c:v>
                </c:pt>
                <c:pt idx="17">
                  <c:v>Kenya</c:v>
                </c:pt>
                <c:pt idx="18">
                  <c:v>Costa Rica</c:v>
                </c:pt>
                <c:pt idx="19">
                  <c:v>South Africa</c:v>
                </c:pt>
                <c:pt idx="20">
                  <c:v>Honduras</c:v>
                </c:pt>
                <c:pt idx="21">
                  <c:v>Venezuela</c:v>
                </c:pt>
                <c:pt idx="22">
                  <c:v>Mexico</c:v>
                </c:pt>
                <c:pt idx="23">
                  <c:v>Senegal</c:v>
                </c:pt>
              </c:strCache>
            </c:strRef>
          </c:cat>
          <c:val>
            <c:numRef>
              <c:f>'Network Sectors - Elect.'!$D$4:$D$72</c:f>
            </c:numRef>
          </c:val>
          <c:extLst>
            <c:ext xmlns:c16="http://schemas.microsoft.com/office/drawing/2014/chart" uri="{C3380CC4-5D6E-409C-BE32-E72D297353CC}">
              <c16:uniqueId val="{00000000-0FAE-F844-BBB6-2C01814DAB70}"/>
            </c:ext>
          </c:extLst>
        </c:ser>
        <c:ser>
          <c:idx val="1"/>
          <c:order val="1"/>
          <c:tx>
            <c:strRef>
              <c:f>'+Network Sectors - Telecom'!$P$3</c:f>
              <c:strCache>
                <c:ptCount val="1"/>
                <c:pt idx="0">
                  <c:v>Overall</c:v>
                </c:pt>
              </c:strCache>
            </c:strRef>
          </c:tx>
          <c:spPr>
            <a:solidFill>
              <a:schemeClr val="dk1">
                <a:tint val="55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2-0FAE-F844-BBB6-2C01814DAB7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4-0FAE-F844-BBB6-2C01814DAB70}"/>
              </c:ext>
            </c:extLst>
          </c:dPt>
          <c:dPt>
            <c:idx val="17"/>
            <c:invertIfNegative val="0"/>
            <c:bubble3D val="0"/>
            <c:spPr>
              <a:solidFill>
                <a:schemeClr val="accent1"/>
              </a:solidFill>
              <a:ln>
                <a:noFill/>
              </a:ln>
              <a:effectLst/>
            </c:spPr>
            <c:extLst>
              <c:ext xmlns:c16="http://schemas.microsoft.com/office/drawing/2014/chart" uri="{C3380CC4-5D6E-409C-BE32-E72D297353CC}">
                <c16:uniqueId val="{00000006-0FAE-F844-BBB6-2C01814DAB70}"/>
              </c:ext>
            </c:extLst>
          </c:dPt>
          <c:dPt>
            <c:idx val="18"/>
            <c:invertIfNegative val="0"/>
            <c:bubble3D val="0"/>
            <c:extLst>
              <c:ext xmlns:c16="http://schemas.microsoft.com/office/drawing/2014/chart" uri="{C3380CC4-5D6E-409C-BE32-E72D297353CC}">
                <c16:uniqueId val="{00000007-0FAE-F844-BBB6-2C01814DAB70}"/>
              </c:ext>
            </c:extLst>
          </c:dPt>
          <c:dLbls>
            <c:dLbl>
              <c:idx val="17"/>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6-0FAE-F844-BBB6-2C01814DAB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'+Network Sectors - Telecom'!$B$4:$C$74</c:f>
              <c:strCache>
                <c:ptCount val="26"/>
                <c:pt idx="0">
                  <c:v>Top 5 Average</c:v>
                </c:pt>
                <c:pt idx="1">
                  <c:v>Brazil</c:v>
                </c:pt>
                <c:pt idx="2">
                  <c:v>Colombia</c:v>
                </c:pt>
                <c:pt idx="3">
                  <c:v>Dominican Republic</c:v>
                </c:pt>
                <c:pt idx="4">
                  <c:v>El Salvador</c:v>
                </c:pt>
                <c:pt idx="5">
                  <c:v>OECD Average</c:v>
                </c:pt>
                <c:pt idx="6">
                  <c:v>Chile</c:v>
                </c:pt>
                <c:pt idx="7">
                  <c:v>Mexico</c:v>
                </c:pt>
                <c:pt idx="8">
                  <c:v>Philippines</c:v>
                </c:pt>
                <c:pt idx="9">
                  <c:v>Peru</c:v>
                </c:pt>
                <c:pt idx="10">
                  <c:v>Turkey</c:v>
                </c:pt>
                <c:pt idx="11">
                  <c:v>Ukraine</c:v>
                </c:pt>
                <c:pt idx="12">
                  <c:v>Nicaragua</c:v>
                </c:pt>
                <c:pt idx="13">
                  <c:v>Panama</c:v>
                </c:pt>
                <c:pt idx="14">
                  <c:v>Argentina</c:v>
                </c:pt>
                <c:pt idx="15">
                  <c:v>Jamaica</c:v>
                </c:pt>
                <c:pt idx="16">
                  <c:v>Honduras</c:v>
                </c:pt>
                <c:pt idx="17">
                  <c:v>Senegal</c:v>
                </c:pt>
                <c:pt idx="18">
                  <c:v>South Africa</c:v>
                </c:pt>
                <c:pt idx="19">
                  <c:v>Kenya</c:v>
                </c:pt>
                <c:pt idx="20">
                  <c:v>China</c:v>
                </c:pt>
                <c:pt idx="21">
                  <c:v>Bolivia</c:v>
                </c:pt>
                <c:pt idx="22">
                  <c:v>India</c:v>
                </c:pt>
                <c:pt idx="23">
                  <c:v>Tunisia</c:v>
                </c:pt>
                <c:pt idx="24">
                  <c:v>Egypt</c:v>
                </c:pt>
                <c:pt idx="25">
                  <c:v>Costa Rica</c:v>
                </c:pt>
              </c:strCache>
            </c:strRef>
          </c:cat>
          <c:val>
            <c:numRef>
              <c:f>'+Network Sectors - Telecom'!$P$4:$P$74</c:f>
              <c:numCache>
                <c:formatCode>0.00</c:formatCode>
                <c:ptCount val="26"/>
                <c:pt idx="0" formatCode="General">
                  <c:v>0.35</c:v>
                </c:pt>
                <c:pt idx="1">
                  <c:v>0.66549998149275802</c:v>
                </c:pt>
                <c:pt idx="2">
                  <c:v>0.66666666666666696</c:v>
                </c:pt>
                <c:pt idx="3">
                  <c:v>0.79269033333333305</c:v>
                </c:pt>
                <c:pt idx="4">
                  <c:v>0.90549999999999997</c:v>
                </c:pt>
                <c:pt idx="5" formatCode="General">
                  <c:v>0.91</c:v>
                </c:pt>
                <c:pt idx="6">
                  <c:v>0.93166665236155199</c:v>
                </c:pt>
                <c:pt idx="7">
                  <c:v>1.1268999973932901</c:v>
                </c:pt>
                <c:pt idx="8">
                  <c:v>1.1394</c:v>
                </c:pt>
                <c:pt idx="9">
                  <c:v>1.1425666666666661</c:v>
                </c:pt>
                <c:pt idx="10">
                  <c:v>1.228166619936625</c:v>
                </c:pt>
                <c:pt idx="11">
                  <c:v>1.25</c:v>
                </c:pt>
                <c:pt idx="12">
                  <c:v>1.3833333333333331</c:v>
                </c:pt>
                <c:pt idx="13">
                  <c:v>1.418333333333333</c:v>
                </c:pt>
                <c:pt idx="14">
                  <c:v>1.4890000000000001</c:v>
                </c:pt>
                <c:pt idx="15">
                  <c:v>1.7</c:v>
                </c:pt>
                <c:pt idx="16">
                  <c:v>1.7733333333333341</c:v>
                </c:pt>
                <c:pt idx="17">
                  <c:v>1.8460000000000001</c:v>
                </c:pt>
                <c:pt idx="18">
                  <c:v>1.972333272298177</c:v>
                </c:pt>
                <c:pt idx="19">
                  <c:v>2.1506666666666661</c:v>
                </c:pt>
                <c:pt idx="20">
                  <c:v>2.2000000000000002</c:v>
                </c:pt>
                <c:pt idx="21">
                  <c:v>2.2250000000000001</c:v>
                </c:pt>
                <c:pt idx="22">
                  <c:v>2.3426666666666671</c:v>
                </c:pt>
                <c:pt idx="23" formatCode="General">
                  <c:v>2.4833333333333338</c:v>
                </c:pt>
                <c:pt idx="24">
                  <c:v>2.7298333333333331</c:v>
                </c:pt>
                <c:pt idx="25">
                  <c:v>3.94</c:v>
                </c:pt>
              </c:numCache>
            </c:numRef>
          </c:val>
          <c:extLst>
            <c:ext xmlns:c16="http://schemas.microsoft.com/office/drawing/2014/chart" uri="{C3380CC4-5D6E-409C-BE32-E72D297353CC}">
              <c16:uniqueId val="{00000008-0FAE-F844-BBB6-2C01814DAB70}"/>
            </c:ext>
          </c:extLst>
        </c:ser>
        <c:dLbls>
          <c:showLegendKey val="0"/>
          <c:showVal val="0"/>
          <c:showCatName val="0"/>
          <c:showSerName val="0"/>
          <c:showPercent val="0"/>
          <c:showBubbleSize val="0"/>
        </c:dLbls>
        <c:gapWidth val="219"/>
        <c:overlap val="-27"/>
        <c:axId val="1060444064"/>
        <c:axId val="1060446384"/>
      </c:barChart>
      <c:catAx>
        <c:axId val="10604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446384"/>
        <c:crosses val="autoZero"/>
        <c:auto val="1"/>
        <c:lblAlgn val="ctr"/>
        <c:lblOffset val="100"/>
        <c:noMultiLvlLbl val="0"/>
      </c:catAx>
      <c:valAx>
        <c:axId val="1060446384"/>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444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39105879091801"/>
          <c:y val="5.0925925925925902E-2"/>
          <c:w val="0.27477283161387001"/>
          <c:h val="0.89814814814814803"/>
        </c:manualLayout>
      </c:layout>
      <c:barChart>
        <c:barDir val="col"/>
        <c:grouping val="percentStacked"/>
        <c:varyColors val="0"/>
        <c:ser>
          <c:idx val="0"/>
          <c:order val="0"/>
          <c:tx>
            <c:strRef>
              <c:f>'IMF Sectoral Contribution (2)'!$B$4</c:f>
              <c:strCache>
                <c:ptCount val="1"/>
                <c:pt idx="0">
                  <c:v>Agriculture, Forestry, Fisheries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(2)'!$C$4</c:f>
              <c:numCache>
                <c:formatCode>0%</c:formatCode>
                <c:ptCount val="1"/>
                <c:pt idx="0">
                  <c:v>0.186</c:v>
                </c:pt>
              </c:numCache>
            </c:numRef>
          </c:val>
          <c:extLst>
            <c:ext xmlns:c16="http://schemas.microsoft.com/office/drawing/2014/chart" uri="{C3380CC4-5D6E-409C-BE32-E72D297353CC}">
              <c16:uniqueId val="{00000000-8410-4EA6-8A17-BE3F5970E139}"/>
            </c:ext>
          </c:extLst>
        </c:ser>
        <c:ser>
          <c:idx val="1"/>
          <c:order val="1"/>
          <c:tx>
            <c:strRef>
              <c:f>'IMF Sectoral Contribution (2)'!$B$5</c:f>
              <c:strCache>
                <c:ptCount val="1"/>
                <c:pt idx="0">
                  <c:v>Mining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(2)'!$C$5</c:f>
              <c:numCache>
                <c:formatCode>0%</c:formatCode>
                <c:ptCount val="1"/>
                <c:pt idx="0">
                  <c:v>2.5999999999999999E-2</c:v>
                </c:pt>
              </c:numCache>
            </c:numRef>
          </c:val>
          <c:extLst>
            <c:ext xmlns:c16="http://schemas.microsoft.com/office/drawing/2014/chart" uri="{C3380CC4-5D6E-409C-BE32-E72D297353CC}">
              <c16:uniqueId val="{00000001-8410-4EA6-8A17-BE3F5970E139}"/>
            </c:ext>
          </c:extLst>
        </c:ser>
        <c:ser>
          <c:idx val="2"/>
          <c:order val="2"/>
          <c:tx>
            <c:strRef>
              <c:f>'IMF Sectoral Contribution (2)'!$B$6</c:f>
              <c:strCache>
                <c:ptCount val="1"/>
                <c:pt idx="0">
                  <c:v>Industries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(2)'!$C$6</c:f>
              <c:numCache>
                <c:formatCode>0%</c:formatCode>
                <c:ptCount val="1"/>
                <c:pt idx="0">
                  <c:v>0.126</c:v>
                </c:pt>
              </c:numCache>
            </c:numRef>
          </c:val>
          <c:extLst>
            <c:ext xmlns:c16="http://schemas.microsoft.com/office/drawing/2014/chart" uri="{C3380CC4-5D6E-409C-BE32-E72D297353CC}">
              <c16:uniqueId val="{00000002-8410-4EA6-8A17-BE3F5970E139}"/>
            </c:ext>
          </c:extLst>
        </c:ser>
        <c:ser>
          <c:idx val="3"/>
          <c:order val="3"/>
          <c:tx>
            <c:strRef>
              <c:f>'IMF Sectoral Contribution (2)'!$B$7</c:f>
              <c:strCache>
                <c:ptCount val="1"/>
                <c:pt idx="0">
                  <c:v>Energy, gas and water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(2)'!$C$7</c:f>
              <c:numCache>
                <c:formatCode>0%</c:formatCode>
                <c:ptCount val="1"/>
                <c:pt idx="0">
                  <c:v>2.5999999999999999E-2</c:v>
                </c:pt>
              </c:numCache>
            </c:numRef>
          </c:val>
          <c:extLst>
            <c:ext xmlns:c16="http://schemas.microsoft.com/office/drawing/2014/chart" uri="{C3380CC4-5D6E-409C-BE32-E72D297353CC}">
              <c16:uniqueId val="{00000003-8410-4EA6-8A17-BE3F5970E139}"/>
            </c:ext>
          </c:extLst>
        </c:ser>
        <c:ser>
          <c:idx val="4"/>
          <c:order val="4"/>
          <c:tx>
            <c:strRef>
              <c:f>'IMF Sectoral Contribution (2)'!$B$8</c:f>
              <c:strCache>
                <c:ptCount val="1"/>
                <c:pt idx="0">
                  <c:v>Construction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(2)'!$C$8</c:f>
              <c:numCache>
                <c:formatCode>0%</c:formatCode>
                <c:ptCount val="1"/>
                <c:pt idx="0">
                  <c:v>5.2999999999999999E-2</c:v>
                </c:pt>
              </c:numCache>
            </c:numRef>
          </c:val>
          <c:extLst>
            <c:ext xmlns:c16="http://schemas.microsoft.com/office/drawing/2014/chart" uri="{C3380CC4-5D6E-409C-BE32-E72D297353CC}">
              <c16:uniqueId val="{00000004-8410-4EA6-8A17-BE3F5970E139}"/>
            </c:ext>
          </c:extLst>
        </c:ser>
        <c:ser>
          <c:idx val="5"/>
          <c:order val="5"/>
          <c:tx>
            <c:strRef>
              <c:f>'IMF Sectoral Contribution (2)'!$B$9</c:f>
              <c:strCache>
                <c:ptCount val="1"/>
                <c:pt idx="0">
                  <c:v>Wholesale and retail trade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(2)'!$C$9</c:f>
              <c:numCache>
                <c:formatCode>0%</c:formatCode>
                <c:ptCount val="1"/>
                <c:pt idx="0">
                  <c:v>0.191</c:v>
                </c:pt>
              </c:numCache>
            </c:numRef>
          </c:val>
          <c:extLst>
            <c:ext xmlns:c16="http://schemas.microsoft.com/office/drawing/2014/chart" uri="{C3380CC4-5D6E-409C-BE32-E72D297353CC}">
              <c16:uniqueId val="{00000005-8410-4EA6-8A17-BE3F5970E139}"/>
            </c:ext>
          </c:extLst>
        </c:ser>
        <c:ser>
          <c:idx val="6"/>
          <c:order val="6"/>
          <c:tx>
            <c:strRef>
              <c:f>'IMF Sectoral Contribution (2)'!$B$10</c:f>
              <c:strCache>
                <c:ptCount val="1"/>
                <c:pt idx="0">
                  <c:v>Transport and telecom</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(2)'!$C$10</c:f>
              <c:numCache>
                <c:formatCode>0%</c:formatCode>
                <c:ptCount val="1"/>
                <c:pt idx="0">
                  <c:v>0.11899999999999999</c:v>
                </c:pt>
              </c:numCache>
            </c:numRef>
          </c:val>
          <c:extLst>
            <c:ext xmlns:c16="http://schemas.microsoft.com/office/drawing/2014/chart" uri="{C3380CC4-5D6E-409C-BE32-E72D297353CC}">
              <c16:uniqueId val="{00000006-8410-4EA6-8A17-BE3F5970E139}"/>
            </c:ext>
          </c:extLst>
        </c:ser>
        <c:ser>
          <c:idx val="7"/>
          <c:order val="7"/>
          <c:tx>
            <c:strRef>
              <c:f>'IMF Sectoral Contribution (2)'!$B$11</c:f>
              <c:strCache>
                <c:ptCount val="1"/>
                <c:pt idx="0">
                  <c:v>Financial intermediation, real estate services, business services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(2)'!$C$11</c:f>
              <c:numCache>
                <c:formatCode>0%</c:formatCode>
                <c:ptCount val="1"/>
                <c:pt idx="0">
                  <c:v>0.125</c:v>
                </c:pt>
              </c:numCache>
            </c:numRef>
          </c:val>
          <c:extLst>
            <c:ext xmlns:c16="http://schemas.microsoft.com/office/drawing/2014/chart" uri="{C3380CC4-5D6E-409C-BE32-E72D297353CC}">
              <c16:uniqueId val="{00000007-8410-4EA6-8A17-BE3F5970E139}"/>
            </c:ext>
          </c:extLst>
        </c:ser>
        <c:ser>
          <c:idx val="8"/>
          <c:order val="8"/>
          <c:tx>
            <c:strRef>
              <c:f>'IMF Sectoral Contribution (2)'!$B$12</c:f>
              <c:strCache>
                <c:ptCount val="1"/>
                <c:pt idx="0">
                  <c:v>Public services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(2)'!$C$12</c:f>
              <c:numCache>
                <c:formatCode>0%</c:formatCode>
                <c:ptCount val="1"/>
                <c:pt idx="0">
                  <c:v>7.8E-2</c:v>
                </c:pt>
              </c:numCache>
            </c:numRef>
          </c:val>
          <c:extLst>
            <c:ext xmlns:c16="http://schemas.microsoft.com/office/drawing/2014/chart" uri="{C3380CC4-5D6E-409C-BE32-E72D297353CC}">
              <c16:uniqueId val="{00000008-8410-4EA6-8A17-BE3F5970E139}"/>
            </c:ext>
          </c:extLst>
        </c:ser>
        <c:ser>
          <c:idx val="9"/>
          <c:order val="9"/>
          <c:tx>
            <c:strRef>
              <c:f>'IMF Sectoral Contribution (2)'!$B$13</c:f>
              <c:strCache>
                <c:ptCount val="1"/>
                <c:pt idx="0">
                  <c:v>Other services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 Sectoral Contribution (2)'!$C$13</c:f>
              <c:numCache>
                <c:formatCode>0%</c:formatCode>
                <c:ptCount val="1"/>
                <c:pt idx="0">
                  <c:v>7.0999999999999994E-2</c:v>
                </c:pt>
              </c:numCache>
            </c:numRef>
          </c:val>
          <c:extLst>
            <c:ext xmlns:c16="http://schemas.microsoft.com/office/drawing/2014/chart" uri="{C3380CC4-5D6E-409C-BE32-E72D297353CC}">
              <c16:uniqueId val="{00000009-8410-4EA6-8A17-BE3F5970E139}"/>
            </c:ext>
          </c:extLst>
        </c:ser>
        <c:dLbls>
          <c:dLblPos val="ctr"/>
          <c:showLegendKey val="0"/>
          <c:showVal val="1"/>
          <c:showCatName val="0"/>
          <c:showSerName val="0"/>
          <c:showPercent val="0"/>
          <c:showBubbleSize val="0"/>
        </c:dLbls>
        <c:gapWidth val="150"/>
        <c:overlap val="100"/>
        <c:axId val="1100351552"/>
        <c:axId val="1009646912"/>
      </c:barChart>
      <c:catAx>
        <c:axId val="1100351552"/>
        <c:scaling>
          <c:orientation val="minMax"/>
        </c:scaling>
        <c:delete val="1"/>
        <c:axPos val="b"/>
        <c:numFmt formatCode="General" sourceLinked="1"/>
        <c:majorTickMark val="none"/>
        <c:minorTickMark val="none"/>
        <c:tickLblPos val="nextTo"/>
        <c:crossAx val="1009646912"/>
        <c:crosses val="autoZero"/>
        <c:auto val="1"/>
        <c:lblAlgn val="ctr"/>
        <c:lblOffset val="100"/>
        <c:noMultiLvlLbl val="0"/>
      </c:catAx>
      <c:valAx>
        <c:axId val="1009646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351552"/>
        <c:crosses val="autoZero"/>
        <c:crossBetween val="between"/>
      </c:valAx>
      <c:spPr>
        <a:noFill/>
        <a:ln>
          <a:noFill/>
        </a:ln>
        <a:effectLst/>
      </c:spPr>
    </c:plotArea>
    <c:legend>
      <c:legendPos val="r"/>
      <c:layout>
        <c:manualLayout>
          <c:xMode val="edge"/>
          <c:yMode val="edge"/>
          <c:x val="0.444937351029001"/>
          <c:y val="5.4603018372703399E-2"/>
          <c:w val="0.53562894744164102"/>
          <c:h val="0.9398603820355789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63929508811398"/>
          <c:y val="0.122593175853018"/>
          <c:w val="0.59744581927259099"/>
          <c:h val="0.6818675111263260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3D-4061-950C-698C39BC2C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3D-4061-950C-698C39BC2C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3D-4061-950C-698C39BC2C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Sheet1!$B$4:$B$6</c:f>
              <c:strCache>
                <c:ptCount val="3"/>
                <c:pt idx="0">
                  <c:v>Sonatel</c:v>
                </c:pt>
                <c:pt idx="1">
                  <c:v>Tigo</c:v>
                </c:pt>
                <c:pt idx="2">
                  <c:v>Expresso</c:v>
                </c:pt>
              </c:strCache>
            </c:strRef>
          </c:cat>
          <c:val>
            <c:numRef>
              <c:f>Sheet1!$C$4:$C$6</c:f>
              <c:numCache>
                <c:formatCode>0%</c:formatCode>
                <c:ptCount val="3"/>
                <c:pt idx="0">
                  <c:v>0.52</c:v>
                </c:pt>
                <c:pt idx="1">
                  <c:v>0.26</c:v>
                </c:pt>
                <c:pt idx="2">
                  <c:v>0.22</c:v>
                </c:pt>
              </c:numCache>
            </c:numRef>
          </c:val>
          <c:extLst>
            <c:ext xmlns:c16="http://schemas.microsoft.com/office/drawing/2014/chart" uri="{C3380CC4-5D6E-409C-BE32-E72D297353CC}">
              <c16:uniqueId val="{00000006-403D-4061-950C-698C39BC2C2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0E-4FEE-9ACB-719A2361E9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0E-4FEE-9ACB-719A2361E9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0E-4FEE-9ACB-719A2361E9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Sheet1!$B$10:$B$12</c:f>
              <c:strCache>
                <c:ptCount val="3"/>
                <c:pt idx="0">
                  <c:v>Sonatel</c:v>
                </c:pt>
                <c:pt idx="1">
                  <c:v>Tigo</c:v>
                </c:pt>
                <c:pt idx="2">
                  <c:v>Expresso</c:v>
                </c:pt>
              </c:strCache>
            </c:strRef>
          </c:cat>
          <c:val>
            <c:numRef>
              <c:f>Sheet1!$C$10:$C$12</c:f>
              <c:numCache>
                <c:formatCode>0%</c:formatCode>
                <c:ptCount val="3"/>
                <c:pt idx="0">
                  <c:v>0.57999999999999996</c:v>
                </c:pt>
                <c:pt idx="1">
                  <c:v>0.23</c:v>
                </c:pt>
                <c:pt idx="2">
                  <c:v>0.19</c:v>
                </c:pt>
              </c:numCache>
            </c:numRef>
          </c:val>
          <c:extLst>
            <c:ext xmlns:c16="http://schemas.microsoft.com/office/drawing/2014/chart" uri="{C3380CC4-5D6E-409C-BE32-E72D297353CC}">
              <c16:uniqueId val="{00000006-860E-4FEE-9ACB-719A2361E9B3}"/>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5F-41F6-9911-408035B85A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5F-41F6-9911-408035B85A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5F-41F6-9911-408035B85AAF}"/>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15F-41F6-9911-408035B85AAF}"/>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15F-41F6-9911-408035B85A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Sheet1!$B$25:$B$27</c:f>
              <c:strCache>
                <c:ptCount val="3"/>
                <c:pt idx="0">
                  <c:v>Sonatel</c:v>
                </c:pt>
                <c:pt idx="1">
                  <c:v>Tigo</c:v>
                </c:pt>
                <c:pt idx="2">
                  <c:v>Expresso</c:v>
                </c:pt>
              </c:strCache>
            </c:strRef>
          </c:cat>
          <c:val>
            <c:numRef>
              <c:f>Sheet1!$C$25:$C$27</c:f>
              <c:numCache>
                <c:formatCode>0%</c:formatCode>
                <c:ptCount val="3"/>
                <c:pt idx="0">
                  <c:v>0.64910000000000001</c:v>
                </c:pt>
                <c:pt idx="1">
                  <c:v>0.26279999999999998</c:v>
                </c:pt>
                <c:pt idx="2">
                  <c:v>8.8099999999999998E-2</c:v>
                </c:pt>
              </c:numCache>
            </c:numRef>
          </c:val>
          <c:extLst>
            <c:ext xmlns:c16="http://schemas.microsoft.com/office/drawing/2014/chart" uri="{C3380CC4-5D6E-409C-BE32-E72D297353CC}">
              <c16:uniqueId val="{00000006-B15F-41F6-9911-408035B85AAF}"/>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7825896762903"/>
          <c:y val="4.2290748898678412E-2"/>
          <c:w val="0.76665748031496062"/>
          <c:h val="0.79886031426688409"/>
        </c:manualLayout>
      </c:layout>
      <c:barChart>
        <c:barDir val="col"/>
        <c:grouping val="stacked"/>
        <c:varyColors val="0"/>
        <c:ser>
          <c:idx val="0"/>
          <c:order val="0"/>
          <c:tx>
            <c:strRef>
              <c:f>Sheet1!$C$2</c:f>
              <c:strCache>
                <c:ptCount val="1"/>
                <c:pt idx="0">
                  <c:v>Orange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Dec. 2015</c:v>
                </c:pt>
                <c:pt idx="1">
                  <c:v>Mar. 2016</c:v>
                </c:pt>
                <c:pt idx="2">
                  <c:v>Jun. 2016</c:v>
                </c:pt>
                <c:pt idx="3">
                  <c:v>Sep. 2016</c:v>
                </c:pt>
                <c:pt idx="4">
                  <c:v>Dec. 2016</c:v>
                </c:pt>
              </c:strCache>
            </c:strRef>
          </c:cat>
          <c:val>
            <c:numRef>
              <c:f>Sheet1!$C$3:$C$7</c:f>
              <c:numCache>
                <c:formatCode>0.00%</c:formatCode>
                <c:ptCount val="5"/>
                <c:pt idx="0">
                  <c:v>0.64890000000000003</c:v>
                </c:pt>
                <c:pt idx="1">
                  <c:v>0.64380000000000004</c:v>
                </c:pt>
                <c:pt idx="2">
                  <c:v>0.63970000000000005</c:v>
                </c:pt>
                <c:pt idx="3">
                  <c:v>0.63970000000000005</c:v>
                </c:pt>
                <c:pt idx="4">
                  <c:v>0.64910000000000001</c:v>
                </c:pt>
              </c:numCache>
            </c:numRef>
          </c:val>
          <c:extLst>
            <c:ext xmlns:c16="http://schemas.microsoft.com/office/drawing/2014/chart" uri="{C3380CC4-5D6E-409C-BE32-E72D297353CC}">
              <c16:uniqueId val="{00000000-BB69-8A45-9DE6-412066B1E084}"/>
            </c:ext>
          </c:extLst>
        </c:ser>
        <c:ser>
          <c:idx val="1"/>
          <c:order val="1"/>
          <c:tx>
            <c:strRef>
              <c:f>Sheet1!$D$2</c:f>
              <c:strCache>
                <c:ptCount val="1"/>
                <c:pt idx="0">
                  <c:v>Expresso</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Dec. 2015</c:v>
                </c:pt>
                <c:pt idx="1">
                  <c:v>Mar. 2016</c:v>
                </c:pt>
                <c:pt idx="2">
                  <c:v>Jun. 2016</c:v>
                </c:pt>
                <c:pt idx="3">
                  <c:v>Sep. 2016</c:v>
                </c:pt>
                <c:pt idx="4">
                  <c:v>Dec. 2016</c:v>
                </c:pt>
              </c:strCache>
            </c:strRef>
          </c:cat>
          <c:val>
            <c:numRef>
              <c:f>Sheet1!$D$3:$D$7</c:f>
              <c:numCache>
                <c:formatCode>0.00%</c:formatCode>
                <c:ptCount val="5"/>
                <c:pt idx="0">
                  <c:v>9.4899999999999998E-2</c:v>
                </c:pt>
                <c:pt idx="1">
                  <c:v>9.9099999999999994E-2</c:v>
                </c:pt>
                <c:pt idx="2">
                  <c:v>9.74E-2</c:v>
                </c:pt>
                <c:pt idx="3">
                  <c:v>9.06E-2</c:v>
                </c:pt>
                <c:pt idx="4">
                  <c:v>8.8099999999999998E-2</c:v>
                </c:pt>
              </c:numCache>
            </c:numRef>
          </c:val>
          <c:extLst>
            <c:ext xmlns:c16="http://schemas.microsoft.com/office/drawing/2014/chart" uri="{C3380CC4-5D6E-409C-BE32-E72D297353CC}">
              <c16:uniqueId val="{00000001-BB69-8A45-9DE6-412066B1E084}"/>
            </c:ext>
          </c:extLst>
        </c:ser>
        <c:ser>
          <c:idx val="2"/>
          <c:order val="2"/>
          <c:tx>
            <c:strRef>
              <c:f>Sheet1!$E$2</c:f>
              <c:strCache>
                <c:ptCount val="1"/>
                <c:pt idx="0">
                  <c:v>Tigo</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Dec. 2015</c:v>
                </c:pt>
                <c:pt idx="1">
                  <c:v>Mar. 2016</c:v>
                </c:pt>
                <c:pt idx="2">
                  <c:v>Jun. 2016</c:v>
                </c:pt>
                <c:pt idx="3">
                  <c:v>Sep. 2016</c:v>
                </c:pt>
                <c:pt idx="4">
                  <c:v>Dec. 2016</c:v>
                </c:pt>
              </c:strCache>
            </c:strRef>
          </c:cat>
          <c:val>
            <c:numRef>
              <c:f>Sheet1!$E$3:$E$7</c:f>
              <c:numCache>
                <c:formatCode>0.00%</c:formatCode>
                <c:ptCount val="5"/>
                <c:pt idx="0">
                  <c:v>0.25619999999999998</c:v>
                </c:pt>
                <c:pt idx="1">
                  <c:v>0.25700000000000001</c:v>
                </c:pt>
                <c:pt idx="2">
                  <c:v>0.26290000000000002</c:v>
                </c:pt>
                <c:pt idx="3">
                  <c:v>0.26979999999999998</c:v>
                </c:pt>
                <c:pt idx="4">
                  <c:v>0.26279999999999998</c:v>
                </c:pt>
              </c:numCache>
            </c:numRef>
          </c:val>
          <c:extLst>
            <c:ext xmlns:c16="http://schemas.microsoft.com/office/drawing/2014/chart" uri="{C3380CC4-5D6E-409C-BE32-E72D297353CC}">
              <c16:uniqueId val="{00000002-BB69-8A45-9DE6-412066B1E084}"/>
            </c:ext>
          </c:extLst>
        </c:ser>
        <c:dLbls>
          <c:dLblPos val="ctr"/>
          <c:showLegendKey val="0"/>
          <c:showVal val="1"/>
          <c:showCatName val="0"/>
          <c:showSerName val="0"/>
          <c:showPercent val="0"/>
          <c:showBubbleSize val="0"/>
        </c:dLbls>
        <c:gapWidth val="150"/>
        <c:overlap val="100"/>
        <c:axId val="494918624"/>
        <c:axId val="495409872"/>
      </c:barChart>
      <c:lineChart>
        <c:grouping val="standard"/>
        <c:varyColors val="0"/>
        <c:ser>
          <c:idx val="3"/>
          <c:order val="3"/>
          <c:tx>
            <c:strRef>
              <c:f>Sheet1!$F$2</c:f>
              <c:strCache>
                <c:ptCount val="1"/>
                <c:pt idx="0">
                  <c:v>HHI</c:v>
                </c:pt>
              </c:strCache>
            </c:strRef>
          </c:tx>
          <c:spPr>
            <a:ln w="9525" cap="rnd">
              <a:solidFill>
                <a:srgbClr val="C00000"/>
              </a:solidFill>
              <a:round/>
            </a:ln>
            <a:effectLst/>
          </c:spPr>
          <c:marker>
            <c:symbol val="circle"/>
            <c:size val="5"/>
            <c:spPr>
              <a:solidFill>
                <a:srgbClr val="C00000"/>
              </a:solidFill>
              <a:ln w="9525">
                <a:solidFill>
                  <a:srgbClr val="C00000"/>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Dec. 2015</c:v>
                </c:pt>
                <c:pt idx="1">
                  <c:v>Mar. 2016</c:v>
                </c:pt>
                <c:pt idx="2">
                  <c:v>Jun. 2016</c:v>
                </c:pt>
                <c:pt idx="3">
                  <c:v>Sep. 2016</c:v>
                </c:pt>
                <c:pt idx="4">
                  <c:v>Dec. 2016</c:v>
                </c:pt>
              </c:strCache>
            </c:strRef>
          </c:cat>
          <c:val>
            <c:numRef>
              <c:f>Sheet1!$F$3:$F$7</c:f>
              <c:numCache>
                <c:formatCode>0.00</c:formatCode>
                <c:ptCount val="5"/>
                <c:pt idx="0">
                  <c:v>4957.1566000000003</c:v>
                </c:pt>
                <c:pt idx="1">
                  <c:v>4903.4825000000001</c:v>
                </c:pt>
                <c:pt idx="2">
                  <c:v>4878.1926000000003</c:v>
                </c:pt>
                <c:pt idx="3">
                  <c:v>4902.1649000000007</c:v>
                </c:pt>
                <c:pt idx="4">
                  <c:v>4981.5625999999993</c:v>
                </c:pt>
              </c:numCache>
            </c:numRef>
          </c:val>
          <c:smooth val="0"/>
          <c:extLst>
            <c:ext xmlns:c16="http://schemas.microsoft.com/office/drawing/2014/chart" uri="{C3380CC4-5D6E-409C-BE32-E72D297353CC}">
              <c16:uniqueId val="{00000003-BB69-8A45-9DE6-412066B1E084}"/>
            </c:ext>
          </c:extLst>
        </c:ser>
        <c:dLbls>
          <c:showLegendKey val="0"/>
          <c:showVal val="0"/>
          <c:showCatName val="0"/>
          <c:showSerName val="0"/>
          <c:showPercent val="0"/>
          <c:showBubbleSize val="0"/>
        </c:dLbls>
        <c:marker val="1"/>
        <c:smooth val="0"/>
        <c:axId val="570115248"/>
        <c:axId val="625543968"/>
      </c:lineChart>
      <c:catAx>
        <c:axId val="49491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409872"/>
        <c:crosses val="autoZero"/>
        <c:auto val="1"/>
        <c:lblAlgn val="ctr"/>
        <c:lblOffset val="100"/>
        <c:noMultiLvlLbl val="0"/>
      </c:catAx>
      <c:valAx>
        <c:axId val="4954098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Market</a:t>
                </a:r>
                <a:r>
                  <a:rPr lang="en-US" baseline="0"/>
                  <a:t> share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918624"/>
        <c:crosses val="autoZero"/>
        <c:crossBetween val="between"/>
      </c:valAx>
      <c:valAx>
        <c:axId val="625543968"/>
        <c:scaling>
          <c:orientation val="minMax"/>
          <c:max val="10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HHI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15248"/>
        <c:crosses val="max"/>
        <c:crossBetween val="between"/>
      </c:valAx>
      <c:catAx>
        <c:axId val="570115248"/>
        <c:scaling>
          <c:orientation val="minMax"/>
        </c:scaling>
        <c:delete val="1"/>
        <c:axPos val="b"/>
        <c:numFmt formatCode="General" sourceLinked="1"/>
        <c:majorTickMark val="out"/>
        <c:minorTickMark val="none"/>
        <c:tickLblPos val="nextTo"/>
        <c:crossAx val="625543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20617992591094"/>
          <c:y val="0.20531746031746032"/>
          <c:w val="0.73707200428994313"/>
          <c:h val="0.55083927009123856"/>
        </c:manualLayout>
      </c:layout>
      <c:barChart>
        <c:barDir val="col"/>
        <c:grouping val="clustered"/>
        <c:varyColors val="0"/>
        <c:ser>
          <c:idx val="3"/>
          <c:order val="3"/>
          <c:tx>
            <c:strRef>
              <c:f>'Updated-HHI'!$F$28</c:f>
              <c:strCache>
                <c:ptCount val="1"/>
                <c:pt idx="0">
                  <c:v>ARPU  Mobile total (USD)</c:v>
                </c:pt>
              </c:strCache>
            </c:strRef>
          </c:tx>
          <c:spPr>
            <a:solidFill>
              <a:schemeClr val="accent1">
                <a:lumMod val="60000"/>
                <a:lumOff val="40000"/>
              </a:schemeClr>
            </a:solidFill>
            <a:ln>
              <a:noFill/>
            </a:ln>
            <a:effectLst/>
          </c:spPr>
          <c:invertIfNegative val="0"/>
          <c:cat>
            <c:strRef>
              <c:f>'Updated-HHI'!$G$24:$Q$24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'Updated-HHI'!$G$28:$Q$28</c:f>
              <c:numCache>
                <c:formatCode>General</c:formatCode>
                <c:ptCount val="11"/>
                <c:pt idx="0">
                  <c:v>17.123200000000001</c:v>
                </c:pt>
                <c:pt idx="1">
                  <c:v>14.3025</c:v>
                </c:pt>
                <c:pt idx="2">
                  <c:v>12.9777</c:v>
                </c:pt>
                <c:pt idx="3">
                  <c:v>10.9739</c:v>
                </c:pt>
                <c:pt idx="4">
                  <c:v>10.3026</c:v>
                </c:pt>
                <c:pt idx="5">
                  <c:v>9.7990999999999993</c:v>
                </c:pt>
                <c:pt idx="6">
                  <c:v>9.2970000000000006</c:v>
                </c:pt>
                <c:pt idx="7">
                  <c:v>8.7906999999999993</c:v>
                </c:pt>
                <c:pt idx="8">
                  <c:v>8.8307000000000002</c:v>
                </c:pt>
                <c:pt idx="9">
                  <c:v>11.4964</c:v>
                </c:pt>
                <c:pt idx="10">
                  <c:v>8.4320000000000004</c:v>
                </c:pt>
              </c:numCache>
            </c:numRef>
          </c:val>
          <c:extLst>
            <c:ext xmlns:c16="http://schemas.microsoft.com/office/drawing/2014/chart" uri="{C3380CC4-5D6E-409C-BE32-E72D297353CC}">
              <c16:uniqueId val="{00000000-BEF4-994F-9276-F7794A11FFDF}"/>
            </c:ext>
          </c:extLst>
        </c:ser>
        <c:dLbls>
          <c:showLegendKey val="0"/>
          <c:showVal val="0"/>
          <c:showCatName val="0"/>
          <c:showSerName val="0"/>
          <c:showPercent val="0"/>
          <c:showBubbleSize val="0"/>
        </c:dLbls>
        <c:gapWidth val="219"/>
        <c:overlap val="-27"/>
        <c:axId val="226180608"/>
        <c:axId val="223945616"/>
      </c:barChart>
      <c:lineChart>
        <c:grouping val="standard"/>
        <c:varyColors val="0"/>
        <c:ser>
          <c:idx val="0"/>
          <c:order val="0"/>
          <c:tx>
            <c:strRef>
              <c:f>'Updated-HHI'!$F$25</c:f>
              <c:strCache>
                <c:ptCount val="1"/>
                <c:pt idx="0">
                  <c:v>HHI Mobile total</c:v>
                </c:pt>
              </c:strCache>
            </c:strRef>
          </c:tx>
          <c:spPr>
            <a:ln w="19050" cap="rnd">
              <a:solidFill>
                <a:schemeClr val="accent4"/>
              </a:solidFill>
              <a:round/>
            </a:ln>
            <a:effectLst/>
          </c:spPr>
          <c:marker>
            <c:symbol val="circle"/>
            <c:size val="5"/>
            <c:spPr>
              <a:noFill/>
              <a:ln w="9525">
                <a:solidFill>
                  <a:schemeClr val="accent4"/>
                </a:solidFill>
              </a:ln>
              <a:effectLst/>
            </c:spPr>
          </c:marker>
          <c:dLbls>
            <c:dLbl>
              <c:idx val="3"/>
              <c:layout>
                <c:manualLayout>
                  <c:x val="-4.6138888888888938E-2"/>
                  <c:y val="-2.723388743073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F4-994F-9276-F7794A11FFDF}"/>
                </c:ext>
              </c:extLst>
            </c:dLbl>
            <c:dLbl>
              <c:idx val="4"/>
              <c:layout>
                <c:manualLayout>
                  <c:x val="-4.3361111111111163E-2"/>
                  <c:y val="-3.1863517060367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F4-994F-9276-F7794A11FFDF}"/>
                </c:ext>
              </c:extLst>
            </c:dLbl>
            <c:dLbl>
              <c:idx val="5"/>
              <c:layout>
                <c:manualLayout>
                  <c:x val="-4.6138888888888889E-2"/>
                  <c:y val="-3.6493146689997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F4-994F-9276-F7794A11FFDF}"/>
                </c:ext>
              </c:extLst>
            </c:dLbl>
            <c:dLbl>
              <c:idx val="6"/>
              <c:layout>
                <c:manualLayout>
                  <c:x val="-4.6138888888888889E-2"/>
                  <c:y val="-2.7233887430737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F4-994F-9276-F7794A11FFD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4">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'Updated-HHI'!$G$24:$Q$24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'Updated-HHI'!$G$25:$Q$25</c:f>
              <c:numCache>
                <c:formatCode>0</c:formatCode>
                <c:ptCount val="11"/>
                <c:pt idx="0">
                  <c:v>5488.3432618852876</c:v>
                </c:pt>
                <c:pt idx="1">
                  <c:v>5383.6126402053542</c:v>
                </c:pt>
                <c:pt idx="2">
                  <c:v>4634.0373333661928</c:v>
                </c:pt>
                <c:pt idx="3">
                  <c:v>4991.3571785722024</c:v>
                </c:pt>
                <c:pt idx="4">
                  <c:v>4603.415363221593</c:v>
                </c:pt>
                <c:pt idx="5">
                  <c:v>4198.502012082633</c:v>
                </c:pt>
                <c:pt idx="6">
                  <c:v>4228.6189321353568</c:v>
                </c:pt>
                <c:pt idx="7">
                  <c:v>4207.4257728961229</c:v>
                </c:pt>
                <c:pt idx="8">
                  <c:v>3924.2875896645437</c:v>
                </c:pt>
                <c:pt idx="9">
                  <c:v>3913.0806732313831</c:v>
                </c:pt>
                <c:pt idx="10">
                  <c:v>3887.2819852723142</c:v>
                </c:pt>
              </c:numCache>
            </c:numRef>
          </c:val>
          <c:smooth val="0"/>
          <c:extLst>
            <c:ext xmlns:c16="http://schemas.microsoft.com/office/drawing/2014/chart" uri="{C3380CC4-5D6E-409C-BE32-E72D297353CC}">
              <c16:uniqueId val="{00000005-BEF4-994F-9276-F7794A11FFDF}"/>
            </c:ext>
          </c:extLst>
        </c:ser>
        <c:ser>
          <c:idx val="1"/>
          <c:order val="1"/>
          <c:tx>
            <c:strRef>
              <c:f>'Updated-HHI'!$F$26</c:f>
              <c:strCache>
                <c:ptCount val="1"/>
                <c:pt idx="0">
                  <c:v>HHI Mobile Prepaid</c:v>
                </c:pt>
              </c:strCache>
            </c:strRef>
          </c:tx>
          <c:spPr>
            <a:ln w="6350" cap="rnd">
              <a:solidFill>
                <a:srgbClr val="C00000"/>
              </a:solidFill>
              <a:round/>
            </a:ln>
            <a:effectLst/>
          </c:spPr>
          <c:marker>
            <c:symbol val="none"/>
          </c:marker>
          <c:cat>
            <c:strRef>
              <c:f>'Updated-HHI'!$G$24:$Q$24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'Updated-HHI'!$G$26:$Q$26</c:f>
              <c:numCache>
                <c:formatCode>0</c:formatCode>
                <c:ptCount val="11"/>
                <c:pt idx="0">
                  <c:v>5476.7721169580818</c:v>
                </c:pt>
                <c:pt idx="1">
                  <c:v>5371.8046616703587</c:v>
                </c:pt>
                <c:pt idx="2">
                  <c:v>4626.8316858185462</c:v>
                </c:pt>
                <c:pt idx="3">
                  <c:v>4986.2153224117747</c:v>
                </c:pt>
                <c:pt idx="4">
                  <c:v>4598.2107217546945</c:v>
                </c:pt>
                <c:pt idx="5">
                  <c:v>4192.1669202241919</c:v>
                </c:pt>
                <c:pt idx="6">
                  <c:v>4224.8397616415114</c:v>
                </c:pt>
                <c:pt idx="7">
                  <c:v>4204.7886924867826</c:v>
                </c:pt>
                <c:pt idx="8">
                  <c:v>3922.0099494070605</c:v>
                </c:pt>
                <c:pt idx="9">
                  <c:v>3914.163688478498</c:v>
                </c:pt>
                <c:pt idx="10">
                  <c:v>3885.7629207949635</c:v>
                </c:pt>
              </c:numCache>
            </c:numRef>
          </c:val>
          <c:smooth val="0"/>
          <c:extLst>
            <c:ext xmlns:c16="http://schemas.microsoft.com/office/drawing/2014/chart" uri="{C3380CC4-5D6E-409C-BE32-E72D297353CC}">
              <c16:uniqueId val="{00000006-BEF4-994F-9276-F7794A11FFDF}"/>
            </c:ext>
          </c:extLst>
        </c:ser>
        <c:ser>
          <c:idx val="2"/>
          <c:order val="2"/>
          <c:tx>
            <c:strRef>
              <c:f>'Updated-HHI'!$F$27</c:f>
              <c:strCache>
                <c:ptCount val="1"/>
                <c:pt idx="0">
                  <c:v>HHI Mobile Contract</c:v>
                </c:pt>
              </c:strCache>
            </c:strRef>
          </c:tx>
          <c:spPr>
            <a:ln w="9525" cap="rnd">
              <a:solidFill>
                <a:schemeClr val="accent5">
                  <a:lumMod val="75000"/>
                </a:schemeClr>
              </a:solidFill>
              <a:prstDash val="dash"/>
              <a:round/>
            </a:ln>
            <a:effectLst/>
          </c:spPr>
          <c:marker>
            <c:symbol val="none"/>
          </c:marker>
          <c:cat>
            <c:strRef>
              <c:f>'Updated-HHI'!$G$24:$Q$24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'Updated-HHI'!$G$27:$Q$27</c:f>
              <c:numCache>
                <c:formatCode>0</c:formatCode>
                <c:ptCount val="11"/>
                <c:pt idx="0">
                  <c:v>8435.2911094834653</c:v>
                </c:pt>
                <c:pt idx="1">
                  <c:v>7879.9985203160786</c:v>
                </c:pt>
                <c:pt idx="2">
                  <c:v>6251.0842986032758</c:v>
                </c:pt>
                <c:pt idx="3">
                  <c:v>6058.3123284510766</c:v>
                </c:pt>
                <c:pt idx="4">
                  <c:v>5628.6675335859945</c:v>
                </c:pt>
                <c:pt idx="5">
                  <c:v>5544.8417798539322</c:v>
                </c:pt>
                <c:pt idx="6">
                  <c:v>4898.5507247874257</c:v>
                </c:pt>
                <c:pt idx="7">
                  <c:v>4626.7722914065016</c:v>
                </c:pt>
                <c:pt idx="8">
                  <c:v>4288.3475050449433</c:v>
                </c:pt>
                <c:pt idx="9">
                  <c:v>4243.2556030565484</c:v>
                </c:pt>
                <c:pt idx="10">
                  <c:v>4385.3944402673433</c:v>
                </c:pt>
              </c:numCache>
            </c:numRef>
          </c:val>
          <c:smooth val="0"/>
          <c:extLst>
            <c:ext xmlns:c16="http://schemas.microsoft.com/office/drawing/2014/chart" uri="{C3380CC4-5D6E-409C-BE32-E72D297353CC}">
              <c16:uniqueId val="{00000007-BEF4-994F-9276-F7794A11FFDF}"/>
            </c:ext>
          </c:extLst>
        </c:ser>
        <c:dLbls>
          <c:showLegendKey val="0"/>
          <c:showVal val="0"/>
          <c:showCatName val="0"/>
          <c:showSerName val="0"/>
          <c:showPercent val="0"/>
          <c:showBubbleSize val="0"/>
        </c:dLbls>
        <c:marker val="1"/>
        <c:smooth val="0"/>
        <c:axId val="124602992"/>
        <c:axId val="186081712"/>
      </c:lineChart>
      <c:catAx>
        <c:axId val="12460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81712"/>
        <c:crosses val="autoZero"/>
        <c:auto val="1"/>
        <c:lblAlgn val="ctr"/>
        <c:lblOffset val="100"/>
        <c:noMultiLvlLbl val="0"/>
      </c:catAx>
      <c:valAx>
        <c:axId val="186081712"/>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Herfindahl-Hirschman Index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02992"/>
        <c:crosses val="autoZero"/>
        <c:crossBetween val="between"/>
      </c:valAx>
      <c:valAx>
        <c:axId val="22394561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USD</a:t>
                </a:r>
              </a:p>
            </c:rich>
          </c:tx>
          <c:layout>
            <c:manualLayout>
              <c:xMode val="edge"/>
              <c:yMode val="edge"/>
              <c:x val="0.95197189649417524"/>
              <c:y val="0.2095450568678915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180608"/>
        <c:crosses val="max"/>
        <c:crossBetween val="between"/>
      </c:valAx>
      <c:catAx>
        <c:axId val="226180608"/>
        <c:scaling>
          <c:orientation val="minMax"/>
        </c:scaling>
        <c:delete val="1"/>
        <c:axPos val="b"/>
        <c:numFmt formatCode="General" sourceLinked="1"/>
        <c:majorTickMark val="out"/>
        <c:minorTickMark val="none"/>
        <c:tickLblPos val="nextTo"/>
        <c:crossAx val="223945616"/>
        <c:crosses val="autoZero"/>
        <c:auto val="1"/>
        <c:lblAlgn val="ctr"/>
        <c:lblOffset val="100"/>
        <c:noMultiLvlLbl val="0"/>
      </c:catAx>
      <c:spPr>
        <a:noFill/>
        <a:ln>
          <a:noFill/>
        </a:ln>
        <a:effectLst/>
      </c:spPr>
    </c:plotArea>
    <c:legend>
      <c:legendPos val="b"/>
      <c:layout>
        <c:manualLayout>
          <c:xMode val="edge"/>
          <c:yMode val="edge"/>
          <c:x val="7.2623797025371833E-2"/>
          <c:y val="0.8824393825771778"/>
          <c:w val="0.90475240594925632"/>
          <c:h val="8.97828396450443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95029817385902"/>
          <c:y val="3.2405949256343021E-3"/>
          <c:w val="0.31699062352188306"/>
          <c:h val="0.9967594050743656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98-45DD-82EB-39DD44880B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98-45DD-82EB-39DD44880B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Sheet1!$B$16:$B$17</c:f>
              <c:strCache>
                <c:ptCount val="2"/>
                <c:pt idx="0">
                  <c:v>Sonatel</c:v>
                </c:pt>
                <c:pt idx="1">
                  <c:v>Expresso</c:v>
                </c:pt>
              </c:strCache>
            </c:strRef>
          </c:cat>
          <c:val>
            <c:numRef>
              <c:f>Sheet1!$C$16:$C$17</c:f>
              <c:numCache>
                <c:formatCode>0%</c:formatCode>
                <c:ptCount val="2"/>
                <c:pt idx="0">
                  <c:v>0.98199999999999998</c:v>
                </c:pt>
                <c:pt idx="1">
                  <c:v>1.7999999999999999E-2</c:v>
                </c:pt>
              </c:numCache>
            </c:numRef>
          </c:val>
          <c:extLst>
            <c:ext xmlns:c16="http://schemas.microsoft.com/office/drawing/2014/chart" uri="{C3380CC4-5D6E-409C-BE32-E72D297353CC}">
              <c16:uniqueId val="{00000004-C398-45DD-82EB-39DD44880B08}"/>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9802083043506493"/>
          <c:y val="3.0041411490230409E-2"/>
          <c:w val="0.38784489394656058"/>
          <c:h val="0.969546806649169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'PMR Split'!$B$2</c:f>
              <c:strCache>
                <c:ptCount val="1"/>
                <c:pt idx="0">
                  <c:v>OECD</c:v>
                </c:pt>
              </c:strCache>
            </c:strRef>
          </c:tx>
          <c:spPr>
            <a:solidFill>
              <a:schemeClr val="dk1">
                <a:tint val="88500"/>
              </a:schemeClr>
            </a:solidFill>
            <a:ln>
              <a:noFill/>
            </a:ln>
            <a:effectLst/>
          </c:spPr>
          <c:invertIfNegative val="0"/>
          <c:cat>
            <c:strRef>
              <c:f>'PMR Split'!$A$3:$A$69</c:f>
              <c:strCache>
                <c:ptCount val="26"/>
                <c:pt idx="0">
                  <c:v>Top 5 Average</c:v>
                </c:pt>
                <c:pt idx="1">
                  <c:v>OECD Average</c:v>
                </c:pt>
                <c:pt idx="2">
                  <c:v>Chile</c:v>
                </c:pt>
                <c:pt idx="3">
                  <c:v>Ukraine</c:v>
                </c:pt>
                <c:pt idx="4">
                  <c:v>Colombia</c:v>
                </c:pt>
                <c:pt idx="5">
                  <c:v>Mexico</c:v>
                </c:pt>
                <c:pt idx="6">
                  <c:v>Peru</c:v>
                </c:pt>
                <c:pt idx="7">
                  <c:v>El Salvador</c:v>
                </c:pt>
                <c:pt idx="8">
                  <c:v>Nicaragua</c:v>
                </c:pt>
                <c:pt idx="9">
                  <c:v>South Africa</c:v>
                </c:pt>
                <c:pt idx="10">
                  <c:v>Panama</c:v>
                </c:pt>
                <c:pt idx="11">
                  <c:v>Dominican Republic</c:v>
                </c:pt>
                <c:pt idx="12">
                  <c:v>Jamaica</c:v>
                </c:pt>
                <c:pt idx="13">
                  <c:v>Costa Rica</c:v>
                </c:pt>
                <c:pt idx="14">
                  <c:v>Turkey</c:v>
                </c:pt>
                <c:pt idx="15">
                  <c:v>Philippines</c:v>
                </c:pt>
                <c:pt idx="16">
                  <c:v>Brazil</c:v>
                </c:pt>
                <c:pt idx="17">
                  <c:v>Kenya</c:v>
                </c:pt>
                <c:pt idx="18">
                  <c:v>Senegal</c:v>
                </c:pt>
                <c:pt idx="19">
                  <c:v>Egypt</c:v>
                </c:pt>
                <c:pt idx="20">
                  <c:v>China</c:v>
                </c:pt>
                <c:pt idx="21">
                  <c:v>Honduras</c:v>
                </c:pt>
                <c:pt idx="22">
                  <c:v>India</c:v>
                </c:pt>
                <c:pt idx="23">
                  <c:v>Argentina</c:v>
                </c:pt>
                <c:pt idx="24">
                  <c:v>Bolivia</c:v>
                </c:pt>
                <c:pt idx="25">
                  <c:v>Tunisia</c:v>
                </c:pt>
              </c:strCache>
            </c:strRef>
          </c:cat>
          <c:val>
            <c:numRef>
              <c:f>'PMR Split'!$B$3:$B$67</c:f>
            </c:numRef>
          </c:val>
          <c:extLst>
            <c:ext xmlns:c16="http://schemas.microsoft.com/office/drawing/2014/chart" uri="{C3380CC4-5D6E-409C-BE32-E72D297353CC}">
              <c16:uniqueId val="{00000000-0CE0-4047-871D-9EB7C1B43C30}"/>
            </c:ext>
          </c:extLst>
        </c:ser>
        <c:ser>
          <c:idx val="3"/>
          <c:order val="1"/>
          <c:tx>
            <c:strRef>
              <c:f>'PMR Split'!$E$2</c:f>
              <c:strCache>
                <c:ptCount val="1"/>
                <c:pt idx="0">
                  <c:v>State Control</c:v>
                </c:pt>
              </c:strCache>
            </c:strRef>
          </c:tx>
          <c:spPr>
            <a:solidFill>
              <a:schemeClr val="dk1">
                <a:tint val="9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2-0CE0-4047-871D-9EB7C1B43C3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4-0CE0-4047-871D-9EB7C1B43C30}"/>
              </c:ext>
            </c:extLst>
          </c:dPt>
          <c:dPt>
            <c:idx val="14"/>
            <c:invertIfNegative val="0"/>
            <c:bubble3D val="0"/>
            <c:spPr>
              <a:solidFill>
                <a:schemeClr val="dk1">
                  <a:tint val="98500"/>
                </a:schemeClr>
              </a:solidFill>
              <a:ln>
                <a:noFill/>
              </a:ln>
              <a:effectLst/>
            </c:spPr>
            <c:extLst>
              <c:ext xmlns:c16="http://schemas.microsoft.com/office/drawing/2014/chart" uri="{C3380CC4-5D6E-409C-BE32-E72D297353CC}">
                <c16:uniqueId val="{00000006-0CE0-4047-871D-9EB7C1B43C30}"/>
              </c:ext>
            </c:extLst>
          </c:dPt>
          <c:dPt>
            <c:idx val="17"/>
            <c:invertIfNegative val="0"/>
            <c:bubble3D val="0"/>
            <c:spPr>
              <a:solidFill>
                <a:schemeClr val="dk1">
                  <a:tint val="98500"/>
                </a:schemeClr>
              </a:solidFill>
              <a:ln>
                <a:noFill/>
              </a:ln>
              <a:effectLst/>
            </c:spPr>
            <c:extLst>
              <c:ext xmlns:c16="http://schemas.microsoft.com/office/drawing/2014/chart" uri="{C3380CC4-5D6E-409C-BE32-E72D297353CC}">
                <c16:uniqueId val="{00000008-0CE0-4047-871D-9EB7C1B43C30}"/>
              </c:ext>
            </c:extLst>
          </c:dPt>
          <c:dPt>
            <c:idx val="18"/>
            <c:invertIfNegative val="0"/>
            <c:bubble3D val="0"/>
            <c:spPr>
              <a:solidFill>
                <a:schemeClr val="accent1"/>
              </a:solidFill>
              <a:ln>
                <a:noFill/>
              </a:ln>
              <a:effectLst/>
            </c:spPr>
            <c:extLst>
              <c:ext xmlns:c16="http://schemas.microsoft.com/office/drawing/2014/chart" uri="{C3380CC4-5D6E-409C-BE32-E72D297353CC}">
                <c16:uniqueId val="{0000000A-0CE0-4047-871D-9EB7C1B43C30}"/>
              </c:ext>
            </c:extLst>
          </c:dPt>
          <c:dLbls>
            <c:dLbl>
              <c:idx val="18"/>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A-0CE0-4047-871D-9EB7C1B43C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'PMR Split'!$A$3:$A$69</c:f>
              <c:strCache>
                <c:ptCount val="26"/>
                <c:pt idx="0">
                  <c:v>Top 5 Average</c:v>
                </c:pt>
                <c:pt idx="1">
                  <c:v>OECD Average</c:v>
                </c:pt>
                <c:pt idx="2">
                  <c:v>Chile</c:v>
                </c:pt>
                <c:pt idx="3">
                  <c:v>Ukraine</c:v>
                </c:pt>
                <c:pt idx="4">
                  <c:v>Colombia</c:v>
                </c:pt>
                <c:pt idx="5">
                  <c:v>Mexico</c:v>
                </c:pt>
                <c:pt idx="6">
                  <c:v>Peru</c:v>
                </c:pt>
                <c:pt idx="7">
                  <c:v>El Salvador</c:v>
                </c:pt>
                <c:pt idx="8">
                  <c:v>Nicaragua</c:v>
                </c:pt>
                <c:pt idx="9">
                  <c:v>South Africa</c:v>
                </c:pt>
                <c:pt idx="10">
                  <c:v>Panama</c:v>
                </c:pt>
                <c:pt idx="11">
                  <c:v>Dominican Republic</c:v>
                </c:pt>
                <c:pt idx="12">
                  <c:v>Jamaica</c:v>
                </c:pt>
                <c:pt idx="13">
                  <c:v>Costa Rica</c:v>
                </c:pt>
                <c:pt idx="14">
                  <c:v>Turkey</c:v>
                </c:pt>
                <c:pt idx="15">
                  <c:v>Philippines</c:v>
                </c:pt>
                <c:pt idx="16">
                  <c:v>Brazil</c:v>
                </c:pt>
                <c:pt idx="17">
                  <c:v>Kenya</c:v>
                </c:pt>
                <c:pt idx="18">
                  <c:v>Senegal</c:v>
                </c:pt>
                <c:pt idx="19">
                  <c:v>Egypt</c:v>
                </c:pt>
                <c:pt idx="20">
                  <c:v>China</c:v>
                </c:pt>
                <c:pt idx="21">
                  <c:v>Honduras</c:v>
                </c:pt>
                <c:pt idx="22">
                  <c:v>India</c:v>
                </c:pt>
                <c:pt idx="23">
                  <c:v>Argentina</c:v>
                </c:pt>
                <c:pt idx="24">
                  <c:v>Bolivia</c:v>
                </c:pt>
                <c:pt idx="25">
                  <c:v>Tunisia</c:v>
                </c:pt>
              </c:strCache>
            </c:strRef>
          </c:cat>
          <c:val>
            <c:numRef>
              <c:f>'PMR Split'!$E$3:$E$69</c:f>
              <c:numCache>
                <c:formatCode>0.00</c:formatCode>
                <c:ptCount val="26"/>
                <c:pt idx="0">
                  <c:v>0.3666666666666667</c:v>
                </c:pt>
                <c:pt idx="1">
                  <c:v>0.48666666666666664</c:v>
                </c:pt>
                <c:pt idx="2">
                  <c:v>0.69835066666666656</c:v>
                </c:pt>
                <c:pt idx="3">
                  <c:v>0.87431383333333335</c:v>
                </c:pt>
                <c:pt idx="4">
                  <c:v>0.77885499999999985</c:v>
                </c:pt>
                <c:pt idx="5">
                  <c:v>0.67220299999999988</c:v>
                </c:pt>
                <c:pt idx="6">
                  <c:v>0.58128999999999997</c:v>
                </c:pt>
                <c:pt idx="7">
                  <c:v>0.6326936666666666</c:v>
                </c:pt>
                <c:pt idx="8">
                  <c:v>0.69907366666666659</c:v>
                </c:pt>
                <c:pt idx="9">
                  <c:v>1.0412459999999999</c:v>
                </c:pt>
                <c:pt idx="10">
                  <c:v>0.70517050000000003</c:v>
                </c:pt>
                <c:pt idx="11">
                  <c:v>0.76561266666666672</c:v>
                </c:pt>
                <c:pt idx="12">
                  <c:v>1.0060276666666665</c:v>
                </c:pt>
                <c:pt idx="13">
                  <c:v>1.0351223333333333</c:v>
                </c:pt>
                <c:pt idx="14">
                  <c:v>1.1454563333333332</c:v>
                </c:pt>
                <c:pt idx="15">
                  <c:v>0.86471804166666666</c:v>
                </c:pt>
                <c:pt idx="16">
                  <c:v>0.83733733333333327</c:v>
                </c:pt>
                <c:pt idx="17">
                  <c:v>0.94</c:v>
                </c:pt>
                <c:pt idx="18">
                  <c:v>0.9608222833333333</c:v>
                </c:pt>
                <c:pt idx="19">
                  <c:v>1.21</c:v>
                </c:pt>
                <c:pt idx="20">
                  <c:v>1.1888509999999999</c:v>
                </c:pt>
                <c:pt idx="21">
                  <c:v>0.89553566666666662</c:v>
                </c:pt>
                <c:pt idx="22">
                  <c:v>1.3411873333333333</c:v>
                </c:pt>
                <c:pt idx="23">
                  <c:v>1.2078309999999999</c:v>
                </c:pt>
                <c:pt idx="24">
                  <c:v>1.0437522916666666</c:v>
                </c:pt>
                <c:pt idx="25">
                  <c:v>1.2529632916666666</c:v>
                </c:pt>
              </c:numCache>
            </c:numRef>
          </c:val>
          <c:extLst>
            <c:ext xmlns:c16="http://schemas.microsoft.com/office/drawing/2014/chart" uri="{C3380CC4-5D6E-409C-BE32-E72D297353CC}">
              <c16:uniqueId val="{0000000B-0CE0-4047-871D-9EB7C1B43C30}"/>
            </c:ext>
          </c:extLst>
        </c:ser>
        <c:ser>
          <c:idx val="5"/>
          <c:order val="2"/>
          <c:tx>
            <c:strRef>
              <c:f>'PMR Split'!$G$2</c:f>
              <c:strCache>
                <c:ptCount val="1"/>
                <c:pt idx="0">
                  <c:v>BTE</c:v>
                </c:pt>
              </c:strCache>
            </c:strRef>
          </c:tx>
          <c:spPr>
            <a:solidFill>
              <a:schemeClr val="dk1">
                <a:tint val="600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D-0CE0-4047-871D-9EB7C1B43C3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F-0CE0-4047-871D-9EB7C1B43C30}"/>
              </c:ext>
            </c:extLst>
          </c:dPt>
          <c:dPt>
            <c:idx val="14"/>
            <c:invertIfNegative val="0"/>
            <c:bubble3D val="0"/>
            <c:extLst>
              <c:ext xmlns:c16="http://schemas.microsoft.com/office/drawing/2014/chart" uri="{C3380CC4-5D6E-409C-BE32-E72D297353CC}">
                <c16:uniqueId val="{00000010-0CE0-4047-871D-9EB7C1B43C30}"/>
              </c:ext>
            </c:extLst>
          </c:dPt>
          <c:dPt>
            <c:idx val="17"/>
            <c:invertIfNegative val="0"/>
            <c:bubble3D val="0"/>
            <c:extLst>
              <c:ext xmlns:c16="http://schemas.microsoft.com/office/drawing/2014/chart" uri="{C3380CC4-5D6E-409C-BE32-E72D297353CC}">
                <c16:uniqueId val="{00000011-0CE0-4047-871D-9EB7C1B43C30}"/>
              </c:ext>
            </c:extLst>
          </c:dPt>
          <c:dPt>
            <c:idx val="18"/>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13-0CE0-4047-871D-9EB7C1B43C30}"/>
              </c:ext>
            </c:extLst>
          </c:dPt>
          <c:dLbls>
            <c:dLbl>
              <c:idx val="18"/>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3-0CE0-4047-871D-9EB7C1B43C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'PMR Split'!$A$3:$A$69</c:f>
              <c:strCache>
                <c:ptCount val="26"/>
                <c:pt idx="0">
                  <c:v>Top 5 Average</c:v>
                </c:pt>
                <c:pt idx="1">
                  <c:v>OECD Average</c:v>
                </c:pt>
                <c:pt idx="2">
                  <c:v>Chile</c:v>
                </c:pt>
                <c:pt idx="3">
                  <c:v>Ukraine</c:v>
                </c:pt>
                <c:pt idx="4">
                  <c:v>Colombia</c:v>
                </c:pt>
                <c:pt idx="5">
                  <c:v>Mexico</c:v>
                </c:pt>
                <c:pt idx="6">
                  <c:v>Peru</c:v>
                </c:pt>
                <c:pt idx="7">
                  <c:v>El Salvador</c:v>
                </c:pt>
                <c:pt idx="8">
                  <c:v>Nicaragua</c:v>
                </c:pt>
                <c:pt idx="9">
                  <c:v>South Africa</c:v>
                </c:pt>
                <c:pt idx="10">
                  <c:v>Panama</c:v>
                </c:pt>
                <c:pt idx="11">
                  <c:v>Dominican Republic</c:v>
                </c:pt>
                <c:pt idx="12">
                  <c:v>Jamaica</c:v>
                </c:pt>
                <c:pt idx="13">
                  <c:v>Costa Rica</c:v>
                </c:pt>
                <c:pt idx="14">
                  <c:v>Turkey</c:v>
                </c:pt>
                <c:pt idx="15">
                  <c:v>Philippines</c:v>
                </c:pt>
                <c:pt idx="16">
                  <c:v>Brazil</c:v>
                </c:pt>
                <c:pt idx="17">
                  <c:v>Kenya</c:v>
                </c:pt>
                <c:pt idx="18">
                  <c:v>Senegal</c:v>
                </c:pt>
                <c:pt idx="19">
                  <c:v>Egypt</c:v>
                </c:pt>
                <c:pt idx="20">
                  <c:v>China</c:v>
                </c:pt>
                <c:pt idx="21">
                  <c:v>Honduras</c:v>
                </c:pt>
                <c:pt idx="22">
                  <c:v>India</c:v>
                </c:pt>
                <c:pt idx="23">
                  <c:v>Argentina</c:v>
                </c:pt>
                <c:pt idx="24">
                  <c:v>Bolivia</c:v>
                </c:pt>
                <c:pt idx="25">
                  <c:v>Tunisia</c:v>
                </c:pt>
              </c:strCache>
            </c:strRef>
          </c:cat>
          <c:val>
            <c:numRef>
              <c:f>'PMR Split'!$G$3:$G$69</c:f>
              <c:numCache>
                <c:formatCode>General</c:formatCode>
                <c:ptCount val="26"/>
                <c:pt idx="0">
                  <c:v>0.3666666666666667</c:v>
                </c:pt>
                <c:pt idx="1">
                  <c:v>0.48666666666666664</c:v>
                </c:pt>
                <c:pt idx="2">
                  <c:v>0.67391566666666658</c:v>
                </c:pt>
                <c:pt idx="3" formatCode="0.00">
                  <c:v>0.2603684444444444</c:v>
                </c:pt>
                <c:pt idx="4" formatCode="0.00">
                  <c:v>0.62666666666666659</c:v>
                </c:pt>
                <c:pt idx="5" formatCode="0.00">
                  <c:v>0.72849466666666673</c:v>
                </c:pt>
                <c:pt idx="6" formatCode="0.00">
                  <c:v>0.70333333333333325</c:v>
                </c:pt>
                <c:pt idx="7" formatCode="0.00">
                  <c:v>0.88</c:v>
                </c:pt>
                <c:pt idx="8" formatCode="0.00">
                  <c:v>0.98666666666666658</c:v>
                </c:pt>
                <c:pt idx="9" formatCode="0.00">
                  <c:v>0.7218429999999999</c:v>
                </c:pt>
                <c:pt idx="10" formatCode="0.00">
                  <c:v>0.60955237777777782</c:v>
                </c:pt>
                <c:pt idx="11" formatCode="0.00">
                  <c:v>0.8666666666666667</c:v>
                </c:pt>
                <c:pt idx="12" formatCode="0.00">
                  <c:v>1.0033333333333332</c:v>
                </c:pt>
                <c:pt idx="13" formatCode="0.00">
                  <c:v>0.89333333333333331</c:v>
                </c:pt>
                <c:pt idx="14" formatCode="0.00">
                  <c:v>0.92646933333333337</c:v>
                </c:pt>
                <c:pt idx="15" formatCode="0.00">
                  <c:v>0.88358118518518514</c:v>
                </c:pt>
                <c:pt idx="16" formatCode="0.00">
                  <c:v>0.95927833333333334</c:v>
                </c:pt>
                <c:pt idx="17" formatCode="0.00">
                  <c:v>0.92333333333333334</c:v>
                </c:pt>
                <c:pt idx="18" formatCode="0.00">
                  <c:v>0.91046074814814792</c:v>
                </c:pt>
                <c:pt idx="19" formatCode="0.00">
                  <c:v>1.0533333333333332</c:v>
                </c:pt>
                <c:pt idx="20" formatCode="0.00">
                  <c:v>1.0424143333333333</c:v>
                </c:pt>
                <c:pt idx="21" formatCode="0.00">
                  <c:v>1.1633333333333333</c:v>
                </c:pt>
                <c:pt idx="22" formatCode="0.00">
                  <c:v>1.2018986666666667</c:v>
                </c:pt>
                <c:pt idx="23" formatCode="0.00">
                  <c:v>0.98666666666666658</c:v>
                </c:pt>
                <c:pt idx="24" formatCode="0.00">
                  <c:v>1.2451054703703703</c:v>
                </c:pt>
                <c:pt idx="25" formatCode="0.00">
                  <c:v>1.2943408333333333</c:v>
                </c:pt>
              </c:numCache>
            </c:numRef>
          </c:val>
          <c:extLst>
            <c:ext xmlns:c16="http://schemas.microsoft.com/office/drawing/2014/chart" uri="{C3380CC4-5D6E-409C-BE32-E72D297353CC}">
              <c16:uniqueId val="{00000014-0CE0-4047-871D-9EB7C1B43C30}"/>
            </c:ext>
          </c:extLst>
        </c:ser>
        <c:ser>
          <c:idx val="7"/>
          <c:order val="3"/>
          <c:tx>
            <c:strRef>
              <c:f>'PMR Split'!$I$2</c:f>
              <c:strCache>
                <c:ptCount val="1"/>
                <c:pt idx="0">
                  <c:v>BTI</c:v>
                </c:pt>
              </c:strCache>
            </c:strRef>
          </c:tx>
          <c:spPr>
            <a:solidFill>
              <a:schemeClr val="dk1">
                <a:tint val="88500"/>
              </a:schemeClr>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16-0CE0-4047-871D-9EB7C1B43C3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18-0CE0-4047-871D-9EB7C1B43C30}"/>
              </c:ext>
            </c:extLst>
          </c:dPt>
          <c:dPt>
            <c:idx val="14"/>
            <c:invertIfNegative val="0"/>
            <c:bubble3D val="0"/>
            <c:extLst>
              <c:ext xmlns:c16="http://schemas.microsoft.com/office/drawing/2014/chart" uri="{C3380CC4-5D6E-409C-BE32-E72D297353CC}">
                <c16:uniqueId val="{00000019-0CE0-4047-871D-9EB7C1B43C30}"/>
              </c:ext>
            </c:extLst>
          </c:dPt>
          <c:dPt>
            <c:idx val="17"/>
            <c:invertIfNegative val="0"/>
            <c:bubble3D val="0"/>
            <c:extLst>
              <c:ext xmlns:c16="http://schemas.microsoft.com/office/drawing/2014/chart" uri="{C3380CC4-5D6E-409C-BE32-E72D297353CC}">
                <c16:uniqueId val="{0000001A-0CE0-4047-871D-9EB7C1B43C30}"/>
              </c:ext>
            </c:extLst>
          </c:dPt>
          <c:dPt>
            <c:idx val="18"/>
            <c:invertIfNegative val="0"/>
            <c:bubble3D val="0"/>
            <c:spPr>
              <a:solidFill>
                <a:schemeClr val="tx2"/>
              </a:solidFill>
              <a:ln>
                <a:noFill/>
              </a:ln>
              <a:effectLst/>
            </c:spPr>
            <c:extLst>
              <c:ext xmlns:c16="http://schemas.microsoft.com/office/drawing/2014/chart" uri="{C3380CC4-5D6E-409C-BE32-E72D297353CC}">
                <c16:uniqueId val="{0000001C-0CE0-4047-871D-9EB7C1B43C30}"/>
              </c:ext>
            </c:extLst>
          </c:dPt>
          <c:dLbls>
            <c:dLbl>
              <c:idx val="18"/>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C-0CE0-4047-871D-9EB7C1B43C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'PMR Split'!$A$3:$A$69</c:f>
              <c:strCache>
                <c:ptCount val="26"/>
                <c:pt idx="0">
                  <c:v>Top 5 Average</c:v>
                </c:pt>
                <c:pt idx="1">
                  <c:v>OECD Average</c:v>
                </c:pt>
                <c:pt idx="2">
                  <c:v>Chile</c:v>
                </c:pt>
                <c:pt idx="3">
                  <c:v>Ukraine</c:v>
                </c:pt>
                <c:pt idx="4">
                  <c:v>Colombia</c:v>
                </c:pt>
                <c:pt idx="5">
                  <c:v>Mexico</c:v>
                </c:pt>
                <c:pt idx="6">
                  <c:v>Peru</c:v>
                </c:pt>
                <c:pt idx="7">
                  <c:v>El Salvador</c:v>
                </c:pt>
                <c:pt idx="8">
                  <c:v>Nicaragua</c:v>
                </c:pt>
                <c:pt idx="9">
                  <c:v>South Africa</c:v>
                </c:pt>
                <c:pt idx="10">
                  <c:v>Panama</c:v>
                </c:pt>
                <c:pt idx="11">
                  <c:v>Dominican Republic</c:v>
                </c:pt>
                <c:pt idx="12">
                  <c:v>Jamaica</c:v>
                </c:pt>
                <c:pt idx="13">
                  <c:v>Costa Rica</c:v>
                </c:pt>
                <c:pt idx="14">
                  <c:v>Turkey</c:v>
                </c:pt>
                <c:pt idx="15">
                  <c:v>Philippines</c:v>
                </c:pt>
                <c:pt idx="16">
                  <c:v>Brazil</c:v>
                </c:pt>
                <c:pt idx="17">
                  <c:v>Kenya</c:v>
                </c:pt>
                <c:pt idx="18">
                  <c:v>Senegal</c:v>
                </c:pt>
                <c:pt idx="19">
                  <c:v>Egypt</c:v>
                </c:pt>
                <c:pt idx="20">
                  <c:v>China</c:v>
                </c:pt>
                <c:pt idx="21">
                  <c:v>Honduras</c:v>
                </c:pt>
                <c:pt idx="22">
                  <c:v>India</c:v>
                </c:pt>
                <c:pt idx="23">
                  <c:v>Argentina</c:v>
                </c:pt>
                <c:pt idx="24">
                  <c:v>Bolivia</c:v>
                </c:pt>
                <c:pt idx="25">
                  <c:v>Tunisia</c:v>
                </c:pt>
              </c:strCache>
            </c:strRef>
          </c:cat>
          <c:val>
            <c:numRef>
              <c:f>'PMR Split'!$I$3:$I$69</c:f>
              <c:numCache>
                <c:formatCode>General</c:formatCode>
                <c:ptCount val="26"/>
                <c:pt idx="0">
                  <c:v>0.3666666666666667</c:v>
                </c:pt>
                <c:pt idx="1">
                  <c:v>0.48666666666666664</c:v>
                </c:pt>
                <c:pt idx="2" formatCode="0.00">
                  <c:v>0.14193723333333333</c:v>
                </c:pt>
                <c:pt idx="3" formatCode="0.00">
                  <c:v>0.40513724999999995</c:v>
                </c:pt>
                <c:pt idx="4" formatCode="0.00">
                  <c:v>0.440002</c:v>
                </c:pt>
                <c:pt idx="5" formatCode="0.00">
                  <c:v>0.50552866666666663</c:v>
                </c:pt>
                <c:pt idx="6" formatCode="0.00">
                  <c:v>0.65666666666666662</c:v>
                </c:pt>
                <c:pt idx="7" formatCode="0.00">
                  <c:v>0.47843133333333332</c:v>
                </c:pt>
                <c:pt idx="8" formatCode="0.00">
                  <c:v>0.32017739999999995</c:v>
                </c:pt>
                <c:pt idx="9" formatCode="0.00">
                  <c:v>0.4461</c:v>
                </c:pt>
                <c:pt idx="10" formatCode="0.00">
                  <c:v>0.91990191666666654</c:v>
                </c:pt>
                <c:pt idx="11" formatCode="0.00">
                  <c:v>0.62457499999999999</c:v>
                </c:pt>
                <c:pt idx="12" formatCode="0.00">
                  <c:v>0.40177699999999994</c:v>
                </c:pt>
                <c:pt idx="13" formatCode="0.00">
                  <c:v>0.50123499999999999</c:v>
                </c:pt>
                <c:pt idx="14" formatCode="0.00">
                  <c:v>0.38807166666666665</c:v>
                </c:pt>
                <c:pt idx="15" formatCode="0.00">
                  <c:v>0.72453808333333325</c:v>
                </c:pt>
                <c:pt idx="16" formatCode="0.00">
                  <c:v>0.74618133333333336</c:v>
                </c:pt>
                <c:pt idx="17" formatCode="0.00">
                  <c:v>0.69333333333333336</c:v>
                </c:pt>
                <c:pt idx="18" formatCode="0.00">
                  <c:v>0.73056357499999991</c:v>
                </c:pt>
                <c:pt idx="19" formatCode="0.00">
                  <c:v>0.57666666666666666</c:v>
                </c:pt>
                <c:pt idx="20" formatCode="0.00">
                  <c:v>0.62889733333333331</c:v>
                </c:pt>
                <c:pt idx="21" formatCode="0.00">
                  <c:v>0.84233999999999987</c:v>
                </c:pt>
                <c:pt idx="22" formatCode="0.00">
                  <c:v>0.55562866666666666</c:v>
                </c:pt>
                <c:pt idx="23" formatCode="0.00">
                  <c:v>0.97852499999999998</c:v>
                </c:pt>
                <c:pt idx="24" formatCode="0.00">
                  <c:v>1.0340453333333333</c:v>
                </c:pt>
                <c:pt idx="25" formatCode="0.00">
                  <c:v>0.88657141666666661</c:v>
                </c:pt>
              </c:numCache>
            </c:numRef>
          </c:val>
          <c:extLst>
            <c:ext xmlns:c16="http://schemas.microsoft.com/office/drawing/2014/chart" uri="{C3380CC4-5D6E-409C-BE32-E72D297353CC}">
              <c16:uniqueId val="{0000001D-0CE0-4047-871D-9EB7C1B43C30}"/>
            </c:ext>
          </c:extLst>
        </c:ser>
        <c:dLbls>
          <c:showLegendKey val="0"/>
          <c:showVal val="0"/>
          <c:showCatName val="0"/>
          <c:showSerName val="0"/>
          <c:showPercent val="0"/>
          <c:showBubbleSize val="0"/>
        </c:dLbls>
        <c:gapWidth val="150"/>
        <c:overlap val="100"/>
        <c:axId val="-1223227760"/>
        <c:axId val="-1223225008"/>
      </c:barChart>
      <c:catAx>
        <c:axId val="-1223227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225008"/>
        <c:crosses val="autoZero"/>
        <c:auto val="1"/>
        <c:lblAlgn val="ctr"/>
        <c:lblOffset val="100"/>
        <c:noMultiLvlLbl val="0"/>
      </c:catAx>
      <c:valAx>
        <c:axId val="-1223225008"/>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227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78137994466709"/>
          <c:y val="4.8775476176804097E-2"/>
          <c:w val="0.650388560371432"/>
          <c:h val="0.81706184376611402"/>
        </c:manualLayout>
      </c:layout>
      <c:scatterChart>
        <c:scatterStyle val="lineMarker"/>
        <c:varyColors val="0"/>
        <c:ser>
          <c:idx val="1"/>
          <c:order val="0"/>
          <c:spPr>
            <a:ln w="28575">
              <a:noFill/>
            </a:ln>
          </c:spPr>
          <c:dPt>
            <c:idx val="18"/>
            <c:bubble3D val="0"/>
            <c:extLst>
              <c:ext xmlns:c16="http://schemas.microsoft.com/office/drawing/2014/chart" uri="{C3380CC4-5D6E-409C-BE32-E72D297353CC}">
                <c16:uniqueId val="{00000000-3DCC-1140-B92F-FAEAF43592C0}"/>
              </c:ext>
            </c:extLst>
          </c:dPt>
          <c:dPt>
            <c:idx val="56"/>
            <c:marker>
              <c:spPr>
                <a:solidFill>
                  <a:schemeClr val="tx2">
                    <a:lumMod val="50000"/>
                  </a:schemeClr>
                </a:solidFill>
                <a:ln>
                  <a:solidFill>
                    <a:schemeClr val="tx2">
                      <a:lumMod val="50000"/>
                    </a:schemeClr>
                  </a:solidFill>
                </a:ln>
              </c:spPr>
            </c:marker>
            <c:bubble3D val="0"/>
            <c:extLst>
              <c:ext xmlns:c16="http://schemas.microsoft.com/office/drawing/2014/chart" uri="{C3380CC4-5D6E-409C-BE32-E72D297353CC}">
                <c16:uniqueId val="{00000001-3DCC-1140-B92F-FAEAF43592C0}"/>
              </c:ext>
            </c:extLst>
          </c:dPt>
          <c:dLbls>
            <c:dLbl>
              <c:idx val="56"/>
              <c:layout>
                <c:manualLayout>
                  <c:x val="-0.125725338491296"/>
                  <c:y val="4.7653085537288503E-2"/>
                </c:manualLayout>
              </c:layout>
              <c:tx>
                <c:rich>
                  <a:bodyPr/>
                  <a:lstStyle/>
                  <a:p>
                    <a:pPr>
                      <a:defRPr sz="1400">
                        <a:latin typeface="Times New Roman" panose="02020603050405020304" pitchFamily="18" charset="0"/>
                        <a:cs typeface="Times New Roman" panose="02020603050405020304" pitchFamily="18" charset="0"/>
                      </a:defRPr>
                    </a:pPr>
                    <a:fld id="{E45A8958-9C3C-0947-8642-4E7B551C9AA4}" type="CELLREF">
                      <a:rPr lang="en-US" sz="900">
                        <a:latin typeface="Times New Roman" panose="02020603050405020304" pitchFamily="18" charset="0"/>
                        <a:cs typeface="Times New Roman" panose="02020603050405020304" pitchFamily="18" charset="0"/>
                      </a:rPr>
                      <a:pPr>
                        <a:defRPr sz="1400">
                          <a:latin typeface="Times New Roman" panose="02020603050405020304" pitchFamily="18" charset="0"/>
                          <a:cs typeface="Times New Roman" panose="02020603050405020304" pitchFamily="18" charset="0"/>
                        </a:defRPr>
                      </a:pPr>
                      <a:t>[CELLREF]</a:t>
                    </a:fld>
                    <a:endParaRPr lang="en-US"/>
                  </a:p>
                </c:rich>
              </c:tx>
              <c:spPr/>
              <c:showLegendKey val="0"/>
              <c:showVal val="1"/>
              <c:showCatName val="0"/>
              <c:showSerName val="0"/>
              <c:showPercent val="0"/>
              <c:showBubbleSize val="0"/>
              <c:extLst>
                <c:ext xmlns:c15="http://schemas.microsoft.com/office/drawing/2012/chart" uri="{CE6537A1-D6FC-4f65-9D91-7224C49458BB}">
                  <c15:dlblFieldTable>
                    <c15:dlblFTEntry>
                      <c15:txfldGUID>{E45A8958-9C3C-0947-8642-4E7B551C9AA4}</c15:txfldGUID>
                      <c15:f>'[Senegal PMR Analysis - Feb Update 2.xlsx]+GCR'!$A$60</c15:f>
                      <c15:dlblFieldTableCache>
                        <c:ptCount val="1"/>
                        <c:pt idx="0">
                          <c:v>Senegal</c:v>
                        </c:pt>
                      </c15:dlblFieldTableCache>
                    </c15:dlblFTEntry>
                  </c15:dlblFieldTable>
                  <c15:showDataLabelsRange val="0"/>
                </c:ext>
                <c:ext xmlns:c16="http://schemas.microsoft.com/office/drawing/2014/chart" uri="{C3380CC4-5D6E-409C-BE32-E72D297353CC}">
                  <c16:uniqueId val="{00000001-3DCC-1140-B92F-FAEAF43592C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trendline>
            <c:trendlineType val="linear"/>
            <c:dispRSqr val="0"/>
            <c:dispEq val="0"/>
          </c:trendline>
          <c:xVal>
            <c:numRef>
              <c:f>'+GCR'!$B$4:$B$60</c:f>
              <c:numCache>
                <c:formatCode>0.00</c:formatCode>
                <c:ptCount val="57"/>
                <c:pt idx="0">
                  <c:v>1.28989</c:v>
                </c:pt>
                <c:pt idx="1">
                  <c:v>1.191759</c:v>
                </c:pt>
                <c:pt idx="2">
                  <c:v>1.385659</c:v>
                </c:pt>
                <c:pt idx="3">
                  <c:v>1.424841</c:v>
                </c:pt>
                <c:pt idx="4">
                  <c:v>1.5142040000000001</c:v>
                </c:pt>
                <c:pt idx="5">
                  <c:v>1.3949990000000001</c:v>
                </c:pt>
                <c:pt idx="6">
                  <c:v>1.2249589999999999</c:v>
                </c:pt>
                <c:pt idx="7">
                  <c:v>1.291698</c:v>
                </c:pt>
                <c:pt idx="8">
                  <c:v>1.2934829999999999</c:v>
                </c:pt>
                <c:pt idx="9">
                  <c:v>1.468032</c:v>
                </c:pt>
                <c:pt idx="10">
                  <c:v>1.293857</c:v>
                </c:pt>
                <c:pt idx="11">
                  <c:v>1.741857</c:v>
                </c:pt>
                <c:pt idx="12">
                  <c:v>1.327196</c:v>
                </c:pt>
                <c:pt idx="13">
                  <c:v>1.4972799999999999</c:v>
                </c:pt>
                <c:pt idx="14">
                  <c:v>1.4542759999999999</c:v>
                </c:pt>
                <c:pt idx="15">
                  <c:v>2.1493690000000001</c:v>
                </c:pt>
                <c:pt idx="16">
                  <c:v>1.263093</c:v>
                </c:pt>
                <c:pt idx="17">
                  <c:v>1.411829999999999</c:v>
                </c:pt>
                <c:pt idx="18">
                  <c:v>2.56</c:v>
                </c:pt>
                <c:pt idx="19">
                  <c:v>1.8779999999999999</c:v>
                </c:pt>
                <c:pt idx="20">
                  <c:v>1.4583219999999999</c:v>
                </c:pt>
                <c:pt idx="21">
                  <c:v>1.906226</c:v>
                </c:pt>
                <c:pt idx="22">
                  <c:v>0.9150317</c:v>
                </c:pt>
                <c:pt idx="23">
                  <c:v>1.2603089999999999</c:v>
                </c:pt>
                <c:pt idx="24">
                  <c:v>1.46238</c:v>
                </c:pt>
                <c:pt idx="25">
                  <c:v>1.64791</c:v>
                </c:pt>
                <c:pt idx="26">
                  <c:v>1.294834</c:v>
                </c:pt>
                <c:pt idx="27">
                  <c:v>1.3342560000000001</c:v>
                </c:pt>
                <c:pt idx="28">
                  <c:v>1.7019550000000001</c:v>
                </c:pt>
                <c:pt idx="29">
                  <c:v>1.4419459999999999</c:v>
                </c:pt>
                <c:pt idx="30">
                  <c:v>1.519452</c:v>
                </c:pt>
                <c:pt idx="31">
                  <c:v>1.4997590000000001</c:v>
                </c:pt>
                <c:pt idx="32">
                  <c:v>2.459997</c:v>
                </c:pt>
                <c:pt idx="33">
                  <c:v>1.0806519999999999</c:v>
                </c:pt>
                <c:pt idx="34">
                  <c:v>2.459997</c:v>
                </c:pt>
                <c:pt idx="35">
                  <c:v>1.0806519999999999</c:v>
                </c:pt>
                <c:pt idx="36">
                  <c:v>2.459997</c:v>
                </c:pt>
                <c:pt idx="37">
                  <c:v>1.0806519999999999</c:v>
                </c:pt>
                <c:pt idx="38">
                  <c:v>2.2204348999999999</c:v>
                </c:pt>
                <c:pt idx="39">
                  <c:v>2.2091889999999998</c:v>
                </c:pt>
                <c:pt idx="40">
                  <c:v>3.1717590000000002</c:v>
                </c:pt>
                <c:pt idx="41">
                  <c:v>1.574854</c:v>
                </c:pt>
                <c:pt idx="42">
                  <c:v>1.8456129999999999</c:v>
                </c:pt>
                <c:pt idx="43">
                  <c:v>2.430639999999999</c:v>
                </c:pt>
                <c:pt idx="44">
                  <c:v>2.0754350000000001</c:v>
                </c:pt>
                <c:pt idx="45">
                  <c:v>1.650093</c:v>
                </c:pt>
                <c:pt idx="46">
                  <c:v>2.2557710000000002</c:v>
                </c:pt>
                <c:pt idx="47">
                  <c:v>1.9905600000000001</c:v>
                </c:pt>
                <c:pt idx="48">
                  <c:v>2.9019720000000002</c:v>
                </c:pt>
                <c:pt idx="49">
                  <c:v>2.412701999999999</c:v>
                </c:pt>
                <c:pt idx="50">
                  <c:v>1.6076630000000001</c:v>
                </c:pt>
                <c:pt idx="51">
                  <c:v>1.5155050000000001</c:v>
                </c:pt>
                <c:pt idx="52">
                  <c:v>1.5675349999999999</c:v>
                </c:pt>
                <c:pt idx="53">
                  <c:v>2.0043250000000001</c:v>
                </c:pt>
                <c:pt idx="54">
                  <c:v>1.797617</c:v>
                </c:pt>
                <c:pt idx="55">
                  <c:v>1.6869419999999999</c:v>
                </c:pt>
                <c:pt idx="56">
                  <c:v>2.5607274629629631</c:v>
                </c:pt>
              </c:numCache>
            </c:numRef>
          </c:xVal>
          <c:yVal>
            <c:numRef>
              <c:f>'+GCR'!$Q$4:$Q$60</c:f>
              <c:numCache>
                <c:formatCode>General</c:formatCode>
                <c:ptCount val="57"/>
                <c:pt idx="0">
                  <c:v>5.09234611092152</c:v>
                </c:pt>
                <c:pt idx="1">
                  <c:v>5.1509251833897052</c:v>
                </c:pt>
                <c:pt idx="2">
                  <c:v>5.134750978172101</c:v>
                </c:pt>
                <c:pt idx="3">
                  <c:v>5.1995054224616544</c:v>
                </c:pt>
                <c:pt idx="4">
                  <c:v>4.6070506484719003</c:v>
                </c:pt>
                <c:pt idx="5">
                  <c:v>4.4334024087482149</c:v>
                </c:pt>
                <c:pt idx="6">
                  <c:v>5.1769603720728838</c:v>
                </c:pt>
                <c:pt idx="7">
                  <c:v>4.6506441982600126</c:v>
                </c:pt>
                <c:pt idx="8">
                  <c:v>5.5385234296460348</c:v>
                </c:pt>
                <c:pt idx="9">
                  <c:v>5.0527277767645113</c:v>
                </c:pt>
                <c:pt idx="10">
                  <c:v>5.509836178923603</c:v>
                </c:pt>
                <c:pt idx="11">
                  <c:v>3.928124194851363</c:v>
                </c:pt>
                <c:pt idx="12">
                  <c:v>4.2484463707271027</c:v>
                </c:pt>
                <c:pt idx="13">
                  <c:v>4.6636472518585714</c:v>
                </c:pt>
                <c:pt idx="14">
                  <c:v>4.9224048879313642</c:v>
                </c:pt>
                <c:pt idx="15">
                  <c:v>4.9437413646697381</c:v>
                </c:pt>
                <c:pt idx="16">
                  <c:v>4.4066957171797272</c:v>
                </c:pt>
                <c:pt idx="17">
                  <c:v>5.3978195322617788</c:v>
                </c:pt>
                <c:pt idx="18">
                  <c:v>3.8451403839405378</c:v>
                </c:pt>
                <c:pt idx="19">
                  <c:v>5.0115231193333196</c:v>
                </c:pt>
                <c:pt idx="20">
                  <c:v>5.0868412930637996</c:v>
                </c:pt>
                <c:pt idx="21">
                  <c:v>4.3388883700686964</c:v>
                </c:pt>
                <c:pt idx="22">
                  <c:v>5.424661167077085</c:v>
                </c:pt>
                <c:pt idx="23">
                  <c:v>5.108287089726244</c:v>
                </c:pt>
                <c:pt idx="24">
                  <c:v>5.3254323275304731</c:v>
                </c:pt>
                <c:pt idx="25">
                  <c:v>4.4569209957335332</c:v>
                </c:pt>
                <c:pt idx="26">
                  <c:v>4.401401116562023</c:v>
                </c:pt>
                <c:pt idx="27">
                  <c:v>4.103044196650159</c:v>
                </c:pt>
                <c:pt idx="28">
                  <c:v>4.2502671630784761</c:v>
                </c:pt>
                <c:pt idx="29">
                  <c:v>4.5746943883823628</c:v>
                </c:pt>
                <c:pt idx="30">
                  <c:v>5.4814488253327767</c:v>
                </c:pt>
                <c:pt idx="31">
                  <c:v>5.6657170033115607</c:v>
                </c:pt>
                <c:pt idx="32">
                  <c:v>4.451067880066975</c:v>
                </c:pt>
                <c:pt idx="33">
                  <c:v>5.368752464241374</c:v>
                </c:pt>
                <c:pt idx="34">
                  <c:v>4.3276412889526004</c:v>
                </c:pt>
                <c:pt idx="35">
                  <c:v>4.8363385006622774</c:v>
                </c:pt>
                <c:pt idx="36">
                  <c:v>4.2800348514595887</c:v>
                </c:pt>
                <c:pt idx="37">
                  <c:v>4.5304898402707421</c:v>
                </c:pt>
                <c:pt idx="38">
                  <c:v>4.2459235218703206</c:v>
                </c:pt>
                <c:pt idx="39">
                  <c:v>4.371164235369096</c:v>
                </c:pt>
                <c:pt idx="40">
                  <c:v>3.7628591968047771</c:v>
                </c:pt>
                <c:pt idx="41">
                  <c:v>4.3085137046752262</c:v>
                </c:pt>
                <c:pt idx="42">
                  <c:v>4.1928990877642578</c:v>
                </c:pt>
                <c:pt idx="43">
                  <c:v>4.34772830181043</c:v>
                </c:pt>
                <c:pt idx="44">
                  <c:v>4.1262256167340086</c:v>
                </c:pt>
                <c:pt idx="45">
                  <c:v>4.3004204582176726</c:v>
                </c:pt>
                <c:pt idx="46">
                  <c:v>3.7589583132888231</c:v>
                </c:pt>
                <c:pt idx="47">
                  <c:v>3.8449371076545509</c:v>
                </c:pt>
                <c:pt idx="48">
                  <c:v>3.7026633063916479</c:v>
                </c:pt>
                <c:pt idx="49">
                  <c:v>3.856667675602909</c:v>
                </c:pt>
                <c:pt idx="50">
                  <c:v>4.3978273528269307</c:v>
                </c:pt>
                <c:pt idx="51">
                  <c:v>4.4083166639259614</c:v>
                </c:pt>
                <c:pt idx="52">
                  <c:v>4.49939263832061</c:v>
                </c:pt>
                <c:pt idx="53">
                  <c:v>3.8399103837829189</c:v>
                </c:pt>
                <c:pt idx="54">
                  <c:v>4.2505229389841759</c:v>
                </c:pt>
                <c:pt idx="55">
                  <c:v>4.1253584716579592</c:v>
                </c:pt>
                <c:pt idx="56">
                  <c:v>3.7</c:v>
                </c:pt>
              </c:numCache>
            </c:numRef>
          </c:yVal>
          <c:smooth val="0"/>
          <c:extLst>
            <c:ext xmlns:c16="http://schemas.microsoft.com/office/drawing/2014/chart" uri="{C3380CC4-5D6E-409C-BE32-E72D297353CC}">
              <c16:uniqueId val="{00000003-3DCC-1140-B92F-FAEAF43592C0}"/>
            </c:ext>
          </c:extLst>
        </c:ser>
        <c:dLbls>
          <c:showLegendKey val="0"/>
          <c:showVal val="0"/>
          <c:showCatName val="0"/>
          <c:showSerName val="0"/>
          <c:showPercent val="0"/>
          <c:showBubbleSize val="0"/>
        </c:dLbls>
        <c:axId val="1059499376"/>
        <c:axId val="1423331216"/>
      </c:scatterChart>
      <c:valAx>
        <c:axId val="105949937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OECD-WBG PMR Score</a:t>
                </a:r>
              </a:p>
            </c:rich>
          </c:tx>
          <c:overlay val="0"/>
        </c:title>
        <c:numFmt formatCode="0.00" sourceLinked="1"/>
        <c:majorTickMark val="out"/>
        <c:minorTickMark val="none"/>
        <c:tickLblPos val="nextTo"/>
        <c:crossAx val="1423331216"/>
        <c:crosses val="autoZero"/>
        <c:crossBetween val="midCat"/>
      </c:valAx>
      <c:valAx>
        <c:axId val="1423331216"/>
        <c:scaling>
          <c:orientation val="minMax"/>
          <c:max val="7"/>
          <c:min val="2"/>
        </c:scaling>
        <c:delete val="0"/>
        <c:axPos val="l"/>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Global Competitiveness Index, 0-7 (best)</a:t>
                </a:r>
              </a:p>
            </c:rich>
          </c:tx>
          <c:overlay val="0"/>
        </c:title>
        <c:numFmt formatCode="General" sourceLinked="1"/>
        <c:majorTickMark val="out"/>
        <c:minorTickMark val="none"/>
        <c:tickLblPos val="nextTo"/>
        <c:crossAx val="1059499376"/>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4286492013119"/>
          <c:y val="4.8775476176804097E-2"/>
          <c:w val="0.64566094499570403"/>
          <c:h val="0.79923738257362198"/>
        </c:manualLayout>
      </c:layout>
      <c:scatterChart>
        <c:scatterStyle val="lineMarker"/>
        <c:varyColors val="0"/>
        <c:ser>
          <c:idx val="1"/>
          <c:order val="0"/>
          <c:spPr>
            <a:ln w="28575">
              <a:noFill/>
            </a:ln>
          </c:spPr>
          <c:dPt>
            <c:idx val="18"/>
            <c:bubble3D val="0"/>
            <c:extLst>
              <c:ext xmlns:c16="http://schemas.microsoft.com/office/drawing/2014/chart" uri="{C3380CC4-5D6E-409C-BE32-E72D297353CC}">
                <c16:uniqueId val="{00000000-11FF-924F-A61B-520227D91177}"/>
              </c:ext>
            </c:extLst>
          </c:dPt>
          <c:dPt>
            <c:idx val="56"/>
            <c:marker>
              <c:spPr>
                <a:solidFill>
                  <a:schemeClr val="tx2">
                    <a:lumMod val="50000"/>
                  </a:schemeClr>
                </a:solidFill>
                <a:ln>
                  <a:solidFill>
                    <a:schemeClr val="accent1">
                      <a:lumMod val="50000"/>
                    </a:schemeClr>
                  </a:solidFill>
                </a:ln>
              </c:spPr>
            </c:marker>
            <c:bubble3D val="0"/>
            <c:extLst>
              <c:ext xmlns:c16="http://schemas.microsoft.com/office/drawing/2014/chart" uri="{C3380CC4-5D6E-409C-BE32-E72D297353CC}">
                <c16:uniqueId val="{00000001-11FF-924F-A61B-520227D91177}"/>
              </c:ext>
            </c:extLst>
          </c:dPt>
          <c:dLbls>
            <c:dLbl>
              <c:idx val="56"/>
              <c:layout>
                <c:manualLayout>
                  <c:x val="-4.8181161165984998E-3"/>
                  <c:y val="-2.9773289297103201E-2"/>
                </c:manualLayout>
              </c:layout>
              <c:tx>
                <c:strRef>
                  <c:f>'+GCR'!$A$60</c:f>
                  <c:strCache>
                    <c:ptCount val="1"/>
                    <c:pt idx="0">
                      <c:v>Senegal</c:v>
                    </c:pt>
                  </c:strCache>
                </c:strRef>
              </c:tx>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{773F0080-6583-416F-8116-C63C7AED670D}</c15:txfldGUID>
                      <c15:f>'+GCR'!$A$60</c15:f>
                      <c15:dlblFieldTableCache>
                        <c:ptCount val="1"/>
                        <c:pt idx="0">
                          <c:v>Senegal</c:v>
                        </c:pt>
                      </c15:dlblFieldTableCache>
                    </c15:dlblFTEntry>
                  </c15:dlblFieldTable>
                  <c15:showDataLabelsRange val="0"/>
                </c:ext>
                <c:ext xmlns:c16="http://schemas.microsoft.com/office/drawing/2014/chart" uri="{C3380CC4-5D6E-409C-BE32-E72D297353CC}">
                  <c16:uniqueId val="{00000001-11FF-924F-A61B-520227D91177}"/>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trendline>
            <c:trendlineType val="linear"/>
            <c:dispRSqr val="0"/>
            <c:dispEq val="0"/>
          </c:trendline>
          <c:xVal>
            <c:numRef>
              <c:f>'+GCR'!$B$4:$B$60</c:f>
              <c:numCache>
                <c:formatCode>0.00</c:formatCode>
                <c:ptCount val="57"/>
                <c:pt idx="0">
                  <c:v>1.28989</c:v>
                </c:pt>
                <c:pt idx="1">
                  <c:v>1.191759</c:v>
                </c:pt>
                <c:pt idx="2">
                  <c:v>1.385659</c:v>
                </c:pt>
                <c:pt idx="3">
                  <c:v>1.424841</c:v>
                </c:pt>
                <c:pt idx="4">
                  <c:v>1.5142040000000001</c:v>
                </c:pt>
                <c:pt idx="5">
                  <c:v>1.3949990000000001</c:v>
                </c:pt>
                <c:pt idx="6">
                  <c:v>1.2249589999999999</c:v>
                </c:pt>
                <c:pt idx="7">
                  <c:v>1.291698</c:v>
                </c:pt>
                <c:pt idx="8">
                  <c:v>1.2934829999999999</c:v>
                </c:pt>
                <c:pt idx="9">
                  <c:v>1.468032</c:v>
                </c:pt>
                <c:pt idx="10">
                  <c:v>1.293857</c:v>
                </c:pt>
                <c:pt idx="11">
                  <c:v>1.741857</c:v>
                </c:pt>
                <c:pt idx="12">
                  <c:v>1.327196</c:v>
                </c:pt>
                <c:pt idx="13">
                  <c:v>1.4972799999999999</c:v>
                </c:pt>
                <c:pt idx="14">
                  <c:v>1.4542759999999999</c:v>
                </c:pt>
                <c:pt idx="15">
                  <c:v>2.1493690000000001</c:v>
                </c:pt>
                <c:pt idx="16">
                  <c:v>1.263093</c:v>
                </c:pt>
                <c:pt idx="17">
                  <c:v>1.411829999999999</c:v>
                </c:pt>
                <c:pt idx="18">
                  <c:v>2.56</c:v>
                </c:pt>
                <c:pt idx="19">
                  <c:v>1.8779999999999999</c:v>
                </c:pt>
                <c:pt idx="20">
                  <c:v>1.4583219999999999</c:v>
                </c:pt>
                <c:pt idx="21">
                  <c:v>1.906226</c:v>
                </c:pt>
                <c:pt idx="22">
                  <c:v>0.9150317</c:v>
                </c:pt>
                <c:pt idx="23">
                  <c:v>1.2603089999999999</c:v>
                </c:pt>
                <c:pt idx="24">
                  <c:v>1.46238</c:v>
                </c:pt>
                <c:pt idx="25">
                  <c:v>1.64791</c:v>
                </c:pt>
                <c:pt idx="26">
                  <c:v>1.294834</c:v>
                </c:pt>
                <c:pt idx="27">
                  <c:v>1.3342560000000001</c:v>
                </c:pt>
                <c:pt idx="28">
                  <c:v>1.7019550000000001</c:v>
                </c:pt>
                <c:pt idx="29">
                  <c:v>1.4419459999999999</c:v>
                </c:pt>
                <c:pt idx="30">
                  <c:v>1.519452</c:v>
                </c:pt>
                <c:pt idx="31">
                  <c:v>1.4997590000000001</c:v>
                </c:pt>
                <c:pt idx="32">
                  <c:v>2.459997</c:v>
                </c:pt>
                <c:pt idx="33">
                  <c:v>1.0806519999999999</c:v>
                </c:pt>
                <c:pt idx="34">
                  <c:v>2.459997</c:v>
                </c:pt>
                <c:pt idx="35">
                  <c:v>1.0806519999999999</c:v>
                </c:pt>
                <c:pt idx="36">
                  <c:v>2.459997</c:v>
                </c:pt>
                <c:pt idx="37">
                  <c:v>1.0806519999999999</c:v>
                </c:pt>
                <c:pt idx="38">
                  <c:v>2.2204348999999999</c:v>
                </c:pt>
                <c:pt idx="39">
                  <c:v>2.2091889999999998</c:v>
                </c:pt>
                <c:pt idx="40">
                  <c:v>3.1717590000000002</c:v>
                </c:pt>
                <c:pt idx="41">
                  <c:v>1.574854</c:v>
                </c:pt>
                <c:pt idx="42">
                  <c:v>1.8456129999999999</c:v>
                </c:pt>
                <c:pt idx="43">
                  <c:v>2.430639999999999</c:v>
                </c:pt>
                <c:pt idx="44">
                  <c:v>2.0754350000000001</c:v>
                </c:pt>
                <c:pt idx="45">
                  <c:v>1.650093</c:v>
                </c:pt>
                <c:pt idx="46">
                  <c:v>2.2557710000000002</c:v>
                </c:pt>
                <c:pt idx="47">
                  <c:v>1.9905600000000001</c:v>
                </c:pt>
                <c:pt idx="48">
                  <c:v>2.9019720000000002</c:v>
                </c:pt>
                <c:pt idx="49">
                  <c:v>2.412701999999999</c:v>
                </c:pt>
                <c:pt idx="50">
                  <c:v>1.6076630000000001</c:v>
                </c:pt>
                <c:pt idx="51">
                  <c:v>1.5155050000000001</c:v>
                </c:pt>
                <c:pt idx="52">
                  <c:v>1.5675349999999999</c:v>
                </c:pt>
                <c:pt idx="53">
                  <c:v>2.0043250000000001</c:v>
                </c:pt>
                <c:pt idx="54">
                  <c:v>1.797617</c:v>
                </c:pt>
                <c:pt idx="55">
                  <c:v>1.6869419999999999</c:v>
                </c:pt>
                <c:pt idx="56">
                  <c:v>2.5607274629629631</c:v>
                </c:pt>
              </c:numCache>
            </c:numRef>
          </c:xVal>
          <c:yVal>
            <c:numRef>
              <c:f>'+GCR'!$O$4:$O$60</c:f>
              <c:numCache>
                <c:formatCode>General</c:formatCode>
                <c:ptCount val="57"/>
                <c:pt idx="0">
                  <c:v>20.078220682748761</c:v>
                </c:pt>
                <c:pt idx="1">
                  <c:v>56.981446262613041</c:v>
                </c:pt>
                <c:pt idx="2">
                  <c:v>111.3763765979219</c:v>
                </c:pt>
                <c:pt idx="3">
                  <c:v>29.2659547075144</c:v>
                </c:pt>
                <c:pt idx="4">
                  <c:v>34.054389867139967</c:v>
                </c:pt>
                <c:pt idx="5">
                  <c:v>90.941972031702633</c:v>
                </c:pt>
                <c:pt idx="6">
                  <c:v>54.329589015326611</c:v>
                </c:pt>
                <c:pt idx="7">
                  <c:v>98.057864199789577</c:v>
                </c:pt>
                <c:pt idx="8">
                  <c:v>40.184012719189532</c:v>
                </c:pt>
                <c:pt idx="9">
                  <c:v>29.79434587060447</c:v>
                </c:pt>
                <c:pt idx="10">
                  <c:v>48.862846309554932</c:v>
                </c:pt>
                <c:pt idx="11">
                  <c:v>27.508424122696141</c:v>
                </c:pt>
                <c:pt idx="12">
                  <c:v>97.275191124195047</c:v>
                </c:pt>
                <c:pt idx="13">
                  <c:v>59.000249809579607</c:v>
                </c:pt>
                <c:pt idx="14">
                  <c:v>109.9817750351684</c:v>
                </c:pt>
                <c:pt idx="15">
                  <c:v>38.532565883334577</c:v>
                </c:pt>
                <c:pt idx="16">
                  <c:v>30.017415991775891</c:v>
                </c:pt>
                <c:pt idx="17">
                  <c:v>15.733366428296319</c:v>
                </c:pt>
                <c:pt idx="18">
                  <c:v>24.76601842546879</c:v>
                </c:pt>
                <c:pt idx="19">
                  <c:v>56.83599111830722</c:v>
                </c:pt>
                <c:pt idx="20">
                  <c:v>158.30910612816811</c:v>
                </c:pt>
                <c:pt idx="21">
                  <c:v>32.871182830239327</c:v>
                </c:pt>
                <c:pt idx="22">
                  <c:v>101.1903400615173</c:v>
                </c:pt>
                <c:pt idx="23">
                  <c:v>27.91239719177274</c:v>
                </c:pt>
                <c:pt idx="24">
                  <c:v>41.95214862852</c:v>
                </c:pt>
                <c:pt idx="25">
                  <c:v>45.398687551520048</c:v>
                </c:pt>
                <c:pt idx="26">
                  <c:v>38.69646747226399</c:v>
                </c:pt>
                <c:pt idx="27">
                  <c:v>96.094458957091248</c:v>
                </c:pt>
                <c:pt idx="28">
                  <c:v>84.74977094723458</c:v>
                </c:pt>
                <c:pt idx="29">
                  <c:v>31.93031934748312</c:v>
                </c:pt>
                <c:pt idx="30">
                  <c:v>47.195285517453712</c:v>
                </c:pt>
                <c:pt idx="31">
                  <c:v>49.563669239879822</c:v>
                </c:pt>
                <c:pt idx="32">
                  <c:v>24.500381887627949</c:v>
                </c:pt>
                <c:pt idx="33">
                  <c:v>30.59129649633989</c:v>
                </c:pt>
                <c:pt idx="34">
                  <c:v>11.715565648539551</c:v>
                </c:pt>
                <c:pt idx="35">
                  <c:v>27.21288358376168</c:v>
                </c:pt>
                <c:pt idx="36">
                  <c:v>24.157152646819</c:v>
                </c:pt>
                <c:pt idx="37">
                  <c:v>23.96949654109892</c:v>
                </c:pt>
                <c:pt idx="38">
                  <c:v>29.062039985509092</c:v>
                </c:pt>
                <c:pt idx="39">
                  <c:v>26.56531293418157</c:v>
                </c:pt>
                <c:pt idx="40">
                  <c:v>20.129203554238931</c:v>
                </c:pt>
                <c:pt idx="41">
                  <c:v>66.369342026656142</c:v>
                </c:pt>
                <c:pt idx="42">
                  <c:v>18.001683868641059</c:v>
                </c:pt>
                <c:pt idx="43">
                  <c:v>37.512574502592273</c:v>
                </c:pt>
                <c:pt idx="44">
                  <c:v>42.225790779657459</c:v>
                </c:pt>
                <c:pt idx="45">
                  <c:v>41.220938207424162</c:v>
                </c:pt>
                <c:pt idx="46">
                  <c:v>24.780396403145961</c:v>
                </c:pt>
                <c:pt idx="47">
                  <c:v>27.57838377141417</c:v>
                </c:pt>
                <c:pt idx="48">
                  <c:v>49.677472683271667</c:v>
                </c:pt>
                <c:pt idx="49">
                  <c:v>27.755148212997572</c:v>
                </c:pt>
                <c:pt idx="50">
                  <c:v>65.217873939393954</c:v>
                </c:pt>
                <c:pt idx="51">
                  <c:v>83.572506617019243</c:v>
                </c:pt>
                <c:pt idx="52">
                  <c:v>100.3969870180688</c:v>
                </c:pt>
                <c:pt idx="53">
                  <c:v>31.48391681896058</c:v>
                </c:pt>
                <c:pt idx="54">
                  <c:v>25.422699012075181</c:v>
                </c:pt>
                <c:pt idx="55">
                  <c:v>39.803105674680033</c:v>
                </c:pt>
                <c:pt idx="56">
                  <c:v>29.2</c:v>
                </c:pt>
              </c:numCache>
            </c:numRef>
          </c:yVal>
          <c:smooth val="0"/>
          <c:extLst>
            <c:ext xmlns:c16="http://schemas.microsoft.com/office/drawing/2014/chart" uri="{C3380CC4-5D6E-409C-BE32-E72D297353CC}">
              <c16:uniqueId val="{00000003-11FF-924F-A61B-520227D91177}"/>
            </c:ext>
          </c:extLst>
        </c:ser>
        <c:dLbls>
          <c:showLegendKey val="0"/>
          <c:showVal val="0"/>
          <c:showCatName val="0"/>
          <c:showSerName val="0"/>
          <c:showPercent val="0"/>
          <c:showBubbleSize val="0"/>
        </c:dLbls>
        <c:axId val="1010664480"/>
        <c:axId val="1425326752"/>
      </c:scatterChart>
      <c:valAx>
        <c:axId val="1010664480"/>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OECD-WBG PMR Score</a:t>
                </a:r>
              </a:p>
            </c:rich>
          </c:tx>
          <c:overlay val="0"/>
        </c:title>
        <c:numFmt formatCode="0.00" sourceLinked="1"/>
        <c:majorTickMark val="out"/>
        <c:minorTickMark val="none"/>
        <c:tickLblPos val="nextTo"/>
        <c:crossAx val="1425326752"/>
        <c:crosses val="autoZero"/>
        <c:crossBetween val="midCat"/>
      </c:valAx>
      <c:valAx>
        <c:axId val="1425326752"/>
        <c:scaling>
          <c:orientation val="minMax"/>
          <c:max val="120"/>
        </c:scaling>
        <c:delete val="0"/>
        <c:axPos val="l"/>
        <c:majorGridlines/>
        <c:title>
          <c:tx>
            <c:rich>
              <a:bodyPr rot="-5400000" vert="horz"/>
              <a:lstStyle/>
              <a:p>
                <a:pPr>
                  <a:defRPr sz="800"/>
                </a:pPr>
                <a:r>
                  <a:rPr lang="en-US" sz="800"/>
                  <a:t>Exports (%</a:t>
                </a:r>
                <a:r>
                  <a:rPr lang="en-US" sz="800" baseline="0"/>
                  <a:t> of GDP)</a:t>
                </a:r>
                <a:endParaRPr lang="en-US" sz="800"/>
              </a:p>
            </c:rich>
          </c:tx>
          <c:overlay val="0"/>
        </c:title>
        <c:numFmt formatCode="General" sourceLinked="1"/>
        <c:majorTickMark val="out"/>
        <c:minorTickMark val="none"/>
        <c:tickLblPos val="nextTo"/>
        <c:crossAx val="1010664480"/>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'Intro Graph'!$C$4</c:f>
              <c:strCache>
                <c:ptCount val="1"/>
                <c:pt idx="0">
                  <c:v>State Control</c:v>
                </c:pt>
              </c:strCache>
            </c:strRef>
          </c:tx>
          <c:spPr>
            <a:solidFill>
              <a:schemeClr val="accent1"/>
            </a:solidFill>
            <a:ln>
              <a:noFill/>
            </a:ln>
            <a:effectLst/>
          </c:spPr>
          <c:invertIfNegative val="0"/>
          <c:dLbls>
            <c:dLbl>
              <c:idx val="0"/>
              <c:tx>
                <c:strRef>
                  <c:f>'Intro Graph'!$C$6</c:f>
                  <c:strCache>
                    <c:ptCount val="1"/>
                    <c:pt idx="0">
                      <c:v>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{41412936-A3C0-4CF9-B1DF-F8F996E4E23C}</c15:txfldGUID>
                      <c15:f>'Intro Graph'!$C$6</c15:f>
                      <c15:dlblFieldTableCache>
                        <c:ptCount val="1"/>
                        <c:pt idx="0">
                          <c:v>37%</c:v>
                        </c:pt>
                      </c15:dlblFieldTableCache>
                    </c15:dlblFTEntry>
                  </c15:dlblFieldTable>
                  <c15:showDataLabelsRange val="0"/>
                </c:ext>
                <c:ext xmlns:c16="http://schemas.microsoft.com/office/drawing/2014/chart" uri="{C3380CC4-5D6E-409C-BE32-E72D297353CC}">
                  <c16:uniqueId val="{00000000-0BB4-4D3F-ACB2-F5A3FEC655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Graph'!$B$5</c:f>
              <c:strCache>
                <c:ptCount val="1"/>
                <c:pt idx="0">
                  <c:v>Senegal</c:v>
                </c:pt>
              </c:strCache>
            </c:strRef>
          </c:cat>
          <c:val>
            <c:numRef>
              <c:f>'Intro Graph'!$C$5</c:f>
              <c:numCache>
                <c:formatCode>0.00</c:formatCode>
                <c:ptCount val="1"/>
                <c:pt idx="0">
                  <c:v>0.9608222833333333</c:v>
                </c:pt>
              </c:numCache>
            </c:numRef>
          </c:val>
          <c:extLst>
            <c:ext xmlns:c16="http://schemas.microsoft.com/office/drawing/2014/chart" uri="{C3380CC4-5D6E-409C-BE32-E72D297353CC}">
              <c16:uniqueId val="{00000001-0BB4-4D3F-ACB2-F5A3FEC655AE}"/>
            </c:ext>
          </c:extLst>
        </c:ser>
        <c:ser>
          <c:idx val="1"/>
          <c:order val="1"/>
          <c:tx>
            <c:strRef>
              <c:f>'Intro Graph'!$D$4</c:f>
              <c:strCache>
                <c:ptCount val="1"/>
                <c:pt idx="0">
                  <c:v>Barriers to entry and rivalry</c:v>
                </c:pt>
              </c:strCache>
            </c:strRef>
          </c:tx>
          <c:spPr>
            <a:solidFill>
              <a:schemeClr val="accent2"/>
            </a:solidFill>
            <a:ln>
              <a:noFill/>
            </a:ln>
            <a:effectLst/>
          </c:spPr>
          <c:invertIfNegative val="0"/>
          <c:dLbls>
            <c:dLbl>
              <c:idx val="0"/>
              <c:tx>
                <c:strRef>
                  <c:f>'Intro Graph'!$D$6</c:f>
                  <c:strCache>
                    <c:ptCount val="1"/>
                    <c:pt idx="0">
                      <c:v>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{FCE45C66-FC4E-4C66-96E3-841AEBC8313E}</c15:txfldGUID>
                      <c15:f>'Intro Graph'!$D$6</c15:f>
                      <c15:dlblFieldTableCache>
                        <c:ptCount val="1"/>
                        <c:pt idx="0">
                          <c:v>35%</c:v>
                        </c:pt>
                      </c15:dlblFieldTableCache>
                    </c15:dlblFTEntry>
                  </c15:dlblFieldTable>
                  <c15:showDataLabelsRange val="0"/>
                </c:ext>
                <c:ext xmlns:c16="http://schemas.microsoft.com/office/drawing/2014/chart" uri="{C3380CC4-5D6E-409C-BE32-E72D297353CC}">
                  <c16:uniqueId val="{00000002-0BB4-4D3F-ACB2-F5A3FEC655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Graph'!$B$5</c:f>
              <c:strCache>
                <c:ptCount val="1"/>
                <c:pt idx="0">
                  <c:v>Senegal</c:v>
                </c:pt>
              </c:strCache>
            </c:strRef>
          </c:cat>
          <c:val>
            <c:numRef>
              <c:f>'Intro Graph'!$D$5</c:f>
              <c:numCache>
                <c:formatCode>0.00</c:formatCode>
                <c:ptCount val="1"/>
                <c:pt idx="0">
                  <c:v>0.91046074814814792</c:v>
                </c:pt>
              </c:numCache>
            </c:numRef>
          </c:val>
          <c:extLst>
            <c:ext xmlns:c16="http://schemas.microsoft.com/office/drawing/2014/chart" uri="{C3380CC4-5D6E-409C-BE32-E72D297353CC}">
              <c16:uniqueId val="{00000003-0BB4-4D3F-ACB2-F5A3FEC655AE}"/>
            </c:ext>
          </c:extLst>
        </c:ser>
        <c:ser>
          <c:idx val="2"/>
          <c:order val="2"/>
          <c:tx>
            <c:strRef>
              <c:f>'Intro Graph'!$E$4</c:f>
              <c:strCache>
                <c:ptCount val="1"/>
                <c:pt idx="0">
                  <c:v>Barriers to trade and investment</c:v>
                </c:pt>
              </c:strCache>
            </c:strRef>
          </c:tx>
          <c:spPr>
            <a:solidFill>
              <a:schemeClr val="accent3"/>
            </a:solidFill>
            <a:ln>
              <a:noFill/>
            </a:ln>
            <a:effectLst/>
          </c:spPr>
          <c:invertIfNegative val="0"/>
          <c:dLbls>
            <c:dLbl>
              <c:idx val="0"/>
              <c:tx>
                <c:strRef>
                  <c:f>'Intro Graph'!$E$6</c:f>
                  <c:strCache>
                    <c:ptCount val="1"/>
                    <c:pt idx="0">
                      <c:v>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{ED3DBB83-4B83-4C1D-973D-9E3DA6C612B5}</c15:txfldGUID>
                      <c15:f>'Intro Graph'!$E$6</c15:f>
                      <c15:dlblFieldTableCache>
                        <c:ptCount val="1"/>
                        <c:pt idx="0">
                          <c:v>28%</c:v>
                        </c:pt>
                      </c15:dlblFieldTableCache>
                    </c15:dlblFTEntry>
                  </c15:dlblFieldTable>
                  <c15:showDataLabelsRange val="0"/>
                </c:ext>
                <c:ext xmlns:c16="http://schemas.microsoft.com/office/drawing/2014/chart" uri="{C3380CC4-5D6E-409C-BE32-E72D297353CC}">
                  <c16:uniqueId val="{00000004-0BB4-4D3F-ACB2-F5A3FEC655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Graph'!$B$5</c:f>
              <c:strCache>
                <c:ptCount val="1"/>
                <c:pt idx="0">
                  <c:v>Senegal</c:v>
                </c:pt>
              </c:strCache>
            </c:strRef>
          </c:cat>
          <c:val>
            <c:numRef>
              <c:f>'Intro Graph'!$E$5</c:f>
              <c:numCache>
                <c:formatCode>0.00</c:formatCode>
                <c:ptCount val="1"/>
                <c:pt idx="0">
                  <c:v>0.73056357499999991</c:v>
                </c:pt>
              </c:numCache>
            </c:numRef>
          </c:val>
          <c:extLst>
            <c:ext xmlns:c16="http://schemas.microsoft.com/office/drawing/2014/chart" uri="{C3380CC4-5D6E-409C-BE32-E72D297353CC}">
              <c16:uniqueId val="{00000005-0BB4-4D3F-ACB2-F5A3FEC655AE}"/>
            </c:ext>
          </c:extLst>
        </c:ser>
        <c:dLbls>
          <c:showLegendKey val="0"/>
          <c:showVal val="1"/>
          <c:showCatName val="0"/>
          <c:showSerName val="0"/>
          <c:showPercent val="0"/>
          <c:showBubbleSize val="0"/>
        </c:dLbls>
        <c:gapWidth val="150"/>
        <c:overlap val="100"/>
        <c:axId val="-1223410496"/>
        <c:axId val="-1223408176"/>
      </c:barChart>
      <c:catAx>
        <c:axId val="-12234104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408176"/>
        <c:crosses val="autoZero"/>
        <c:auto val="1"/>
        <c:lblAlgn val="ctr"/>
        <c:lblOffset val="100"/>
        <c:noMultiLvlLbl val="0"/>
      </c:catAx>
      <c:valAx>
        <c:axId val="-122340817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41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'Intro Graph'!$J$4</c:f>
              <c:strCache>
                <c:ptCount val="1"/>
                <c:pt idx="0">
                  <c:v>Public ownership</c:v>
                </c:pt>
              </c:strCache>
            </c:strRef>
          </c:tx>
          <c:spPr>
            <a:solidFill>
              <a:schemeClr val="accent1"/>
            </a:solidFill>
            <a:ln>
              <a:noFill/>
            </a:ln>
            <a:effectLst/>
          </c:spPr>
          <c:invertIfNegative val="0"/>
          <c:dLbls>
            <c:dLbl>
              <c:idx val="0"/>
              <c:tx>
                <c:strRef>
                  <c:f>'Intro Graph'!$J$8</c:f>
                  <c:strCache>
                    <c:ptCount val="1"/>
                    <c:pt idx="0">
                      <c:v>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{C5B63D9A-6D2E-41C6-B129-03D6F4F8A2A2}</c15:txfldGUID>
                      <c15:f>'Intro Graph'!$J$8</c15:f>
                      <c15:dlblFieldTableCache>
                        <c:ptCount val="1"/>
                        <c:pt idx="0">
                          <c:v>58%</c:v>
                        </c:pt>
                      </c15:dlblFieldTableCache>
                    </c15:dlblFTEntry>
                  </c15:dlblFieldTable>
                  <c15:showDataLabelsRange val="0"/>
                </c:ext>
                <c:ext xmlns:c16="http://schemas.microsoft.com/office/drawing/2014/chart" uri="{C3380CC4-5D6E-409C-BE32-E72D297353CC}">
                  <c16:uniqueId val="{00000000-AFC5-48F4-B206-15B5F2C50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Graph'!$I$5:$I$7</c:f>
              <c:strCache>
                <c:ptCount val="3"/>
                <c:pt idx="0">
                  <c:v>State Control</c:v>
                </c:pt>
                <c:pt idx="1">
                  <c:v>Barriers to entry and rivalry</c:v>
                </c:pt>
                <c:pt idx="2">
                  <c:v>Barriers to trade and investment</c:v>
                </c:pt>
              </c:strCache>
            </c:strRef>
          </c:cat>
          <c:val>
            <c:numRef>
              <c:f>'Intro Graph'!$J$5:$J$7</c:f>
              <c:numCache>
                <c:formatCode>General</c:formatCode>
                <c:ptCount val="3"/>
                <c:pt idx="0" formatCode="0.00">
                  <c:v>1.6830620999999999</c:v>
                </c:pt>
              </c:numCache>
            </c:numRef>
          </c:val>
          <c:extLst>
            <c:ext xmlns:c16="http://schemas.microsoft.com/office/drawing/2014/chart" uri="{C3380CC4-5D6E-409C-BE32-E72D297353CC}">
              <c16:uniqueId val="{00000001-AFC5-48F4-B206-15B5F2C504E7}"/>
            </c:ext>
          </c:extLst>
        </c:ser>
        <c:ser>
          <c:idx val="1"/>
          <c:order val="1"/>
          <c:tx>
            <c:strRef>
              <c:f>'Intro Graph'!$K$4</c:f>
              <c:strCache>
                <c:ptCount val="1"/>
                <c:pt idx="0">
                  <c:v>Involvement in business operation</c:v>
                </c:pt>
              </c:strCache>
            </c:strRef>
          </c:tx>
          <c:spPr>
            <a:solidFill>
              <a:schemeClr val="accent2"/>
            </a:solidFill>
            <a:ln>
              <a:noFill/>
            </a:ln>
            <a:effectLst/>
          </c:spPr>
          <c:invertIfNegative val="0"/>
          <c:dLbls>
            <c:dLbl>
              <c:idx val="0"/>
              <c:tx>
                <c:strRef>
                  <c:f>'Intro Graph'!$K$8</c:f>
                  <c:strCache>
                    <c:ptCount val="1"/>
                    <c:pt idx="0">
                      <c:v>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{0A3592F8-8E49-415A-971F-C2BD0A8CF269}</c15:txfldGUID>
                      <c15:f>'Intro Graph'!$K$8</c15:f>
                      <c15:dlblFieldTableCache>
                        <c:ptCount val="1"/>
                        <c:pt idx="0">
                          <c:v>42%</c:v>
                        </c:pt>
                      </c15:dlblFieldTableCache>
                    </c15:dlblFTEntry>
                  </c15:dlblFieldTable>
                  <c15:showDataLabelsRange val="0"/>
                </c:ext>
                <c:ext xmlns:c16="http://schemas.microsoft.com/office/drawing/2014/chart" uri="{C3380CC4-5D6E-409C-BE32-E72D297353CC}">
                  <c16:uniqueId val="{00000002-AFC5-48F4-B206-15B5F2C50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Graph'!$I$5:$I$7</c:f>
              <c:strCache>
                <c:ptCount val="3"/>
                <c:pt idx="0">
                  <c:v>State Control</c:v>
                </c:pt>
                <c:pt idx="1">
                  <c:v>Barriers to entry and rivalry</c:v>
                </c:pt>
                <c:pt idx="2">
                  <c:v>Barriers to trade and investment</c:v>
                </c:pt>
              </c:strCache>
            </c:strRef>
          </c:cat>
          <c:val>
            <c:numRef>
              <c:f>'Intro Graph'!$K$5:$K$7</c:f>
              <c:numCache>
                <c:formatCode>General</c:formatCode>
                <c:ptCount val="3"/>
                <c:pt idx="0" formatCode="0.00">
                  <c:v>1.19940475</c:v>
                </c:pt>
              </c:numCache>
            </c:numRef>
          </c:val>
          <c:extLst>
            <c:ext xmlns:c16="http://schemas.microsoft.com/office/drawing/2014/chart" uri="{C3380CC4-5D6E-409C-BE32-E72D297353CC}">
              <c16:uniqueId val="{00000003-AFC5-48F4-B206-15B5F2C504E7}"/>
            </c:ext>
          </c:extLst>
        </c:ser>
        <c:ser>
          <c:idx val="2"/>
          <c:order val="2"/>
          <c:tx>
            <c:strRef>
              <c:f>'Intro Graph'!$L$4</c:f>
              <c:strCache>
                <c:ptCount val="1"/>
                <c:pt idx="0">
                  <c:v>Complexity of regulatory procedures</c:v>
                </c:pt>
              </c:strCache>
            </c:strRef>
          </c:tx>
          <c:spPr>
            <a:solidFill>
              <a:schemeClr val="accent3"/>
            </a:solidFill>
            <a:ln>
              <a:noFill/>
            </a:ln>
            <a:effectLst/>
          </c:spPr>
          <c:invertIfNegative val="0"/>
          <c:dLbls>
            <c:dLbl>
              <c:idx val="1"/>
              <c:tx>
                <c:strRef>
                  <c:f>'Intro Graph'!$L$9</c:f>
                  <c:strCache>
                    <c:ptCount val="1"/>
                    <c:pt idx="0">
                      <c:v>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{B81F9F1D-8B50-47F4-BEDD-34CC4C11EB43}</c15:txfldGUID>
                      <c15:f>'Intro Graph'!$L$9</c15:f>
                      <c15:dlblFieldTableCache>
                        <c:ptCount val="1"/>
                        <c:pt idx="0">
                          <c:v>52%</c:v>
                        </c:pt>
                      </c15:dlblFieldTableCache>
                    </c15:dlblFTEntry>
                  </c15:dlblFieldTable>
                  <c15:showDataLabelsRange val="0"/>
                </c:ext>
                <c:ext xmlns:c16="http://schemas.microsoft.com/office/drawing/2014/chart" uri="{C3380CC4-5D6E-409C-BE32-E72D297353CC}">
                  <c16:uniqueId val="{00000004-AFC5-48F4-B206-15B5F2C50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Graph'!$I$5:$I$7</c:f>
              <c:strCache>
                <c:ptCount val="3"/>
                <c:pt idx="0">
                  <c:v>State Control</c:v>
                </c:pt>
                <c:pt idx="1">
                  <c:v>Barriers to entry and rivalry</c:v>
                </c:pt>
                <c:pt idx="2">
                  <c:v>Barriers to trade and investment</c:v>
                </c:pt>
              </c:strCache>
            </c:strRef>
          </c:cat>
          <c:val>
            <c:numRef>
              <c:f>'Intro Graph'!$L$5:$L$7</c:f>
              <c:numCache>
                <c:formatCode>0.00</c:formatCode>
                <c:ptCount val="3"/>
                <c:pt idx="1">
                  <c:v>1.430536333333333</c:v>
                </c:pt>
              </c:numCache>
            </c:numRef>
          </c:val>
          <c:extLst>
            <c:ext xmlns:c16="http://schemas.microsoft.com/office/drawing/2014/chart" uri="{C3380CC4-5D6E-409C-BE32-E72D297353CC}">
              <c16:uniqueId val="{00000005-AFC5-48F4-B206-15B5F2C504E7}"/>
            </c:ext>
          </c:extLst>
        </c:ser>
        <c:ser>
          <c:idx val="3"/>
          <c:order val="3"/>
          <c:tx>
            <c:strRef>
              <c:f>'Intro Graph'!$M$4</c:f>
              <c:strCache>
                <c:ptCount val="1"/>
                <c:pt idx="0">
                  <c:v>Administrative burdens on startups</c:v>
                </c:pt>
              </c:strCache>
            </c:strRef>
          </c:tx>
          <c:spPr>
            <a:solidFill>
              <a:schemeClr val="accent4"/>
            </a:solidFill>
            <a:ln>
              <a:noFill/>
            </a:ln>
            <a:effectLst/>
          </c:spPr>
          <c:invertIfNegative val="0"/>
          <c:dLbls>
            <c:dLbl>
              <c:idx val="1"/>
              <c:tx>
                <c:strRef>
                  <c:f>'Intro Graph'!$M$9</c:f>
                  <c:strCache>
                    <c:ptCount val="1"/>
                    <c:pt idx="0">
                      <c:v>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{F89060C3-04C2-443C-ADD4-979C42EFD591}</c15:txfldGUID>
                      <c15:f>'Intro Graph'!$M$9</c15:f>
                      <c15:dlblFieldTableCache>
                        <c:ptCount val="1"/>
                        <c:pt idx="0">
                          <c:v>27%</c:v>
                        </c:pt>
                      </c15:dlblFieldTableCache>
                    </c15:dlblFTEntry>
                  </c15:dlblFieldTable>
                  <c15:showDataLabelsRange val="0"/>
                </c:ext>
                <c:ext xmlns:c16="http://schemas.microsoft.com/office/drawing/2014/chart" uri="{C3380CC4-5D6E-409C-BE32-E72D297353CC}">
                  <c16:uniqueId val="{00000006-AFC5-48F4-B206-15B5F2C50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Graph'!$I$5:$I$7</c:f>
              <c:strCache>
                <c:ptCount val="3"/>
                <c:pt idx="0">
                  <c:v>State Control</c:v>
                </c:pt>
                <c:pt idx="1">
                  <c:v>Barriers to entry and rivalry</c:v>
                </c:pt>
                <c:pt idx="2">
                  <c:v>Barriers to trade and investment</c:v>
                </c:pt>
              </c:strCache>
            </c:strRef>
          </c:cat>
          <c:val>
            <c:numRef>
              <c:f>'Intro Graph'!$M$5:$M$7</c:f>
              <c:numCache>
                <c:formatCode>0.00</c:formatCode>
                <c:ptCount val="3"/>
                <c:pt idx="1">
                  <c:v>0.74063788888888882</c:v>
                </c:pt>
              </c:numCache>
            </c:numRef>
          </c:val>
          <c:extLst>
            <c:ext xmlns:c16="http://schemas.microsoft.com/office/drawing/2014/chart" uri="{C3380CC4-5D6E-409C-BE32-E72D297353CC}">
              <c16:uniqueId val="{00000007-AFC5-48F4-B206-15B5F2C504E7}"/>
            </c:ext>
          </c:extLst>
        </c:ser>
        <c:ser>
          <c:idx val="4"/>
          <c:order val="4"/>
          <c:tx>
            <c:strRef>
              <c:f>'Intro Graph'!$N$4</c:f>
              <c:strCache>
                <c:ptCount val="1"/>
                <c:pt idx="0">
                  <c:v>Regulatory protection of incumbents</c:v>
                </c:pt>
              </c:strCache>
            </c:strRef>
          </c:tx>
          <c:spPr>
            <a:solidFill>
              <a:schemeClr val="accent5"/>
            </a:solidFill>
            <a:ln>
              <a:noFill/>
            </a:ln>
            <a:effectLst/>
          </c:spPr>
          <c:invertIfNegative val="0"/>
          <c:dLbls>
            <c:dLbl>
              <c:idx val="1"/>
              <c:tx>
                <c:strRef>
                  <c:f>'Intro Graph'!$N$9</c:f>
                  <c:strCache>
                    <c:ptCount val="1"/>
                    <c:pt idx="0">
                      <c:v>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{8BB5D96E-3B4F-4AF4-AAFB-0B153D3746D1}</c15:txfldGUID>
                      <c15:f>'Intro Graph'!$N$9</c15:f>
                      <c15:dlblFieldTableCache>
                        <c:ptCount val="1"/>
                        <c:pt idx="0">
                          <c:v>21%</c:v>
                        </c:pt>
                      </c15:dlblFieldTableCache>
                    </c15:dlblFTEntry>
                  </c15:dlblFieldTable>
                  <c15:showDataLabelsRange val="0"/>
                </c:ext>
                <c:ext xmlns:c16="http://schemas.microsoft.com/office/drawing/2014/chart" uri="{C3380CC4-5D6E-409C-BE32-E72D297353CC}">
                  <c16:uniqueId val="{00000008-AFC5-48F4-B206-15B5F2C50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Graph'!$I$5:$I$7</c:f>
              <c:strCache>
                <c:ptCount val="3"/>
                <c:pt idx="0">
                  <c:v>State Control</c:v>
                </c:pt>
                <c:pt idx="1">
                  <c:v>Barriers to entry and rivalry</c:v>
                </c:pt>
                <c:pt idx="2">
                  <c:v>Barriers to trade and investment</c:v>
                </c:pt>
              </c:strCache>
            </c:strRef>
          </c:cat>
          <c:val>
            <c:numRef>
              <c:f>'Intro Graph'!$N$5:$N$7</c:f>
              <c:numCache>
                <c:formatCode>0.00</c:formatCode>
                <c:ptCount val="3"/>
                <c:pt idx="1">
                  <c:v>0.56020802222222221</c:v>
                </c:pt>
              </c:numCache>
            </c:numRef>
          </c:val>
          <c:extLst>
            <c:ext xmlns:c16="http://schemas.microsoft.com/office/drawing/2014/chart" uri="{C3380CC4-5D6E-409C-BE32-E72D297353CC}">
              <c16:uniqueId val="{00000009-AFC5-48F4-B206-15B5F2C504E7}"/>
            </c:ext>
          </c:extLst>
        </c:ser>
        <c:ser>
          <c:idx val="5"/>
          <c:order val="5"/>
          <c:tx>
            <c:strRef>
              <c:f>'Intro Graph'!$O$4</c:f>
              <c:strCache>
                <c:ptCount val="1"/>
                <c:pt idx="0">
                  <c:v>Explicit barriers to trade and investment</c:v>
                </c:pt>
              </c:strCache>
            </c:strRef>
          </c:tx>
          <c:spPr>
            <a:solidFill>
              <a:schemeClr val="accent6"/>
            </a:solidFill>
            <a:ln>
              <a:noFill/>
            </a:ln>
            <a:effectLst/>
          </c:spPr>
          <c:invertIfNegative val="0"/>
          <c:dLbls>
            <c:dLbl>
              <c:idx val="2"/>
              <c:tx>
                <c:strRef>
                  <c:f>'Intro Graph'!$O$10</c:f>
                  <c:strCache>
                    <c:ptCount val="1"/>
                    <c:pt idx="0">
                      <c:v>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{71D345A4-B9BE-47C0-9C35-CC2E2E33B3BC}</c15:txfldGUID>
                      <c15:f>'Intro Graph'!$O$10</c15:f>
                      <c15:dlblFieldTableCache>
                        <c:ptCount val="1"/>
                        <c:pt idx="0">
                          <c:v>46%</c:v>
                        </c:pt>
                      </c15:dlblFieldTableCache>
                    </c15:dlblFTEntry>
                  </c15:dlblFieldTable>
                  <c15:showDataLabelsRange val="0"/>
                </c:ext>
                <c:ext xmlns:c16="http://schemas.microsoft.com/office/drawing/2014/chart" uri="{C3380CC4-5D6E-409C-BE32-E72D297353CC}">
                  <c16:uniqueId val="{0000000A-AFC5-48F4-B206-15B5F2C50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Graph'!$I$5:$I$7</c:f>
              <c:strCache>
                <c:ptCount val="3"/>
                <c:pt idx="0">
                  <c:v>State Control</c:v>
                </c:pt>
                <c:pt idx="1">
                  <c:v>Barriers to entry and rivalry</c:v>
                </c:pt>
                <c:pt idx="2">
                  <c:v>Barriers to trade and investment</c:v>
                </c:pt>
              </c:strCache>
            </c:strRef>
          </c:cat>
          <c:val>
            <c:numRef>
              <c:f>'Intro Graph'!$O$5:$O$7</c:f>
              <c:numCache>
                <c:formatCode>General</c:formatCode>
                <c:ptCount val="3"/>
                <c:pt idx="2" formatCode="0.00">
                  <c:v>0.99835737499999999</c:v>
                </c:pt>
              </c:numCache>
            </c:numRef>
          </c:val>
          <c:extLst>
            <c:ext xmlns:c16="http://schemas.microsoft.com/office/drawing/2014/chart" uri="{C3380CC4-5D6E-409C-BE32-E72D297353CC}">
              <c16:uniqueId val="{0000000B-AFC5-48F4-B206-15B5F2C504E7}"/>
            </c:ext>
          </c:extLst>
        </c:ser>
        <c:ser>
          <c:idx val="6"/>
          <c:order val="6"/>
          <c:tx>
            <c:strRef>
              <c:f>'Intro Graph'!$P$4</c:f>
              <c:strCache>
                <c:ptCount val="1"/>
                <c:pt idx="0">
                  <c:v>Other barriers to trade and investment</c:v>
                </c:pt>
              </c:strCache>
            </c:strRef>
          </c:tx>
          <c:spPr>
            <a:solidFill>
              <a:schemeClr val="accent1">
                <a:lumMod val="60000"/>
              </a:schemeClr>
            </a:solidFill>
            <a:ln>
              <a:noFill/>
            </a:ln>
            <a:effectLst/>
          </c:spPr>
          <c:invertIfNegative val="0"/>
          <c:dLbls>
            <c:dLbl>
              <c:idx val="2"/>
              <c:tx>
                <c:strRef>
                  <c:f>'Intro Graph'!$P$10</c:f>
                  <c:strCache>
                    <c:ptCount val="1"/>
                    <c:pt idx="0">
                      <c:v>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{28DC7CCA-1D54-4468-9889-C314FAB9F689}</c15:txfldGUID>
                      <c15:f>'Intro Graph'!$P$10</c15:f>
                      <c15:dlblFieldTableCache>
                        <c:ptCount val="1"/>
                        <c:pt idx="0">
                          <c:v>54%</c:v>
                        </c:pt>
                      </c15:dlblFieldTableCache>
                    </c15:dlblFTEntry>
                  </c15:dlblFieldTable>
                  <c15:showDataLabelsRange val="0"/>
                </c:ext>
                <c:ext xmlns:c16="http://schemas.microsoft.com/office/drawing/2014/chart" uri="{C3380CC4-5D6E-409C-BE32-E72D297353CC}">
                  <c16:uniqueId val="{0000000C-AFC5-48F4-B206-15B5F2C50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'Intro Graph'!$I$5:$I$7</c:f>
              <c:strCache>
                <c:ptCount val="3"/>
                <c:pt idx="0">
                  <c:v>State Control</c:v>
                </c:pt>
                <c:pt idx="1">
                  <c:v>Barriers to entry and rivalry</c:v>
                </c:pt>
                <c:pt idx="2">
                  <c:v>Barriers to trade and investment</c:v>
                </c:pt>
              </c:strCache>
            </c:strRef>
          </c:cat>
          <c:val>
            <c:numRef>
              <c:f>'Intro Graph'!$P$5:$P$7</c:f>
              <c:numCache>
                <c:formatCode>General</c:formatCode>
                <c:ptCount val="3"/>
                <c:pt idx="2" formatCode="0.00">
                  <c:v>1.1933333500000001</c:v>
                </c:pt>
              </c:numCache>
            </c:numRef>
          </c:val>
          <c:extLst>
            <c:ext xmlns:c16="http://schemas.microsoft.com/office/drawing/2014/chart" uri="{C3380CC4-5D6E-409C-BE32-E72D297353CC}">
              <c16:uniqueId val="{0000000D-AFC5-48F4-B206-15B5F2C504E7}"/>
            </c:ext>
          </c:extLst>
        </c:ser>
        <c:dLbls>
          <c:showLegendKey val="0"/>
          <c:showVal val="1"/>
          <c:showCatName val="0"/>
          <c:showSerName val="0"/>
          <c:showPercent val="0"/>
          <c:showBubbleSize val="0"/>
        </c:dLbls>
        <c:gapWidth val="150"/>
        <c:overlap val="100"/>
        <c:axId val="-1223377584"/>
        <c:axId val="-1223374832"/>
      </c:barChart>
      <c:catAx>
        <c:axId val="-12233775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374832"/>
        <c:crosses val="autoZero"/>
        <c:auto val="1"/>
        <c:lblAlgn val="ctr"/>
        <c:lblOffset val="100"/>
        <c:noMultiLvlLbl val="0"/>
      </c:catAx>
      <c:valAx>
        <c:axId val="-1223374832"/>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377584"/>
        <c:crosses val="autoZero"/>
        <c:crossBetween val="between"/>
      </c:valAx>
      <c:spPr>
        <a:noFill/>
        <a:ln>
          <a:noFill/>
        </a:ln>
        <a:effectLst/>
      </c:spPr>
    </c:plotArea>
    <c:legend>
      <c:legendPos val="r"/>
      <c:layout>
        <c:manualLayout>
          <c:xMode val="edge"/>
          <c:yMode val="edge"/>
          <c:x val="0.6314418231967579"/>
          <c:y val="4.824082174913321E-2"/>
          <c:w val="0.34507481085412267"/>
          <c:h val="0.936440167201322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6">
  <a:schemeClr val="accent3"/>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9.xml.rels><?xml version="1.0" encoding="UTF-8" standalone="yes"?>
<Relationships xmlns="http://schemas.openxmlformats.org/package/2006/relationships"><Relationship Id="rId1" Type="http://schemas.openxmlformats.org/officeDocument/2006/relationships/image" Target="../media/image6.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6.emf"/></Relationships>
</file>

<file path=word/drawings/drawing1.xml><?xml version="1.0" encoding="utf-8"?>
<c:userShapes xmlns:c="http://schemas.openxmlformats.org/drawingml/2006/chart">
  <cdr:relSizeAnchor xmlns:cdr="http://schemas.openxmlformats.org/drawingml/2006/chartDrawing">
    <cdr:from>
      <cdr:x>0.28014</cdr:x>
      <cdr:y>0.10662</cdr:y>
    </cdr:from>
    <cdr:to>
      <cdr:x>0.4734</cdr:x>
      <cdr:y>0.22426</cdr:y>
    </cdr:to>
    <cdr:sp macro="" textlink="">
      <cdr:nvSpPr>
        <cdr:cNvPr id="2" name="Speech Bubble: Rectangle 1"/>
        <cdr:cNvSpPr/>
      </cdr:nvSpPr>
      <cdr:spPr>
        <a:xfrm xmlns:a="http://schemas.openxmlformats.org/drawingml/2006/main">
          <a:off x="1504950" y="276225"/>
          <a:ext cx="1038225" cy="304800"/>
        </a:xfrm>
        <a:prstGeom xmlns:a="http://schemas.openxmlformats.org/drawingml/2006/main" prst="wedgeRectCallout">
          <a:avLst>
            <a:gd name="adj1" fmla="val 74580"/>
            <a:gd name="adj2" fmla="val 103125"/>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en-US"/>
            <a:t>Groundnut</a:t>
          </a:r>
        </a:p>
      </cdr:txBody>
    </cdr:sp>
  </cdr:relSizeAnchor>
  <cdr:relSizeAnchor xmlns:cdr="http://schemas.openxmlformats.org/drawingml/2006/chartDrawing">
    <cdr:from>
      <cdr:x>0.66017</cdr:x>
      <cdr:y>0.34314</cdr:y>
    </cdr:from>
    <cdr:to>
      <cdr:x>0.85343</cdr:x>
      <cdr:y>0.46078</cdr:y>
    </cdr:to>
    <cdr:sp macro="" textlink="">
      <cdr:nvSpPr>
        <cdr:cNvPr id="3" name="Speech Bubble: Rectangle 2"/>
        <cdr:cNvSpPr/>
      </cdr:nvSpPr>
      <cdr:spPr>
        <a:xfrm xmlns:a="http://schemas.openxmlformats.org/drawingml/2006/main">
          <a:off x="3546475" y="889000"/>
          <a:ext cx="1038225" cy="304800"/>
        </a:xfrm>
        <a:prstGeom xmlns:a="http://schemas.openxmlformats.org/drawingml/2006/main" prst="wedgeRectCallout">
          <a:avLst>
            <a:gd name="adj1" fmla="val 8525"/>
            <a:gd name="adj2" fmla="val 125000"/>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t>Groundnut oil</a:t>
          </a:r>
        </a:p>
      </cdr:txBody>
    </cdr:sp>
  </cdr:relSizeAnchor>
</c:userShapes>
</file>

<file path=word/drawings/drawing10.xml><?xml version="1.0" encoding="utf-8"?>
<c:userShapes xmlns:c="http://schemas.openxmlformats.org/drawingml/2006/chart">
  <cdr:relSizeAnchor xmlns:cdr="http://schemas.openxmlformats.org/drawingml/2006/chartDrawing">
    <cdr:from>
      <cdr:x>0.53042</cdr:x>
      <cdr:y>0.40874</cdr:y>
    </cdr:from>
    <cdr:to>
      <cdr:x>0.62766</cdr:x>
      <cdr:y>0.45641</cdr:y>
    </cdr:to>
    <cdr:sp macro="" textlink="">
      <cdr:nvSpPr>
        <cdr:cNvPr id="2" name="Speech Bubble: Rectangle 1">
          <a:extLst xmlns:a="http://schemas.openxmlformats.org/drawingml/2006/main">
            <a:ext uri="{FF2B5EF4-FFF2-40B4-BE49-F238E27FC236}">
              <a16:creationId xmlns:a16="http://schemas.microsoft.com/office/drawing/2014/main" id="{13E8C4FD-D51D-6742-86B8-58B58C40F58A}"/>
            </a:ext>
          </a:extLst>
        </cdr:cNvPr>
        <cdr:cNvSpPr/>
      </cdr:nvSpPr>
      <cdr:spPr>
        <a:xfrm xmlns:a="http://schemas.openxmlformats.org/drawingml/2006/main">
          <a:off x="2910121" y="1759764"/>
          <a:ext cx="533472" cy="205223"/>
        </a:xfrm>
        <a:prstGeom xmlns:a="http://schemas.openxmlformats.org/drawingml/2006/main" prst="wedgeRectCallou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1200">
              <a:effectLst/>
              <a:latin typeface="Times New Roman" charset="0"/>
              <a:ea typeface="Times New Roman" charset="0"/>
              <a:cs typeface="Times New Roman" charset="0"/>
            </a:rPr>
            <a:t>2.4</a:t>
          </a:r>
        </a:p>
      </cdr:txBody>
    </cdr:sp>
  </cdr:relSizeAnchor>
</c:userShapes>
</file>

<file path=word/drawings/drawing11.xml><?xml version="1.0" encoding="utf-8"?>
<c:userShapes xmlns:c="http://schemas.openxmlformats.org/drawingml/2006/chart">
  <cdr:relSizeAnchor xmlns:cdr="http://schemas.openxmlformats.org/drawingml/2006/chartDrawing">
    <cdr:from>
      <cdr:x>0.43841</cdr:x>
      <cdr:y>0.17281</cdr:y>
    </cdr:from>
    <cdr:to>
      <cdr:x>0.54787</cdr:x>
      <cdr:y>0.27446</cdr:y>
    </cdr:to>
    <cdr:sp macro="" textlink="">
      <cdr:nvSpPr>
        <cdr:cNvPr id="2" name="Speech Bubble: Rectangle 1">
          <a:extLst xmlns:a="http://schemas.openxmlformats.org/drawingml/2006/main">
            <a:ext uri="{FF2B5EF4-FFF2-40B4-BE49-F238E27FC236}">
              <a16:creationId xmlns:a16="http://schemas.microsoft.com/office/drawing/2014/main" id="{421C94E2-1944-9242-8A54-B2D3EAD44993}"/>
            </a:ext>
          </a:extLst>
        </cdr:cNvPr>
        <cdr:cNvSpPr/>
      </cdr:nvSpPr>
      <cdr:spPr>
        <a:xfrm xmlns:a="http://schemas.openxmlformats.org/drawingml/2006/main">
          <a:off x="2405316" y="496110"/>
          <a:ext cx="600531" cy="291830"/>
        </a:xfrm>
        <a:prstGeom xmlns:a="http://schemas.openxmlformats.org/drawingml/2006/main" prst="wedgeRectCallout">
          <a:avLst>
            <a:gd name="adj1" fmla="val 34037"/>
            <a:gd name="adj2" fmla="val 127079"/>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1200">
              <a:effectLst/>
              <a:latin typeface="Times New Roman" charset="0"/>
              <a:ea typeface="Times New Roman" charset="0"/>
              <a:cs typeface="Times New Roman" charset="0"/>
            </a:rPr>
            <a:t>2.73</a:t>
          </a:r>
        </a:p>
      </cdr:txBody>
    </cdr:sp>
  </cdr:relSizeAnchor>
</c:userShapes>
</file>

<file path=word/drawings/drawing12.xml><?xml version="1.0" encoding="utf-8"?>
<c:userShapes xmlns:c="http://schemas.openxmlformats.org/drawingml/2006/chart">
  <cdr:relSizeAnchor xmlns:cdr="http://schemas.openxmlformats.org/drawingml/2006/chartDrawing">
    <cdr:from>
      <cdr:x>0.38003</cdr:x>
      <cdr:y>0.15006</cdr:y>
    </cdr:from>
    <cdr:to>
      <cdr:x>0.68831</cdr:x>
      <cdr:y>0.23211</cdr:y>
    </cdr:to>
    <cdr:sp macro="" textlink="">
      <cdr:nvSpPr>
        <cdr:cNvPr id="2" name="Speech Bubble: Rectangle 1"/>
        <cdr:cNvSpPr/>
      </cdr:nvSpPr>
      <cdr:spPr bwMode="auto">
        <a:xfrm xmlns:a="http://schemas.openxmlformats.org/drawingml/2006/main">
          <a:off x="553823" y="528852"/>
          <a:ext cx="449268" cy="289167"/>
        </a:xfrm>
        <a:prstGeom xmlns:a="http://schemas.openxmlformats.org/drawingml/2006/main" prst="wedgeRectCallout">
          <a:avLst>
            <a:gd name="adj1" fmla="val -11742"/>
            <a:gd name="adj2" fmla="val 143452"/>
          </a:avLst>
        </a:prstGeom>
        <a:ln xmlns:a="http://schemas.openxmlformats.org/drawingml/2006/main" w="3175">
          <a:headEnd type="none" w="med" len="med"/>
          <a:tailEnd type="none" w="med" len="me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square" lIns="91440" tIns="45720" rIns="91440" bIns="45720" numCol="1" rtlCol="0" anchor="t" anchorCtr="0" compatLnSpc="1">
          <a:prstTxWarp prst="textNoShape">
            <a:avLst/>
          </a:prstTxWarp>
        </a:bodyPr>
        <a:lstStyle xmlns:a="http://schemas.openxmlformats.org/drawingml/2006/main">
          <a:defPPr>
            <a:defRPr lang="en-GB"/>
          </a:defPPr>
          <a:lvl1pPr algn="l" rtl="0" fontAlgn="base">
            <a:spcBef>
              <a:spcPct val="0"/>
            </a:spcBef>
            <a:spcAft>
              <a:spcPct val="0"/>
            </a:spcAft>
            <a:defRPr sz="1600" b="1" kern="1200">
              <a:solidFill>
                <a:schemeClr val="dk1"/>
              </a:solidFill>
              <a:latin typeface="+mn-lt"/>
              <a:ea typeface="+mn-ea"/>
              <a:cs typeface="+mn-cs"/>
            </a:defRPr>
          </a:lvl1pPr>
          <a:lvl2pPr marL="457145" algn="l" rtl="0" fontAlgn="base">
            <a:spcBef>
              <a:spcPct val="0"/>
            </a:spcBef>
            <a:spcAft>
              <a:spcPct val="0"/>
            </a:spcAft>
            <a:defRPr sz="1600" b="1" kern="1200">
              <a:solidFill>
                <a:schemeClr val="dk1"/>
              </a:solidFill>
              <a:latin typeface="+mn-lt"/>
              <a:ea typeface="+mn-ea"/>
              <a:cs typeface="+mn-cs"/>
            </a:defRPr>
          </a:lvl2pPr>
          <a:lvl3pPr marL="914290" algn="l" rtl="0" fontAlgn="base">
            <a:spcBef>
              <a:spcPct val="0"/>
            </a:spcBef>
            <a:spcAft>
              <a:spcPct val="0"/>
            </a:spcAft>
            <a:defRPr sz="1600" b="1" kern="1200">
              <a:solidFill>
                <a:schemeClr val="dk1"/>
              </a:solidFill>
              <a:latin typeface="+mn-lt"/>
              <a:ea typeface="+mn-ea"/>
              <a:cs typeface="+mn-cs"/>
            </a:defRPr>
          </a:lvl3pPr>
          <a:lvl4pPr marL="1371435" algn="l" rtl="0" fontAlgn="base">
            <a:spcBef>
              <a:spcPct val="0"/>
            </a:spcBef>
            <a:spcAft>
              <a:spcPct val="0"/>
            </a:spcAft>
            <a:defRPr sz="1600" b="1" kern="1200">
              <a:solidFill>
                <a:schemeClr val="dk1"/>
              </a:solidFill>
              <a:latin typeface="+mn-lt"/>
              <a:ea typeface="+mn-ea"/>
              <a:cs typeface="+mn-cs"/>
            </a:defRPr>
          </a:lvl4pPr>
          <a:lvl5pPr marL="1828581" algn="l" rtl="0" fontAlgn="base">
            <a:spcBef>
              <a:spcPct val="0"/>
            </a:spcBef>
            <a:spcAft>
              <a:spcPct val="0"/>
            </a:spcAft>
            <a:defRPr sz="1600" b="1" kern="1200">
              <a:solidFill>
                <a:schemeClr val="dk1"/>
              </a:solidFill>
              <a:latin typeface="+mn-lt"/>
              <a:ea typeface="+mn-ea"/>
              <a:cs typeface="+mn-cs"/>
            </a:defRPr>
          </a:lvl5pPr>
          <a:lvl6pPr marL="2285726" algn="l" defTabSz="914290" rtl="0" eaLnBrk="1" latinLnBrk="0" hangingPunct="1">
            <a:defRPr sz="1600" b="1" kern="1200">
              <a:solidFill>
                <a:schemeClr val="dk1"/>
              </a:solidFill>
              <a:latin typeface="+mn-lt"/>
              <a:ea typeface="+mn-ea"/>
              <a:cs typeface="+mn-cs"/>
            </a:defRPr>
          </a:lvl6pPr>
          <a:lvl7pPr marL="2742871" algn="l" defTabSz="914290" rtl="0" eaLnBrk="1" latinLnBrk="0" hangingPunct="1">
            <a:defRPr sz="1600" b="1" kern="1200">
              <a:solidFill>
                <a:schemeClr val="dk1"/>
              </a:solidFill>
              <a:latin typeface="+mn-lt"/>
              <a:ea typeface="+mn-ea"/>
              <a:cs typeface="+mn-cs"/>
            </a:defRPr>
          </a:lvl7pPr>
          <a:lvl8pPr marL="3200016" algn="l" defTabSz="914290" rtl="0" eaLnBrk="1" latinLnBrk="0" hangingPunct="1">
            <a:defRPr sz="1600" b="1" kern="1200">
              <a:solidFill>
                <a:schemeClr val="dk1"/>
              </a:solidFill>
              <a:latin typeface="+mn-lt"/>
              <a:ea typeface="+mn-ea"/>
              <a:cs typeface="+mn-cs"/>
            </a:defRPr>
          </a:lvl8pPr>
          <a:lvl9pPr marL="3657161" algn="l" defTabSz="914290" rtl="0" eaLnBrk="1" latinLnBrk="0" hangingPunct="1">
            <a:defRPr sz="1600" b="1" kern="1200">
              <a:solidFill>
                <a:schemeClr val="dk1"/>
              </a:solidFill>
              <a:latin typeface="+mn-lt"/>
              <a:ea typeface="+mn-ea"/>
              <a:cs typeface="+mn-cs"/>
            </a:defRPr>
          </a:lvl9pPr>
        </a:lstStyle>
        <a:p xmlns:a="http://schemas.openxmlformats.org/drawingml/2006/main">
          <a:pPr marR="0" algn="l" defTabSz="914400" rtl="0" eaLnBrk="1" fontAlgn="base" latinLnBrk="0" hangingPunct="1">
            <a:lnSpc>
              <a:spcPct val="100000"/>
            </a:lnSpc>
            <a:spcBef>
              <a:spcPct val="50000"/>
            </a:spcBef>
            <a:spcAft>
              <a:spcPct val="0"/>
            </a:spcAft>
            <a:buClrTx/>
            <a:buSzTx/>
            <a:tabLst/>
          </a:pPr>
          <a:r>
            <a:rPr kumimoji="0" lang="en-US" sz="10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rPr>
            <a:t>2.73</a:t>
          </a:r>
        </a:p>
      </cdr:txBody>
    </cdr:sp>
  </cdr:relSizeAnchor>
</c:userShapes>
</file>

<file path=word/drawings/drawing13.xml><?xml version="1.0" encoding="utf-8"?>
<c:userShapes xmlns:c="http://schemas.openxmlformats.org/drawingml/2006/chart">
  <cdr:relSizeAnchor xmlns:cdr="http://schemas.openxmlformats.org/drawingml/2006/chartDrawing">
    <cdr:from>
      <cdr:x>0.08917</cdr:x>
      <cdr:y>0.06755</cdr:y>
    </cdr:from>
    <cdr:to>
      <cdr:x>0.21554</cdr:x>
      <cdr:y>0.14187</cdr:y>
    </cdr:to>
    <cdr:sp macro="" textlink="">
      <cdr:nvSpPr>
        <cdr:cNvPr id="2" name="Speech Bubble: Rectangle 1"/>
        <cdr:cNvSpPr/>
      </cdr:nvSpPr>
      <cdr:spPr bwMode="auto">
        <a:xfrm xmlns:a="http://schemas.openxmlformats.org/drawingml/2006/main">
          <a:off x="358423" y="185952"/>
          <a:ext cx="507951" cy="204577"/>
        </a:xfrm>
        <a:prstGeom xmlns:a="http://schemas.openxmlformats.org/drawingml/2006/main" prst="wedgeRectCallout">
          <a:avLst>
            <a:gd name="adj1" fmla="val -11742"/>
            <a:gd name="adj2" fmla="val 143452"/>
          </a:avLst>
        </a:prstGeom>
        <a:ln xmlns:a="http://schemas.openxmlformats.org/drawingml/2006/main" w="3175">
          <a:headEnd type="none" w="med" len="med"/>
          <a:tailEnd type="none" w="med" len="me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square" lIns="91440" tIns="45720" rIns="91440" bIns="45720" numCol="1" rtlCol="0" anchor="t" anchorCtr="0" compatLnSpc="1">
          <a:prstTxWarp prst="textNoShape">
            <a:avLst/>
          </a:prstTxWarp>
        </a:bodyPr>
        <a:lstStyle xmlns:a="http://schemas.openxmlformats.org/drawingml/2006/main">
          <a:defPPr>
            <a:defRPr lang="en-GB"/>
          </a:defPPr>
          <a:lvl1pPr algn="l" rtl="0" fontAlgn="base">
            <a:spcBef>
              <a:spcPct val="0"/>
            </a:spcBef>
            <a:spcAft>
              <a:spcPct val="0"/>
            </a:spcAft>
            <a:defRPr sz="1600" b="1" kern="1200">
              <a:solidFill>
                <a:schemeClr val="dk1"/>
              </a:solidFill>
              <a:latin typeface="+mn-lt"/>
              <a:ea typeface="+mn-ea"/>
              <a:cs typeface="+mn-cs"/>
            </a:defRPr>
          </a:lvl1pPr>
          <a:lvl2pPr marL="457145" algn="l" rtl="0" fontAlgn="base">
            <a:spcBef>
              <a:spcPct val="0"/>
            </a:spcBef>
            <a:spcAft>
              <a:spcPct val="0"/>
            </a:spcAft>
            <a:defRPr sz="1600" b="1" kern="1200">
              <a:solidFill>
                <a:schemeClr val="dk1"/>
              </a:solidFill>
              <a:latin typeface="+mn-lt"/>
              <a:ea typeface="+mn-ea"/>
              <a:cs typeface="+mn-cs"/>
            </a:defRPr>
          </a:lvl2pPr>
          <a:lvl3pPr marL="914290" algn="l" rtl="0" fontAlgn="base">
            <a:spcBef>
              <a:spcPct val="0"/>
            </a:spcBef>
            <a:spcAft>
              <a:spcPct val="0"/>
            </a:spcAft>
            <a:defRPr sz="1600" b="1" kern="1200">
              <a:solidFill>
                <a:schemeClr val="dk1"/>
              </a:solidFill>
              <a:latin typeface="+mn-lt"/>
              <a:ea typeface="+mn-ea"/>
              <a:cs typeface="+mn-cs"/>
            </a:defRPr>
          </a:lvl3pPr>
          <a:lvl4pPr marL="1371435" algn="l" rtl="0" fontAlgn="base">
            <a:spcBef>
              <a:spcPct val="0"/>
            </a:spcBef>
            <a:spcAft>
              <a:spcPct val="0"/>
            </a:spcAft>
            <a:defRPr sz="1600" b="1" kern="1200">
              <a:solidFill>
                <a:schemeClr val="dk1"/>
              </a:solidFill>
              <a:latin typeface="+mn-lt"/>
              <a:ea typeface="+mn-ea"/>
              <a:cs typeface="+mn-cs"/>
            </a:defRPr>
          </a:lvl4pPr>
          <a:lvl5pPr marL="1828581" algn="l" rtl="0" fontAlgn="base">
            <a:spcBef>
              <a:spcPct val="0"/>
            </a:spcBef>
            <a:spcAft>
              <a:spcPct val="0"/>
            </a:spcAft>
            <a:defRPr sz="1600" b="1" kern="1200">
              <a:solidFill>
                <a:schemeClr val="dk1"/>
              </a:solidFill>
              <a:latin typeface="+mn-lt"/>
              <a:ea typeface="+mn-ea"/>
              <a:cs typeface="+mn-cs"/>
            </a:defRPr>
          </a:lvl5pPr>
          <a:lvl6pPr marL="2285726" algn="l" defTabSz="914290" rtl="0" eaLnBrk="1" latinLnBrk="0" hangingPunct="1">
            <a:defRPr sz="1600" b="1" kern="1200">
              <a:solidFill>
                <a:schemeClr val="dk1"/>
              </a:solidFill>
              <a:latin typeface="+mn-lt"/>
              <a:ea typeface="+mn-ea"/>
              <a:cs typeface="+mn-cs"/>
            </a:defRPr>
          </a:lvl6pPr>
          <a:lvl7pPr marL="2742871" algn="l" defTabSz="914290" rtl="0" eaLnBrk="1" latinLnBrk="0" hangingPunct="1">
            <a:defRPr sz="1600" b="1" kern="1200">
              <a:solidFill>
                <a:schemeClr val="dk1"/>
              </a:solidFill>
              <a:latin typeface="+mn-lt"/>
              <a:ea typeface="+mn-ea"/>
              <a:cs typeface="+mn-cs"/>
            </a:defRPr>
          </a:lvl7pPr>
          <a:lvl8pPr marL="3200016" algn="l" defTabSz="914290" rtl="0" eaLnBrk="1" latinLnBrk="0" hangingPunct="1">
            <a:defRPr sz="1600" b="1" kern="1200">
              <a:solidFill>
                <a:schemeClr val="dk1"/>
              </a:solidFill>
              <a:latin typeface="+mn-lt"/>
              <a:ea typeface="+mn-ea"/>
              <a:cs typeface="+mn-cs"/>
            </a:defRPr>
          </a:lvl8pPr>
          <a:lvl9pPr marL="3657161" algn="l" defTabSz="914290" rtl="0" eaLnBrk="1" latinLnBrk="0" hangingPunct="1">
            <a:defRPr sz="1600" b="1" kern="1200">
              <a:solidFill>
                <a:schemeClr val="dk1"/>
              </a:solidFill>
              <a:latin typeface="+mn-lt"/>
              <a:ea typeface="+mn-ea"/>
              <a:cs typeface="+mn-cs"/>
            </a:defRPr>
          </a:lvl9pPr>
        </a:lstStyle>
        <a:p xmlns:a="http://schemas.openxmlformats.org/drawingml/2006/main">
          <a:pPr marR="0" algn="l" defTabSz="914400" rtl="0" eaLnBrk="1" fontAlgn="base" latinLnBrk="0" hangingPunct="1">
            <a:lnSpc>
              <a:spcPct val="100000"/>
            </a:lnSpc>
            <a:spcBef>
              <a:spcPct val="50000"/>
            </a:spcBef>
            <a:spcAft>
              <a:spcPct val="0"/>
            </a:spcAft>
            <a:buClrTx/>
            <a:buSzTx/>
            <a:tabLst/>
          </a:pPr>
          <a:r>
            <a:rPr lang="en-US" sz="1000" b="0" dirty="0">
              <a:solidFill>
                <a:schemeClr val="tx1"/>
              </a:solidFill>
              <a:latin typeface="Times New Roman" panose="02020603050405020304" pitchFamily="18" charset="0"/>
              <a:cs typeface="Times New Roman" panose="02020603050405020304" pitchFamily="18" charset="0"/>
            </a:rPr>
            <a:t>4.29</a:t>
          </a:r>
          <a:endParaRPr kumimoji="0" lang="en-US" sz="10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0.26584</cdr:x>
      <cdr:y>0.29066</cdr:y>
    </cdr:from>
    <cdr:to>
      <cdr:x>0.39081</cdr:x>
      <cdr:y>0.38062</cdr:y>
    </cdr:to>
    <cdr:sp macro="" textlink="">
      <cdr:nvSpPr>
        <cdr:cNvPr id="3" name="Speech Bubble: Rectangle 2"/>
        <cdr:cNvSpPr/>
      </cdr:nvSpPr>
      <cdr:spPr bwMode="auto">
        <a:xfrm xmlns:a="http://schemas.openxmlformats.org/drawingml/2006/main">
          <a:off x="1069077" y="800100"/>
          <a:ext cx="502548" cy="247650"/>
        </a:xfrm>
        <a:prstGeom xmlns:a="http://schemas.openxmlformats.org/drawingml/2006/main" prst="wedgeRectCallout">
          <a:avLst>
            <a:gd name="adj1" fmla="val -11742"/>
            <a:gd name="adj2" fmla="val 143452"/>
          </a:avLst>
        </a:prstGeom>
        <a:ln xmlns:a="http://schemas.openxmlformats.org/drawingml/2006/main" w="3175">
          <a:headEnd type="none" w="med" len="med"/>
          <a:tailEnd type="none" w="med" len="me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square" lIns="91440" tIns="45720" rIns="91440" bIns="45720" numCol="1" rtlCol="0" anchor="t" anchorCtr="0" compatLnSpc="1">
          <a:prstTxWarp prst="textNoShape">
            <a:avLst/>
          </a:prstTxWarp>
        </a:bodyPr>
        <a:lstStyle xmlns:a="http://schemas.openxmlformats.org/drawingml/2006/main">
          <a:defPPr>
            <a:defRPr lang="en-GB"/>
          </a:defPPr>
          <a:lvl1pPr algn="l" rtl="0" fontAlgn="base">
            <a:spcBef>
              <a:spcPct val="0"/>
            </a:spcBef>
            <a:spcAft>
              <a:spcPct val="0"/>
            </a:spcAft>
            <a:defRPr sz="1600" b="1" kern="1200">
              <a:solidFill>
                <a:schemeClr val="dk1"/>
              </a:solidFill>
              <a:latin typeface="+mn-lt"/>
              <a:ea typeface="+mn-ea"/>
              <a:cs typeface="+mn-cs"/>
            </a:defRPr>
          </a:lvl1pPr>
          <a:lvl2pPr marL="457145" algn="l" rtl="0" fontAlgn="base">
            <a:spcBef>
              <a:spcPct val="0"/>
            </a:spcBef>
            <a:spcAft>
              <a:spcPct val="0"/>
            </a:spcAft>
            <a:defRPr sz="1600" b="1" kern="1200">
              <a:solidFill>
                <a:schemeClr val="dk1"/>
              </a:solidFill>
              <a:latin typeface="+mn-lt"/>
              <a:ea typeface="+mn-ea"/>
              <a:cs typeface="+mn-cs"/>
            </a:defRPr>
          </a:lvl2pPr>
          <a:lvl3pPr marL="914290" algn="l" rtl="0" fontAlgn="base">
            <a:spcBef>
              <a:spcPct val="0"/>
            </a:spcBef>
            <a:spcAft>
              <a:spcPct val="0"/>
            </a:spcAft>
            <a:defRPr sz="1600" b="1" kern="1200">
              <a:solidFill>
                <a:schemeClr val="dk1"/>
              </a:solidFill>
              <a:latin typeface="+mn-lt"/>
              <a:ea typeface="+mn-ea"/>
              <a:cs typeface="+mn-cs"/>
            </a:defRPr>
          </a:lvl3pPr>
          <a:lvl4pPr marL="1371435" algn="l" rtl="0" fontAlgn="base">
            <a:spcBef>
              <a:spcPct val="0"/>
            </a:spcBef>
            <a:spcAft>
              <a:spcPct val="0"/>
            </a:spcAft>
            <a:defRPr sz="1600" b="1" kern="1200">
              <a:solidFill>
                <a:schemeClr val="dk1"/>
              </a:solidFill>
              <a:latin typeface="+mn-lt"/>
              <a:ea typeface="+mn-ea"/>
              <a:cs typeface="+mn-cs"/>
            </a:defRPr>
          </a:lvl4pPr>
          <a:lvl5pPr marL="1828581" algn="l" rtl="0" fontAlgn="base">
            <a:spcBef>
              <a:spcPct val="0"/>
            </a:spcBef>
            <a:spcAft>
              <a:spcPct val="0"/>
            </a:spcAft>
            <a:defRPr sz="1600" b="1" kern="1200">
              <a:solidFill>
                <a:schemeClr val="dk1"/>
              </a:solidFill>
              <a:latin typeface="+mn-lt"/>
              <a:ea typeface="+mn-ea"/>
              <a:cs typeface="+mn-cs"/>
            </a:defRPr>
          </a:lvl5pPr>
          <a:lvl6pPr marL="2285726" algn="l" defTabSz="914290" rtl="0" eaLnBrk="1" latinLnBrk="0" hangingPunct="1">
            <a:defRPr sz="1600" b="1" kern="1200">
              <a:solidFill>
                <a:schemeClr val="dk1"/>
              </a:solidFill>
              <a:latin typeface="+mn-lt"/>
              <a:ea typeface="+mn-ea"/>
              <a:cs typeface="+mn-cs"/>
            </a:defRPr>
          </a:lvl6pPr>
          <a:lvl7pPr marL="2742871" algn="l" defTabSz="914290" rtl="0" eaLnBrk="1" latinLnBrk="0" hangingPunct="1">
            <a:defRPr sz="1600" b="1" kern="1200">
              <a:solidFill>
                <a:schemeClr val="dk1"/>
              </a:solidFill>
              <a:latin typeface="+mn-lt"/>
              <a:ea typeface="+mn-ea"/>
              <a:cs typeface="+mn-cs"/>
            </a:defRPr>
          </a:lvl7pPr>
          <a:lvl8pPr marL="3200016" algn="l" defTabSz="914290" rtl="0" eaLnBrk="1" latinLnBrk="0" hangingPunct="1">
            <a:defRPr sz="1600" b="1" kern="1200">
              <a:solidFill>
                <a:schemeClr val="dk1"/>
              </a:solidFill>
              <a:latin typeface="+mn-lt"/>
              <a:ea typeface="+mn-ea"/>
              <a:cs typeface="+mn-cs"/>
            </a:defRPr>
          </a:lvl8pPr>
          <a:lvl9pPr marL="3657161" algn="l" defTabSz="914290" rtl="0" eaLnBrk="1" latinLnBrk="0" hangingPunct="1">
            <a:defRPr sz="1600" b="1" kern="1200">
              <a:solidFill>
                <a:schemeClr val="dk1"/>
              </a:solidFill>
              <a:latin typeface="+mn-lt"/>
              <a:ea typeface="+mn-ea"/>
              <a:cs typeface="+mn-cs"/>
            </a:defRPr>
          </a:lvl9pPr>
        </a:lstStyle>
        <a:p xmlns:a="http://schemas.openxmlformats.org/drawingml/2006/main">
          <a:pPr marR="0" algn="l" defTabSz="914400" rtl="0" eaLnBrk="1" fontAlgn="base" latinLnBrk="0" hangingPunct="1">
            <a:lnSpc>
              <a:spcPct val="100000"/>
            </a:lnSpc>
            <a:spcBef>
              <a:spcPct val="50000"/>
            </a:spcBef>
            <a:spcAft>
              <a:spcPct val="0"/>
            </a:spcAft>
            <a:buClrTx/>
            <a:buSzTx/>
            <a:tabLst/>
          </a:pPr>
          <a:r>
            <a:rPr kumimoji="0" lang="en-US" sz="10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rPr>
            <a:t>2.22</a:t>
          </a:r>
        </a:p>
      </cdr:txBody>
    </cdr:sp>
  </cdr:relSizeAnchor>
  <cdr:relSizeAnchor xmlns:cdr="http://schemas.openxmlformats.org/drawingml/2006/chartDrawing">
    <cdr:from>
      <cdr:x>0.4537</cdr:x>
      <cdr:y>0.36966</cdr:y>
    </cdr:from>
    <cdr:to>
      <cdr:x>0.56608</cdr:x>
      <cdr:y>0.46021</cdr:y>
    </cdr:to>
    <cdr:sp macro="" textlink="">
      <cdr:nvSpPr>
        <cdr:cNvPr id="4" name="Speech Bubble: Rectangle 3"/>
        <cdr:cNvSpPr/>
      </cdr:nvSpPr>
      <cdr:spPr bwMode="auto">
        <a:xfrm xmlns:a="http://schemas.openxmlformats.org/drawingml/2006/main">
          <a:off x="1824530" y="1017563"/>
          <a:ext cx="451945" cy="249262"/>
        </a:xfrm>
        <a:prstGeom xmlns:a="http://schemas.openxmlformats.org/drawingml/2006/main" prst="wedgeRectCallout">
          <a:avLst>
            <a:gd name="adj1" fmla="val -11742"/>
            <a:gd name="adj2" fmla="val 143452"/>
          </a:avLst>
        </a:prstGeom>
        <a:ln xmlns:a="http://schemas.openxmlformats.org/drawingml/2006/main" w="3175">
          <a:headEnd type="none" w="med" len="med"/>
          <a:tailEnd type="none" w="med" len="me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square" lIns="91440" tIns="45720" rIns="91440" bIns="45720" numCol="1" rtlCol="0" anchor="t" anchorCtr="0" compatLnSpc="1">
          <a:prstTxWarp prst="textNoShape">
            <a:avLst/>
          </a:prstTxWarp>
        </a:bodyPr>
        <a:lstStyle xmlns:a="http://schemas.openxmlformats.org/drawingml/2006/main">
          <a:defPPr>
            <a:defRPr lang="en-GB"/>
          </a:defPPr>
          <a:lvl1pPr algn="l" rtl="0" fontAlgn="base">
            <a:spcBef>
              <a:spcPct val="0"/>
            </a:spcBef>
            <a:spcAft>
              <a:spcPct val="0"/>
            </a:spcAft>
            <a:defRPr sz="1600" b="1" kern="1200">
              <a:solidFill>
                <a:schemeClr val="dk1"/>
              </a:solidFill>
              <a:latin typeface="+mn-lt"/>
              <a:ea typeface="+mn-ea"/>
              <a:cs typeface="+mn-cs"/>
            </a:defRPr>
          </a:lvl1pPr>
          <a:lvl2pPr marL="457145" algn="l" rtl="0" fontAlgn="base">
            <a:spcBef>
              <a:spcPct val="0"/>
            </a:spcBef>
            <a:spcAft>
              <a:spcPct val="0"/>
            </a:spcAft>
            <a:defRPr sz="1600" b="1" kern="1200">
              <a:solidFill>
                <a:schemeClr val="dk1"/>
              </a:solidFill>
              <a:latin typeface="+mn-lt"/>
              <a:ea typeface="+mn-ea"/>
              <a:cs typeface="+mn-cs"/>
            </a:defRPr>
          </a:lvl2pPr>
          <a:lvl3pPr marL="914290" algn="l" rtl="0" fontAlgn="base">
            <a:spcBef>
              <a:spcPct val="0"/>
            </a:spcBef>
            <a:spcAft>
              <a:spcPct val="0"/>
            </a:spcAft>
            <a:defRPr sz="1600" b="1" kern="1200">
              <a:solidFill>
                <a:schemeClr val="dk1"/>
              </a:solidFill>
              <a:latin typeface="+mn-lt"/>
              <a:ea typeface="+mn-ea"/>
              <a:cs typeface="+mn-cs"/>
            </a:defRPr>
          </a:lvl3pPr>
          <a:lvl4pPr marL="1371435" algn="l" rtl="0" fontAlgn="base">
            <a:spcBef>
              <a:spcPct val="0"/>
            </a:spcBef>
            <a:spcAft>
              <a:spcPct val="0"/>
            </a:spcAft>
            <a:defRPr sz="1600" b="1" kern="1200">
              <a:solidFill>
                <a:schemeClr val="dk1"/>
              </a:solidFill>
              <a:latin typeface="+mn-lt"/>
              <a:ea typeface="+mn-ea"/>
              <a:cs typeface="+mn-cs"/>
            </a:defRPr>
          </a:lvl4pPr>
          <a:lvl5pPr marL="1828581" algn="l" rtl="0" fontAlgn="base">
            <a:spcBef>
              <a:spcPct val="0"/>
            </a:spcBef>
            <a:spcAft>
              <a:spcPct val="0"/>
            </a:spcAft>
            <a:defRPr sz="1600" b="1" kern="1200">
              <a:solidFill>
                <a:schemeClr val="dk1"/>
              </a:solidFill>
              <a:latin typeface="+mn-lt"/>
              <a:ea typeface="+mn-ea"/>
              <a:cs typeface="+mn-cs"/>
            </a:defRPr>
          </a:lvl5pPr>
          <a:lvl6pPr marL="2285726" algn="l" defTabSz="914290" rtl="0" eaLnBrk="1" latinLnBrk="0" hangingPunct="1">
            <a:defRPr sz="1600" b="1" kern="1200">
              <a:solidFill>
                <a:schemeClr val="dk1"/>
              </a:solidFill>
              <a:latin typeface="+mn-lt"/>
              <a:ea typeface="+mn-ea"/>
              <a:cs typeface="+mn-cs"/>
            </a:defRPr>
          </a:lvl6pPr>
          <a:lvl7pPr marL="2742871" algn="l" defTabSz="914290" rtl="0" eaLnBrk="1" latinLnBrk="0" hangingPunct="1">
            <a:defRPr sz="1600" b="1" kern="1200">
              <a:solidFill>
                <a:schemeClr val="dk1"/>
              </a:solidFill>
              <a:latin typeface="+mn-lt"/>
              <a:ea typeface="+mn-ea"/>
              <a:cs typeface="+mn-cs"/>
            </a:defRPr>
          </a:lvl7pPr>
          <a:lvl8pPr marL="3200016" algn="l" defTabSz="914290" rtl="0" eaLnBrk="1" latinLnBrk="0" hangingPunct="1">
            <a:defRPr sz="1600" b="1" kern="1200">
              <a:solidFill>
                <a:schemeClr val="dk1"/>
              </a:solidFill>
              <a:latin typeface="+mn-lt"/>
              <a:ea typeface="+mn-ea"/>
              <a:cs typeface="+mn-cs"/>
            </a:defRPr>
          </a:lvl8pPr>
          <a:lvl9pPr marL="3657161" algn="l" defTabSz="914290" rtl="0" eaLnBrk="1" latinLnBrk="0" hangingPunct="1">
            <a:defRPr sz="1600" b="1" kern="1200">
              <a:solidFill>
                <a:schemeClr val="dk1"/>
              </a:solidFill>
              <a:latin typeface="+mn-lt"/>
              <a:ea typeface="+mn-ea"/>
              <a:cs typeface="+mn-cs"/>
            </a:defRPr>
          </a:lvl9pPr>
        </a:lstStyle>
        <a:p xmlns:a="http://schemas.openxmlformats.org/drawingml/2006/main">
          <a:pPr marR="0" algn="l" defTabSz="914400" rtl="0" eaLnBrk="1" fontAlgn="base" latinLnBrk="0" hangingPunct="1">
            <a:lnSpc>
              <a:spcPct val="100000"/>
            </a:lnSpc>
            <a:spcBef>
              <a:spcPct val="50000"/>
            </a:spcBef>
            <a:spcAft>
              <a:spcPct val="0"/>
            </a:spcAft>
            <a:buClrTx/>
            <a:buSzTx/>
            <a:tabLst/>
          </a:pPr>
          <a:r>
            <a:rPr kumimoji="0" lang="en-US" sz="10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rPr>
            <a:t>1.68</a:t>
          </a:r>
        </a:p>
      </cdr:txBody>
    </cdr:sp>
  </cdr:relSizeAnchor>
</c:userShapes>
</file>

<file path=word/drawings/drawing14.xml><?xml version="1.0" encoding="utf-8"?>
<c:userShapes xmlns:c="http://schemas.openxmlformats.org/drawingml/2006/chart">
  <cdr:relSizeAnchor xmlns:cdr="http://schemas.openxmlformats.org/drawingml/2006/chartDrawing">
    <cdr:from>
      <cdr:x>0.8046</cdr:x>
      <cdr:y>0.13574</cdr:y>
    </cdr:from>
    <cdr:to>
      <cdr:x>0.89305</cdr:x>
      <cdr:y>0.19077</cdr:y>
    </cdr:to>
    <cdr:sp macro="" textlink="">
      <cdr:nvSpPr>
        <cdr:cNvPr id="2" name="Speech Bubble: Rectangle 1">
          <a:extLst xmlns:a="http://schemas.openxmlformats.org/drawingml/2006/main">
            <a:ext uri="{FF2B5EF4-FFF2-40B4-BE49-F238E27FC236}">
              <a16:creationId xmlns:a16="http://schemas.microsoft.com/office/drawing/2014/main" id="{BFE3CFD9-E33C-D242-9431-9C0747B4A5BF}"/>
            </a:ext>
          </a:extLst>
        </cdr:cNvPr>
        <cdr:cNvSpPr/>
      </cdr:nvSpPr>
      <cdr:spPr>
        <a:xfrm xmlns:a="http://schemas.openxmlformats.org/drawingml/2006/main">
          <a:off x="4414337" y="496754"/>
          <a:ext cx="485272" cy="201382"/>
        </a:xfrm>
        <a:prstGeom xmlns:a="http://schemas.openxmlformats.org/drawingml/2006/main" prst="wedgeRectCallout">
          <a:avLst>
            <a:gd name="adj1" fmla="val 34037"/>
            <a:gd name="adj2" fmla="val 127079"/>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900">
              <a:effectLst/>
              <a:latin typeface="Times New Roman" charset="0"/>
              <a:ea typeface="Times New Roman" charset="0"/>
              <a:cs typeface="Times New Roman" charset="0"/>
            </a:rPr>
            <a:t>3.88</a:t>
          </a:r>
        </a:p>
      </cdr:txBody>
    </cdr:sp>
  </cdr:relSizeAnchor>
</c:userShapes>
</file>

<file path=word/drawings/drawing15.xml><?xml version="1.0" encoding="utf-8"?>
<c:userShapes xmlns:c="http://schemas.openxmlformats.org/drawingml/2006/chart">
  <cdr:relSizeAnchor xmlns:cdr="http://schemas.openxmlformats.org/drawingml/2006/chartDrawing">
    <cdr:from>
      <cdr:x>0.6643</cdr:x>
      <cdr:y>0.35143</cdr:y>
    </cdr:from>
    <cdr:to>
      <cdr:x>0.75265</cdr:x>
      <cdr:y>0.4159</cdr:y>
    </cdr:to>
    <cdr:sp macro="" textlink="">
      <cdr:nvSpPr>
        <cdr:cNvPr id="2" name="Speech Bubble: Rectangle 1">
          <a:extLst xmlns:a="http://schemas.openxmlformats.org/drawingml/2006/main"/>
        </cdr:cNvPr>
        <cdr:cNvSpPr/>
      </cdr:nvSpPr>
      <cdr:spPr>
        <a:xfrm xmlns:a="http://schemas.openxmlformats.org/drawingml/2006/main">
          <a:off x="3562350" y="1590675"/>
          <a:ext cx="473815" cy="291785"/>
        </a:xfrm>
        <a:prstGeom xmlns:a="http://schemas.openxmlformats.org/drawingml/2006/main" prst="wedgeRectCallout">
          <a:avLst>
            <a:gd name="adj1" fmla="val 34037"/>
            <a:gd name="adj2" fmla="val 127079"/>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900">
              <a:effectLst/>
              <a:latin typeface="Times New Roman" charset="0"/>
              <a:ea typeface="Times New Roman" charset="0"/>
              <a:cs typeface="Times New Roman" charset="0"/>
            </a:rPr>
            <a:t>2.19</a:t>
          </a:r>
        </a:p>
      </cdr:txBody>
    </cdr:sp>
  </cdr:relSizeAnchor>
</c:userShapes>
</file>

<file path=word/drawings/drawing16.xml><?xml version="1.0" encoding="utf-8"?>
<c:userShapes xmlns:c="http://schemas.openxmlformats.org/drawingml/2006/chart">
  <cdr:relSizeAnchor xmlns:cdr="http://schemas.openxmlformats.org/drawingml/2006/chartDrawing">
    <cdr:from>
      <cdr:x>0.42108</cdr:x>
      <cdr:y>0.40865</cdr:y>
    </cdr:from>
    <cdr:to>
      <cdr:x>0.63441</cdr:x>
      <cdr:y>0.46572</cdr:y>
    </cdr:to>
    <cdr:sp macro="" textlink="">
      <cdr:nvSpPr>
        <cdr:cNvPr id="2" name="Speech Bubble: Rectangle 1"/>
        <cdr:cNvSpPr/>
      </cdr:nvSpPr>
      <cdr:spPr>
        <a:xfrm xmlns:a="http://schemas.openxmlformats.org/drawingml/2006/main">
          <a:off x="862318" y="1514157"/>
          <a:ext cx="436873" cy="211457"/>
        </a:xfrm>
        <a:prstGeom xmlns:a="http://schemas.openxmlformats.org/drawingml/2006/main" prst="wedgeRectCallout">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900">
              <a:effectLst/>
              <a:latin typeface="Times New Roman" charset="0"/>
              <a:ea typeface="Times New Roman" charset="0"/>
              <a:cs typeface="Times New Roman" charset="0"/>
            </a:rPr>
            <a:t>2.19</a:t>
          </a:r>
        </a:p>
      </cdr:txBody>
    </cdr:sp>
  </cdr:relSizeAnchor>
</c:userShapes>
</file>

<file path=word/drawings/drawing17.xml><?xml version="1.0" encoding="utf-8"?>
<c:userShapes xmlns:c="http://schemas.openxmlformats.org/drawingml/2006/chart">
  <cdr:relSizeAnchor xmlns:cdr="http://schemas.openxmlformats.org/drawingml/2006/chartDrawing">
    <cdr:from>
      <cdr:x>0.19603</cdr:x>
      <cdr:y>0.38784</cdr:y>
    </cdr:from>
    <cdr:to>
      <cdr:x>0.381</cdr:x>
      <cdr:y>0.43914</cdr:y>
    </cdr:to>
    <cdr:sp macro="" textlink="">
      <cdr:nvSpPr>
        <cdr:cNvPr id="2" name="Speech Bubble: Rectangle 1"/>
        <cdr:cNvSpPr/>
      </cdr:nvSpPr>
      <cdr:spPr>
        <a:xfrm xmlns:a="http://schemas.openxmlformats.org/drawingml/2006/main">
          <a:off x="646049" y="1733551"/>
          <a:ext cx="609590" cy="229288"/>
        </a:xfrm>
        <a:prstGeom xmlns:a="http://schemas.openxmlformats.org/drawingml/2006/main" prst="wedgeRectCallout">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900">
              <a:effectLst/>
              <a:latin typeface="Times New Roman" charset="0"/>
              <a:ea typeface="Times New Roman" charset="0"/>
              <a:cs typeface="Times New Roman" charset="0"/>
            </a:rPr>
            <a:t>2.00</a:t>
          </a:r>
        </a:p>
      </cdr:txBody>
    </cdr:sp>
  </cdr:relSizeAnchor>
  <cdr:relSizeAnchor xmlns:cdr="http://schemas.openxmlformats.org/drawingml/2006/chartDrawing">
    <cdr:from>
      <cdr:x>0.66134</cdr:x>
      <cdr:y>0.34491</cdr:y>
    </cdr:from>
    <cdr:to>
      <cdr:x>0.81452</cdr:x>
      <cdr:y>0.39438</cdr:y>
    </cdr:to>
    <cdr:sp macro="" textlink="">
      <cdr:nvSpPr>
        <cdr:cNvPr id="3" name="Speech Bubble: Rectangle 2"/>
        <cdr:cNvSpPr/>
      </cdr:nvSpPr>
      <cdr:spPr>
        <a:xfrm xmlns:a="http://schemas.openxmlformats.org/drawingml/2006/main">
          <a:off x="2179558" y="1541666"/>
          <a:ext cx="504821" cy="221140"/>
        </a:xfrm>
        <a:prstGeom xmlns:a="http://schemas.openxmlformats.org/drawingml/2006/main" prst="wedgeRectCallout">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900">
              <a:effectLst/>
              <a:latin typeface="Times New Roman" charset="0"/>
              <a:ea typeface="Times New Roman" charset="0"/>
              <a:cs typeface="Times New Roman" charset="0"/>
            </a:rPr>
            <a:t>2.39</a:t>
          </a:r>
        </a:p>
      </cdr:txBody>
    </cdr:sp>
  </cdr:relSizeAnchor>
</c:userShapes>
</file>

<file path=word/drawings/drawing18.xml><?xml version="1.0" encoding="utf-8"?>
<c:userShapes xmlns:c="http://schemas.openxmlformats.org/drawingml/2006/chart">
  <cdr:relSizeAnchor xmlns:cdr="http://schemas.openxmlformats.org/drawingml/2006/chartDrawing">
    <cdr:from>
      <cdr:x>0.28014</cdr:x>
      <cdr:y>0.10662</cdr:y>
    </cdr:from>
    <cdr:to>
      <cdr:x>0.4734</cdr:x>
      <cdr:y>0.22426</cdr:y>
    </cdr:to>
    <cdr:sp macro="" textlink="">
      <cdr:nvSpPr>
        <cdr:cNvPr id="2" name="Speech Bubble: Rectangle 1"/>
        <cdr:cNvSpPr/>
      </cdr:nvSpPr>
      <cdr:spPr>
        <a:xfrm xmlns:a="http://schemas.openxmlformats.org/drawingml/2006/main">
          <a:off x="1504950" y="276225"/>
          <a:ext cx="1038225" cy="304800"/>
        </a:xfrm>
        <a:prstGeom xmlns:a="http://schemas.openxmlformats.org/drawingml/2006/main" prst="wedgeRectCallout">
          <a:avLst>
            <a:gd name="adj1" fmla="val 74580"/>
            <a:gd name="adj2" fmla="val 103125"/>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en-US"/>
            <a:t>Groundnut</a:t>
          </a:r>
        </a:p>
      </cdr:txBody>
    </cdr:sp>
  </cdr:relSizeAnchor>
  <cdr:relSizeAnchor xmlns:cdr="http://schemas.openxmlformats.org/drawingml/2006/chartDrawing">
    <cdr:from>
      <cdr:x>0.66017</cdr:x>
      <cdr:y>0.34314</cdr:y>
    </cdr:from>
    <cdr:to>
      <cdr:x>0.85343</cdr:x>
      <cdr:y>0.46078</cdr:y>
    </cdr:to>
    <cdr:sp macro="" textlink="">
      <cdr:nvSpPr>
        <cdr:cNvPr id="3" name="Speech Bubble: Rectangle 2"/>
        <cdr:cNvSpPr/>
      </cdr:nvSpPr>
      <cdr:spPr>
        <a:xfrm xmlns:a="http://schemas.openxmlformats.org/drawingml/2006/main">
          <a:off x="3546475" y="889000"/>
          <a:ext cx="1038225" cy="304800"/>
        </a:xfrm>
        <a:prstGeom xmlns:a="http://schemas.openxmlformats.org/drawingml/2006/main" prst="wedgeRectCallout">
          <a:avLst>
            <a:gd name="adj1" fmla="val 8525"/>
            <a:gd name="adj2" fmla="val 125000"/>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t>Groundnut oil</a:t>
          </a:r>
        </a:p>
      </cdr:txBody>
    </cdr:sp>
  </cdr:relSizeAnchor>
</c:userShapes>
</file>

<file path=word/drawings/drawing19.xml><?xml version="1.0" encoding="utf-8"?>
<c:userShapes xmlns:c="http://schemas.openxmlformats.org/drawingml/2006/chart">
  <cdr:relSizeAnchor xmlns:cdr="http://schemas.openxmlformats.org/drawingml/2006/chartDrawing">
    <cdr:from>
      <cdr:x>0.00936</cdr:x>
      <cdr:y>0</cdr:y>
    </cdr:from>
    <cdr:to>
      <cdr:x>0.96023</cdr:x>
      <cdr:y>1</cdr:y>
    </cdr:to>
    <cdr:pic>
      <cdr:nvPicPr>
        <cdr:cNvPr id="2" name="Picture 1"/>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r="32852" b="35767"/>
        <a:stretch xmlns:a="http://schemas.openxmlformats.org/drawingml/2006/main"/>
      </cdr:blipFill>
      <cdr:spPr bwMode="auto">
        <a:xfrm xmlns:a="http://schemas.openxmlformats.org/drawingml/2006/main">
          <a:off x="50800" y="50800"/>
          <a:ext cx="5162550" cy="27235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drawings/drawing2.xml><?xml version="1.0" encoding="utf-8"?>
<c:userShapes xmlns:c="http://schemas.openxmlformats.org/drawingml/2006/chart">
  <cdr:relSizeAnchor xmlns:cdr="http://schemas.openxmlformats.org/drawingml/2006/chartDrawing">
    <cdr:from>
      <cdr:x>0.00936</cdr:x>
      <cdr:y>0</cdr:y>
    </cdr:from>
    <cdr:to>
      <cdr:x>0.96023</cdr:x>
      <cdr:y>1</cdr:y>
    </cdr:to>
    <cdr:pic>
      <cdr:nvPicPr>
        <cdr:cNvPr id="2" name="Picture 1"/>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r="32852" b="35767"/>
        <a:stretch xmlns:a="http://schemas.openxmlformats.org/drawingml/2006/main"/>
      </cdr:blipFill>
      <cdr:spPr bwMode="auto">
        <a:xfrm xmlns:a="http://schemas.openxmlformats.org/drawingml/2006/main">
          <a:off x="50800" y="50800"/>
          <a:ext cx="5162550" cy="27235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drawings/drawing20.xml><?xml version="1.0" encoding="utf-8"?>
<c:userShapes xmlns:c="http://schemas.openxmlformats.org/drawingml/2006/chart">
  <cdr:relSizeAnchor xmlns:cdr="http://schemas.openxmlformats.org/drawingml/2006/chartDrawing">
    <cdr:from>
      <cdr:x>0.43016</cdr:x>
      <cdr:y>0.7616</cdr:y>
    </cdr:from>
    <cdr:to>
      <cdr:x>0.90635</cdr:x>
      <cdr:y>0.96414</cdr:y>
    </cdr:to>
    <cdr:sp macro="" textlink="">
      <cdr:nvSpPr>
        <cdr:cNvPr id="2" name="Speech Bubble: Rectangle 1"/>
        <cdr:cNvSpPr/>
      </cdr:nvSpPr>
      <cdr:spPr>
        <a:xfrm xmlns:a="http://schemas.openxmlformats.org/drawingml/2006/main">
          <a:off x="860430" y="1146170"/>
          <a:ext cx="952492" cy="304812"/>
        </a:xfrm>
        <a:prstGeom xmlns:a="http://schemas.openxmlformats.org/drawingml/2006/main" prst="wedgeRectCallout">
          <a:avLst>
            <a:gd name="adj1" fmla="val -11271"/>
            <a:gd name="adj2" fmla="val -68201"/>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1200">
              <a:effectLst/>
              <a:ea typeface="MS Mincho"/>
              <a:cs typeface="Times New Roman" panose="02020603050405020304" pitchFamily="18" charset="0"/>
            </a:rPr>
            <a:t>HHI: 3864</a:t>
          </a:r>
        </a:p>
      </cdr:txBody>
    </cdr:sp>
  </cdr:relSizeAnchor>
</c:userShapes>
</file>

<file path=word/drawings/drawing21.xml><?xml version="1.0" encoding="utf-8"?>
<c:userShapes xmlns:c="http://schemas.openxmlformats.org/drawingml/2006/chart">
  <cdr:relSizeAnchor xmlns:cdr="http://schemas.openxmlformats.org/drawingml/2006/chartDrawing">
    <cdr:from>
      <cdr:x>0.16026</cdr:x>
      <cdr:y>0.74675</cdr:y>
    </cdr:from>
    <cdr:to>
      <cdr:x>0.80128</cdr:x>
      <cdr:y>0.95455</cdr:y>
    </cdr:to>
    <cdr:sp macro="" textlink="">
      <cdr:nvSpPr>
        <cdr:cNvPr id="2" name="Speech Bubble: Rectangle 1"/>
        <cdr:cNvSpPr/>
      </cdr:nvSpPr>
      <cdr:spPr>
        <a:xfrm xmlns:a="http://schemas.openxmlformats.org/drawingml/2006/main">
          <a:off x="238125" y="1095375"/>
          <a:ext cx="952500" cy="304800"/>
        </a:xfrm>
        <a:prstGeom xmlns:a="http://schemas.openxmlformats.org/drawingml/2006/main" prst="wedgeRectCallout">
          <a:avLst>
            <a:gd name="adj1" fmla="val -11271"/>
            <a:gd name="adj2" fmla="val -68201"/>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spcBef>
              <a:spcPts val="0"/>
            </a:spcBef>
            <a:spcAft>
              <a:spcPts val="0"/>
            </a:spcAft>
          </a:pPr>
          <a:r>
            <a:rPr lang="en-US" sz="1200">
              <a:effectLst/>
              <a:ea typeface="MS Mincho"/>
              <a:cs typeface="Times New Roman" panose="02020603050405020304" pitchFamily="18" charset="0"/>
            </a:rPr>
            <a:t>HHI: 4254</a:t>
          </a:r>
        </a:p>
      </cdr:txBody>
    </cdr:sp>
  </cdr:relSizeAnchor>
</c:userShapes>
</file>

<file path=word/drawings/drawing22.xml><?xml version="1.0" encoding="utf-8"?>
<c:userShapes xmlns:c="http://schemas.openxmlformats.org/drawingml/2006/chart">
  <cdr:relSizeAnchor xmlns:cdr="http://schemas.openxmlformats.org/drawingml/2006/chartDrawing">
    <cdr:from>
      <cdr:x>0.17949</cdr:x>
      <cdr:y>0.7716</cdr:y>
    </cdr:from>
    <cdr:to>
      <cdr:x>0.76923</cdr:x>
      <cdr:y>0.96296</cdr:y>
    </cdr:to>
    <cdr:sp macro="" textlink="">
      <cdr:nvSpPr>
        <cdr:cNvPr id="2" name="Speech Bubble: Rectangle 1"/>
        <cdr:cNvSpPr/>
      </cdr:nvSpPr>
      <cdr:spPr>
        <a:xfrm xmlns:a="http://schemas.openxmlformats.org/drawingml/2006/main">
          <a:off x="266700" y="1190625"/>
          <a:ext cx="876300" cy="295275"/>
        </a:xfrm>
        <a:prstGeom xmlns:a="http://schemas.openxmlformats.org/drawingml/2006/main" prst="wedgeRectCallout">
          <a:avLst>
            <a:gd name="adj1" fmla="val -12896"/>
            <a:gd name="adj2" fmla="val -77035"/>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spcBef>
              <a:spcPts val="0"/>
            </a:spcBef>
            <a:spcAft>
              <a:spcPts val="0"/>
            </a:spcAft>
          </a:pPr>
          <a:r>
            <a:rPr lang="en-US" sz="1200">
              <a:effectLst/>
              <a:ea typeface="MS Mincho"/>
              <a:cs typeface="Times New Roman" panose="02020603050405020304" pitchFamily="18" charset="0"/>
            </a:rPr>
            <a:t>HHI: 4982</a:t>
          </a:r>
        </a:p>
      </cdr:txBody>
    </cdr:sp>
  </cdr:relSizeAnchor>
</c:userShapes>
</file>

<file path=word/drawings/drawing23.xml><?xml version="1.0" encoding="utf-8"?>
<c:userShapes xmlns:c="http://schemas.openxmlformats.org/drawingml/2006/chart">
  <cdr:relSizeAnchor xmlns:cdr="http://schemas.openxmlformats.org/drawingml/2006/chartDrawing">
    <cdr:from>
      <cdr:x>0.36042</cdr:x>
      <cdr:y>0.35556</cdr:y>
    </cdr:from>
    <cdr:to>
      <cdr:x>0.5212</cdr:x>
      <cdr:y>0.63889</cdr:y>
    </cdr:to>
    <cdr:sp macro="" textlink="">
      <cdr:nvSpPr>
        <cdr:cNvPr id="2" name="Speech Bubble: Rectangle 1">
          <a:extLst xmlns:a="http://schemas.openxmlformats.org/drawingml/2006/main">
            <a:ext uri="{FF2B5EF4-FFF2-40B4-BE49-F238E27FC236}">
              <a16:creationId xmlns:a16="http://schemas.microsoft.com/office/drawing/2014/main" id="{7EBD1EDE-64A8-476F-99F4-900683978DCD}"/>
            </a:ext>
          </a:extLst>
        </cdr:cNvPr>
        <cdr:cNvSpPr/>
      </cdr:nvSpPr>
      <cdr:spPr>
        <a:xfrm xmlns:a="http://schemas.openxmlformats.org/drawingml/2006/main">
          <a:off x="1943100" y="609607"/>
          <a:ext cx="866776" cy="485767"/>
        </a:xfrm>
        <a:prstGeom xmlns:a="http://schemas.openxmlformats.org/drawingml/2006/main" prst="wedgeRectCallout">
          <a:avLst/>
        </a:prstGeom>
        <a:noFill xmlns:a="http://schemas.openxmlformats.org/drawingml/2006/main"/>
        <a:ln xmlns:a="http://schemas.openxmlformats.org/drawingml/2006/main" w="12700">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ysClr val="windowText" lastClr="000000"/>
              </a:solidFill>
            </a:rPr>
            <a:t>HHI: 9646.5</a:t>
          </a:r>
        </a:p>
      </cdr:txBody>
    </cdr:sp>
  </cdr:relSizeAnchor>
</c:userShapes>
</file>

<file path=word/drawings/drawing3.xml><?xml version="1.0" encoding="utf-8"?>
<c:userShapes xmlns:c="http://schemas.openxmlformats.org/drawingml/2006/chart">
  <cdr:relSizeAnchor xmlns:cdr="http://schemas.openxmlformats.org/drawingml/2006/chartDrawing">
    <cdr:from>
      <cdr:x>0.6527</cdr:x>
      <cdr:y>0.28461</cdr:y>
    </cdr:from>
    <cdr:to>
      <cdr:x>0.76491</cdr:x>
      <cdr:y>0.36593</cdr:y>
    </cdr:to>
    <cdr:sp macro="" textlink="">
      <cdr:nvSpPr>
        <cdr:cNvPr id="2" name="Speech Bubble: Rectangle 1"/>
        <cdr:cNvSpPr/>
      </cdr:nvSpPr>
      <cdr:spPr>
        <a:xfrm xmlns:a="http://schemas.openxmlformats.org/drawingml/2006/main">
          <a:off x="3767455" y="1173480"/>
          <a:ext cx="647700" cy="335280"/>
        </a:xfrm>
        <a:prstGeom xmlns:a="http://schemas.openxmlformats.org/drawingml/2006/main" prst="wedgeRectCallout">
          <a:avLst>
            <a:gd name="adj1" fmla="val 6226"/>
            <a:gd name="adj2" fmla="val 110227"/>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spcBef>
              <a:spcPts val="0"/>
            </a:spcBef>
            <a:spcAft>
              <a:spcPts val="0"/>
            </a:spcAft>
          </a:pPr>
          <a:r>
            <a:rPr lang="en-US" sz="1200">
              <a:effectLst/>
              <a:latin typeface="Times New Roman" panose="02020603050405020304" pitchFamily="18" charset="0"/>
              <a:ea typeface="MS Mincho" panose="02020609040205080304" pitchFamily="49" charset="-128"/>
              <a:cs typeface="Times New Roman" panose="02020603050405020304" pitchFamily="18" charset="0"/>
            </a:rPr>
            <a:t>2.60</a:t>
          </a:r>
          <a:endParaRPr lang="en-US" sz="1200">
            <a:effectLst/>
            <a:ea typeface="MS Mincho" panose="02020609040205080304" pitchFamily="49"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0.39903</cdr:x>
      <cdr:y>0.21792</cdr:y>
    </cdr:from>
    <cdr:to>
      <cdr:x>0.68777</cdr:x>
      <cdr:y>0.28082</cdr:y>
    </cdr:to>
    <cdr:sp macro="" textlink="">
      <cdr:nvSpPr>
        <cdr:cNvPr id="2" name="Speech Bubble: Rectangle 1"/>
        <cdr:cNvSpPr/>
      </cdr:nvSpPr>
      <cdr:spPr bwMode="auto">
        <a:xfrm xmlns:a="http://schemas.openxmlformats.org/drawingml/2006/main">
          <a:off x="699346" y="821959"/>
          <a:ext cx="506032" cy="237277"/>
        </a:xfrm>
        <a:prstGeom xmlns:a="http://schemas.openxmlformats.org/drawingml/2006/main" prst="wedgeRectCallout">
          <a:avLst>
            <a:gd name="adj1" fmla="val -11742"/>
            <a:gd name="adj2" fmla="val 143452"/>
          </a:avLst>
        </a:prstGeom>
        <a:ln xmlns:a="http://schemas.openxmlformats.org/drawingml/2006/main" w="3175">
          <a:headEnd type="none" w="med" len="med"/>
          <a:tailEnd type="none" w="med" len="me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square" lIns="91440" tIns="45720" rIns="91440" bIns="45720" numCol="1" rtlCol="0" anchor="t" anchorCtr="0" compatLnSpc="1">
          <a:prstTxWarp prst="textNoShape">
            <a:avLst/>
          </a:prstTxWarp>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R="0" algn="l" defTabSz="914400" rtl="0" eaLnBrk="1" fontAlgn="base" latinLnBrk="0" hangingPunct="1">
            <a:lnSpc>
              <a:spcPct val="100000"/>
            </a:lnSpc>
            <a:spcBef>
              <a:spcPct val="50000"/>
            </a:spcBef>
            <a:spcAft>
              <a:spcPct val="0"/>
            </a:spcAft>
            <a:buClrTx/>
            <a:buSzTx/>
            <a:tabLst/>
          </a:pPr>
          <a:r>
            <a:rPr kumimoji="0" lang="en-US" sz="10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rPr>
            <a:t>2.60</a:t>
          </a:r>
        </a:p>
      </cdr:txBody>
    </cdr:sp>
  </cdr:relSizeAnchor>
</c:userShapes>
</file>

<file path=word/drawings/drawing5.xml><?xml version="1.0" encoding="utf-8"?>
<c:userShapes xmlns:c="http://schemas.openxmlformats.org/drawingml/2006/chart">
  <cdr:relSizeAnchor xmlns:cdr="http://schemas.openxmlformats.org/drawingml/2006/chartDrawing">
    <cdr:from>
      <cdr:x>0.09224</cdr:x>
      <cdr:y>0.27238</cdr:y>
    </cdr:from>
    <cdr:to>
      <cdr:x>0.24819</cdr:x>
      <cdr:y>0.34568</cdr:y>
    </cdr:to>
    <cdr:sp macro="" textlink="">
      <cdr:nvSpPr>
        <cdr:cNvPr id="2" name="Speech Bubble: Rectangle 1"/>
        <cdr:cNvSpPr/>
      </cdr:nvSpPr>
      <cdr:spPr bwMode="auto">
        <a:xfrm xmlns:a="http://schemas.openxmlformats.org/drawingml/2006/main">
          <a:off x="299296" y="840591"/>
          <a:ext cx="506032" cy="226209"/>
        </a:xfrm>
        <a:prstGeom xmlns:a="http://schemas.openxmlformats.org/drawingml/2006/main" prst="wedgeRectCallout">
          <a:avLst>
            <a:gd name="adj1" fmla="val -11742"/>
            <a:gd name="adj2" fmla="val 143452"/>
          </a:avLst>
        </a:prstGeom>
        <a:ln xmlns:a="http://schemas.openxmlformats.org/drawingml/2006/main" w="3175">
          <a:headEnd type="none" w="med" len="med"/>
          <a:tailEnd type="none" w="med" len="me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square" lIns="91440" tIns="45720" rIns="91440" bIns="45720" numCol="1" rtlCol="0" anchor="t" anchorCtr="0" compatLnSpc="1">
          <a:prstTxWarp prst="textNoShape">
            <a:avLst/>
          </a:prstTxWarp>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R="0" algn="l" defTabSz="914400" rtl="0" eaLnBrk="1" fontAlgn="base" latinLnBrk="0" hangingPunct="1">
            <a:lnSpc>
              <a:spcPct val="100000"/>
            </a:lnSpc>
            <a:spcBef>
              <a:spcPct val="50000"/>
            </a:spcBef>
            <a:spcAft>
              <a:spcPct val="0"/>
            </a:spcAft>
            <a:buClrTx/>
            <a:buSzTx/>
            <a:tabLst/>
          </a:pPr>
          <a:r>
            <a:rPr kumimoji="0" lang="en-US" sz="10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rPr>
            <a:t>2.88</a:t>
          </a:r>
        </a:p>
      </cdr:txBody>
    </cdr:sp>
  </cdr:relSizeAnchor>
  <cdr:relSizeAnchor xmlns:cdr="http://schemas.openxmlformats.org/drawingml/2006/chartDrawing">
    <cdr:from>
      <cdr:x>0.26728</cdr:x>
      <cdr:y>0.353</cdr:y>
    </cdr:from>
    <cdr:to>
      <cdr:x>0.41097</cdr:x>
      <cdr:y>0.41667</cdr:y>
    </cdr:to>
    <cdr:sp macro="" textlink="">
      <cdr:nvSpPr>
        <cdr:cNvPr id="3" name="Speech Bubble: Rectangle 2"/>
        <cdr:cNvSpPr/>
      </cdr:nvSpPr>
      <cdr:spPr bwMode="auto">
        <a:xfrm xmlns:a="http://schemas.openxmlformats.org/drawingml/2006/main">
          <a:off x="867278" y="1089397"/>
          <a:ext cx="466244" cy="196478"/>
        </a:xfrm>
        <a:prstGeom xmlns:a="http://schemas.openxmlformats.org/drawingml/2006/main" prst="wedgeRectCallout">
          <a:avLst>
            <a:gd name="adj1" fmla="val -19444"/>
            <a:gd name="adj2" fmla="val 97231"/>
          </a:avLst>
        </a:prstGeom>
        <a:ln xmlns:a="http://schemas.openxmlformats.org/drawingml/2006/main" w="3175">
          <a:headEnd type="none" w="med" len="med"/>
          <a:tailEnd type="none" w="med" len="me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square" lIns="91440" tIns="45720" rIns="91440" bIns="45720" numCol="1" rtlCol="0" anchor="t" anchorCtr="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R="0" algn="l" defTabSz="914400" rtl="0" eaLnBrk="1" fontAlgn="base" latinLnBrk="0" hangingPunct="1">
            <a:lnSpc>
              <a:spcPct val="100000"/>
            </a:lnSpc>
            <a:spcBef>
              <a:spcPct val="50000"/>
            </a:spcBef>
            <a:spcAft>
              <a:spcPct val="0"/>
            </a:spcAft>
            <a:buClrTx/>
            <a:buSzTx/>
            <a:tabLst/>
          </a:pPr>
          <a:r>
            <a:rPr kumimoji="0" lang="en-US" sz="10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rPr>
            <a:t>2.73</a:t>
          </a:r>
        </a:p>
      </cdr:txBody>
    </cdr:sp>
  </cdr:relSizeAnchor>
  <cdr:relSizeAnchor xmlns:cdr="http://schemas.openxmlformats.org/drawingml/2006/chartDrawing">
    <cdr:from>
      <cdr:x>0.43949</cdr:x>
      <cdr:y>0.41907</cdr:y>
    </cdr:from>
    <cdr:to>
      <cdr:x>0.58612</cdr:x>
      <cdr:y>0.48148</cdr:y>
    </cdr:to>
    <cdr:sp macro="" textlink="">
      <cdr:nvSpPr>
        <cdr:cNvPr id="4" name="Speech Bubble: Rectangle 3"/>
        <cdr:cNvSpPr/>
      </cdr:nvSpPr>
      <cdr:spPr bwMode="auto">
        <a:xfrm xmlns:a="http://schemas.openxmlformats.org/drawingml/2006/main">
          <a:off x="1426069" y="1293279"/>
          <a:ext cx="475805" cy="192621"/>
        </a:xfrm>
        <a:prstGeom xmlns:a="http://schemas.openxmlformats.org/drawingml/2006/main" prst="wedgeRectCallout">
          <a:avLst>
            <a:gd name="adj1" fmla="val -5736"/>
            <a:gd name="adj2" fmla="val 108837"/>
          </a:avLst>
        </a:prstGeom>
        <a:ln xmlns:a="http://schemas.openxmlformats.org/drawingml/2006/main" w="3175">
          <a:headEnd type="none" w="med" len="med"/>
          <a:tailEnd type="none" w="med" len="me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square" lIns="91440" tIns="45720" rIns="91440" bIns="45720" numCol="1" rtlCol="0" anchor="t" anchorCtr="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R="0" algn="l" defTabSz="914400" rtl="0" eaLnBrk="1" fontAlgn="base" latinLnBrk="0" hangingPunct="1">
            <a:lnSpc>
              <a:spcPct val="100000"/>
            </a:lnSpc>
            <a:spcBef>
              <a:spcPct val="50000"/>
            </a:spcBef>
            <a:spcAft>
              <a:spcPct val="0"/>
            </a:spcAft>
            <a:buClrTx/>
            <a:buSzTx/>
            <a:tabLst/>
          </a:pPr>
          <a:r>
            <a:rPr kumimoji="0" lang="en-US" sz="10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rPr>
            <a:t>2.19</a:t>
          </a:r>
        </a:p>
      </cdr:txBody>
    </cdr:sp>
  </cdr:relSizeAnchor>
</c:userShapes>
</file>

<file path=word/drawings/drawing6.xml><?xml version="1.0" encoding="utf-8"?>
<c:userShapes xmlns:c="http://schemas.openxmlformats.org/drawingml/2006/chart">
  <cdr:relSizeAnchor xmlns:cdr="http://schemas.openxmlformats.org/drawingml/2006/chartDrawing">
    <cdr:from>
      <cdr:x>0.54127</cdr:x>
      <cdr:y>0.22332</cdr:y>
    </cdr:from>
    <cdr:to>
      <cdr:x>0.64007</cdr:x>
      <cdr:y>0.31277</cdr:y>
    </cdr:to>
    <cdr:sp macro="" textlink="">
      <cdr:nvSpPr>
        <cdr:cNvPr id="2" name="Speech Bubble: Rectangle 1">
          <a:extLst xmlns:a="http://schemas.openxmlformats.org/drawingml/2006/main">
            <a:ext uri="{FF2B5EF4-FFF2-40B4-BE49-F238E27FC236}">
              <a16:creationId xmlns:a16="http://schemas.microsoft.com/office/drawing/2014/main" id="{E1EC60AF-713F-384C-9F41-24EA92F1A774}"/>
            </a:ext>
          </a:extLst>
        </cdr:cNvPr>
        <cdr:cNvSpPr/>
      </cdr:nvSpPr>
      <cdr:spPr>
        <a:xfrm xmlns:a="http://schemas.openxmlformats.org/drawingml/2006/main">
          <a:off x="2969611" y="680672"/>
          <a:ext cx="542075" cy="272638"/>
        </a:xfrm>
        <a:prstGeom xmlns:a="http://schemas.openxmlformats.org/drawingml/2006/main" prst="wedgeRectCallout">
          <a:avLst>
            <a:gd name="adj1" fmla="val 6226"/>
            <a:gd name="adj2" fmla="val 110227"/>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1200">
              <a:effectLst/>
              <a:latin typeface="Times New Roman" panose="02020603050405020304" pitchFamily="18" charset="0"/>
              <a:ea typeface="MS Mincho" panose="020B0400000000000000" pitchFamily="49" charset="-128"/>
              <a:cs typeface="Times New Roman" panose="02020603050405020304" pitchFamily="18" charset="0"/>
            </a:rPr>
            <a:t>2.88</a:t>
          </a:r>
        </a:p>
      </cdr:txBody>
    </cdr:sp>
  </cdr:relSizeAnchor>
</c:userShapes>
</file>

<file path=word/drawings/drawing7.xml><?xml version="1.0" encoding="utf-8"?>
<c:userShapes xmlns:c="http://schemas.openxmlformats.org/drawingml/2006/chart">
  <cdr:relSizeAnchor xmlns:cdr="http://schemas.openxmlformats.org/drawingml/2006/chartDrawing">
    <cdr:from>
      <cdr:x>0.33924</cdr:x>
      <cdr:y>0.21911</cdr:y>
    </cdr:from>
    <cdr:to>
      <cdr:x>0.69749</cdr:x>
      <cdr:y>0.30065</cdr:y>
    </cdr:to>
    <cdr:sp macro="" textlink="">
      <cdr:nvSpPr>
        <cdr:cNvPr id="2" name="Speech Bubble: Rectangle 1"/>
        <cdr:cNvSpPr/>
      </cdr:nvSpPr>
      <cdr:spPr>
        <a:xfrm xmlns:a="http://schemas.openxmlformats.org/drawingml/2006/main">
          <a:off x="565470" y="730456"/>
          <a:ext cx="597154" cy="271834"/>
        </a:xfrm>
        <a:prstGeom xmlns:a="http://schemas.openxmlformats.org/drawingml/2006/main" prst="wedgeRectCallou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1000">
              <a:effectLst/>
              <a:latin typeface="Times New Roman" charset="0"/>
              <a:ea typeface="Times New Roman" charset="0"/>
              <a:cs typeface="Times New Roman" charset="0"/>
            </a:rPr>
            <a:t>2.88</a:t>
          </a:r>
        </a:p>
      </cdr:txBody>
    </cdr:sp>
  </cdr:relSizeAnchor>
</c:userShapes>
</file>

<file path=word/drawings/drawing8.xml><?xml version="1.0" encoding="utf-8"?>
<c:userShapes xmlns:c="http://schemas.openxmlformats.org/drawingml/2006/chart">
  <cdr:relSizeAnchor xmlns:cdr="http://schemas.openxmlformats.org/drawingml/2006/chartDrawing">
    <cdr:from>
      <cdr:x>0.14108</cdr:x>
      <cdr:y>0.23785</cdr:y>
    </cdr:from>
    <cdr:to>
      <cdr:x>0.30477</cdr:x>
      <cdr:y>0.33298</cdr:y>
    </cdr:to>
    <cdr:sp macro="" textlink="">
      <cdr:nvSpPr>
        <cdr:cNvPr id="2" name="Speech Bubble: Rectangle 1"/>
        <cdr:cNvSpPr/>
      </cdr:nvSpPr>
      <cdr:spPr>
        <a:xfrm xmlns:a="http://schemas.openxmlformats.org/drawingml/2006/main">
          <a:off x="514655" y="679647"/>
          <a:ext cx="597154" cy="271834"/>
        </a:xfrm>
        <a:prstGeom xmlns:a="http://schemas.openxmlformats.org/drawingml/2006/main" prst="wedgeRectCallou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spcBef>
              <a:spcPts val="0"/>
            </a:spcBef>
            <a:spcAft>
              <a:spcPts val="0"/>
            </a:spcAft>
          </a:pPr>
          <a:r>
            <a:rPr lang="en-US" sz="1000">
              <a:effectLst/>
              <a:latin typeface="Times New Roman" charset="0"/>
              <a:ea typeface="Times New Roman" charset="0"/>
              <a:cs typeface="Times New Roman" charset="0"/>
            </a:rPr>
            <a:t>3.37</a:t>
          </a:r>
        </a:p>
      </cdr:txBody>
    </cdr:sp>
  </cdr:relSizeAnchor>
  <cdr:relSizeAnchor xmlns:cdr="http://schemas.openxmlformats.org/drawingml/2006/chartDrawing">
    <cdr:from>
      <cdr:x>0.40358</cdr:x>
      <cdr:y>0.37741</cdr:y>
    </cdr:from>
    <cdr:to>
      <cdr:x>0.56727</cdr:x>
      <cdr:y>0.47254</cdr:y>
    </cdr:to>
    <cdr:sp macro="" textlink="">
      <cdr:nvSpPr>
        <cdr:cNvPr id="3" name="Speech Bubble: Rectangle 2"/>
        <cdr:cNvSpPr/>
      </cdr:nvSpPr>
      <cdr:spPr>
        <a:xfrm xmlns:a="http://schemas.openxmlformats.org/drawingml/2006/main">
          <a:off x="1472302" y="1078440"/>
          <a:ext cx="597154" cy="271834"/>
        </a:xfrm>
        <a:prstGeom xmlns:a="http://schemas.openxmlformats.org/drawingml/2006/main" prst="wedgeRectCallou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spcBef>
              <a:spcPts val="0"/>
            </a:spcBef>
            <a:spcAft>
              <a:spcPts val="0"/>
            </a:spcAft>
          </a:pPr>
          <a:r>
            <a:rPr lang="en-US" sz="1000">
              <a:effectLst/>
              <a:latin typeface="Times New Roman" charset="0"/>
              <a:ea typeface="Times New Roman" charset="0"/>
              <a:cs typeface="Times New Roman" charset="0"/>
            </a:rPr>
            <a:t>2.40</a:t>
          </a:r>
        </a:p>
      </cdr:txBody>
    </cdr:sp>
  </cdr:relSizeAnchor>
</c:userShapes>
</file>

<file path=word/drawings/drawing9.xml><?xml version="1.0" encoding="utf-8"?>
<c:userShapes xmlns:c="http://schemas.openxmlformats.org/drawingml/2006/chart">
  <cdr:relSizeAnchor xmlns:cdr="http://schemas.openxmlformats.org/drawingml/2006/chartDrawing">
    <cdr:from>
      <cdr:x>0.6123</cdr:x>
      <cdr:y>0.19325</cdr:y>
    </cdr:from>
    <cdr:to>
      <cdr:x>0.7305</cdr:x>
      <cdr:y>0.27438</cdr:y>
    </cdr:to>
    <cdr:sp macro="" textlink="">
      <cdr:nvSpPr>
        <cdr:cNvPr id="2" name="Speech Bubble: Rectangle 1">
          <a:extLst xmlns:a="http://schemas.openxmlformats.org/drawingml/2006/main">
            <a:ext uri="{FF2B5EF4-FFF2-40B4-BE49-F238E27FC236}">
              <a16:creationId xmlns:a16="http://schemas.microsoft.com/office/drawing/2014/main" id="{C559C606-A047-B347-832C-42981131F4C9}"/>
            </a:ext>
          </a:extLst>
        </cdr:cNvPr>
        <cdr:cNvSpPr/>
      </cdr:nvSpPr>
      <cdr:spPr>
        <a:xfrm xmlns:a="http://schemas.openxmlformats.org/drawingml/2006/main">
          <a:off x="3359314" y="642026"/>
          <a:ext cx="648481" cy="269566"/>
        </a:xfrm>
        <a:prstGeom xmlns:a="http://schemas.openxmlformats.org/drawingml/2006/main" prst="wedgeRectCallout">
          <a:avLst/>
        </a:prstGeom>
        <a:ln xmlns:a="http://schemas.openxmlformats.org/drawingml/2006/main" w="3175"/>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spcBef>
              <a:spcPts val="0"/>
            </a:spcBef>
            <a:spcAft>
              <a:spcPts val="0"/>
            </a:spcAft>
          </a:pPr>
          <a:r>
            <a:rPr lang="en-US" sz="1200">
              <a:effectLst/>
              <a:latin typeface="Times New Roman" charset="0"/>
              <a:ea typeface="Times New Roman" charset="0"/>
              <a:cs typeface="Times New Roman" charset="0"/>
            </a:rPr>
            <a:t>3.37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EBCBDFBBF6F28C4A8EB0A87D4F2F67B1" ma:contentTypeVersion="48" ma:contentTypeDescription="" ma:contentTypeScope="" ma:versionID="8020892694f5c0505634d19e5a29da4c">
  <xsd:schema xmlns:xsd="http://www.w3.org/2001/XMLSchema" xmlns:xs="http://www.w3.org/2001/XMLSchema" xmlns:p="http://schemas.microsoft.com/office/2006/metadata/properties" xmlns:ns2="b99a068c-3844-4a16-badd-77233eea0529" targetNamespace="http://schemas.microsoft.com/office/2006/metadata/properties" ma:root="true" ma:fieldsID="d0f06ae0b7eedc4ab6c4ebc07be9aed2"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cAuthors xmlns="b99a068c-3844-4a16-badd-77233eea0529">000295473:Laurent Olivier Corthay:lcorthay@worldbank.org;</DocAuthors>
    <Authors xmlns="b99a068c-3844-4a16-badd-77233eea0529">
      <UserInfo>
        <DisplayName>i:0#.w|wb\wb295473</DisplayName>
        <AccountId>8776</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2018-11-02T04:00:00+00:00</DocumentDate>
    <WBDocType xmlns="b99a068c-3844-4a16-badd-77233eea0529">Report</WBDocType>
    <SecurityClassification xmlns="b99a068c-3844-4a16-badd-77233eea0529">Public</SecurityClassification>
    <DeliverableID xmlns="b99a068c-3844-4a16-badd-77233eea0529">DLV0183914</DeliverableID>
    <ProjectID xmlns="b99a068c-3844-4a16-badd-77233eea0529">P161218</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6782ADDB-1A23-4340-B98C-208E6F9915D4}"/>
</file>

<file path=customXml/itemProps2.xml><?xml version="1.0" encoding="utf-8"?>
<ds:datastoreItem xmlns:ds="http://schemas.openxmlformats.org/officeDocument/2006/customXml" ds:itemID="{85FBF6F9-83AD-4400-BA1C-BAE468EC95AA}"/>
</file>

<file path=customXml/itemProps3.xml><?xml version="1.0" encoding="utf-8"?>
<ds:datastoreItem xmlns:ds="http://schemas.openxmlformats.org/officeDocument/2006/customXml" ds:itemID="{36893D27-AB26-4731-AB0A-1A677E377695}"/>
</file>

<file path=customXml/itemProps4.xml><?xml version="1.0" encoding="utf-8"?>
<ds:datastoreItem xmlns:ds="http://schemas.openxmlformats.org/officeDocument/2006/customXml" ds:itemID="{3A27E681-BFB9-40B3-92C7-8E83E64ADEE7}"/>
</file>

<file path=customXml/itemProps5.xml><?xml version="1.0" encoding="utf-8"?>
<ds:datastoreItem xmlns:ds="http://schemas.openxmlformats.org/officeDocument/2006/customXml" ds:itemID="{B1CA84BF-A80A-4310-A4B5-C387764A1F5E}"/>
</file>

<file path=docProps/app.xml><?xml version="1.0" encoding="utf-8"?>
<Properties xmlns="http://schemas.openxmlformats.org/officeDocument/2006/extended-properties" xmlns:vt="http://schemas.openxmlformats.org/officeDocument/2006/docPropsVTypes">
  <Template>Normal.dotm</Template>
  <TotalTime>203</TotalTime>
  <Pages>218</Pages>
  <Words>72175</Words>
  <Characters>411399</Characters>
  <Application>Microsoft Office Word</Application>
  <DocSecurity>0</DocSecurity>
  <Lines>3428</Lines>
  <Paragraphs>965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Lists of Table, Figures and Boxes</vt:lpstr>
      <vt:lpstr>    List of Figures</vt:lpstr>
      <vt:lpstr>    List of Tables</vt:lpstr>
      <vt:lpstr>    List of Boxes</vt:lpstr>
      <vt:lpstr>List of Acronyms</vt:lpstr>
      <vt:lpstr>Acknowledgements</vt:lpstr>
      <vt:lpstr>Executive Summary</vt:lpstr>
      <vt:lpstr>1. Introduction</vt:lpstr>
      <vt:lpstr>    1.1 Objectives of the Report</vt:lpstr>
      <vt:lpstr>    1.2 Economic Overview</vt:lpstr>
    </vt:vector>
  </TitlesOfParts>
  <Company/>
  <LinksUpToDate>false</LinksUpToDate>
  <CharactersWithSpaces>482609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Senegal MCPAT - Better Markets for All Through Competition - Final Report </dc:title>
  <dc:subject/>
  <dc:creator>Julian Koschorke</dc:creator>
  <cp:keywords/>
  <dc:description/>
  <cp:lastModifiedBy>Georgiana Pop</cp:lastModifiedBy>
  <cp:revision>24</cp:revision>
  <cp:lastPrinted>2018-09-06T18:23:00Z</cp:lastPrinted>
  <dcterms:created xsi:type="dcterms:W3CDTF">2018-07-30T18:01:00Z</dcterms:created>
  <dcterms:modified xsi:type="dcterms:W3CDTF">2018-09-07T18:57:00Z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0x01010054E0FEF4951F9D49A6F48A35419983C700EBCBDFBBF6F28C4A8EB0A87D4F2F67B1</vt:lpwstr>
  </property>
  <property fmtid="{D5CDD505-2E9C-101B-9397-08002B2CF9AE}" pid="5" name="RatedBy">
    <vt:lpwstr/>
  </property>
  <property fmtid="{D5CDD505-2E9C-101B-9397-08002B2CF9AE}" pid="7" name="LikedBy">
    <vt:lpwstr/>
  </property>
</Properties>
</file>