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53" w:rsidRDefault="00586153">
      <w:pPr>
        <w:jc w:val="center"/>
        <w:rPr>
          <w:b/>
          <w:bCs/>
        </w:rPr>
      </w:pPr>
      <w:r>
        <w:rPr>
          <w:b/>
          <w:bCs/>
        </w:rPr>
        <w:t>INTEGRATED SAFEGUARDS DATA SHEET</w:t>
      </w:r>
    </w:p>
    <w:p w:rsidR="00586153" w:rsidRDefault="00586153">
      <w:pPr>
        <w:jc w:val="center"/>
        <w:rPr>
          <w:b/>
          <w:bCs/>
        </w:rPr>
      </w:pPr>
      <w:r>
        <w:rPr>
          <w:b/>
          <w:bCs/>
        </w:rPr>
        <w:t>CONCEPT STAGE</w:t>
      </w:r>
    </w:p>
    <w:p w:rsidR="00586153" w:rsidRPr="000D5115" w:rsidRDefault="00586153">
      <w:pPr>
        <w:jc w:val="right"/>
        <w:rPr>
          <w:rFonts w:ascii="Arial" w:hAnsi="Arial" w:cs="Arial"/>
          <w:sz w:val="44"/>
          <w:szCs w:val="44"/>
        </w:rPr>
      </w:pPr>
      <w:bookmarkStart w:id="0" w:name="_GoBack"/>
      <w:r w:rsidRPr="000D5115">
        <w:rPr>
          <w:rFonts w:ascii="Arial" w:hAnsi="Arial" w:cs="Arial"/>
          <w:sz w:val="44"/>
          <w:szCs w:val="44"/>
        </w:rPr>
        <w:t xml:space="preserve">Report No.:  </w:t>
      </w:r>
      <w:bookmarkStart w:id="1" w:name="ReportNo"/>
      <w:bookmarkEnd w:id="1"/>
      <w:r w:rsidR="000D5115" w:rsidRPr="000D5115">
        <w:rPr>
          <w:rFonts w:ascii="Arial" w:hAnsi="Arial" w:cs="Arial"/>
          <w:sz w:val="44"/>
          <w:szCs w:val="44"/>
        </w:rPr>
        <w:t>76145</w:t>
      </w:r>
    </w:p>
    <w:bookmarkEnd w:id="0"/>
    <w:p w:rsidR="00586153" w:rsidRDefault="00586153"/>
    <w:p w:rsidR="00586153" w:rsidRDefault="00586153"/>
    <w:p w:rsidR="00586153" w:rsidRDefault="00586153">
      <w:pPr>
        <w:rPr>
          <w:b/>
          <w:bCs/>
        </w:rPr>
      </w:pPr>
      <w:r>
        <w:rPr>
          <w:b/>
          <w:bCs/>
        </w:rPr>
        <w:t xml:space="preserve">Date ISDS Prepared/Updated: </w:t>
      </w:r>
      <w:bookmarkStart w:id="2" w:name="DATEPREPARED"/>
      <w:bookmarkStart w:id="3" w:name="UPD_DATE"/>
      <w:bookmarkEnd w:id="2"/>
      <w:r w:rsidR="003322A7">
        <w:rPr>
          <w:b/>
          <w:bCs/>
        </w:rPr>
        <w:t>03/</w:t>
      </w:r>
      <w:r w:rsidR="00026964">
        <w:rPr>
          <w:b/>
          <w:bCs/>
        </w:rPr>
        <w:t>19</w:t>
      </w:r>
      <w:r w:rsidR="003322A7">
        <w:rPr>
          <w:b/>
          <w:bCs/>
        </w:rPr>
        <w:t>/2013</w:t>
      </w:r>
      <w:bookmarkEnd w:id="3"/>
    </w:p>
    <w:p w:rsidR="00586153" w:rsidRDefault="00586153"/>
    <w:p w:rsidR="00586153" w:rsidRDefault="00586153">
      <w:pPr>
        <w:rPr>
          <w:b/>
          <w:bCs/>
        </w:rPr>
      </w:pPr>
      <w:r>
        <w:rPr>
          <w:b/>
          <w:bCs/>
        </w:rPr>
        <w:t>I.  BASIC INFORMATION</w:t>
      </w:r>
    </w:p>
    <w:p w:rsidR="00586153" w:rsidRDefault="00586153"/>
    <w:p w:rsidR="00586153" w:rsidRDefault="00586153">
      <w:pPr>
        <w:rPr>
          <w:b/>
          <w:bCs/>
        </w:rPr>
      </w:pPr>
      <w:r>
        <w:rPr>
          <w:b/>
          <w:bCs/>
        </w:rPr>
        <w:t>A.  Basic Project Data</w:t>
      </w:r>
    </w:p>
    <w:p w:rsidR="00586153" w:rsidRDefault="005861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586153">
        <w:tc>
          <w:tcPr>
            <w:tcW w:w="4428" w:type="dxa"/>
          </w:tcPr>
          <w:p w:rsidR="00586153" w:rsidRDefault="00586153">
            <w:r>
              <w:t xml:space="preserve">Country: </w:t>
            </w:r>
            <w:bookmarkStart w:id="4" w:name="COUNTRY"/>
            <w:bookmarkStart w:id="5" w:name="COUNTRY_NAME"/>
            <w:bookmarkEnd w:id="4"/>
            <w:r w:rsidR="003322A7">
              <w:t>Mali</w:t>
            </w:r>
            <w:bookmarkEnd w:id="5"/>
          </w:p>
        </w:tc>
        <w:tc>
          <w:tcPr>
            <w:tcW w:w="4428" w:type="dxa"/>
          </w:tcPr>
          <w:p w:rsidR="00586153" w:rsidRDefault="00586153">
            <w:r>
              <w:t xml:space="preserve">Project ID: </w:t>
            </w:r>
            <w:bookmarkStart w:id="6" w:name="PROJECTCODE"/>
            <w:bookmarkStart w:id="7" w:name="PARENT_PSPID"/>
            <w:bookmarkEnd w:id="6"/>
            <w:r w:rsidR="003322A7">
              <w:t>P127328</w:t>
            </w:r>
            <w:bookmarkEnd w:id="7"/>
          </w:p>
        </w:tc>
      </w:tr>
      <w:tr w:rsidR="00586153">
        <w:tc>
          <w:tcPr>
            <w:tcW w:w="8856" w:type="dxa"/>
            <w:gridSpan w:val="2"/>
          </w:tcPr>
          <w:p w:rsidR="00586153" w:rsidRDefault="00586153">
            <w:r>
              <w:t xml:space="preserve">Project Name: </w:t>
            </w:r>
            <w:bookmarkStart w:id="8" w:name="PROJECTNAME"/>
            <w:bookmarkStart w:id="9" w:name="PROJECT_NAME"/>
            <w:bookmarkEnd w:id="8"/>
            <w:r w:rsidR="003322A7">
              <w:t>Emergency Safety Nets project (</w:t>
            </w:r>
            <w:proofErr w:type="spellStart"/>
            <w:r w:rsidR="003322A7">
              <w:t>Jigiséméjiri</w:t>
            </w:r>
            <w:proofErr w:type="spellEnd"/>
            <w:r w:rsidR="003322A7">
              <w:t>)</w:t>
            </w:r>
            <w:bookmarkEnd w:id="9"/>
          </w:p>
        </w:tc>
      </w:tr>
      <w:tr w:rsidR="00586153">
        <w:trPr>
          <w:cantSplit/>
        </w:trPr>
        <w:tc>
          <w:tcPr>
            <w:tcW w:w="8856" w:type="dxa"/>
            <w:gridSpan w:val="2"/>
          </w:tcPr>
          <w:p w:rsidR="00586153" w:rsidRDefault="00586153">
            <w:r>
              <w:t xml:space="preserve">Task Team Leader: </w:t>
            </w:r>
            <w:bookmarkStart w:id="10" w:name="VERNA"/>
            <w:proofErr w:type="spellStart"/>
            <w:r w:rsidR="003322A7">
              <w:t>Setareh</w:t>
            </w:r>
            <w:proofErr w:type="spellEnd"/>
            <w:r w:rsidR="003322A7">
              <w:t xml:space="preserve"> </w:t>
            </w:r>
            <w:proofErr w:type="spellStart"/>
            <w:r w:rsidR="003322A7">
              <w:t>Razmara</w:t>
            </w:r>
            <w:bookmarkEnd w:id="10"/>
            <w:proofErr w:type="spellEnd"/>
          </w:p>
        </w:tc>
      </w:tr>
      <w:tr w:rsidR="00586153">
        <w:trPr>
          <w:cantSplit/>
        </w:trPr>
        <w:tc>
          <w:tcPr>
            <w:tcW w:w="4428" w:type="dxa"/>
          </w:tcPr>
          <w:p w:rsidR="00586153" w:rsidRDefault="00586153">
            <w:r>
              <w:t xml:space="preserve">Estimated Appraisal Date: </w:t>
            </w:r>
            <w:bookmarkStart w:id="11" w:name="APPRAISALDATE"/>
            <w:bookmarkStart w:id="12" w:name="APPRAISAL_DATE"/>
            <w:bookmarkEnd w:id="11"/>
            <w:r w:rsidR="003322A7">
              <w:t>December 3, 2012</w:t>
            </w:r>
            <w:bookmarkEnd w:id="12"/>
          </w:p>
        </w:tc>
        <w:tc>
          <w:tcPr>
            <w:tcW w:w="4428" w:type="dxa"/>
          </w:tcPr>
          <w:p w:rsidR="00586153" w:rsidRDefault="00586153">
            <w:r>
              <w:t xml:space="preserve">Estimated Board Date: </w:t>
            </w:r>
            <w:bookmarkStart w:id="13" w:name="BOARDAPPROVALDATE"/>
            <w:bookmarkStart w:id="14" w:name="BOARD_APPROVAL"/>
            <w:bookmarkEnd w:id="13"/>
            <w:r w:rsidR="003322A7">
              <w:t>April 11, 2013</w:t>
            </w:r>
            <w:bookmarkEnd w:id="14"/>
          </w:p>
        </w:tc>
      </w:tr>
      <w:tr w:rsidR="00586153">
        <w:tc>
          <w:tcPr>
            <w:tcW w:w="4428" w:type="dxa"/>
          </w:tcPr>
          <w:p w:rsidR="00586153" w:rsidRDefault="00586153">
            <w:r>
              <w:t xml:space="preserve">Managing Unit: </w:t>
            </w:r>
            <w:bookmarkStart w:id="15" w:name="MANAGINGUNIT"/>
            <w:bookmarkStart w:id="16" w:name="MANAGING_UNIT_NAME"/>
            <w:bookmarkEnd w:id="15"/>
            <w:r w:rsidR="003322A7">
              <w:t>AFTSW</w:t>
            </w:r>
            <w:bookmarkEnd w:id="16"/>
          </w:p>
        </w:tc>
        <w:tc>
          <w:tcPr>
            <w:tcW w:w="4428" w:type="dxa"/>
          </w:tcPr>
          <w:p w:rsidR="00586153" w:rsidRDefault="00586153">
            <w:r>
              <w:t xml:space="preserve">Lending Instrument: </w:t>
            </w:r>
            <w:bookmarkStart w:id="17" w:name="INSTR_NAME"/>
            <w:r w:rsidR="003322A7">
              <w:t>Emergency Recovery Loan</w:t>
            </w:r>
            <w:bookmarkEnd w:id="17"/>
          </w:p>
        </w:tc>
      </w:tr>
      <w:tr w:rsidR="00586153">
        <w:tc>
          <w:tcPr>
            <w:tcW w:w="8856" w:type="dxa"/>
            <w:gridSpan w:val="2"/>
          </w:tcPr>
          <w:p w:rsidR="00586153" w:rsidRDefault="00586153">
            <w:r>
              <w:t xml:space="preserve">Sector: </w:t>
            </w:r>
            <w:bookmarkStart w:id="18" w:name="SECTOR"/>
            <w:bookmarkStart w:id="19" w:name="SEC_SHORT_NAME"/>
            <w:bookmarkEnd w:id="18"/>
            <w:r w:rsidR="003322A7">
              <w:t>Other social services (100%)</w:t>
            </w:r>
            <w:bookmarkEnd w:id="19"/>
          </w:p>
        </w:tc>
      </w:tr>
      <w:tr w:rsidR="00586153">
        <w:trPr>
          <w:cantSplit/>
        </w:trPr>
        <w:tc>
          <w:tcPr>
            <w:tcW w:w="8856" w:type="dxa"/>
            <w:gridSpan w:val="2"/>
            <w:tcBorders>
              <w:bottom w:val="single" w:sz="4" w:space="0" w:color="auto"/>
            </w:tcBorders>
          </w:tcPr>
          <w:p w:rsidR="00586153" w:rsidRDefault="00586153">
            <w:r>
              <w:t xml:space="preserve">Theme: </w:t>
            </w:r>
            <w:bookmarkStart w:id="20" w:name="THEME_NAME"/>
            <w:r w:rsidR="003322A7">
              <w:t>Social safety nets (50%)</w:t>
            </w:r>
            <w:proofErr w:type="gramStart"/>
            <w:r w:rsidR="003322A7">
              <w:t>;Other</w:t>
            </w:r>
            <w:proofErr w:type="gramEnd"/>
            <w:r w:rsidR="003322A7">
              <w:t xml:space="preserve"> social protection and risk management (20%);Vulnerability assessment and monitoring (20%);Nutrition and food security (10%)</w:t>
            </w:r>
            <w:bookmarkEnd w:id="20"/>
          </w:p>
        </w:tc>
      </w:tr>
      <w:tr w:rsidR="00586153">
        <w:trPr>
          <w:cantSplit/>
        </w:trPr>
        <w:tc>
          <w:tcPr>
            <w:tcW w:w="8856" w:type="dxa"/>
            <w:gridSpan w:val="2"/>
            <w:tcBorders>
              <w:bottom w:val="nil"/>
            </w:tcBorders>
          </w:tcPr>
          <w:p w:rsidR="00586153" w:rsidRDefault="00586153">
            <w:pPr>
              <w:tabs>
                <w:tab w:val="left" w:pos="720"/>
                <w:tab w:val="decimal" w:pos="3240"/>
              </w:tabs>
            </w:pPr>
            <w:r>
              <w:t>IBRD Amount (</w:t>
            </w:r>
            <w:proofErr w:type="spellStart"/>
            <w:r>
              <w:t>US$m</w:t>
            </w:r>
            <w:proofErr w:type="spellEnd"/>
            <w:r>
              <w:t>.):</w:t>
            </w:r>
            <w:r>
              <w:tab/>
            </w:r>
            <w:bookmarkStart w:id="21" w:name="IBRD_AMT"/>
            <w:r w:rsidR="003322A7">
              <w:t>0</w:t>
            </w:r>
            <w:bookmarkEnd w:id="21"/>
          </w:p>
          <w:p w:rsidR="00586153" w:rsidRDefault="00586153">
            <w:pPr>
              <w:tabs>
                <w:tab w:val="left" w:pos="720"/>
                <w:tab w:val="decimal" w:pos="3240"/>
              </w:tabs>
            </w:pPr>
            <w:r>
              <w:t>IDA Amount (</w:t>
            </w:r>
            <w:proofErr w:type="spellStart"/>
            <w:r>
              <w:t>US$m</w:t>
            </w:r>
            <w:proofErr w:type="spellEnd"/>
            <w:r>
              <w:t>.):</w:t>
            </w:r>
            <w:r>
              <w:tab/>
            </w:r>
            <w:bookmarkStart w:id="22" w:name="IDA_AMT"/>
            <w:r w:rsidR="003322A7">
              <w:t>70</w:t>
            </w:r>
            <w:bookmarkEnd w:id="22"/>
          </w:p>
          <w:p w:rsidR="00586153" w:rsidRDefault="00586153">
            <w:pPr>
              <w:tabs>
                <w:tab w:val="left" w:pos="720"/>
                <w:tab w:val="decimal" w:pos="3240"/>
              </w:tabs>
            </w:pPr>
            <w:r>
              <w:t>GEF Amount (</w:t>
            </w:r>
            <w:proofErr w:type="spellStart"/>
            <w:r>
              <w:t>US$m</w:t>
            </w:r>
            <w:proofErr w:type="spellEnd"/>
            <w:r>
              <w:t>.):</w:t>
            </w:r>
            <w:r>
              <w:tab/>
            </w:r>
            <w:bookmarkStart w:id="23" w:name="GEF_AMT"/>
            <w:r w:rsidR="003322A7">
              <w:t>0</w:t>
            </w:r>
            <w:bookmarkEnd w:id="23"/>
          </w:p>
          <w:p w:rsidR="00586153" w:rsidRDefault="00586153">
            <w:pPr>
              <w:tabs>
                <w:tab w:val="left" w:pos="720"/>
                <w:tab w:val="decimal" w:pos="3240"/>
              </w:tabs>
            </w:pPr>
            <w:r>
              <w:t>PCF Amount (</w:t>
            </w:r>
            <w:proofErr w:type="spellStart"/>
            <w:r>
              <w:t>US$m</w:t>
            </w:r>
            <w:proofErr w:type="spellEnd"/>
            <w:r>
              <w:t>.):</w:t>
            </w:r>
            <w:r>
              <w:tab/>
            </w:r>
            <w:bookmarkStart w:id="24" w:name="PCF_AMT"/>
            <w:r w:rsidR="003322A7">
              <w:t>0</w:t>
            </w:r>
            <w:bookmarkEnd w:id="24"/>
          </w:p>
        </w:tc>
      </w:tr>
      <w:tr w:rsidR="00586153">
        <w:trPr>
          <w:cantSplit/>
        </w:trPr>
        <w:tc>
          <w:tcPr>
            <w:tcW w:w="8856" w:type="dxa"/>
            <w:gridSpan w:val="2"/>
            <w:tcBorders>
              <w:top w:val="nil"/>
              <w:left w:val="single" w:sz="4" w:space="0" w:color="auto"/>
            </w:tcBorders>
          </w:tcPr>
          <w:p w:rsidR="003322A7" w:rsidRDefault="00586153">
            <w:pPr>
              <w:tabs>
                <w:tab w:val="left" w:pos="720"/>
                <w:tab w:val="decimal" w:pos="7200"/>
              </w:tabs>
              <w:ind w:right="152"/>
            </w:pPr>
            <w:r>
              <w:t xml:space="preserve">Other financing amounts by source: </w:t>
            </w:r>
            <w:bookmarkStart w:id="25" w:name="OTHER_AMT"/>
          </w:p>
          <w:p w:rsidR="003322A7" w:rsidRDefault="003322A7">
            <w:pPr>
              <w:tabs>
                <w:tab w:val="left" w:pos="720"/>
                <w:tab w:val="decimal" w:pos="7200"/>
              </w:tabs>
              <w:ind w:right="152"/>
            </w:pPr>
            <w:r>
              <w:tab/>
            </w:r>
            <w:r w:rsidRPr="003322A7">
              <w:rPr>
                <w:u w:val="single"/>
              </w:rPr>
              <w:t>BORROWER/RECIPIENT</w:t>
            </w:r>
            <w:r w:rsidRPr="003322A7">
              <w:rPr>
                <w:u w:val="single"/>
              </w:rPr>
              <w:tab/>
              <w:t>0.00</w:t>
            </w:r>
          </w:p>
          <w:p w:rsidR="00586153" w:rsidRDefault="003322A7">
            <w:pPr>
              <w:tabs>
                <w:tab w:val="left" w:pos="720"/>
                <w:tab w:val="decimal" w:pos="7200"/>
              </w:tabs>
              <w:ind w:right="152"/>
            </w:pPr>
            <w:r>
              <w:tab/>
            </w:r>
            <w:r>
              <w:tab/>
              <w:t>0.00</w:t>
            </w:r>
            <w:bookmarkEnd w:id="25"/>
          </w:p>
        </w:tc>
      </w:tr>
    </w:tbl>
    <w:p w:rsidR="00586153" w:rsidRDefault="00586153">
      <w:pPr>
        <w:tabs>
          <w:tab w:val="left" w:pos="4428"/>
          <w:tab w:val="left" w:pos="8856"/>
        </w:tabs>
      </w:pPr>
    </w:p>
    <w:p w:rsidR="00586153" w:rsidRDefault="00586153"/>
    <w:p w:rsidR="00586153" w:rsidRDefault="00586153">
      <w:pPr>
        <w:rPr>
          <w:b/>
          <w:bCs/>
        </w:rPr>
      </w:pPr>
      <w:r>
        <w:rPr>
          <w:b/>
          <w:bCs/>
        </w:rPr>
        <w:t xml:space="preserve">B.  Project Objectives </w:t>
      </w:r>
      <w:r>
        <w:rPr>
          <w:b/>
          <w:bCs/>
          <w:color w:val="000000"/>
        </w:rPr>
        <w:t>[from section 2 of PCN]</w:t>
      </w:r>
      <w:bookmarkStart w:id="26" w:name="ProjectDevelopmentObjectives"/>
    </w:p>
    <w:p w:rsidR="00586153" w:rsidRDefault="003322A7">
      <w:bookmarkStart w:id="27" w:name="ISDS_DOTEXT"/>
      <w:r>
        <w:t xml:space="preserve">The project development objective (PDO) is to provide targeted cash transfers to the poor and food insecure households and to establish building blocks for a national safety net system in Mali.  </w:t>
      </w:r>
      <w:bookmarkEnd w:id="27"/>
    </w:p>
    <w:p w:rsidR="00586153" w:rsidRDefault="00586153"/>
    <w:bookmarkEnd w:id="26"/>
    <w:p w:rsidR="00586153" w:rsidRDefault="00586153">
      <w:pPr>
        <w:rPr>
          <w:b/>
          <w:bCs/>
        </w:rPr>
      </w:pPr>
      <w:r>
        <w:rPr>
          <w:b/>
          <w:bCs/>
        </w:rPr>
        <w:t xml:space="preserve">C.  Project Description </w:t>
      </w:r>
      <w:r>
        <w:rPr>
          <w:b/>
          <w:bCs/>
          <w:color w:val="000000"/>
        </w:rPr>
        <w:t>[from section 3 of PCN]</w:t>
      </w:r>
      <w:bookmarkStart w:id="28" w:name="ProjectDescription"/>
    </w:p>
    <w:p w:rsidR="003322A7" w:rsidRDefault="003322A7">
      <w:bookmarkStart w:id="29" w:name="ISDS_PROJDESC_TEXT"/>
      <w:r>
        <w:t>The proposed Emergency safety Nets project (</w:t>
      </w:r>
      <w:proofErr w:type="spellStart"/>
      <w:r>
        <w:t>Jigiséméjiri</w:t>
      </w:r>
      <w:proofErr w:type="spellEnd"/>
      <w:r>
        <w:t>) will have three components: (</w:t>
      </w:r>
      <w:proofErr w:type="spellStart"/>
      <w:r>
        <w:t>i</w:t>
      </w:r>
      <w:proofErr w:type="spellEnd"/>
      <w:r>
        <w:t xml:space="preserve">) cash transfers and accompanying measures to the poor households; (ii) establishment of a basic safety net system; and (iii) project management. </w:t>
      </w:r>
    </w:p>
    <w:p w:rsidR="003322A7" w:rsidRDefault="003322A7">
      <w:r>
        <w:t xml:space="preserve">     </w:t>
      </w:r>
    </w:p>
    <w:p w:rsidR="003322A7" w:rsidRDefault="003322A7">
      <w:r>
        <w:t xml:space="preserve">    Component 1 –Cash Transfer program and accompanying measures (Total Cost including contingencies US$56.5 million) </w:t>
      </w:r>
    </w:p>
    <w:p w:rsidR="003322A7" w:rsidRDefault="003322A7">
      <w:r>
        <w:t xml:space="preserve">     </w:t>
      </w:r>
    </w:p>
    <w:p w:rsidR="003322A7" w:rsidRDefault="003322A7">
      <w:r>
        <w:t xml:space="preserve">  The specific objective of this component is to: (</w:t>
      </w:r>
      <w:proofErr w:type="spellStart"/>
      <w:r>
        <w:t>i</w:t>
      </w:r>
      <w:proofErr w:type="spellEnd"/>
      <w:r>
        <w:t xml:space="preserve">) In the short-term: mitigate current poverty and vulnerability in selected areas by smoothing and increasing consumption, mainly food </w:t>
      </w:r>
      <w:r>
        <w:lastRenderedPageBreak/>
        <w:t>consumption (quantity and quality of meals) of households through targeted and regular Cash Transfers (CT); and (ii) in the medium/long-term: improve human capital of children by creating incentives for poor households to invest in their children's health and education through the combination of CT, AM, and delivery of a piloted preventive Nutrition Packages (NP).</w:t>
      </w:r>
    </w:p>
    <w:p w:rsidR="003322A7" w:rsidRDefault="003322A7">
      <w:r>
        <w:t xml:space="preserve">     </w:t>
      </w:r>
    </w:p>
    <w:p w:rsidR="003322A7" w:rsidRDefault="003322A7">
      <w:r>
        <w:t xml:space="preserve">  In this framework, the combined interventions will offer support to chronic food poor households to cope with current low consumption and seasonal shocks, as well as opportunities for a sustained improvement of living conditions. The planned interventions (CT, AM and NP) offer complementary benefits for the same targeted group of the population (chronic food poor) and consequently will be implemented in the same villages and target the same population. Moreover, selected villages will receive NP intervention that is designed to reach all children under age of 5 years old and pregnant women as a pilot exercise given the complexity of logistics in supporting service delivery and to tracking beneficiaries of such an intervention. In the longer-term, it is expected that a broader set of interventions will benefit from the national safety net system to be built, since other interventions can be added to the system to increase the impact of safety nets in the country without wasting scare resources (including conditional cash transfers). Moreover, existing safety nets programs, such as school feeding and food distribution programs, can improve their targeting once a national registry system is developed. </w:t>
      </w:r>
    </w:p>
    <w:p w:rsidR="003322A7" w:rsidRDefault="003322A7">
      <w:r>
        <w:t xml:space="preserve">     </w:t>
      </w:r>
    </w:p>
    <w:p w:rsidR="003322A7" w:rsidRDefault="003322A7">
      <w:r>
        <w:t xml:space="preserve">    Sub-component 1A: Direct Cash Transfers to poor households (Total Cost including contingencies US$ 48.9 million) </w:t>
      </w:r>
    </w:p>
    <w:p w:rsidR="003322A7" w:rsidRDefault="003322A7">
      <w:r>
        <w:t xml:space="preserve">     </w:t>
      </w:r>
    </w:p>
    <w:p w:rsidR="003322A7" w:rsidRDefault="003322A7">
      <w:r>
        <w:t xml:space="preserve">  17.</w:t>
      </w:r>
      <w:r>
        <w:tab/>
        <w:t>The CT component aims to provide timely, predictable and regular transfers to eligible households. Timely transfers will ensure achievement of program objectives, smoothing and increasing consumption, as well as protecting assets. Predictable transfers allow households to maximize the use of the money and helps households to make livelihood investments, because the timeliness and predictability of transfers enables households to plan and invest in the future, particularly in the human capital of their children. Moreover, regular transfers over an extended period may also help the household acquire productive and agricultural assets. By providing timely and regular payment, the program shifts from being ad hoc support with short-term impacts on households well-being to a continuous support system, enabling households to plan and invest in the future, particularly in human capital.  To this end, the program duration will be 36 months for selected households, and payments are expected to reach beneficiaries on quarterly basis during the project cycle. The CT will be delivered to the head of the household, or to the person identified by the head of household, because recent evidence shows that the head of household is responsible for provision of food for all household members while non-food expenditures (other than housing) are the responsibility of individual members including the women who take care of expenditures related to children.</w:t>
      </w:r>
    </w:p>
    <w:p w:rsidR="003322A7" w:rsidRDefault="003322A7">
      <w:r>
        <w:t xml:space="preserve">  </w:t>
      </w:r>
    </w:p>
    <w:p w:rsidR="003322A7" w:rsidRDefault="003322A7">
      <w:r>
        <w:t xml:space="preserve">  The target groups will include the chronic food poor households in rural areas of the five regions in the south of the country and in the urban areas of the Bamako district. The cash transfer component will target households according to their poverty levels, their needs, characteristics and capabilities. At the request of the Government, the program will be implemented in all five regions in the south (</w:t>
      </w:r>
      <w:proofErr w:type="spellStart"/>
      <w:r>
        <w:t>Sikasso</w:t>
      </w:r>
      <w:proofErr w:type="spellEnd"/>
      <w:r>
        <w:t xml:space="preserve">, </w:t>
      </w:r>
      <w:proofErr w:type="spellStart"/>
      <w:r>
        <w:t>Segou</w:t>
      </w:r>
      <w:proofErr w:type="spellEnd"/>
      <w:r>
        <w:t xml:space="preserve">, </w:t>
      </w:r>
      <w:proofErr w:type="spellStart"/>
      <w:r>
        <w:t>Mopti</w:t>
      </w:r>
      <w:proofErr w:type="spellEnd"/>
      <w:r>
        <w:t xml:space="preserve">, </w:t>
      </w:r>
      <w:proofErr w:type="spellStart"/>
      <w:r>
        <w:t>Koulikoro</w:t>
      </w:r>
      <w:proofErr w:type="spellEnd"/>
      <w:r>
        <w:t xml:space="preserve"> and </w:t>
      </w:r>
      <w:proofErr w:type="spellStart"/>
      <w:r>
        <w:t>Kayes</w:t>
      </w:r>
      <w:proofErr w:type="spellEnd"/>
      <w:r>
        <w:t>) and in the district of Bamako. Since the cash transfer program is the first large scale intervention of this kind in Mali, the proposed Project will rely on a combination of geographic and community-</w:t>
      </w:r>
      <w:r>
        <w:lastRenderedPageBreak/>
        <w:t xml:space="preserve">based targeting mechanisms, as is used in pilot programs such as UNICEF - Bourse </w:t>
      </w:r>
      <w:proofErr w:type="spellStart"/>
      <w:r>
        <w:t>Maman</w:t>
      </w:r>
      <w:proofErr w:type="spellEnd"/>
      <w:r>
        <w:t xml:space="preserve"> (closed in 2006), and ongoing OXFAM - </w:t>
      </w:r>
      <w:proofErr w:type="spellStart"/>
      <w:r>
        <w:t>Projet</w:t>
      </w:r>
      <w:proofErr w:type="spellEnd"/>
      <w:r>
        <w:t xml:space="preserve"> </w:t>
      </w:r>
      <w:proofErr w:type="spellStart"/>
      <w:r>
        <w:t>Pilote</w:t>
      </w:r>
      <w:proofErr w:type="spellEnd"/>
      <w:r>
        <w:t xml:space="preserve"> de </w:t>
      </w:r>
      <w:proofErr w:type="spellStart"/>
      <w:r>
        <w:t>Facilité</w:t>
      </w:r>
      <w:proofErr w:type="spellEnd"/>
      <w:r>
        <w:t xml:space="preserve"> </w:t>
      </w:r>
      <w:proofErr w:type="spellStart"/>
      <w:r>
        <w:t>Alimentaire</w:t>
      </w:r>
      <w:proofErr w:type="spellEnd"/>
      <w:r>
        <w:t>.</w:t>
      </w:r>
    </w:p>
    <w:p w:rsidR="003322A7" w:rsidRDefault="003322A7">
      <w:r>
        <w:t xml:space="preserve">     </w:t>
      </w:r>
    </w:p>
    <w:p w:rsidR="003322A7" w:rsidRDefault="003322A7">
      <w:r>
        <w:t xml:space="preserve">    Sub-component 1B: Accompanying measures (Total Cost including contingencies US$3.9 million) </w:t>
      </w:r>
    </w:p>
    <w:p w:rsidR="003322A7" w:rsidRDefault="003322A7">
      <w:r>
        <w:t xml:space="preserve">  </w:t>
      </w:r>
    </w:p>
    <w:p w:rsidR="003322A7" w:rsidRDefault="003322A7">
      <w:r>
        <w:t xml:space="preserve">    To maximize the benefits of cash transfers (CT) accompanying measures related to health and education will be introduced to generate incentives for households to invest in human capital accumulation that can reduce the intergenerational transmission of poverty. Accompanying measures at commune/village level will provide information to beneficiaries to promote investment in the human capital of their children. Beneficiaries of the CT will be expected to attend accompanying activities, but their absence will not result in a penalty or suspension. Over the first year of intervention, the Government will study the best way to evaluate the capacity of implementing agencies to deal with the compliance procedures. The accompanying measures will include a package of various interventions, such as (</w:t>
      </w:r>
      <w:proofErr w:type="spellStart"/>
      <w:r>
        <w:t>i</w:t>
      </w:r>
      <w:proofErr w:type="spellEnd"/>
      <w:r>
        <w:t xml:space="preserve">) information sessions on the program's objective and moral contract to participate in registration; and (ii) community/village level information campaigns to promote good practices in health, education, nutrition, family planning, investment/saving planning. </w:t>
      </w:r>
    </w:p>
    <w:p w:rsidR="003322A7" w:rsidRDefault="003322A7">
      <w:r>
        <w:t xml:space="preserve">     </w:t>
      </w:r>
    </w:p>
    <w:p w:rsidR="003322A7" w:rsidRDefault="003322A7">
      <w:r>
        <w:t xml:space="preserve">    Accompanying measures will include a package of interventions based on Malian experience on children' health and education. To improve hygiene practices and to improve education, the accompanying measures sessions will be designed according to: (</w:t>
      </w:r>
      <w:proofErr w:type="spellStart"/>
      <w:r>
        <w:t>i</w:t>
      </w:r>
      <w:proofErr w:type="spellEnd"/>
      <w:r>
        <w:t xml:space="preserve">) the Malian Parental Educational Manual (Guide </w:t>
      </w:r>
      <w:proofErr w:type="spellStart"/>
      <w:r>
        <w:t>Méthodologique</w:t>
      </w:r>
      <w:proofErr w:type="spellEnd"/>
      <w:r>
        <w:t xml:space="preserve"> de Formation en Education </w:t>
      </w:r>
      <w:proofErr w:type="spellStart"/>
      <w:r>
        <w:t>Parentale</w:t>
      </w:r>
      <w:proofErr w:type="spellEnd"/>
      <w:r>
        <w:t>) that has been developed in the context of the ongoing pilot Early Childhood Development (ECD) program; (ii) the Malian Educational Policy (</w:t>
      </w:r>
      <w:proofErr w:type="spellStart"/>
      <w:r>
        <w:t>Politique</w:t>
      </w:r>
      <w:proofErr w:type="spellEnd"/>
      <w:r>
        <w:t xml:space="preserve"> de </w:t>
      </w:r>
      <w:proofErr w:type="spellStart"/>
      <w:r>
        <w:t>l'Éducation</w:t>
      </w:r>
      <w:proofErr w:type="spellEnd"/>
      <w:r>
        <w:t xml:space="preserve"> au Mali); and (iii) the Malian Health Policies to promote the adoption of good health and nutrition practices, in order to highlight and reinforce the importance of exclusive breast-feeding, adequate and timely complementary feeding, and hygiene education for the human capital development of the children. The details of the appropriate arrangements for the AM will be defined as the assessment of AM providers is concluded by the end of February 2013. Moreover a Manual of Procedures for accompanying measures will be prepared during the first year of project implementation defining the details of the program. </w:t>
      </w:r>
    </w:p>
    <w:p w:rsidR="003322A7" w:rsidRDefault="003322A7">
      <w:r>
        <w:t xml:space="preserve">     </w:t>
      </w:r>
    </w:p>
    <w:p w:rsidR="003322A7" w:rsidRDefault="003322A7">
      <w:r>
        <w:t xml:space="preserve">    Sub-component 1C: Pilot Preventive Nutrition Package to children under five-years-old and pregnant women (Total Cost including contingencies US$3.7 million) </w:t>
      </w:r>
    </w:p>
    <w:p w:rsidR="003322A7" w:rsidRDefault="003322A7">
      <w:r>
        <w:t xml:space="preserve">     </w:t>
      </w:r>
    </w:p>
    <w:p w:rsidR="003322A7" w:rsidRDefault="003322A7">
      <w:r>
        <w:t xml:space="preserve">    The Pilot Preventive Nutrition Package (NP) is a complementary intervention to AM sessions focusing on preventive care for children and pregnant women that will be tested in a few villages. About 10% of villages selected for the cash transfer program intervention will be identified for this pilot activity according to the AM agencies capacity to deliver in-kind NP packages. In selected villages, there will be an information campaign to inform the communities that the NPs will be provided to all children under five and pregnant women during the AM sessions. The AM agencies that are providing the awareness sessions will be in charge of distributing NPs and informing attendees during the sessions how to use the products. The NPs will be tailored to each zone of intervention according to the population's needs and will be discussed in the PIM. </w:t>
      </w:r>
    </w:p>
    <w:p w:rsidR="003322A7" w:rsidRDefault="003322A7">
      <w:r>
        <w:lastRenderedPageBreak/>
        <w:t xml:space="preserve">     </w:t>
      </w:r>
    </w:p>
    <w:p w:rsidR="003322A7" w:rsidRDefault="003322A7">
      <w:r>
        <w:t xml:space="preserve">    Component 2 – Establishment of a basic safety nets system (Total Cost including contingencies US$6.8 million) </w:t>
      </w:r>
    </w:p>
    <w:p w:rsidR="003322A7" w:rsidRDefault="003322A7">
      <w:r>
        <w:t xml:space="preserve">     </w:t>
      </w:r>
    </w:p>
    <w:p w:rsidR="003322A7" w:rsidRDefault="003322A7">
      <w:r>
        <w:t xml:space="preserve">    This component will cover the set-up of basic elements of the social safety nets system. The Government aims to develop a safety nets system to support a long term safety nets interventions in the country. This component of the </w:t>
      </w:r>
      <w:proofErr w:type="spellStart"/>
      <w:r>
        <w:t>Jigiséméjiri</w:t>
      </w:r>
      <w:proofErr w:type="spellEnd"/>
      <w:r>
        <w:t xml:space="preserve"> is aligned with </w:t>
      </w:r>
      <w:proofErr w:type="spellStart"/>
      <w:proofErr w:type="gramStart"/>
      <w:r>
        <w:t>th</w:t>
      </w:r>
      <w:proofErr w:type="spellEnd"/>
      <w:proofErr w:type="gramEnd"/>
      <w:r>
        <w:t xml:space="preserve"> National Social Protection Framework, to support the broad Malian Poverty Reduction policy by the provision of technical support to the design an efficient safety nets system that will consolidate and harmonize all social safety nets in the country. To this end, activities financed by this component will support (</w:t>
      </w:r>
      <w:proofErr w:type="spellStart"/>
      <w:r>
        <w:t>i</w:t>
      </w:r>
      <w:proofErr w:type="spellEnd"/>
      <w:r>
        <w:t xml:space="preserve">) the development of the management information system (MIS) (including modules to track payments and compliance of AM and NP delivery, to prepare reporting information, and set-up a grievance reporting); (ii) the set-up of a Unified Registry (UR) of potential beneficiaries of safety nets program, which in this project is planned to reach about 62,000 beneficiaries who will benefit from cash transfers by the end of 2015 and about 120,000 by the end of 2017 including the potential beneficiaries of safety nets programs; (iii) the set-up of an Information Education and Communication Campaign (IEC); (iv) the set-up of monitoring and evaluation procedures; (v) training programs at central and regional level; (vi) Technical assistance to design a cash for work program as part of the safety net programs; and (vii) additional studies on targeting mechanism, payment mechanism and accompanying measures. </w:t>
      </w:r>
    </w:p>
    <w:p w:rsidR="003322A7" w:rsidRDefault="003322A7">
      <w:r>
        <w:t xml:space="preserve">     </w:t>
      </w:r>
    </w:p>
    <w:p w:rsidR="003322A7" w:rsidRDefault="003322A7">
      <w:r>
        <w:t xml:space="preserve">    Component 3 – Project management (Total Cost including contingencies US$ 7.9 million including </w:t>
      </w:r>
      <w:r w:rsidR="002C1192">
        <w:t xml:space="preserve">US$ 6.7 from IDA and </w:t>
      </w:r>
      <w:r>
        <w:t xml:space="preserve">US$ 1.2 million from Government contribution) </w:t>
      </w:r>
    </w:p>
    <w:p w:rsidR="003322A7" w:rsidRDefault="003322A7">
      <w:r>
        <w:t xml:space="preserve">     </w:t>
      </w:r>
    </w:p>
    <w:p w:rsidR="00586153" w:rsidRDefault="003322A7">
      <w:r>
        <w:t xml:space="preserve">  This component will support project management. It will ensure that the UTGFS is operational and that it successfully and efficiently implements the Project in conformity with the Financing Agreement, project document and the Project Implementation Manual (PIM). This component will finance: (</w:t>
      </w:r>
      <w:proofErr w:type="spellStart"/>
      <w:r>
        <w:t>i</w:t>
      </w:r>
      <w:proofErr w:type="spellEnd"/>
      <w:r>
        <w:t xml:space="preserve">) UTGFS staff (non-civil servant) salaries including operational costs at the regional levels; (ii) equipment and operating costs for UTGFS directly linked to the daily management of the project (office space, utilities and supplies, bank charges, communications, vehicle operation, maintenance and insurance, building and equipment maintenance costs, travel and supervision costs, etc.); (iii) regular internal audits and annual external audits (as per Bank legal requirements audits of financial and procurement aspects); and (iv) training of personnel of UTGFS (at both central and regional levels). Within the framework of the monitoring cycle, a mid-term review will involve project's stakeholders and civil society in the review of project performance, intermediary results, and outcomes. The progress and impact of the project will be measured using the data collected at the mid-term review and at the end of the project.  </w:t>
      </w:r>
      <w:bookmarkEnd w:id="29"/>
    </w:p>
    <w:p w:rsidR="00586153" w:rsidRDefault="00586153"/>
    <w:bookmarkEnd w:id="28"/>
    <w:p w:rsidR="00586153" w:rsidRDefault="00586153">
      <w:pPr>
        <w:rPr>
          <w:b/>
          <w:bCs/>
        </w:rPr>
      </w:pPr>
      <w:r>
        <w:rPr>
          <w:b/>
          <w:bCs/>
        </w:rPr>
        <w:t>D.  Project location (if known)</w:t>
      </w:r>
    </w:p>
    <w:p w:rsidR="00586153" w:rsidRDefault="003322A7">
      <w:bookmarkStart w:id="30" w:name="ISDS_PROJLOC_TEXT"/>
      <w:r>
        <w:t xml:space="preserve">The cash transfer component will reach all the five regions of the south - </w:t>
      </w:r>
      <w:proofErr w:type="spellStart"/>
      <w:r>
        <w:t>Sikasso</w:t>
      </w:r>
      <w:proofErr w:type="spellEnd"/>
      <w:r>
        <w:t xml:space="preserve">, </w:t>
      </w:r>
      <w:proofErr w:type="spellStart"/>
      <w:r>
        <w:t>Ségou</w:t>
      </w:r>
      <w:proofErr w:type="spellEnd"/>
      <w:r>
        <w:t xml:space="preserve">, </w:t>
      </w:r>
      <w:proofErr w:type="spellStart"/>
      <w:r>
        <w:t>Mopti</w:t>
      </w:r>
      <w:proofErr w:type="spellEnd"/>
      <w:r>
        <w:t xml:space="preserve">, </w:t>
      </w:r>
      <w:proofErr w:type="spellStart"/>
      <w:r>
        <w:t>Koulikoro</w:t>
      </w:r>
      <w:proofErr w:type="spellEnd"/>
      <w:r>
        <w:t xml:space="preserve"> and </w:t>
      </w:r>
      <w:proofErr w:type="spellStart"/>
      <w:r>
        <w:t>Kaye</w:t>
      </w:r>
      <w:r w:rsidR="00014130">
        <w:t>s</w:t>
      </w:r>
      <w:proofErr w:type="spellEnd"/>
      <w:r>
        <w:t xml:space="preserve"> – plus the district of Bamako.  </w:t>
      </w:r>
      <w:bookmarkEnd w:id="30"/>
    </w:p>
    <w:p w:rsidR="00586153" w:rsidRDefault="00586153"/>
    <w:p w:rsidR="00586153" w:rsidRDefault="00586153">
      <w:pPr>
        <w:rPr>
          <w:b/>
          <w:bCs/>
        </w:rPr>
      </w:pPr>
      <w:r>
        <w:rPr>
          <w:b/>
          <w:bCs/>
        </w:rPr>
        <w:t xml:space="preserve">E.  Borrower’s Institutional Capacity for Safeguard Policies </w:t>
      </w:r>
      <w:r>
        <w:rPr>
          <w:b/>
          <w:bCs/>
          <w:color w:val="000000"/>
        </w:rPr>
        <w:t>[from PCN]</w:t>
      </w:r>
    </w:p>
    <w:p w:rsidR="00586153" w:rsidRDefault="003322A7">
      <w:bookmarkStart w:id="31" w:name="ISDS_SAFEGUARD_TEXT"/>
      <w:r>
        <w:t xml:space="preserve">As the project is focused on cash transfers, information and other management systems, and capacity-building, and does not involve civil works or activities with significant environmental and social impacts, it does not trigger the Bank safeguards policies.  </w:t>
      </w:r>
      <w:bookmarkEnd w:id="31"/>
    </w:p>
    <w:p w:rsidR="00814AA7" w:rsidRDefault="00814AA7"/>
    <w:p w:rsidR="00586153" w:rsidRPr="00814AA7" w:rsidRDefault="00814AA7">
      <w:pPr>
        <w:rPr>
          <w:b/>
          <w:bCs/>
        </w:rPr>
      </w:pPr>
      <w:r w:rsidRPr="00814AA7">
        <w:rPr>
          <w:b/>
          <w:bCs/>
        </w:rPr>
        <w:t>F.  Environmental and Social Safeguards Specialists</w:t>
      </w:r>
    </w:p>
    <w:p w:rsidR="003322A7" w:rsidRDefault="003322A7" w:rsidP="00AC178A">
      <w:pPr>
        <w:ind w:left="360"/>
      </w:pPr>
      <w:bookmarkStart w:id="32" w:name="SPEC_TEAM"/>
      <w:proofErr w:type="spellStart"/>
      <w:r>
        <w:t>Mr</w:t>
      </w:r>
      <w:proofErr w:type="spellEnd"/>
      <w:r>
        <w:t xml:space="preserve"> </w:t>
      </w:r>
      <w:proofErr w:type="spellStart"/>
      <w:r>
        <w:t>Demba</w:t>
      </w:r>
      <w:proofErr w:type="spellEnd"/>
      <w:r>
        <w:t xml:space="preserve"> </w:t>
      </w:r>
      <w:proofErr w:type="spellStart"/>
      <w:r>
        <w:t>Balde</w:t>
      </w:r>
      <w:proofErr w:type="spellEnd"/>
      <w:r>
        <w:t xml:space="preserve"> (AFTCS)</w:t>
      </w:r>
    </w:p>
    <w:p w:rsidR="00814AA7" w:rsidRDefault="003322A7" w:rsidP="00AC178A">
      <w:pPr>
        <w:ind w:left="360"/>
      </w:pPr>
      <w:proofErr w:type="spellStart"/>
      <w:r>
        <w:t>Mr</w:t>
      </w:r>
      <w:proofErr w:type="spellEnd"/>
      <w:r>
        <w:t xml:space="preserve"> </w:t>
      </w:r>
      <w:proofErr w:type="spellStart"/>
      <w:r>
        <w:t>Maman-Sani</w:t>
      </w:r>
      <w:proofErr w:type="spellEnd"/>
      <w:r>
        <w:t xml:space="preserve"> </w:t>
      </w:r>
      <w:proofErr w:type="spellStart"/>
      <w:r>
        <w:t>Issa</w:t>
      </w:r>
      <w:proofErr w:type="spellEnd"/>
      <w:r>
        <w:t xml:space="preserve"> (AFTN2)</w:t>
      </w:r>
      <w:bookmarkEnd w:id="32"/>
    </w:p>
    <w:p w:rsidR="00814AA7" w:rsidRDefault="00814AA7"/>
    <w:p w:rsidR="00586153" w:rsidRDefault="00586153">
      <w:pPr>
        <w:keepNext/>
        <w:keepLines/>
        <w:rPr>
          <w:b/>
          <w:bCs/>
        </w:rPr>
      </w:pPr>
      <w:r>
        <w:rPr>
          <w:b/>
          <w:bCs/>
        </w:rPr>
        <w:t>II</w:t>
      </w:r>
      <w:proofErr w:type="gramStart"/>
      <w:r>
        <w:rPr>
          <w:b/>
          <w:bCs/>
        </w:rPr>
        <w:t>.  SAFEGUARD</w:t>
      </w:r>
      <w:proofErr w:type="gramEnd"/>
      <w:r>
        <w:rPr>
          <w:b/>
          <w:bCs/>
        </w:rPr>
        <w:t xml:space="preserve"> POLICIES THAT MIGHT APPLY</w:t>
      </w: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6048"/>
        <w:gridCol w:w="1176"/>
        <w:gridCol w:w="1176"/>
        <w:gridCol w:w="1176"/>
      </w:tblGrid>
      <w:tr w:rsidR="00586153">
        <w:trPr>
          <w:tblHeader/>
        </w:trPr>
        <w:tc>
          <w:tcPr>
            <w:tcW w:w="6048" w:type="dxa"/>
            <w:tcBorders>
              <w:top w:val="single" w:sz="12" w:space="0" w:color="auto"/>
              <w:left w:val="single" w:sz="4" w:space="0" w:color="auto"/>
              <w:bottom w:val="single" w:sz="12" w:space="0" w:color="auto"/>
            </w:tcBorders>
          </w:tcPr>
          <w:p w:rsidR="00586153" w:rsidRDefault="00586153">
            <w:pPr>
              <w:keepNext/>
            </w:pPr>
            <w:r>
              <w:rPr>
                <w:b/>
                <w:bCs/>
              </w:rPr>
              <w:t>Safeguard Policies Triggered</w:t>
            </w:r>
          </w:p>
        </w:tc>
        <w:tc>
          <w:tcPr>
            <w:tcW w:w="1176" w:type="dxa"/>
            <w:tcBorders>
              <w:top w:val="single" w:sz="12" w:space="0" w:color="auto"/>
              <w:left w:val="single" w:sz="4" w:space="0" w:color="auto"/>
              <w:bottom w:val="single" w:sz="12" w:space="0" w:color="auto"/>
            </w:tcBorders>
          </w:tcPr>
          <w:p w:rsidR="00586153" w:rsidRDefault="00586153">
            <w:pPr>
              <w:keepNext/>
              <w:jc w:val="center"/>
              <w:rPr>
                <w:b/>
                <w:bCs/>
              </w:rPr>
            </w:pPr>
            <w:r>
              <w:rPr>
                <w:b/>
                <w:bCs/>
              </w:rPr>
              <w:t>Yes</w:t>
            </w:r>
          </w:p>
        </w:tc>
        <w:tc>
          <w:tcPr>
            <w:tcW w:w="1176" w:type="dxa"/>
            <w:tcBorders>
              <w:top w:val="single" w:sz="12" w:space="0" w:color="auto"/>
              <w:left w:val="single" w:sz="4" w:space="0" w:color="auto"/>
              <w:bottom w:val="single" w:sz="12" w:space="0" w:color="auto"/>
              <w:right w:val="single" w:sz="4" w:space="0" w:color="auto"/>
            </w:tcBorders>
          </w:tcPr>
          <w:p w:rsidR="00586153" w:rsidRDefault="00586153">
            <w:pPr>
              <w:keepNext/>
              <w:jc w:val="center"/>
              <w:rPr>
                <w:b/>
                <w:bCs/>
              </w:rPr>
            </w:pPr>
            <w:r>
              <w:rPr>
                <w:b/>
                <w:bCs/>
              </w:rPr>
              <w:t>No</w:t>
            </w:r>
          </w:p>
        </w:tc>
        <w:tc>
          <w:tcPr>
            <w:tcW w:w="1176" w:type="dxa"/>
            <w:tcBorders>
              <w:top w:val="single" w:sz="12" w:space="0" w:color="auto"/>
              <w:left w:val="single" w:sz="4" w:space="0" w:color="auto"/>
              <w:bottom w:val="single" w:sz="12" w:space="0" w:color="auto"/>
              <w:right w:val="single" w:sz="4" w:space="0" w:color="auto"/>
            </w:tcBorders>
          </w:tcPr>
          <w:p w:rsidR="00586153" w:rsidRDefault="00586153">
            <w:pPr>
              <w:keepNext/>
              <w:jc w:val="center"/>
              <w:rPr>
                <w:b/>
                <w:bCs/>
              </w:rPr>
            </w:pPr>
            <w:r>
              <w:rPr>
                <w:b/>
                <w:bCs/>
              </w:rPr>
              <w:t>TBD</w:t>
            </w:r>
          </w:p>
        </w:tc>
      </w:tr>
      <w:tr w:rsidR="00586153">
        <w:tc>
          <w:tcPr>
            <w:tcW w:w="6048" w:type="dxa"/>
            <w:tcBorders>
              <w:top w:val="single" w:sz="12" w:space="0" w:color="auto"/>
              <w:left w:val="single" w:sz="4" w:space="0" w:color="auto"/>
              <w:bottom w:val="nil"/>
            </w:tcBorders>
          </w:tcPr>
          <w:p w:rsidR="00586153" w:rsidRDefault="00586153">
            <w:pPr>
              <w:keepNext/>
              <w:rPr>
                <w:b/>
                <w:bCs/>
              </w:rPr>
            </w:pPr>
            <w:r>
              <w:rPr>
                <w:b/>
                <w:bCs/>
              </w:rPr>
              <w:t>Environmental Assessment (OP/BP 4.01)</w:t>
            </w:r>
          </w:p>
        </w:tc>
        <w:tc>
          <w:tcPr>
            <w:tcW w:w="1176" w:type="dxa"/>
            <w:tcBorders>
              <w:top w:val="single" w:sz="12" w:space="0" w:color="auto"/>
              <w:left w:val="single" w:sz="4" w:space="0" w:color="auto"/>
              <w:bottom w:val="nil"/>
            </w:tcBorders>
          </w:tcPr>
          <w:p w:rsidR="00586153" w:rsidRDefault="00586153">
            <w:pPr>
              <w:keepNext/>
              <w:jc w:val="center"/>
              <w:rPr>
                <w:rFonts w:ascii="Arial" w:hAnsi="Arial" w:cs="Arial"/>
                <w:b/>
                <w:bCs/>
              </w:rPr>
            </w:pPr>
            <w:bookmarkStart w:id="33" w:name="EnvironmentalAssessment_Y"/>
            <w:bookmarkEnd w:id="33"/>
          </w:p>
        </w:tc>
        <w:tc>
          <w:tcPr>
            <w:tcW w:w="1176" w:type="dxa"/>
            <w:tcBorders>
              <w:top w:val="single" w:sz="12" w:space="0" w:color="auto"/>
              <w:left w:val="single" w:sz="4" w:space="0" w:color="auto"/>
              <w:bottom w:val="nil"/>
              <w:right w:val="single" w:sz="4" w:space="0" w:color="auto"/>
            </w:tcBorders>
          </w:tcPr>
          <w:p w:rsidR="00586153" w:rsidRDefault="003322A7">
            <w:pPr>
              <w:keepNext/>
              <w:jc w:val="center"/>
              <w:rPr>
                <w:rFonts w:ascii="Arial" w:hAnsi="Arial" w:cs="Arial"/>
                <w:b/>
                <w:bCs/>
              </w:rPr>
            </w:pPr>
            <w:bookmarkStart w:id="34" w:name="EnvironmentalAssessment_N"/>
            <w:r>
              <w:rPr>
                <w:rFonts w:ascii="Arial" w:hAnsi="Arial" w:cs="Arial"/>
                <w:b/>
                <w:bCs/>
              </w:rPr>
              <w:t>X</w:t>
            </w:r>
            <w:bookmarkEnd w:id="34"/>
          </w:p>
        </w:tc>
        <w:tc>
          <w:tcPr>
            <w:tcW w:w="1176" w:type="dxa"/>
            <w:tcBorders>
              <w:top w:val="single" w:sz="12" w:space="0" w:color="auto"/>
              <w:left w:val="single" w:sz="4" w:space="0" w:color="auto"/>
              <w:bottom w:val="nil"/>
              <w:right w:val="single" w:sz="4" w:space="0" w:color="auto"/>
            </w:tcBorders>
          </w:tcPr>
          <w:p w:rsidR="00586153" w:rsidRDefault="00586153">
            <w:pPr>
              <w:keepNext/>
              <w:jc w:val="center"/>
              <w:rPr>
                <w:rFonts w:ascii="Arial" w:hAnsi="Arial" w:cs="Arial"/>
                <w:b/>
                <w:bCs/>
              </w:rPr>
            </w:pPr>
            <w:bookmarkStart w:id="35" w:name="EnvironmentalAssessment_"/>
            <w:bookmarkEnd w:id="35"/>
          </w:p>
        </w:tc>
      </w:tr>
      <w:tr w:rsidR="00586153">
        <w:tc>
          <w:tcPr>
            <w:tcW w:w="6048" w:type="dxa"/>
            <w:tcBorders>
              <w:top w:val="single" w:sz="4" w:space="0" w:color="auto"/>
              <w:left w:val="single" w:sz="4" w:space="0" w:color="auto"/>
              <w:bottom w:val="nil"/>
            </w:tcBorders>
          </w:tcPr>
          <w:p w:rsidR="00586153" w:rsidRDefault="00586153">
            <w:pPr>
              <w:keepNext/>
              <w:rPr>
                <w:b/>
                <w:bCs/>
              </w:rPr>
            </w:pPr>
            <w:bookmarkStart w:id="36" w:name="EnvironmentalAssessment_Row"/>
            <w:bookmarkStart w:id="37" w:name="ISDS_SG_ENVIRON_TEXT"/>
            <w:bookmarkEnd w:id="36"/>
            <w:bookmarkEnd w:id="37"/>
            <w:r>
              <w:rPr>
                <w:b/>
                <w:bCs/>
              </w:rPr>
              <w:t>Natural Habitats (OP/BP 4.04)</w:t>
            </w:r>
          </w:p>
        </w:tc>
        <w:tc>
          <w:tcPr>
            <w:tcW w:w="1176" w:type="dxa"/>
            <w:tcBorders>
              <w:top w:val="single" w:sz="4" w:space="0" w:color="auto"/>
              <w:left w:val="single" w:sz="4" w:space="0" w:color="auto"/>
              <w:bottom w:val="nil"/>
            </w:tcBorders>
          </w:tcPr>
          <w:p w:rsidR="00586153" w:rsidRDefault="00586153">
            <w:pPr>
              <w:keepNext/>
              <w:jc w:val="center"/>
              <w:rPr>
                <w:rFonts w:ascii="Arial" w:hAnsi="Arial" w:cs="Arial"/>
                <w:b/>
                <w:bCs/>
              </w:rPr>
            </w:pPr>
            <w:bookmarkStart w:id="38" w:name="NaturalHabitats_Y"/>
            <w:bookmarkEnd w:id="38"/>
          </w:p>
        </w:tc>
        <w:tc>
          <w:tcPr>
            <w:tcW w:w="1176" w:type="dxa"/>
            <w:tcBorders>
              <w:top w:val="single" w:sz="4" w:space="0" w:color="auto"/>
              <w:left w:val="single" w:sz="4" w:space="0" w:color="auto"/>
              <w:bottom w:val="nil"/>
              <w:right w:val="single" w:sz="4" w:space="0" w:color="auto"/>
            </w:tcBorders>
          </w:tcPr>
          <w:p w:rsidR="00586153" w:rsidRDefault="003322A7">
            <w:pPr>
              <w:keepNext/>
              <w:jc w:val="center"/>
              <w:rPr>
                <w:rFonts w:ascii="Arial" w:hAnsi="Arial" w:cs="Arial"/>
                <w:b/>
                <w:bCs/>
              </w:rPr>
            </w:pPr>
            <w:bookmarkStart w:id="39" w:name="NaturalHabitats_N"/>
            <w:r>
              <w:rPr>
                <w:rFonts w:ascii="Arial" w:hAnsi="Arial" w:cs="Arial"/>
                <w:b/>
                <w:bCs/>
              </w:rPr>
              <w:t>X</w:t>
            </w:r>
            <w:bookmarkEnd w:id="39"/>
          </w:p>
        </w:tc>
        <w:tc>
          <w:tcPr>
            <w:tcW w:w="1176" w:type="dxa"/>
            <w:tcBorders>
              <w:top w:val="single" w:sz="4" w:space="0" w:color="auto"/>
              <w:left w:val="single" w:sz="4" w:space="0" w:color="auto"/>
              <w:bottom w:val="nil"/>
              <w:right w:val="single" w:sz="4" w:space="0" w:color="auto"/>
            </w:tcBorders>
          </w:tcPr>
          <w:p w:rsidR="00586153" w:rsidRDefault="00586153">
            <w:pPr>
              <w:keepNext/>
              <w:jc w:val="center"/>
              <w:rPr>
                <w:rFonts w:ascii="Arial" w:hAnsi="Arial" w:cs="Arial"/>
                <w:b/>
                <w:bCs/>
              </w:rPr>
            </w:pPr>
            <w:bookmarkStart w:id="40" w:name="NaturalHabitats_"/>
            <w:bookmarkEnd w:id="40"/>
          </w:p>
        </w:tc>
      </w:tr>
      <w:tr w:rsidR="00586153">
        <w:tc>
          <w:tcPr>
            <w:tcW w:w="6048" w:type="dxa"/>
            <w:tcBorders>
              <w:top w:val="single" w:sz="4" w:space="0" w:color="auto"/>
              <w:left w:val="single" w:sz="4" w:space="0" w:color="auto"/>
              <w:bottom w:val="nil"/>
            </w:tcBorders>
          </w:tcPr>
          <w:p w:rsidR="00586153" w:rsidRDefault="00586153">
            <w:pPr>
              <w:keepNext/>
              <w:rPr>
                <w:b/>
                <w:bCs/>
              </w:rPr>
            </w:pPr>
            <w:bookmarkStart w:id="41" w:name="NaturalHabitats_Row"/>
            <w:bookmarkStart w:id="42" w:name="ISDS_SG_NATURAL_TEXT"/>
            <w:bookmarkEnd w:id="41"/>
            <w:bookmarkEnd w:id="42"/>
            <w:r>
              <w:rPr>
                <w:b/>
                <w:bCs/>
              </w:rPr>
              <w:t>Forests (OP/BP 4.36)</w:t>
            </w:r>
          </w:p>
        </w:tc>
        <w:tc>
          <w:tcPr>
            <w:tcW w:w="1176" w:type="dxa"/>
            <w:tcBorders>
              <w:top w:val="single" w:sz="4" w:space="0" w:color="auto"/>
              <w:left w:val="single" w:sz="4" w:space="0" w:color="auto"/>
              <w:bottom w:val="nil"/>
            </w:tcBorders>
          </w:tcPr>
          <w:p w:rsidR="00586153" w:rsidRDefault="00586153">
            <w:pPr>
              <w:keepNext/>
              <w:jc w:val="center"/>
              <w:rPr>
                <w:rFonts w:ascii="Arial" w:hAnsi="Arial" w:cs="Arial"/>
                <w:b/>
                <w:bCs/>
              </w:rPr>
            </w:pPr>
            <w:bookmarkStart w:id="43" w:name="Forests_Y"/>
            <w:bookmarkEnd w:id="43"/>
          </w:p>
        </w:tc>
        <w:tc>
          <w:tcPr>
            <w:tcW w:w="1176" w:type="dxa"/>
            <w:tcBorders>
              <w:top w:val="single" w:sz="4" w:space="0" w:color="auto"/>
              <w:left w:val="single" w:sz="4" w:space="0" w:color="auto"/>
              <w:bottom w:val="nil"/>
              <w:right w:val="single" w:sz="4" w:space="0" w:color="auto"/>
            </w:tcBorders>
          </w:tcPr>
          <w:p w:rsidR="00586153" w:rsidRDefault="003322A7">
            <w:pPr>
              <w:keepNext/>
              <w:jc w:val="center"/>
              <w:rPr>
                <w:rFonts w:ascii="Arial" w:hAnsi="Arial" w:cs="Arial"/>
                <w:b/>
                <w:bCs/>
              </w:rPr>
            </w:pPr>
            <w:bookmarkStart w:id="44" w:name="Forests_N"/>
            <w:r>
              <w:rPr>
                <w:rFonts w:ascii="Arial" w:hAnsi="Arial" w:cs="Arial"/>
                <w:b/>
                <w:bCs/>
              </w:rPr>
              <w:t>X</w:t>
            </w:r>
            <w:bookmarkEnd w:id="44"/>
          </w:p>
        </w:tc>
        <w:tc>
          <w:tcPr>
            <w:tcW w:w="1176" w:type="dxa"/>
            <w:tcBorders>
              <w:top w:val="single" w:sz="4" w:space="0" w:color="auto"/>
              <w:left w:val="single" w:sz="4" w:space="0" w:color="auto"/>
              <w:bottom w:val="nil"/>
              <w:right w:val="single" w:sz="4" w:space="0" w:color="auto"/>
            </w:tcBorders>
          </w:tcPr>
          <w:p w:rsidR="00586153" w:rsidRDefault="00586153">
            <w:pPr>
              <w:keepNext/>
              <w:jc w:val="center"/>
              <w:rPr>
                <w:rFonts w:ascii="Arial" w:hAnsi="Arial" w:cs="Arial"/>
                <w:b/>
                <w:bCs/>
              </w:rPr>
            </w:pPr>
            <w:bookmarkStart w:id="45" w:name="Forests_"/>
            <w:bookmarkEnd w:id="45"/>
          </w:p>
        </w:tc>
      </w:tr>
      <w:tr w:rsidR="00586153">
        <w:tc>
          <w:tcPr>
            <w:tcW w:w="6048" w:type="dxa"/>
            <w:tcBorders>
              <w:top w:val="single" w:sz="4" w:space="0" w:color="auto"/>
              <w:left w:val="single" w:sz="4" w:space="0" w:color="auto"/>
              <w:bottom w:val="nil"/>
            </w:tcBorders>
          </w:tcPr>
          <w:p w:rsidR="00586153" w:rsidRDefault="00586153">
            <w:pPr>
              <w:keepNext/>
              <w:rPr>
                <w:b/>
                <w:bCs/>
              </w:rPr>
            </w:pPr>
            <w:bookmarkStart w:id="46" w:name="Forests_Row"/>
            <w:bookmarkStart w:id="47" w:name="ISDS_SG_FOREST_TEXT"/>
            <w:bookmarkEnd w:id="46"/>
            <w:bookmarkEnd w:id="47"/>
            <w:r>
              <w:rPr>
                <w:b/>
                <w:bCs/>
              </w:rPr>
              <w:t>Pest Management (OP 4.09)</w:t>
            </w:r>
          </w:p>
        </w:tc>
        <w:tc>
          <w:tcPr>
            <w:tcW w:w="1176" w:type="dxa"/>
            <w:tcBorders>
              <w:top w:val="single" w:sz="4" w:space="0" w:color="auto"/>
              <w:left w:val="single" w:sz="4" w:space="0" w:color="auto"/>
              <w:bottom w:val="nil"/>
            </w:tcBorders>
          </w:tcPr>
          <w:p w:rsidR="00586153" w:rsidRDefault="00586153">
            <w:pPr>
              <w:keepNext/>
              <w:jc w:val="center"/>
              <w:rPr>
                <w:rFonts w:ascii="Arial" w:hAnsi="Arial" w:cs="Arial"/>
                <w:b/>
                <w:bCs/>
              </w:rPr>
            </w:pPr>
            <w:bookmarkStart w:id="48" w:name="PestManagement_Y"/>
            <w:bookmarkEnd w:id="48"/>
          </w:p>
        </w:tc>
        <w:tc>
          <w:tcPr>
            <w:tcW w:w="1176" w:type="dxa"/>
            <w:tcBorders>
              <w:top w:val="single" w:sz="4" w:space="0" w:color="auto"/>
              <w:left w:val="single" w:sz="4" w:space="0" w:color="auto"/>
              <w:bottom w:val="nil"/>
              <w:right w:val="single" w:sz="4" w:space="0" w:color="auto"/>
            </w:tcBorders>
          </w:tcPr>
          <w:p w:rsidR="00586153" w:rsidRDefault="003322A7">
            <w:pPr>
              <w:keepNext/>
              <w:jc w:val="center"/>
              <w:rPr>
                <w:rFonts w:ascii="Arial" w:hAnsi="Arial" w:cs="Arial"/>
                <w:b/>
                <w:bCs/>
              </w:rPr>
            </w:pPr>
            <w:bookmarkStart w:id="49" w:name="PestManagement_N"/>
            <w:r>
              <w:rPr>
                <w:rFonts w:ascii="Arial" w:hAnsi="Arial" w:cs="Arial"/>
                <w:b/>
                <w:bCs/>
              </w:rPr>
              <w:t>X</w:t>
            </w:r>
            <w:bookmarkEnd w:id="49"/>
          </w:p>
        </w:tc>
        <w:tc>
          <w:tcPr>
            <w:tcW w:w="1176" w:type="dxa"/>
            <w:tcBorders>
              <w:top w:val="single" w:sz="4" w:space="0" w:color="auto"/>
              <w:left w:val="single" w:sz="4" w:space="0" w:color="auto"/>
              <w:bottom w:val="nil"/>
              <w:right w:val="single" w:sz="4" w:space="0" w:color="auto"/>
            </w:tcBorders>
          </w:tcPr>
          <w:p w:rsidR="00586153" w:rsidRDefault="00586153">
            <w:pPr>
              <w:keepNext/>
              <w:jc w:val="center"/>
              <w:rPr>
                <w:rFonts w:ascii="Arial" w:hAnsi="Arial" w:cs="Arial"/>
                <w:b/>
                <w:bCs/>
              </w:rPr>
            </w:pPr>
            <w:bookmarkStart w:id="50" w:name="PestManagement_"/>
            <w:bookmarkEnd w:id="50"/>
          </w:p>
        </w:tc>
      </w:tr>
      <w:tr w:rsidR="00586153">
        <w:tc>
          <w:tcPr>
            <w:tcW w:w="6048" w:type="dxa"/>
            <w:tcBorders>
              <w:top w:val="single" w:sz="4" w:space="0" w:color="auto"/>
              <w:left w:val="single" w:sz="4" w:space="0" w:color="auto"/>
              <w:bottom w:val="nil"/>
            </w:tcBorders>
          </w:tcPr>
          <w:p w:rsidR="00586153" w:rsidRPr="00583611" w:rsidRDefault="00583611">
            <w:pPr>
              <w:keepNext/>
              <w:rPr>
                <w:b/>
                <w:bCs/>
              </w:rPr>
            </w:pPr>
            <w:bookmarkStart w:id="51" w:name="PestManagement_Row"/>
            <w:bookmarkStart w:id="52" w:name="ISDS_SG_PEST_TEXT"/>
            <w:bookmarkEnd w:id="51"/>
            <w:bookmarkEnd w:id="52"/>
            <w:r w:rsidRPr="00583611">
              <w:rPr>
                <w:b/>
                <w:bCs/>
              </w:rPr>
              <w:t>Physical Cultural Resources (OP/BP 4.11)</w:t>
            </w:r>
          </w:p>
        </w:tc>
        <w:tc>
          <w:tcPr>
            <w:tcW w:w="1176" w:type="dxa"/>
            <w:tcBorders>
              <w:top w:val="single" w:sz="4" w:space="0" w:color="auto"/>
              <w:left w:val="single" w:sz="4" w:space="0" w:color="auto"/>
              <w:bottom w:val="nil"/>
            </w:tcBorders>
          </w:tcPr>
          <w:p w:rsidR="00586153" w:rsidRDefault="00586153">
            <w:pPr>
              <w:keepNext/>
              <w:jc w:val="center"/>
              <w:rPr>
                <w:rFonts w:ascii="Arial" w:hAnsi="Arial" w:cs="Arial"/>
                <w:b/>
                <w:bCs/>
              </w:rPr>
            </w:pPr>
            <w:bookmarkStart w:id="53" w:name="CulturalProperty_Y"/>
            <w:bookmarkStart w:id="54" w:name="PhysicalCulturalResources_Y"/>
            <w:bookmarkEnd w:id="53"/>
            <w:bookmarkEnd w:id="54"/>
          </w:p>
        </w:tc>
        <w:tc>
          <w:tcPr>
            <w:tcW w:w="1176" w:type="dxa"/>
            <w:tcBorders>
              <w:top w:val="single" w:sz="4" w:space="0" w:color="auto"/>
              <w:left w:val="single" w:sz="4" w:space="0" w:color="auto"/>
              <w:bottom w:val="nil"/>
              <w:right w:val="single" w:sz="4" w:space="0" w:color="auto"/>
            </w:tcBorders>
          </w:tcPr>
          <w:p w:rsidR="00586153" w:rsidRDefault="003322A7">
            <w:pPr>
              <w:keepNext/>
              <w:jc w:val="center"/>
              <w:rPr>
                <w:rFonts w:ascii="Arial" w:hAnsi="Arial" w:cs="Arial"/>
                <w:b/>
                <w:bCs/>
              </w:rPr>
            </w:pPr>
            <w:bookmarkStart w:id="55" w:name="CulturalProperty_N"/>
            <w:bookmarkStart w:id="56" w:name="PhysicalCulturalResources_N"/>
            <w:bookmarkEnd w:id="55"/>
            <w:r>
              <w:rPr>
                <w:rFonts w:ascii="Arial" w:hAnsi="Arial" w:cs="Arial"/>
                <w:b/>
                <w:bCs/>
              </w:rPr>
              <w:t>X</w:t>
            </w:r>
            <w:bookmarkEnd w:id="56"/>
          </w:p>
        </w:tc>
        <w:tc>
          <w:tcPr>
            <w:tcW w:w="1176" w:type="dxa"/>
            <w:tcBorders>
              <w:top w:val="single" w:sz="4" w:space="0" w:color="auto"/>
              <w:left w:val="single" w:sz="4" w:space="0" w:color="auto"/>
              <w:bottom w:val="nil"/>
              <w:right w:val="single" w:sz="4" w:space="0" w:color="auto"/>
            </w:tcBorders>
          </w:tcPr>
          <w:p w:rsidR="00586153" w:rsidRDefault="00586153">
            <w:pPr>
              <w:keepNext/>
              <w:jc w:val="center"/>
              <w:rPr>
                <w:rFonts w:ascii="Arial" w:hAnsi="Arial" w:cs="Arial"/>
                <w:b/>
                <w:bCs/>
              </w:rPr>
            </w:pPr>
            <w:bookmarkStart w:id="57" w:name="CulturalProperty_"/>
            <w:bookmarkStart w:id="58" w:name="PhysicalCulturalResources_"/>
            <w:bookmarkEnd w:id="57"/>
            <w:bookmarkEnd w:id="58"/>
          </w:p>
        </w:tc>
      </w:tr>
      <w:tr w:rsidR="00586153">
        <w:tc>
          <w:tcPr>
            <w:tcW w:w="6048" w:type="dxa"/>
            <w:tcBorders>
              <w:top w:val="single" w:sz="4" w:space="0" w:color="auto"/>
              <w:left w:val="single" w:sz="4" w:space="0" w:color="auto"/>
              <w:bottom w:val="nil"/>
            </w:tcBorders>
          </w:tcPr>
          <w:p w:rsidR="00586153" w:rsidRDefault="00586153">
            <w:pPr>
              <w:keepNext/>
              <w:rPr>
                <w:b/>
                <w:bCs/>
              </w:rPr>
            </w:pPr>
            <w:bookmarkStart w:id="59" w:name="CulturalProperty_Row"/>
            <w:bookmarkStart w:id="60" w:name="PhysicalCulturalResources_Row"/>
            <w:bookmarkStart w:id="61" w:name="ISDS_SG_CULT_TEXT"/>
            <w:bookmarkEnd w:id="59"/>
            <w:bookmarkEnd w:id="60"/>
            <w:bookmarkEnd w:id="61"/>
            <w:r>
              <w:rPr>
                <w:b/>
                <w:bCs/>
              </w:rPr>
              <w:t>Indige</w:t>
            </w:r>
            <w:r w:rsidR="00D22A9E">
              <w:rPr>
                <w:b/>
                <w:bCs/>
              </w:rPr>
              <w:t>nous Peoples (OP/BP</w:t>
            </w:r>
            <w:r>
              <w:rPr>
                <w:b/>
                <w:bCs/>
              </w:rPr>
              <w:t xml:space="preserve"> 4.</w:t>
            </w:r>
            <w:r w:rsidR="00D22A9E">
              <w:rPr>
                <w:b/>
                <w:bCs/>
              </w:rPr>
              <w:t>1</w:t>
            </w:r>
            <w:r>
              <w:rPr>
                <w:b/>
                <w:bCs/>
              </w:rPr>
              <w:t>0)</w:t>
            </w:r>
          </w:p>
        </w:tc>
        <w:tc>
          <w:tcPr>
            <w:tcW w:w="1176" w:type="dxa"/>
            <w:tcBorders>
              <w:top w:val="single" w:sz="4" w:space="0" w:color="auto"/>
              <w:left w:val="single" w:sz="4" w:space="0" w:color="auto"/>
              <w:bottom w:val="nil"/>
            </w:tcBorders>
          </w:tcPr>
          <w:p w:rsidR="00586153" w:rsidRDefault="00586153">
            <w:pPr>
              <w:keepNext/>
              <w:jc w:val="center"/>
              <w:rPr>
                <w:rFonts w:ascii="Arial" w:hAnsi="Arial" w:cs="Arial"/>
                <w:b/>
                <w:bCs/>
              </w:rPr>
            </w:pPr>
            <w:bookmarkStart w:id="62" w:name="IndigenousPeoples_Y"/>
            <w:bookmarkEnd w:id="62"/>
          </w:p>
        </w:tc>
        <w:tc>
          <w:tcPr>
            <w:tcW w:w="1176" w:type="dxa"/>
            <w:tcBorders>
              <w:top w:val="single" w:sz="4" w:space="0" w:color="auto"/>
              <w:left w:val="single" w:sz="4" w:space="0" w:color="auto"/>
              <w:bottom w:val="nil"/>
              <w:right w:val="single" w:sz="4" w:space="0" w:color="auto"/>
            </w:tcBorders>
          </w:tcPr>
          <w:p w:rsidR="00586153" w:rsidRDefault="003322A7">
            <w:pPr>
              <w:keepNext/>
              <w:jc w:val="center"/>
              <w:rPr>
                <w:rFonts w:ascii="Arial" w:hAnsi="Arial" w:cs="Arial"/>
                <w:b/>
                <w:bCs/>
              </w:rPr>
            </w:pPr>
            <w:bookmarkStart w:id="63" w:name="IndigenousPeoples_N"/>
            <w:r>
              <w:rPr>
                <w:rFonts w:ascii="Arial" w:hAnsi="Arial" w:cs="Arial"/>
                <w:b/>
                <w:bCs/>
              </w:rPr>
              <w:t>X</w:t>
            </w:r>
            <w:bookmarkEnd w:id="63"/>
          </w:p>
        </w:tc>
        <w:tc>
          <w:tcPr>
            <w:tcW w:w="1176" w:type="dxa"/>
            <w:tcBorders>
              <w:top w:val="single" w:sz="4" w:space="0" w:color="auto"/>
              <w:left w:val="single" w:sz="4" w:space="0" w:color="auto"/>
              <w:bottom w:val="nil"/>
              <w:right w:val="single" w:sz="4" w:space="0" w:color="auto"/>
            </w:tcBorders>
          </w:tcPr>
          <w:p w:rsidR="00586153" w:rsidRDefault="00586153">
            <w:pPr>
              <w:keepNext/>
              <w:jc w:val="center"/>
              <w:rPr>
                <w:rFonts w:ascii="Arial" w:hAnsi="Arial" w:cs="Arial"/>
                <w:b/>
                <w:bCs/>
              </w:rPr>
            </w:pPr>
            <w:bookmarkStart w:id="64" w:name="IndigenousPeoples_"/>
            <w:bookmarkEnd w:id="64"/>
          </w:p>
        </w:tc>
      </w:tr>
      <w:tr w:rsidR="00586153">
        <w:tc>
          <w:tcPr>
            <w:tcW w:w="6048" w:type="dxa"/>
            <w:tcBorders>
              <w:top w:val="single" w:sz="4" w:space="0" w:color="auto"/>
              <w:left w:val="single" w:sz="4" w:space="0" w:color="auto"/>
              <w:bottom w:val="nil"/>
            </w:tcBorders>
          </w:tcPr>
          <w:p w:rsidR="00586153" w:rsidRDefault="00586153">
            <w:pPr>
              <w:keepNext/>
              <w:rPr>
                <w:b/>
                <w:bCs/>
              </w:rPr>
            </w:pPr>
            <w:bookmarkStart w:id="65" w:name="IndigenousPeoples_Row"/>
            <w:bookmarkStart w:id="66" w:name="ISDS_SG_INDIG_TEXT"/>
            <w:bookmarkEnd w:id="65"/>
            <w:bookmarkEnd w:id="66"/>
            <w:r>
              <w:rPr>
                <w:b/>
                <w:bCs/>
              </w:rPr>
              <w:t>Involuntary Resettlement (OP/BP 4.12)</w:t>
            </w:r>
          </w:p>
        </w:tc>
        <w:tc>
          <w:tcPr>
            <w:tcW w:w="1176" w:type="dxa"/>
            <w:tcBorders>
              <w:top w:val="single" w:sz="4" w:space="0" w:color="auto"/>
              <w:left w:val="single" w:sz="4" w:space="0" w:color="auto"/>
              <w:bottom w:val="nil"/>
            </w:tcBorders>
          </w:tcPr>
          <w:p w:rsidR="00586153" w:rsidRDefault="00586153">
            <w:pPr>
              <w:keepNext/>
              <w:jc w:val="center"/>
              <w:rPr>
                <w:rFonts w:ascii="Arial" w:hAnsi="Arial" w:cs="Arial"/>
                <w:b/>
                <w:bCs/>
              </w:rPr>
            </w:pPr>
            <w:bookmarkStart w:id="67" w:name="InvoluntaryResettlement_Y"/>
            <w:bookmarkEnd w:id="67"/>
          </w:p>
        </w:tc>
        <w:tc>
          <w:tcPr>
            <w:tcW w:w="1176" w:type="dxa"/>
            <w:tcBorders>
              <w:top w:val="single" w:sz="4" w:space="0" w:color="auto"/>
              <w:left w:val="single" w:sz="4" w:space="0" w:color="auto"/>
              <w:bottom w:val="nil"/>
              <w:right w:val="single" w:sz="4" w:space="0" w:color="auto"/>
            </w:tcBorders>
          </w:tcPr>
          <w:p w:rsidR="00586153" w:rsidRDefault="003322A7">
            <w:pPr>
              <w:keepNext/>
              <w:jc w:val="center"/>
              <w:rPr>
                <w:rFonts w:ascii="Arial" w:hAnsi="Arial" w:cs="Arial"/>
                <w:b/>
                <w:bCs/>
              </w:rPr>
            </w:pPr>
            <w:bookmarkStart w:id="68" w:name="InvoluntaryResettlement_N"/>
            <w:r>
              <w:rPr>
                <w:rFonts w:ascii="Arial" w:hAnsi="Arial" w:cs="Arial"/>
                <w:b/>
                <w:bCs/>
              </w:rPr>
              <w:t>X</w:t>
            </w:r>
            <w:bookmarkEnd w:id="68"/>
          </w:p>
        </w:tc>
        <w:tc>
          <w:tcPr>
            <w:tcW w:w="1176" w:type="dxa"/>
            <w:tcBorders>
              <w:top w:val="single" w:sz="4" w:space="0" w:color="auto"/>
              <w:left w:val="single" w:sz="4" w:space="0" w:color="auto"/>
              <w:bottom w:val="nil"/>
              <w:right w:val="single" w:sz="4" w:space="0" w:color="auto"/>
            </w:tcBorders>
          </w:tcPr>
          <w:p w:rsidR="00586153" w:rsidRDefault="00586153">
            <w:pPr>
              <w:keepNext/>
              <w:jc w:val="center"/>
              <w:rPr>
                <w:rFonts w:ascii="Arial" w:hAnsi="Arial" w:cs="Arial"/>
                <w:b/>
                <w:bCs/>
              </w:rPr>
            </w:pPr>
            <w:bookmarkStart w:id="69" w:name="InvoluntaryResettlement_"/>
            <w:bookmarkEnd w:id="69"/>
          </w:p>
        </w:tc>
      </w:tr>
      <w:tr w:rsidR="00586153">
        <w:tc>
          <w:tcPr>
            <w:tcW w:w="6048" w:type="dxa"/>
            <w:tcBorders>
              <w:top w:val="single" w:sz="4" w:space="0" w:color="auto"/>
              <w:left w:val="single" w:sz="4" w:space="0" w:color="auto"/>
              <w:bottom w:val="nil"/>
            </w:tcBorders>
          </w:tcPr>
          <w:p w:rsidR="00586153" w:rsidRDefault="00586153">
            <w:pPr>
              <w:keepNext/>
              <w:rPr>
                <w:b/>
                <w:bCs/>
              </w:rPr>
            </w:pPr>
            <w:bookmarkStart w:id="70" w:name="InvoluntaryResettlement_Row"/>
            <w:bookmarkStart w:id="71" w:name="ISDS_SG_RESETTLE_TEXT"/>
            <w:bookmarkEnd w:id="70"/>
            <w:bookmarkEnd w:id="71"/>
            <w:r>
              <w:rPr>
                <w:b/>
                <w:bCs/>
              </w:rPr>
              <w:t>Safety of Dams (OP/BP 4.37)</w:t>
            </w:r>
          </w:p>
        </w:tc>
        <w:tc>
          <w:tcPr>
            <w:tcW w:w="1176" w:type="dxa"/>
            <w:tcBorders>
              <w:top w:val="single" w:sz="4" w:space="0" w:color="auto"/>
              <w:left w:val="single" w:sz="4" w:space="0" w:color="auto"/>
              <w:bottom w:val="nil"/>
            </w:tcBorders>
          </w:tcPr>
          <w:p w:rsidR="00586153" w:rsidRDefault="00586153">
            <w:pPr>
              <w:keepNext/>
              <w:jc w:val="center"/>
              <w:rPr>
                <w:rFonts w:ascii="Arial" w:hAnsi="Arial" w:cs="Arial"/>
                <w:b/>
                <w:bCs/>
              </w:rPr>
            </w:pPr>
            <w:bookmarkStart w:id="72" w:name="SafetyofDams_Y"/>
            <w:bookmarkEnd w:id="72"/>
          </w:p>
        </w:tc>
        <w:tc>
          <w:tcPr>
            <w:tcW w:w="1176" w:type="dxa"/>
            <w:tcBorders>
              <w:top w:val="single" w:sz="4" w:space="0" w:color="auto"/>
              <w:left w:val="single" w:sz="4" w:space="0" w:color="auto"/>
              <w:bottom w:val="nil"/>
              <w:right w:val="single" w:sz="4" w:space="0" w:color="auto"/>
            </w:tcBorders>
          </w:tcPr>
          <w:p w:rsidR="00586153" w:rsidRDefault="003322A7">
            <w:pPr>
              <w:keepNext/>
              <w:jc w:val="center"/>
              <w:rPr>
                <w:rFonts w:ascii="Arial" w:hAnsi="Arial" w:cs="Arial"/>
                <w:b/>
                <w:bCs/>
              </w:rPr>
            </w:pPr>
            <w:bookmarkStart w:id="73" w:name="SafetyofDams_N"/>
            <w:r>
              <w:rPr>
                <w:rFonts w:ascii="Arial" w:hAnsi="Arial" w:cs="Arial"/>
                <w:b/>
                <w:bCs/>
              </w:rPr>
              <w:t>X</w:t>
            </w:r>
            <w:bookmarkEnd w:id="73"/>
          </w:p>
        </w:tc>
        <w:tc>
          <w:tcPr>
            <w:tcW w:w="1176" w:type="dxa"/>
            <w:tcBorders>
              <w:top w:val="single" w:sz="4" w:space="0" w:color="auto"/>
              <w:left w:val="single" w:sz="4" w:space="0" w:color="auto"/>
              <w:bottom w:val="nil"/>
              <w:right w:val="single" w:sz="4" w:space="0" w:color="auto"/>
            </w:tcBorders>
          </w:tcPr>
          <w:p w:rsidR="00586153" w:rsidRDefault="00586153">
            <w:pPr>
              <w:keepNext/>
              <w:jc w:val="center"/>
              <w:rPr>
                <w:rFonts w:ascii="Arial" w:hAnsi="Arial" w:cs="Arial"/>
                <w:b/>
                <w:bCs/>
              </w:rPr>
            </w:pPr>
            <w:bookmarkStart w:id="74" w:name="SafetyofDams_"/>
            <w:bookmarkEnd w:id="74"/>
          </w:p>
        </w:tc>
      </w:tr>
      <w:tr w:rsidR="00586153">
        <w:tc>
          <w:tcPr>
            <w:tcW w:w="6048" w:type="dxa"/>
            <w:tcBorders>
              <w:top w:val="single" w:sz="4" w:space="0" w:color="auto"/>
              <w:left w:val="single" w:sz="4" w:space="0" w:color="auto"/>
              <w:bottom w:val="single" w:sz="4" w:space="0" w:color="auto"/>
            </w:tcBorders>
          </w:tcPr>
          <w:p w:rsidR="00586153" w:rsidRDefault="00586153">
            <w:pPr>
              <w:keepNext/>
              <w:rPr>
                <w:b/>
                <w:bCs/>
              </w:rPr>
            </w:pPr>
            <w:bookmarkStart w:id="75" w:name="SafetyofDams_Row"/>
            <w:bookmarkStart w:id="76" w:name="ISDS_SG_DAM_TEXT"/>
            <w:bookmarkEnd w:id="75"/>
            <w:bookmarkEnd w:id="76"/>
            <w:r>
              <w:rPr>
                <w:b/>
                <w:bCs/>
              </w:rPr>
              <w:t>Projects on International Waterways (OP/BP</w:t>
            </w:r>
            <w:r>
              <w:t xml:space="preserve"> </w:t>
            </w:r>
            <w:r>
              <w:rPr>
                <w:b/>
                <w:bCs/>
              </w:rPr>
              <w:t>7.50)</w:t>
            </w:r>
          </w:p>
        </w:tc>
        <w:tc>
          <w:tcPr>
            <w:tcW w:w="1176" w:type="dxa"/>
            <w:tcBorders>
              <w:top w:val="single" w:sz="4" w:space="0" w:color="auto"/>
              <w:left w:val="single" w:sz="4" w:space="0" w:color="auto"/>
              <w:bottom w:val="single" w:sz="4" w:space="0" w:color="auto"/>
            </w:tcBorders>
          </w:tcPr>
          <w:p w:rsidR="00586153" w:rsidRDefault="00586153">
            <w:pPr>
              <w:keepNext/>
              <w:jc w:val="center"/>
              <w:rPr>
                <w:rFonts w:ascii="Arial" w:hAnsi="Arial" w:cs="Arial"/>
                <w:b/>
                <w:bCs/>
              </w:rPr>
            </w:pPr>
            <w:bookmarkStart w:id="77" w:name="ProjectsinInternationalWaters_Y"/>
            <w:bookmarkStart w:id="78" w:name="ProjectsonInternationalWaters_Y"/>
            <w:bookmarkStart w:id="79" w:name="ProjectsonInternationalWaterWays_Y"/>
            <w:bookmarkEnd w:id="77"/>
            <w:bookmarkEnd w:id="78"/>
            <w:bookmarkEnd w:id="79"/>
          </w:p>
        </w:tc>
        <w:tc>
          <w:tcPr>
            <w:tcW w:w="1176" w:type="dxa"/>
            <w:tcBorders>
              <w:top w:val="single" w:sz="4" w:space="0" w:color="auto"/>
              <w:left w:val="single" w:sz="4" w:space="0" w:color="auto"/>
              <w:bottom w:val="single" w:sz="4" w:space="0" w:color="auto"/>
              <w:right w:val="single" w:sz="4" w:space="0" w:color="auto"/>
            </w:tcBorders>
          </w:tcPr>
          <w:p w:rsidR="00586153" w:rsidRDefault="003322A7">
            <w:pPr>
              <w:keepNext/>
              <w:jc w:val="center"/>
              <w:rPr>
                <w:rFonts w:ascii="Arial" w:hAnsi="Arial" w:cs="Arial"/>
                <w:b/>
                <w:bCs/>
              </w:rPr>
            </w:pPr>
            <w:bookmarkStart w:id="80" w:name="ProjectsinInternationalWaters_N"/>
            <w:bookmarkStart w:id="81" w:name="ProjectsonInternationalWaters_N"/>
            <w:bookmarkStart w:id="82" w:name="ProjectsonInternationalWaterways_N"/>
            <w:bookmarkEnd w:id="80"/>
            <w:bookmarkEnd w:id="81"/>
            <w:r>
              <w:rPr>
                <w:rFonts w:ascii="Arial" w:hAnsi="Arial" w:cs="Arial"/>
                <w:b/>
                <w:bCs/>
              </w:rPr>
              <w:t>X</w:t>
            </w:r>
            <w:bookmarkEnd w:id="82"/>
          </w:p>
        </w:tc>
        <w:tc>
          <w:tcPr>
            <w:tcW w:w="1176" w:type="dxa"/>
            <w:tcBorders>
              <w:top w:val="single" w:sz="4" w:space="0" w:color="auto"/>
              <w:left w:val="single" w:sz="4" w:space="0" w:color="auto"/>
              <w:bottom w:val="single" w:sz="4" w:space="0" w:color="auto"/>
              <w:right w:val="single" w:sz="4" w:space="0" w:color="auto"/>
            </w:tcBorders>
          </w:tcPr>
          <w:p w:rsidR="00586153" w:rsidRDefault="00586153">
            <w:pPr>
              <w:keepNext/>
              <w:jc w:val="center"/>
              <w:rPr>
                <w:rFonts w:ascii="Arial" w:hAnsi="Arial" w:cs="Arial"/>
                <w:b/>
                <w:bCs/>
              </w:rPr>
            </w:pPr>
            <w:bookmarkStart w:id="83" w:name="ProjectsinInternationalWaters_"/>
            <w:bookmarkStart w:id="84" w:name="ProjectsonInternationalWaters_"/>
            <w:bookmarkStart w:id="85" w:name="ProjectsonInternationalWaterWays_"/>
            <w:bookmarkEnd w:id="83"/>
            <w:bookmarkEnd w:id="84"/>
            <w:bookmarkEnd w:id="85"/>
          </w:p>
        </w:tc>
      </w:tr>
      <w:tr w:rsidR="00586153">
        <w:tc>
          <w:tcPr>
            <w:tcW w:w="6048" w:type="dxa"/>
            <w:tcBorders>
              <w:top w:val="single" w:sz="4" w:space="0" w:color="auto"/>
              <w:left w:val="single" w:sz="4" w:space="0" w:color="auto"/>
              <w:bottom w:val="single" w:sz="4" w:space="0" w:color="auto"/>
              <w:right w:val="single" w:sz="4" w:space="0" w:color="auto"/>
            </w:tcBorders>
          </w:tcPr>
          <w:p w:rsidR="00586153" w:rsidRDefault="00586153">
            <w:pPr>
              <w:keepNext/>
              <w:rPr>
                <w:b/>
                <w:bCs/>
              </w:rPr>
            </w:pPr>
            <w:bookmarkStart w:id="86" w:name="ProjectsinInternationalWaters_Row"/>
            <w:bookmarkStart w:id="87" w:name="ProjectsonInternationalWaters_Row"/>
            <w:bookmarkStart w:id="88" w:name="ProjectsonInternationalWaterWays_Row"/>
            <w:bookmarkStart w:id="89" w:name="ISDS_SG_INT_WAT_TEXT"/>
            <w:bookmarkEnd w:id="86"/>
            <w:bookmarkEnd w:id="87"/>
            <w:bookmarkEnd w:id="88"/>
            <w:bookmarkEnd w:id="89"/>
            <w:r>
              <w:rPr>
                <w:b/>
                <w:bCs/>
              </w:rPr>
              <w:t>Projects in Disputed Areas (OP/BP 7.60)</w:t>
            </w:r>
          </w:p>
        </w:tc>
        <w:tc>
          <w:tcPr>
            <w:tcW w:w="1176" w:type="dxa"/>
            <w:tcBorders>
              <w:top w:val="single" w:sz="4" w:space="0" w:color="auto"/>
              <w:left w:val="single" w:sz="4" w:space="0" w:color="auto"/>
              <w:bottom w:val="single" w:sz="4" w:space="0" w:color="auto"/>
              <w:right w:val="single" w:sz="4" w:space="0" w:color="auto"/>
            </w:tcBorders>
          </w:tcPr>
          <w:p w:rsidR="00586153" w:rsidRDefault="00586153">
            <w:pPr>
              <w:keepNext/>
              <w:jc w:val="center"/>
              <w:rPr>
                <w:rFonts w:ascii="Arial" w:hAnsi="Arial" w:cs="Arial"/>
                <w:b/>
                <w:bCs/>
              </w:rPr>
            </w:pPr>
            <w:bookmarkStart w:id="90" w:name="ProjectsinDisputedAreas_Y"/>
            <w:bookmarkEnd w:id="90"/>
          </w:p>
        </w:tc>
        <w:tc>
          <w:tcPr>
            <w:tcW w:w="1176" w:type="dxa"/>
            <w:tcBorders>
              <w:top w:val="single" w:sz="4" w:space="0" w:color="auto"/>
              <w:left w:val="single" w:sz="4" w:space="0" w:color="auto"/>
              <w:bottom w:val="single" w:sz="4" w:space="0" w:color="auto"/>
              <w:right w:val="single" w:sz="4" w:space="0" w:color="auto"/>
            </w:tcBorders>
          </w:tcPr>
          <w:p w:rsidR="00586153" w:rsidRDefault="003322A7">
            <w:pPr>
              <w:keepNext/>
              <w:jc w:val="center"/>
              <w:rPr>
                <w:rFonts w:ascii="Arial" w:hAnsi="Arial" w:cs="Arial"/>
                <w:b/>
                <w:bCs/>
              </w:rPr>
            </w:pPr>
            <w:bookmarkStart w:id="91" w:name="ProjectsinDisputedAreas_N"/>
            <w:r>
              <w:rPr>
                <w:rFonts w:ascii="Arial" w:hAnsi="Arial" w:cs="Arial"/>
                <w:b/>
                <w:bCs/>
              </w:rPr>
              <w:t>X</w:t>
            </w:r>
            <w:bookmarkEnd w:id="91"/>
          </w:p>
        </w:tc>
        <w:tc>
          <w:tcPr>
            <w:tcW w:w="1176" w:type="dxa"/>
            <w:tcBorders>
              <w:top w:val="single" w:sz="4" w:space="0" w:color="auto"/>
              <w:left w:val="single" w:sz="4" w:space="0" w:color="auto"/>
              <w:bottom w:val="single" w:sz="4" w:space="0" w:color="auto"/>
              <w:right w:val="single" w:sz="4" w:space="0" w:color="auto"/>
            </w:tcBorders>
          </w:tcPr>
          <w:p w:rsidR="00586153" w:rsidRDefault="00586153">
            <w:pPr>
              <w:keepNext/>
              <w:jc w:val="center"/>
              <w:rPr>
                <w:rFonts w:ascii="Arial" w:hAnsi="Arial" w:cs="Arial"/>
                <w:b/>
                <w:bCs/>
              </w:rPr>
            </w:pPr>
            <w:bookmarkStart w:id="92" w:name="ProjectsinDisputedAreas_"/>
            <w:bookmarkEnd w:id="92"/>
          </w:p>
        </w:tc>
      </w:tr>
    </w:tbl>
    <w:p w:rsidR="00586153" w:rsidRDefault="00586153">
      <w:bookmarkStart w:id="93" w:name="ProjectsinDisputedAreas_Row"/>
      <w:bookmarkStart w:id="94" w:name="ISDS_SG_DIS_AREA_TEXT"/>
      <w:bookmarkEnd w:id="93"/>
      <w:bookmarkEnd w:id="94"/>
    </w:p>
    <w:p w:rsidR="00586153" w:rsidRDefault="00586153"/>
    <w:p w:rsidR="00586153" w:rsidRDefault="00586153">
      <w:r>
        <w:rPr>
          <w:b/>
          <w:bCs/>
        </w:rPr>
        <w:t>Environmental Category:</w:t>
      </w:r>
      <w:r>
        <w:t xml:space="preserve">   </w:t>
      </w:r>
      <w:bookmarkStart w:id="95" w:name="ENV_CAT_CODE"/>
      <w:r w:rsidR="003322A7">
        <w:t>C</w:t>
      </w:r>
      <w:bookmarkEnd w:id="95"/>
      <w:r>
        <w:t xml:space="preserve"> - </w:t>
      </w:r>
      <w:bookmarkStart w:id="96" w:name="ENV_CAT_DESC"/>
      <w:r w:rsidR="003322A7">
        <w:t>Not Required</w:t>
      </w:r>
      <w:bookmarkEnd w:id="96"/>
    </w:p>
    <w:p w:rsidR="00586153" w:rsidRDefault="00586153"/>
    <w:p w:rsidR="00586153" w:rsidRDefault="00586153">
      <w:pPr>
        <w:rPr>
          <w:b/>
          <w:bCs/>
        </w:rPr>
      </w:pPr>
      <w:r>
        <w:rPr>
          <w:b/>
          <w:bCs/>
        </w:rPr>
        <w:t>III</w:t>
      </w:r>
      <w:proofErr w:type="gramStart"/>
      <w:r>
        <w:rPr>
          <w:b/>
          <w:bCs/>
        </w:rPr>
        <w:t>.  SAFEGUARD</w:t>
      </w:r>
      <w:proofErr w:type="gramEnd"/>
      <w:r>
        <w:rPr>
          <w:b/>
          <w:bCs/>
        </w:rPr>
        <w:t xml:space="preserve"> PREPARATION PLAN</w:t>
      </w:r>
    </w:p>
    <w:p w:rsidR="00586153" w:rsidRDefault="00586153"/>
    <w:p w:rsidR="00586153" w:rsidRDefault="00586153">
      <w:pPr>
        <w:numPr>
          <w:ilvl w:val="0"/>
          <w:numId w:val="1"/>
        </w:numPr>
        <w:autoSpaceDE w:val="0"/>
        <w:autoSpaceDN w:val="0"/>
        <w:adjustRightInd w:val="0"/>
        <w:spacing w:line="240" w:lineRule="atLeast"/>
      </w:pPr>
      <w:r>
        <w:t xml:space="preserve">Target date for the Quality Enhancement Review (QER), at which time the PAD-stage ISDS would be prepared:  </w:t>
      </w:r>
      <w:bookmarkStart w:id="97" w:name="QER_DATE"/>
      <w:bookmarkStart w:id="98" w:name="QER_NA"/>
      <w:bookmarkEnd w:id="97"/>
      <w:r w:rsidR="003322A7">
        <w:t>N/A</w:t>
      </w:r>
      <w:bookmarkEnd w:id="98"/>
    </w:p>
    <w:p w:rsidR="00586153" w:rsidRDefault="00586153">
      <w:pPr>
        <w:autoSpaceDE w:val="0"/>
        <w:autoSpaceDN w:val="0"/>
        <w:adjustRightInd w:val="0"/>
        <w:spacing w:line="240" w:lineRule="atLeast"/>
      </w:pPr>
    </w:p>
    <w:p w:rsidR="00586153" w:rsidRDefault="00586153">
      <w:pPr>
        <w:numPr>
          <w:ilvl w:val="0"/>
          <w:numId w:val="1"/>
        </w:numPr>
        <w:autoSpaceDE w:val="0"/>
        <w:autoSpaceDN w:val="0"/>
        <w:adjustRightInd w:val="0"/>
        <w:spacing w:line="240" w:lineRule="atLeast"/>
      </w:pPr>
      <w:r>
        <w:t xml:space="preserve">For projects that will not require a QER, the target date for preparing the PAD-stage ISDS:  </w:t>
      </w:r>
      <w:bookmarkStart w:id="99" w:name="PAD_NA"/>
      <w:bookmarkStart w:id="100" w:name="PAD_DATE"/>
      <w:bookmarkEnd w:id="99"/>
      <w:r w:rsidR="003322A7">
        <w:t>02/22/2013</w:t>
      </w:r>
      <w:bookmarkEnd w:id="100"/>
    </w:p>
    <w:p w:rsidR="00586153" w:rsidRDefault="00586153">
      <w:pPr>
        <w:autoSpaceDE w:val="0"/>
        <w:autoSpaceDN w:val="0"/>
        <w:adjustRightInd w:val="0"/>
        <w:spacing w:line="240" w:lineRule="atLeast"/>
      </w:pPr>
    </w:p>
    <w:p w:rsidR="00586153" w:rsidRDefault="00586153">
      <w:pPr>
        <w:autoSpaceDE w:val="0"/>
        <w:autoSpaceDN w:val="0"/>
        <w:adjustRightInd w:val="0"/>
        <w:spacing w:line="240" w:lineRule="atLeast"/>
      </w:pPr>
      <w:r>
        <w:t>C.  Time frame for launching and completing the safeguard-related studies that may be needed.  The specific studies and their timing</w:t>
      </w:r>
      <w:r>
        <w:rPr>
          <w:rStyle w:val="FootnoteReference"/>
        </w:rPr>
        <w:footnoteReference w:id="2"/>
      </w:r>
      <w:r>
        <w:t xml:space="preserve"> should be specified in the PAD-stage ISDS.</w:t>
      </w:r>
    </w:p>
    <w:p w:rsidR="00586153" w:rsidRDefault="003322A7">
      <w:pPr>
        <w:autoSpaceDE w:val="0"/>
        <w:autoSpaceDN w:val="0"/>
        <w:adjustRightInd w:val="0"/>
        <w:spacing w:line="240" w:lineRule="atLeast"/>
        <w:ind w:left="360"/>
      </w:pPr>
      <w:bookmarkStart w:id="101" w:name="ISDS_TIMEFRAME"/>
      <w:r>
        <w:t xml:space="preserve">Not Applicable  </w:t>
      </w:r>
      <w:bookmarkEnd w:id="101"/>
    </w:p>
    <w:p w:rsidR="00586153" w:rsidRDefault="00586153"/>
    <w:p w:rsidR="00586153" w:rsidRDefault="00586153">
      <w:pPr>
        <w:keepNext/>
        <w:keepLines/>
        <w:rPr>
          <w:b/>
        </w:rPr>
      </w:pPr>
      <w:r>
        <w:rPr>
          <w:b/>
        </w:rPr>
        <w:lastRenderedPageBreak/>
        <w:t>IV</w:t>
      </w:r>
      <w:proofErr w:type="gramStart"/>
      <w:r>
        <w:rPr>
          <w:b/>
        </w:rPr>
        <w:t>.  APPROVALS</w:t>
      </w:r>
      <w:proofErr w:type="gramEnd"/>
    </w:p>
    <w:p w:rsidR="00586153" w:rsidRDefault="00586153">
      <w:pPr>
        <w:keepNext/>
        <w:keepLines/>
      </w:pPr>
    </w:p>
    <w:tbl>
      <w:tblPr>
        <w:tblW w:w="9266" w:type="dxa"/>
        <w:jc w:val="center"/>
        <w:tblInd w:w="-1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73"/>
        <w:gridCol w:w="4263"/>
        <w:gridCol w:w="1630"/>
      </w:tblGrid>
      <w:tr w:rsidR="00586153">
        <w:trPr>
          <w:cantSplit/>
          <w:jc w:val="center"/>
        </w:trPr>
        <w:tc>
          <w:tcPr>
            <w:tcW w:w="3373" w:type="dxa"/>
            <w:tcBorders>
              <w:top w:val="double" w:sz="4" w:space="0" w:color="auto"/>
              <w:left w:val="double" w:sz="4" w:space="0" w:color="auto"/>
              <w:bottom w:val="nil"/>
              <w:right w:val="nil"/>
            </w:tcBorders>
          </w:tcPr>
          <w:p w:rsidR="00586153" w:rsidRDefault="00586153">
            <w:pPr>
              <w:keepNext/>
              <w:keepLines/>
              <w:rPr>
                <w:b/>
                <w:bCs/>
                <w:i/>
                <w:iCs/>
                <w:sz w:val="20"/>
              </w:rPr>
            </w:pPr>
            <w:r>
              <w:rPr>
                <w:b/>
                <w:bCs/>
                <w:i/>
                <w:iCs/>
                <w:sz w:val="20"/>
              </w:rPr>
              <w:t>Signed and submitted by:</w:t>
            </w:r>
          </w:p>
        </w:tc>
        <w:tc>
          <w:tcPr>
            <w:tcW w:w="4263" w:type="dxa"/>
            <w:tcBorders>
              <w:top w:val="double" w:sz="4" w:space="0" w:color="auto"/>
              <w:left w:val="nil"/>
              <w:bottom w:val="nil"/>
              <w:right w:val="nil"/>
            </w:tcBorders>
          </w:tcPr>
          <w:p w:rsidR="00586153" w:rsidRDefault="00586153">
            <w:pPr>
              <w:keepNext/>
              <w:keepLines/>
              <w:rPr>
                <w:b/>
                <w:bCs/>
                <w:iCs/>
                <w:sz w:val="20"/>
              </w:rPr>
            </w:pPr>
          </w:p>
        </w:tc>
        <w:tc>
          <w:tcPr>
            <w:tcW w:w="1630" w:type="dxa"/>
            <w:tcBorders>
              <w:top w:val="double" w:sz="4" w:space="0" w:color="auto"/>
              <w:left w:val="nil"/>
              <w:bottom w:val="nil"/>
              <w:right w:val="double" w:sz="4" w:space="0" w:color="auto"/>
            </w:tcBorders>
          </w:tcPr>
          <w:p w:rsidR="00586153" w:rsidRDefault="00586153">
            <w:pPr>
              <w:keepNext/>
              <w:keepLines/>
              <w:jc w:val="center"/>
              <w:rPr>
                <w:b/>
                <w:bCs/>
                <w:iCs/>
                <w:sz w:val="20"/>
              </w:rPr>
            </w:pPr>
          </w:p>
        </w:tc>
      </w:tr>
      <w:tr w:rsidR="00586153">
        <w:trPr>
          <w:cantSplit/>
          <w:jc w:val="center"/>
        </w:trPr>
        <w:tc>
          <w:tcPr>
            <w:tcW w:w="3373" w:type="dxa"/>
            <w:tcBorders>
              <w:top w:val="nil"/>
              <w:left w:val="double" w:sz="4" w:space="0" w:color="auto"/>
              <w:bottom w:val="single" w:sz="4" w:space="0" w:color="auto"/>
              <w:right w:val="nil"/>
            </w:tcBorders>
          </w:tcPr>
          <w:p w:rsidR="00586153" w:rsidRDefault="00586153">
            <w:pPr>
              <w:keepNext/>
              <w:keepLines/>
              <w:rPr>
                <w:b/>
                <w:bCs/>
                <w:sz w:val="20"/>
              </w:rPr>
            </w:pPr>
            <w:r>
              <w:rPr>
                <w:b/>
                <w:bCs/>
                <w:sz w:val="20"/>
              </w:rPr>
              <w:t>Task Team Leader:</w:t>
            </w:r>
          </w:p>
        </w:tc>
        <w:tc>
          <w:tcPr>
            <w:tcW w:w="4263" w:type="dxa"/>
            <w:tcBorders>
              <w:top w:val="nil"/>
              <w:left w:val="nil"/>
              <w:bottom w:val="single" w:sz="4" w:space="0" w:color="auto"/>
              <w:right w:val="nil"/>
            </w:tcBorders>
          </w:tcPr>
          <w:p w:rsidR="00586153" w:rsidRDefault="003322A7">
            <w:pPr>
              <w:keepNext/>
              <w:keepLines/>
              <w:rPr>
                <w:b/>
                <w:bCs/>
                <w:sz w:val="20"/>
              </w:rPr>
            </w:pPr>
            <w:bookmarkStart w:id="102" w:name="TTL_NAME"/>
            <w:proofErr w:type="spellStart"/>
            <w:r>
              <w:rPr>
                <w:b/>
                <w:bCs/>
                <w:sz w:val="20"/>
              </w:rPr>
              <w:t>Ms</w:t>
            </w:r>
            <w:proofErr w:type="spellEnd"/>
            <w:r>
              <w:rPr>
                <w:b/>
                <w:bCs/>
                <w:sz w:val="20"/>
              </w:rPr>
              <w:t xml:space="preserve"> </w:t>
            </w:r>
            <w:proofErr w:type="spellStart"/>
            <w:r>
              <w:rPr>
                <w:b/>
                <w:bCs/>
                <w:sz w:val="20"/>
              </w:rPr>
              <w:t>Setareh</w:t>
            </w:r>
            <w:proofErr w:type="spellEnd"/>
            <w:r>
              <w:rPr>
                <w:b/>
                <w:bCs/>
                <w:sz w:val="20"/>
              </w:rPr>
              <w:t xml:space="preserve"> </w:t>
            </w:r>
            <w:proofErr w:type="spellStart"/>
            <w:r>
              <w:rPr>
                <w:b/>
                <w:bCs/>
                <w:sz w:val="20"/>
              </w:rPr>
              <w:t>Razmara</w:t>
            </w:r>
            <w:bookmarkEnd w:id="102"/>
            <w:proofErr w:type="spellEnd"/>
          </w:p>
        </w:tc>
        <w:tc>
          <w:tcPr>
            <w:tcW w:w="1630" w:type="dxa"/>
            <w:tcBorders>
              <w:top w:val="nil"/>
              <w:left w:val="nil"/>
              <w:bottom w:val="single" w:sz="4" w:space="0" w:color="auto"/>
              <w:right w:val="double" w:sz="4" w:space="0" w:color="auto"/>
            </w:tcBorders>
          </w:tcPr>
          <w:p w:rsidR="00586153" w:rsidRDefault="00093FC6">
            <w:pPr>
              <w:keepNext/>
              <w:keepLines/>
              <w:jc w:val="center"/>
              <w:rPr>
                <w:b/>
                <w:bCs/>
                <w:iCs/>
                <w:sz w:val="20"/>
              </w:rPr>
            </w:pPr>
            <w:bookmarkStart w:id="103" w:name="TTL_DATE"/>
            <w:r>
              <w:rPr>
                <w:b/>
                <w:bCs/>
                <w:iCs/>
                <w:sz w:val="20"/>
              </w:rPr>
              <w:t>03/1</w:t>
            </w:r>
            <w:r w:rsidR="003322A7">
              <w:rPr>
                <w:b/>
                <w:bCs/>
                <w:iCs/>
                <w:sz w:val="20"/>
              </w:rPr>
              <w:t>9/201</w:t>
            </w:r>
            <w:bookmarkEnd w:id="103"/>
            <w:r>
              <w:rPr>
                <w:b/>
                <w:bCs/>
                <w:iCs/>
                <w:sz w:val="20"/>
              </w:rPr>
              <w:t>3</w:t>
            </w:r>
          </w:p>
        </w:tc>
      </w:tr>
      <w:tr w:rsidR="00586153">
        <w:trPr>
          <w:cantSplit/>
          <w:jc w:val="center"/>
        </w:trPr>
        <w:tc>
          <w:tcPr>
            <w:tcW w:w="3373" w:type="dxa"/>
            <w:tcBorders>
              <w:left w:val="double" w:sz="4" w:space="0" w:color="auto"/>
              <w:bottom w:val="nil"/>
              <w:right w:val="nil"/>
            </w:tcBorders>
          </w:tcPr>
          <w:p w:rsidR="00586153" w:rsidRDefault="00586153">
            <w:pPr>
              <w:keepNext/>
              <w:keepLines/>
              <w:rPr>
                <w:b/>
                <w:bCs/>
                <w:i/>
                <w:iCs/>
                <w:sz w:val="20"/>
              </w:rPr>
            </w:pPr>
            <w:r>
              <w:rPr>
                <w:b/>
                <w:bCs/>
                <w:i/>
                <w:iCs/>
                <w:sz w:val="20"/>
              </w:rPr>
              <w:t>Approved by:</w:t>
            </w:r>
          </w:p>
        </w:tc>
        <w:tc>
          <w:tcPr>
            <w:tcW w:w="4263" w:type="dxa"/>
            <w:tcBorders>
              <w:left w:val="nil"/>
              <w:bottom w:val="nil"/>
              <w:right w:val="nil"/>
            </w:tcBorders>
          </w:tcPr>
          <w:p w:rsidR="00586153" w:rsidRDefault="00586153">
            <w:pPr>
              <w:keepNext/>
              <w:keepLines/>
              <w:rPr>
                <w:b/>
                <w:bCs/>
                <w:iCs/>
                <w:sz w:val="20"/>
              </w:rPr>
            </w:pPr>
          </w:p>
        </w:tc>
        <w:tc>
          <w:tcPr>
            <w:tcW w:w="1630" w:type="dxa"/>
            <w:tcBorders>
              <w:left w:val="nil"/>
              <w:bottom w:val="nil"/>
              <w:right w:val="double" w:sz="4" w:space="0" w:color="auto"/>
            </w:tcBorders>
          </w:tcPr>
          <w:p w:rsidR="00586153" w:rsidRDefault="00586153">
            <w:pPr>
              <w:keepNext/>
              <w:keepLines/>
              <w:jc w:val="center"/>
              <w:rPr>
                <w:b/>
                <w:bCs/>
                <w:iCs/>
                <w:sz w:val="20"/>
              </w:rPr>
            </w:pPr>
          </w:p>
        </w:tc>
      </w:tr>
      <w:tr w:rsidR="00586153">
        <w:trPr>
          <w:cantSplit/>
          <w:jc w:val="center"/>
        </w:trPr>
        <w:tc>
          <w:tcPr>
            <w:tcW w:w="3373" w:type="dxa"/>
            <w:tcBorders>
              <w:top w:val="nil"/>
              <w:left w:val="double" w:sz="4" w:space="0" w:color="auto"/>
              <w:bottom w:val="nil"/>
              <w:right w:val="nil"/>
            </w:tcBorders>
          </w:tcPr>
          <w:p w:rsidR="00586153" w:rsidRDefault="00586153">
            <w:pPr>
              <w:keepNext/>
              <w:keepLines/>
              <w:rPr>
                <w:b/>
                <w:bCs/>
                <w:sz w:val="20"/>
              </w:rPr>
            </w:pPr>
            <w:r>
              <w:rPr>
                <w:b/>
                <w:bCs/>
                <w:sz w:val="20"/>
              </w:rPr>
              <w:t>Regional Safeguards Coordinator:</w:t>
            </w:r>
          </w:p>
        </w:tc>
        <w:tc>
          <w:tcPr>
            <w:tcW w:w="4263" w:type="dxa"/>
            <w:tcBorders>
              <w:top w:val="nil"/>
              <w:left w:val="nil"/>
              <w:bottom w:val="nil"/>
              <w:right w:val="nil"/>
            </w:tcBorders>
          </w:tcPr>
          <w:p w:rsidR="00586153" w:rsidRDefault="003322A7">
            <w:pPr>
              <w:keepNext/>
              <w:keepLines/>
              <w:rPr>
                <w:b/>
                <w:bCs/>
                <w:sz w:val="20"/>
              </w:rPr>
            </w:pPr>
            <w:bookmarkStart w:id="104" w:name="RSC_NAME"/>
            <w:r>
              <w:rPr>
                <w:b/>
                <w:bCs/>
                <w:sz w:val="20"/>
              </w:rPr>
              <w:t xml:space="preserve">Ms Alexandra C. </w:t>
            </w:r>
            <w:proofErr w:type="spellStart"/>
            <w:r>
              <w:rPr>
                <w:b/>
                <w:bCs/>
                <w:sz w:val="20"/>
              </w:rPr>
              <w:t>Bezeredi</w:t>
            </w:r>
            <w:bookmarkEnd w:id="104"/>
            <w:proofErr w:type="spellEnd"/>
          </w:p>
        </w:tc>
        <w:tc>
          <w:tcPr>
            <w:tcW w:w="1630" w:type="dxa"/>
            <w:tcBorders>
              <w:top w:val="nil"/>
              <w:left w:val="nil"/>
              <w:bottom w:val="nil"/>
              <w:right w:val="double" w:sz="4" w:space="0" w:color="auto"/>
            </w:tcBorders>
          </w:tcPr>
          <w:p w:rsidR="00586153" w:rsidRDefault="00C02B4D">
            <w:pPr>
              <w:keepNext/>
              <w:keepLines/>
              <w:jc w:val="center"/>
              <w:rPr>
                <w:b/>
                <w:bCs/>
                <w:iCs/>
                <w:sz w:val="20"/>
              </w:rPr>
            </w:pPr>
            <w:bookmarkStart w:id="105" w:name="RSC_DATE"/>
            <w:bookmarkEnd w:id="105"/>
            <w:r>
              <w:rPr>
                <w:b/>
                <w:bCs/>
                <w:iCs/>
                <w:sz w:val="20"/>
              </w:rPr>
              <w:t>03/19/2013</w:t>
            </w:r>
          </w:p>
        </w:tc>
      </w:tr>
      <w:tr w:rsidR="00586153">
        <w:trPr>
          <w:cantSplit/>
          <w:jc w:val="center"/>
        </w:trPr>
        <w:tc>
          <w:tcPr>
            <w:tcW w:w="9266" w:type="dxa"/>
            <w:gridSpan w:val="3"/>
            <w:tcBorders>
              <w:top w:val="nil"/>
              <w:left w:val="double" w:sz="4" w:space="0" w:color="auto"/>
              <w:bottom w:val="nil"/>
              <w:right w:val="double" w:sz="4" w:space="0" w:color="auto"/>
            </w:tcBorders>
          </w:tcPr>
          <w:p w:rsidR="00586153" w:rsidRDefault="00586153">
            <w:pPr>
              <w:keepNext/>
              <w:keepLines/>
              <w:ind w:left="198"/>
              <w:rPr>
                <w:b/>
                <w:bCs/>
                <w:iCs/>
                <w:sz w:val="20"/>
              </w:rPr>
            </w:pPr>
            <w:r>
              <w:rPr>
                <w:b/>
                <w:bCs/>
                <w:iCs/>
                <w:sz w:val="20"/>
              </w:rPr>
              <w:t xml:space="preserve">Comments:  </w:t>
            </w:r>
            <w:bookmarkStart w:id="106" w:name="RSC_COMM"/>
            <w:bookmarkEnd w:id="106"/>
          </w:p>
        </w:tc>
      </w:tr>
      <w:tr w:rsidR="00586153">
        <w:trPr>
          <w:cantSplit/>
          <w:jc w:val="center"/>
        </w:trPr>
        <w:tc>
          <w:tcPr>
            <w:tcW w:w="3373" w:type="dxa"/>
            <w:tcBorders>
              <w:top w:val="nil"/>
              <w:left w:val="double" w:sz="4" w:space="0" w:color="auto"/>
              <w:bottom w:val="nil"/>
              <w:right w:val="nil"/>
            </w:tcBorders>
          </w:tcPr>
          <w:p w:rsidR="00586153" w:rsidRDefault="00586153">
            <w:pPr>
              <w:keepNext/>
              <w:keepLines/>
              <w:rPr>
                <w:b/>
                <w:bCs/>
                <w:sz w:val="20"/>
              </w:rPr>
            </w:pPr>
            <w:r>
              <w:rPr>
                <w:b/>
                <w:bCs/>
                <w:sz w:val="20"/>
              </w:rPr>
              <w:t>Sector Manager:</w:t>
            </w:r>
          </w:p>
        </w:tc>
        <w:tc>
          <w:tcPr>
            <w:tcW w:w="4263" w:type="dxa"/>
            <w:tcBorders>
              <w:top w:val="nil"/>
              <w:left w:val="nil"/>
              <w:bottom w:val="nil"/>
              <w:right w:val="nil"/>
            </w:tcBorders>
          </w:tcPr>
          <w:p w:rsidR="00586153" w:rsidRDefault="003322A7">
            <w:pPr>
              <w:keepNext/>
              <w:keepLines/>
              <w:rPr>
                <w:b/>
                <w:bCs/>
                <w:sz w:val="20"/>
              </w:rPr>
            </w:pPr>
            <w:bookmarkStart w:id="107" w:name="SM_NAME"/>
            <w:proofErr w:type="spellStart"/>
            <w:r>
              <w:rPr>
                <w:b/>
                <w:bCs/>
                <w:sz w:val="20"/>
              </w:rPr>
              <w:t>Mr</w:t>
            </w:r>
            <w:proofErr w:type="spellEnd"/>
            <w:r>
              <w:rPr>
                <w:b/>
                <w:bCs/>
                <w:sz w:val="20"/>
              </w:rPr>
              <w:t xml:space="preserve"> Stefano </w:t>
            </w:r>
            <w:proofErr w:type="spellStart"/>
            <w:r>
              <w:rPr>
                <w:b/>
                <w:bCs/>
                <w:sz w:val="20"/>
              </w:rPr>
              <w:t>Paternostro</w:t>
            </w:r>
            <w:bookmarkEnd w:id="107"/>
            <w:proofErr w:type="spellEnd"/>
          </w:p>
        </w:tc>
        <w:tc>
          <w:tcPr>
            <w:tcW w:w="1630" w:type="dxa"/>
            <w:tcBorders>
              <w:top w:val="nil"/>
              <w:left w:val="nil"/>
              <w:bottom w:val="nil"/>
              <w:right w:val="double" w:sz="4" w:space="0" w:color="auto"/>
            </w:tcBorders>
          </w:tcPr>
          <w:p w:rsidR="00586153" w:rsidRDefault="00C02B4D">
            <w:pPr>
              <w:keepNext/>
              <w:keepLines/>
              <w:jc w:val="center"/>
              <w:rPr>
                <w:b/>
                <w:bCs/>
                <w:iCs/>
                <w:sz w:val="20"/>
              </w:rPr>
            </w:pPr>
            <w:bookmarkStart w:id="108" w:name="SM_DATE"/>
            <w:bookmarkEnd w:id="108"/>
            <w:r>
              <w:rPr>
                <w:b/>
                <w:bCs/>
                <w:iCs/>
                <w:sz w:val="20"/>
              </w:rPr>
              <w:t>03/19/2013</w:t>
            </w:r>
          </w:p>
        </w:tc>
      </w:tr>
      <w:tr w:rsidR="00586153">
        <w:trPr>
          <w:cantSplit/>
          <w:jc w:val="center"/>
        </w:trPr>
        <w:tc>
          <w:tcPr>
            <w:tcW w:w="9266" w:type="dxa"/>
            <w:gridSpan w:val="3"/>
            <w:tcBorders>
              <w:top w:val="nil"/>
              <w:left w:val="double" w:sz="4" w:space="0" w:color="auto"/>
              <w:bottom w:val="double" w:sz="4" w:space="0" w:color="auto"/>
              <w:right w:val="double" w:sz="4" w:space="0" w:color="auto"/>
            </w:tcBorders>
          </w:tcPr>
          <w:p w:rsidR="00586153" w:rsidRDefault="00586153">
            <w:pPr>
              <w:keepNext/>
              <w:keepLines/>
              <w:ind w:left="198"/>
              <w:rPr>
                <w:b/>
                <w:bCs/>
                <w:iCs/>
                <w:sz w:val="20"/>
              </w:rPr>
            </w:pPr>
            <w:r>
              <w:rPr>
                <w:b/>
                <w:bCs/>
                <w:iCs/>
                <w:sz w:val="20"/>
              </w:rPr>
              <w:t xml:space="preserve">Comments:  </w:t>
            </w:r>
            <w:bookmarkStart w:id="109" w:name="SM_COMM"/>
            <w:bookmarkEnd w:id="109"/>
          </w:p>
        </w:tc>
      </w:tr>
    </w:tbl>
    <w:p w:rsidR="00586153" w:rsidRDefault="00586153">
      <w:pPr>
        <w:autoSpaceDE w:val="0"/>
        <w:autoSpaceDN w:val="0"/>
        <w:adjustRightInd w:val="0"/>
        <w:spacing w:line="240" w:lineRule="atLeast"/>
      </w:pPr>
    </w:p>
    <w:p w:rsidR="00586153" w:rsidRDefault="00586153">
      <w:pPr>
        <w:autoSpaceDE w:val="0"/>
        <w:autoSpaceDN w:val="0"/>
        <w:adjustRightInd w:val="0"/>
        <w:spacing w:line="240" w:lineRule="atLeast"/>
      </w:pPr>
    </w:p>
    <w:sectPr w:rsidR="005861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38" w:rsidRDefault="00B17838">
      <w:r>
        <w:separator/>
      </w:r>
    </w:p>
  </w:endnote>
  <w:endnote w:type="continuationSeparator" w:id="0">
    <w:p w:rsidR="00B17838" w:rsidRDefault="00B1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38" w:rsidRDefault="00B17838">
      <w:r>
        <w:separator/>
      </w:r>
    </w:p>
  </w:footnote>
  <w:footnote w:type="continuationSeparator" w:id="0">
    <w:p w:rsidR="00B17838" w:rsidRDefault="00B17838">
      <w:r>
        <w:continuationSeparator/>
      </w:r>
    </w:p>
  </w:footnote>
  <w:footnote w:type="continuationNotice" w:id="1">
    <w:p w:rsidR="00B17838" w:rsidRDefault="00B17838"/>
  </w:footnote>
  <w:footnote w:id="2">
    <w:p w:rsidR="00586153" w:rsidRDefault="00586153">
      <w:pPr>
        <w:pStyle w:val="FootnoteText"/>
      </w:pPr>
      <w:r>
        <w:rPr>
          <w:rStyle w:val="FootnoteReference"/>
        </w:rPr>
        <w:footnoteRef/>
      </w:r>
      <w:r>
        <w:t xml:space="preserve"> </w:t>
      </w:r>
      <w:r>
        <w:rPr>
          <w:position w:val="6"/>
          <w:sz w:val="18"/>
        </w:rPr>
        <w:t>Reminder: The Bank's Disclosure Policy requires that safeguard-related documents be disclosed before appraisal (</w:t>
      </w:r>
      <w:proofErr w:type="spellStart"/>
      <w:r>
        <w:rPr>
          <w:position w:val="6"/>
          <w:sz w:val="18"/>
        </w:rPr>
        <w:t>i</w:t>
      </w:r>
      <w:proofErr w:type="spellEnd"/>
      <w:r>
        <w:rPr>
          <w:position w:val="6"/>
          <w:sz w:val="18"/>
        </w:rPr>
        <w:t xml:space="preserve">) at the </w:t>
      </w:r>
      <w:proofErr w:type="spellStart"/>
      <w:r>
        <w:rPr>
          <w:position w:val="6"/>
          <w:sz w:val="18"/>
        </w:rPr>
        <w:t>InfoShop</w:t>
      </w:r>
      <w:proofErr w:type="spellEnd"/>
      <w:r>
        <w:rPr>
          <w:position w:val="6"/>
          <w:sz w:val="18"/>
        </w:rPr>
        <w:t xml:space="preserve"> and (ii) in-country, at publicly accessible locations and in a form and language that are accessible to potentially affected persons.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439E6"/>
    <w:multiLevelType w:val="multilevel"/>
    <w:tmpl w:val="1D744B2A"/>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6320210F"/>
    <w:multiLevelType w:val="hybridMultilevel"/>
    <w:tmpl w:val="E35A9480"/>
    <w:lvl w:ilvl="0" w:tplc="2EA6128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C11663"/>
    <w:multiLevelType w:val="multilevel"/>
    <w:tmpl w:val="17C2F67E"/>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3">
    <w:nsid w:val="7FE30505"/>
    <w:multiLevelType w:val="hybridMultilevel"/>
    <w:tmpl w:val="D8AE2344"/>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0"/>
  </w:num>
  <w:num w:numId="6">
    <w:abstractNumId w:val="0"/>
  </w:num>
  <w:num w:numId="7">
    <w:abstractNumId w:val="2"/>
  </w:num>
  <w:num w:numId="8">
    <w:abstractNumId w:val="0"/>
  </w:num>
  <w:num w:numId="9">
    <w:abstractNumId w:val="2"/>
  </w:num>
  <w:num w:numId="10">
    <w:abstractNumId w:val="0"/>
  </w:num>
  <w:num w:numId="11">
    <w:abstractNumId w:val="2"/>
  </w:num>
  <w:num w:numId="12">
    <w:abstractNumId w:val="0"/>
  </w:num>
  <w:num w:numId="13">
    <w:abstractNumId w:val="2"/>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A7"/>
    <w:rsid w:val="00014130"/>
    <w:rsid w:val="00026964"/>
    <w:rsid w:val="00052AF3"/>
    <w:rsid w:val="00060322"/>
    <w:rsid w:val="00093FC6"/>
    <w:rsid w:val="000D5115"/>
    <w:rsid w:val="002C1192"/>
    <w:rsid w:val="003322A7"/>
    <w:rsid w:val="003551DE"/>
    <w:rsid w:val="004D6E97"/>
    <w:rsid w:val="00583611"/>
    <w:rsid w:val="00586153"/>
    <w:rsid w:val="005F0DC4"/>
    <w:rsid w:val="00814AA7"/>
    <w:rsid w:val="008158A8"/>
    <w:rsid w:val="00974436"/>
    <w:rsid w:val="009814B0"/>
    <w:rsid w:val="009D4454"/>
    <w:rsid w:val="00AC178A"/>
    <w:rsid w:val="00B05E50"/>
    <w:rsid w:val="00B17838"/>
    <w:rsid w:val="00BC0734"/>
    <w:rsid w:val="00BE4712"/>
    <w:rsid w:val="00C02B4D"/>
    <w:rsid w:val="00C80ECD"/>
    <w:rsid w:val="00D22A9E"/>
    <w:rsid w:val="00D833DB"/>
    <w:rsid w:val="00EE085A"/>
    <w:rsid w:val="00F4797E"/>
    <w:rsid w:val="00F6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3"/>
      </w:numPr>
      <w:tabs>
        <w:tab w:val="clear" w:pos="360"/>
      </w:tabs>
      <w:spacing w:before="1440" w:after="240"/>
      <w:ind w:left="0" w:firstLine="0"/>
      <w:jc w:val="center"/>
      <w:outlineLvl w:val="0"/>
    </w:pPr>
    <w:rPr>
      <w:rFonts w:cs="Arial"/>
      <w:b/>
      <w:bCs/>
      <w:caps/>
      <w:kern w:val="32"/>
      <w:sz w:val="32"/>
      <w:szCs w:val="32"/>
    </w:rPr>
  </w:style>
  <w:style w:type="paragraph" w:styleId="Heading2">
    <w:name w:val="heading 2"/>
    <w:basedOn w:val="Normal"/>
    <w:next w:val="Normal"/>
    <w:qFormat/>
    <w:pPr>
      <w:keepNext/>
      <w:keepLines/>
      <w:spacing w:before="120" w:after="240"/>
      <w:jc w:val="center"/>
      <w:outlineLvl w:val="1"/>
    </w:pPr>
    <w:rPr>
      <w:rFonts w:cs="Arial"/>
      <w:b/>
      <w:bCs/>
      <w:iCs/>
      <w:smallCaps/>
      <w:szCs w:val="28"/>
    </w:rPr>
  </w:style>
  <w:style w:type="paragraph" w:styleId="Heading3">
    <w:name w:val="heading 3"/>
    <w:basedOn w:val="Normal"/>
    <w:next w:val="Normal"/>
    <w:qFormat/>
    <w:pPr>
      <w:keepNext/>
      <w:keepLines/>
      <w:spacing w:before="120" w:after="240"/>
      <w:outlineLvl w:val="2"/>
    </w:pPr>
    <w:rPr>
      <w:rFonts w:cs="Arial"/>
      <w:b/>
      <w:bCs/>
      <w:szCs w:val="26"/>
    </w:rPr>
  </w:style>
  <w:style w:type="paragraph" w:styleId="Heading4">
    <w:name w:val="heading 4"/>
    <w:basedOn w:val="Normal"/>
    <w:next w:val="Normal"/>
    <w:qFormat/>
    <w:pPr>
      <w:keepNext/>
      <w:keepLines/>
      <w:spacing w:before="120" w:after="240"/>
      <w:outlineLvl w:val="3"/>
    </w:pPr>
    <w:rPr>
      <w:b/>
      <w:bCs/>
      <w:i/>
      <w:szCs w:val="28"/>
    </w:rPr>
  </w:style>
  <w:style w:type="paragraph" w:styleId="Heading5">
    <w:name w:val="heading 5"/>
    <w:basedOn w:val="Normal"/>
    <w:next w:val="Normal"/>
    <w:qFormat/>
    <w:pPr>
      <w:keepNext/>
      <w:outlineLvl w:val="4"/>
    </w:pPr>
    <w:rPr>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rPr>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rPr>
      <w:i/>
      <w:iCs/>
    </w:rPr>
  </w:style>
  <w:style w:type="paragraph" w:styleId="BodyText2">
    <w:name w:val="Body Text 2"/>
    <w:basedOn w:val="Normal"/>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1a">
    <w:name w:val="Heading 1a"/>
    <w:basedOn w:val="Normal"/>
    <w:next w:val="Normal"/>
    <w:pPr>
      <w:keepNext/>
      <w:keepLines/>
      <w:numPr>
        <w:numId w:val="2"/>
      </w:numPr>
      <w:spacing w:before="1440" w:after="240"/>
      <w:jc w:val="center"/>
      <w:outlineLvl w:val="0"/>
    </w:pPr>
    <w:rPr>
      <w:b/>
      <w:caps/>
      <w:sz w:val="32"/>
    </w:rPr>
  </w:style>
  <w:style w:type="paragraph" w:customStyle="1" w:styleId="MainParawithChapter">
    <w:name w:val="Main Para with Chapter#"/>
    <w:basedOn w:val="Normal"/>
    <w:pPr>
      <w:numPr>
        <w:ilvl w:val="1"/>
        <w:numId w:val="4"/>
      </w:numPr>
      <w:tabs>
        <w:tab w:val="clear" w:pos="720"/>
      </w:tabs>
      <w:spacing w:after="240"/>
      <w:ind w:left="0" w:firstLine="0"/>
      <w:outlineLvl w:val="1"/>
    </w:pPr>
  </w:style>
  <w:style w:type="paragraph" w:customStyle="1" w:styleId="MainParanoChapter">
    <w:name w:val="Main Para no Chapter #"/>
    <w:basedOn w:val="Normal"/>
    <w:pPr>
      <w:numPr>
        <w:ilvl w:val="1"/>
        <w:numId w:val="5"/>
      </w:numPr>
      <w:tabs>
        <w:tab w:val="clear" w:pos="720"/>
      </w:tabs>
      <w:spacing w:after="240"/>
      <w:ind w:left="0" w:firstLine="0"/>
      <w:outlineLvl w:val="1"/>
    </w:pPr>
  </w:style>
  <w:style w:type="paragraph" w:customStyle="1" w:styleId="Sub-Para1underX">
    <w:name w:val="Sub-Para 1 under X."/>
    <w:basedOn w:val="Normal"/>
    <w:pPr>
      <w:numPr>
        <w:ilvl w:val="2"/>
        <w:numId w:val="6"/>
      </w:numPr>
      <w:tabs>
        <w:tab w:val="clear" w:pos="1080"/>
      </w:tabs>
      <w:spacing w:after="240"/>
      <w:ind w:left="1440" w:hanging="720"/>
      <w:outlineLvl w:val="2"/>
    </w:pPr>
  </w:style>
  <w:style w:type="paragraph" w:customStyle="1" w:styleId="Sub-Para1underXY">
    <w:name w:val="Sub-Para 1 under X.Y"/>
    <w:basedOn w:val="Normal"/>
    <w:pPr>
      <w:numPr>
        <w:ilvl w:val="2"/>
        <w:numId w:val="7"/>
      </w:numPr>
      <w:tabs>
        <w:tab w:val="clear" w:pos="1440"/>
      </w:tabs>
      <w:spacing w:after="240"/>
      <w:ind w:left="1440" w:hanging="720"/>
      <w:outlineLvl w:val="2"/>
    </w:pPr>
  </w:style>
  <w:style w:type="paragraph" w:customStyle="1" w:styleId="Sub-Para2underX">
    <w:name w:val="Sub-Para 2 under X."/>
    <w:basedOn w:val="Normal"/>
    <w:pPr>
      <w:numPr>
        <w:ilvl w:val="3"/>
        <w:numId w:val="8"/>
      </w:numPr>
      <w:tabs>
        <w:tab w:val="clear" w:pos="1800"/>
      </w:tabs>
      <w:spacing w:after="240"/>
      <w:ind w:left="2160" w:hanging="720"/>
      <w:outlineLvl w:val="3"/>
    </w:pPr>
  </w:style>
  <w:style w:type="paragraph" w:customStyle="1" w:styleId="Sub-Para2underXY">
    <w:name w:val="Sub-Para 2 under X.Y"/>
    <w:basedOn w:val="Normal"/>
    <w:pPr>
      <w:numPr>
        <w:ilvl w:val="3"/>
        <w:numId w:val="9"/>
      </w:numPr>
      <w:tabs>
        <w:tab w:val="clear" w:pos="2160"/>
      </w:tabs>
      <w:spacing w:after="240"/>
      <w:ind w:left="2160" w:hanging="720"/>
      <w:outlineLvl w:val="3"/>
    </w:pPr>
  </w:style>
  <w:style w:type="paragraph" w:customStyle="1" w:styleId="Sub-Para3underX">
    <w:name w:val="Sub-Para 3 under X."/>
    <w:basedOn w:val="Normal"/>
    <w:pPr>
      <w:numPr>
        <w:ilvl w:val="4"/>
        <w:numId w:val="10"/>
      </w:numPr>
      <w:tabs>
        <w:tab w:val="clear" w:pos="1440"/>
      </w:tabs>
      <w:spacing w:after="240"/>
      <w:ind w:left="2880" w:hanging="720"/>
      <w:outlineLvl w:val="4"/>
    </w:pPr>
  </w:style>
  <w:style w:type="paragraph" w:customStyle="1" w:styleId="Sub-Para3underXY">
    <w:name w:val="Sub-Para 3 under X.Y"/>
    <w:basedOn w:val="Normal"/>
    <w:pPr>
      <w:numPr>
        <w:ilvl w:val="4"/>
        <w:numId w:val="11"/>
      </w:numPr>
      <w:tabs>
        <w:tab w:val="clear" w:pos="1800"/>
      </w:tabs>
      <w:spacing w:after="240"/>
      <w:ind w:left="2880" w:hanging="720"/>
      <w:outlineLvl w:val="4"/>
    </w:pPr>
  </w:style>
  <w:style w:type="paragraph" w:customStyle="1" w:styleId="Sub-Para4underX">
    <w:name w:val="Sub-Para 4 under X."/>
    <w:basedOn w:val="Normal"/>
    <w:pPr>
      <w:numPr>
        <w:ilvl w:val="5"/>
        <w:numId w:val="12"/>
      </w:numPr>
      <w:tabs>
        <w:tab w:val="clear" w:pos="2160"/>
      </w:tabs>
      <w:spacing w:after="240"/>
      <w:ind w:left="3600" w:hanging="720"/>
      <w:outlineLvl w:val="5"/>
    </w:pPr>
  </w:style>
  <w:style w:type="paragraph" w:customStyle="1" w:styleId="Sub-Para4underXY">
    <w:name w:val="Sub-Para 4 under X.Y"/>
    <w:basedOn w:val="Normal"/>
    <w:pPr>
      <w:numPr>
        <w:ilvl w:val="5"/>
        <w:numId w:val="13"/>
      </w:numPr>
      <w:tabs>
        <w:tab w:val="clear" w:pos="2520"/>
      </w:tabs>
      <w:spacing w:after="240"/>
      <w:ind w:left="3600" w:hanging="720"/>
      <w:outlineLvl w:val="5"/>
    </w:pPr>
  </w:style>
  <w:style w:type="paragraph" w:customStyle="1" w:styleId="Bullet">
    <w:name w:val="Bullet"/>
    <w:basedOn w:val="Normal"/>
    <w:pPr>
      <w:numPr>
        <w:numId w:val="14"/>
      </w:numPr>
      <w:tabs>
        <w:tab w:val="clear" w:pos="1440"/>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3"/>
      </w:numPr>
      <w:tabs>
        <w:tab w:val="clear" w:pos="360"/>
      </w:tabs>
      <w:spacing w:before="1440" w:after="240"/>
      <w:ind w:left="0" w:firstLine="0"/>
      <w:jc w:val="center"/>
      <w:outlineLvl w:val="0"/>
    </w:pPr>
    <w:rPr>
      <w:rFonts w:cs="Arial"/>
      <w:b/>
      <w:bCs/>
      <w:caps/>
      <w:kern w:val="32"/>
      <w:sz w:val="32"/>
      <w:szCs w:val="32"/>
    </w:rPr>
  </w:style>
  <w:style w:type="paragraph" w:styleId="Heading2">
    <w:name w:val="heading 2"/>
    <w:basedOn w:val="Normal"/>
    <w:next w:val="Normal"/>
    <w:qFormat/>
    <w:pPr>
      <w:keepNext/>
      <w:keepLines/>
      <w:spacing w:before="120" w:after="240"/>
      <w:jc w:val="center"/>
      <w:outlineLvl w:val="1"/>
    </w:pPr>
    <w:rPr>
      <w:rFonts w:cs="Arial"/>
      <w:b/>
      <w:bCs/>
      <w:iCs/>
      <w:smallCaps/>
      <w:szCs w:val="28"/>
    </w:rPr>
  </w:style>
  <w:style w:type="paragraph" w:styleId="Heading3">
    <w:name w:val="heading 3"/>
    <w:basedOn w:val="Normal"/>
    <w:next w:val="Normal"/>
    <w:qFormat/>
    <w:pPr>
      <w:keepNext/>
      <w:keepLines/>
      <w:spacing w:before="120" w:after="240"/>
      <w:outlineLvl w:val="2"/>
    </w:pPr>
    <w:rPr>
      <w:rFonts w:cs="Arial"/>
      <w:b/>
      <w:bCs/>
      <w:szCs w:val="26"/>
    </w:rPr>
  </w:style>
  <w:style w:type="paragraph" w:styleId="Heading4">
    <w:name w:val="heading 4"/>
    <w:basedOn w:val="Normal"/>
    <w:next w:val="Normal"/>
    <w:qFormat/>
    <w:pPr>
      <w:keepNext/>
      <w:keepLines/>
      <w:spacing w:before="120" w:after="240"/>
      <w:outlineLvl w:val="3"/>
    </w:pPr>
    <w:rPr>
      <w:b/>
      <w:bCs/>
      <w:i/>
      <w:szCs w:val="28"/>
    </w:rPr>
  </w:style>
  <w:style w:type="paragraph" w:styleId="Heading5">
    <w:name w:val="heading 5"/>
    <w:basedOn w:val="Normal"/>
    <w:next w:val="Normal"/>
    <w:qFormat/>
    <w:pPr>
      <w:keepNext/>
      <w:outlineLvl w:val="4"/>
    </w:pPr>
    <w:rPr>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rPr>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rPr>
      <w:i/>
      <w:iCs/>
    </w:rPr>
  </w:style>
  <w:style w:type="paragraph" w:styleId="BodyText2">
    <w:name w:val="Body Text 2"/>
    <w:basedOn w:val="Normal"/>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1a">
    <w:name w:val="Heading 1a"/>
    <w:basedOn w:val="Normal"/>
    <w:next w:val="Normal"/>
    <w:pPr>
      <w:keepNext/>
      <w:keepLines/>
      <w:numPr>
        <w:numId w:val="2"/>
      </w:numPr>
      <w:spacing w:before="1440" w:after="240"/>
      <w:jc w:val="center"/>
      <w:outlineLvl w:val="0"/>
    </w:pPr>
    <w:rPr>
      <w:b/>
      <w:caps/>
      <w:sz w:val="32"/>
    </w:rPr>
  </w:style>
  <w:style w:type="paragraph" w:customStyle="1" w:styleId="MainParawithChapter">
    <w:name w:val="Main Para with Chapter#"/>
    <w:basedOn w:val="Normal"/>
    <w:pPr>
      <w:numPr>
        <w:ilvl w:val="1"/>
        <w:numId w:val="4"/>
      </w:numPr>
      <w:tabs>
        <w:tab w:val="clear" w:pos="720"/>
      </w:tabs>
      <w:spacing w:after="240"/>
      <w:ind w:left="0" w:firstLine="0"/>
      <w:outlineLvl w:val="1"/>
    </w:pPr>
  </w:style>
  <w:style w:type="paragraph" w:customStyle="1" w:styleId="MainParanoChapter">
    <w:name w:val="Main Para no Chapter #"/>
    <w:basedOn w:val="Normal"/>
    <w:pPr>
      <w:numPr>
        <w:ilvl w:val="1"/>
        <w:numId w:val="5"/>
      </w:numPr>
      <w:tabs>
        <w:tab w:val="clear" w:pos="720"/>
      </w:tabs>
      <w:spacing w:after="240"/>
      <w:ind w:left="0" w:firstLine="0"/>
      <w:outlineLvl w:val="1"/>
    </w:pPr>
  </w:style>
  <w:style w:type="paragraph" w:customStyle="1" w:styleId="Sub-Para1underX">
    <w:name w:val="Sub-Para 1 under X."/>
    <w:basedOn w:val="Normal"/>
    <w:pPr>
      <w:numPr>
        <w:ilvl w:val="2"/>
        <w:numId w:val="6"/>
      </w:numPr>
      <w:tabs>
        <w:tab w:val="clear" w:pos="1080"/>
      </w:tabs>
      <w:spacing w:after="240"/>
      <w:ind w:left="1440" w:hanging="720"/>
      <w:outlineLvl w:val="2"/>
    </w:pPr>
  </w:style>
  <w:style w:type="paragraph" w:customStyle="1" w:styleId="Sub-Para1underXY">
    <w:name w:val="Sub-Para 1 under X.Y"/>
    <w:basedOn w:val="Normal"/>
    <w:pPr>
      <w:numPr>
        <w:ilvl w:val="2"/>
        <w:numId w:val="7"/>
      </w:numPr>
      <w:tabs>
        <w:tab w:val="clear" w:pos="1440"/>
      </w:tabs>
      <w:spacing w:after="240"/>
      <w:ind w:left="1440" w:hanging="720"/>
      <w:outlineLvl w:val="2"/>
    </w:pPr>
  </w:style>
  <w:style w:type="paragraph" w:customStyle="1" w:styleId="Sub-Para2underX">
    <w:name w:val="Sub-Para 2 under X."/>
    <w:basedOn w:val="Normal"/>
    <w:pPr>
      <w:numPr>
        <w:ilvl w:val="3"/>
        <w:numId w:val="8"/>
      </w:numPr>
      <w:tabs>
        <w:tab w:val="clear" w:pos="1800"/>
      </w:tabs>
      <w:spacing w:after="240"/>
      <w:ind w:left="2160" w:hanging="720"/>
      <w:outlineLvl w:val="3"/>
    </w:pPr>
  </w:style>
  <w:style w:type="paragraph" w:customStyle="1" w:styleId="Sub-Para2underXY">
    <w:name w:val="Sub-Para 2 under X.Y"/>
    <w:basedOn w:val="Normal"/>
    <w:pPr>
      <w:numPr>
        <w:ilvl w:val="3"/>
        <w:numId w:val="9"/>
      </w:numPr>
      <w:tabs>
        <w:tab w:val="clear" w:pos="2160"/>
      </w:tabs>
      <w:spacing w:after="240"/>
      <w:ind w:left="2160" w:hanging="720"/>
      <w:outlineLvl w:val="3"/>
    </w:pPr>
  </w:style>
  <w:style w:type="paragraph" w:customStyle="1" w:styleId="Sub-Para3underX">
    <w:name w:val="Sub-Para 3 under X."/>
    <w:basedOn w:val="Normal"/>
    <w:pPr>
      <w:numPr>
        <w:ilvl w:val="4"/>
        <w:numId w:val="10"/>
      </w:numPr>
      <w:tabs>
        <w:tab w:val="clear" w:pos="1440"/>
      </w:tabs>
      <w:spacing w:after="240"/>
      <w:ind w:left="2880" w:hanging="720"/>
      <w:outlineLvl w:val="4"/>
    </w:pPr>
  </w:style>
  <w:style w:type="paragraph" w:customStyle="1" w:styleId="Sub-Para3underXY">
    <w:name w:val="Sub-Para 3 under X.Y"/>
    <w:basedOn w:val="Normal"/>
    <w:pPr>
      <w:numPr>
        <w:ilvl w:val="4"/>
        <w:numId w:val="11"/>
      </w:numPr>
      <w:tabs>
        <w:tab w:val="clear" w:pos="1800"/>
      </w:tabs>
      <w:spacing w:after="240"/>
      <w:ind w:left="2880" w:hanging="720"/>
      <w:outlineLvl w:val="4"/>
    </w:pPr>
  </w:style>
  <w:style w:type="paragraph" w:customStyle="1" w:styleId="Sub-Para4underX">
    <w:name w:val="Sub-Para 4 under X."/>
    <w:basedOn w:val="Normal"/>
    <w:pPr>
      <w:numPr>
        <w:ilvl w:val="5"/>
        <w:numId w:val="12"/>
      </w:numPr>
      <w:tabs>
        <w:tab w:val="clear" w:pos="2160"/>
      </w:tabs>
      <w:spacing w:after="240"/>
      <w:ind w:left="3600" w:hanging="720"/>
      <w:outlineLvl w:val="5"/>
    </w:pPr>
  </w:style>
  <w:style w:type="paragraph" w:customStyle="1" w:styleId="Sub-Para4underXY">
    <w:name w:val="Sub-Para 4 under X.Y"/>
    <w:basedOn w:val="Normal"/>
    <w:pPr>
      <w:numPr>
        <w:ilvl w:val="5"/>
        <w:numId w:val="13"/>
      </w:numPr>
      <w:tabs>
        <w:tab w:val="clear" w:pos="2520"/>
      </w:tabs>
      <w:spacing w:after="240"/>
      <w:ind w:left="3600" w:hanging="720"/>
      <w:outlineLvl w:val="5"/>
    </w:pPr>
  </w:style>
  <w:style w:type="paragraph" w:customStyle="1" w:styleId="Bullet">
    <w:name w:val="Bullet"/>
    <w:basedOn w:val="Normal"/>
    <w:pPr>
      <w:numPr>
        <w:numId w:val="14"/>
      </w:numPr>
      <w:tabs>
        <w:tab w:val="clear" w:pos="14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2027</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Integrated Safeguards Data Sheet</vt:lpstr>
    </vt:vector>
  </TitlesOfParts>
  <Company>World Bank Group</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Safeguards Data Sheet</dc:title>
  <dc:creator>OPCS</dc:creator>
  <cp:lastModifiedBy>Claire Guimbert</cp:lastModifiedBy>
  <cp:revision>2</cp:revision>
  <cp:lastPrinted>2013-03-19T22:00:00Z</cp:lastPrinted>
  <dcterms:created xsi:type="dcterms:W3CDTF">2013-03-20T15:08:00Z</dcterms:created>
  <dcterms:modified xsi:type="dcterms:W3CDTF">2013-03-20T15:08:00Z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y fmtid="{D5CDD505-2E9C-101B-9397-08002B2CF9AE}" pid="3" name="TEAMLEADER">
    <vt:lpwstr>Name</vt:lpwstr>
  </property>
  <property fmtid="{D5CDD505-2E9C-101B-9397-08002B2CF9AE}" pid="4" name="PPNewISDS">
    <vt:bool>true</vt:bool>
  </property>
</Properties>
</file>