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7C51" w14:textId="77777777" w:rsidR="000D12DD" w:rsidRPr="00BA050E" w:rsidRDefault="000D12DD" w:rsidP="000D12DD">
      <w:pPr>
        <w:spacing w:after="4" w:line="259" w:lineRule="auto"/>
        <w:ind w:left="10" w:right="57" w:hanging="10"/>
        <w:jc w:val="center"/>
      </w:pPr>
      <w:r w:rsidRPr="00BA050E">
        <w:rPr>
          <w:b/>
          <w:sz w:val="20"/>
        </w:rPr>
        <w:t xml:space="preserve">Document of </w:t>
      </w:r>
      <w:r w:rsidRPr="00BA050E">
        <w:rPr>
          <w:sz w:val="20"/>
        </w:rPr>
        <w:t xml:space="preserve"> </w:t>
      </w:r>
    </w:p>
    <w:p w14:paraId="74AA1CAB" w14:textId="77777777" w:rsidR="000D12DD" w:rsidRPr="00BA050E" w:rsidRDefault="000D12DD" w:rsidP="000D12DD">
      <w:pPr>
        <w:spacing w:after="4" w:line="259" w:lineRule="auto"/>
        <w:ind w:left="10" w:right="58" w:hanging="10"/>
        <w:jc w:val="center"/>
      </w:pPr>
      <w:r w:rsidRPr="00BA050E">
        <w:rPr>
          <w:b/>
          <w:sz w:val="20"/>
        </w:rPr>
        <w:t xml:space="preserve">The World Bank Group </w:t>
      </w:r>
      <w:r w:rsidRPr="00BA050E">
        <w:rPr>
          <w:sz w:val="20"/>
        </w:rPr>
        <w:t xml:space="preserve"> </w:t>
      </w:r>
    </w:p>
    <w:p w14:paraId="3D1AC608" w14:textId="77777777" w:rsidR="000D12DD" w:rsidRPr="00BA050E" w:rsidRDefault="000D12DD" w:rsidP="000D12DD">
      <w:pPr>
        <w:spacing w:after="0" w:line="259" w:lineRule="auto"/>
        <w:ind w:left="0" w:right="0" w:firstLine="0"/>
        <w:jc w:val="center"/>
      </w:pPr>
      <w:r w:rsidRPr="00BA050E">
        <w:rPr>
          <w:b/>
          <w:sz w:val="23"/>
        </w:rPr>
        <w:t xml:space="preserve"> </w:t>
      </w:r>
    </w:p>
    <w:p w14:paraId="472BE8C3" w14:textId="77777777" w:rsidR="000D12DD" w:rsidRPr="00BA050E" w:rsidRDefault="000D12DD" w:rsidP="000D12DD">
      <w:pPr>
        <w:spacing w:after="0" w:line="259" w:lineRule="auto"/>
        <w:ind w:left="0" w:right="0" w:firstLine="0"/>
        <w:jc w:val="center"/>
      </w:pPr>
      <w:r w:rsidRPr="00BA050E">
        <w:rPr>
          <w:b/>
          <w:sz w:val="23"/>
        </w:rPr>
        <w:t xml:space="preserve"> </w:t>
      </w:r>
    </w:p>
    <w:p w14:paraId="7A8D6218" w14:textId="77777777" w:rsidR="000D12DD" w:rsidRPr="00BA050E" w:rsidRDefault="007B6678" w:rsidP="000D12DD">
      <w:pPr>
        <w:spacing w:after="0" w:line="259" w:lineRule="auto"/>
        <w:ind w:left="10" w:right="58" w:hanging="10"/>
        <w:jc w:val="center"/>
      </w:pPr>
      <w:r w:rsidRPr="00BA050E">
        <w:rPr>
          <w:b/>
          <w:sz w:val="23"/>
        </w:rPr>
        <w:t xml:space="preserve">FOR OFFICIAL </w:t>
      </w:r>
      <w:r w:rsidR="000D12DD" w:rsidRPr="00BA050E">
        <w:rPr>
          <w:b/>
          <w:sz w:val="23"/>
        </w:rPr>
        <w:t xml:space="preserve">USE ONLY </w:t>
      </w:r>
      <w:r w:rsidR="000D12DD" w:rsidRPr="00BA050E">
        <w:rPr>
          <w:sz w:val="23"/>
        </w:rPr>
        <w:t xml:space="preserve"> </w:t>
      </w:r>
    </w:p>
    <w:p w14:paraId="1CF92A15" w14:textId="77777777" w:rsidR="000D12DD" w:rsidRPr="00BA050E" w:rsidRDefault="000D12DD" w:rsidP="000D12DD">
      <w:pPr>
        <w:spacing w:after="0" w:line="259" w:lineRule="auto"/>
        <w:ind w:left="0" w:right="0" w:firstLine="0"/>
        <w:jc w:val="right"/>
      </w:pPr>
      <w:r w:rsidRPr="00BA050E">
        <w:rPr>
          <w:b/>
          <w:sz w:val="23"/>
        </w:rPr>
        <w:t xml:space="preserve"> </w:t>
      </w:r>
    </w:p>
    <w:p w14:paraId="1DD028BE" w14:textId="77777777" w:rsidR="000D12DD" w:rsidRPr="00BA050E" w:rsidRDefault="000D12DD" w:rsidP="000D12DD">
      <w:pPr>
        <w:spacing w:after="0" w:line="259" w:lineRule="auto"/>
        <w:ind w:left="0" w:right="0" w:firstLine="0"/>
        <w:jc w:val="right"/>
      </w:pPr>
      <w:r w:rsidRPr="00BA050E">
        <w:rPr>
          <w:b/>
          <w:sz w:val="23"/>
        </w:rPr>
        <w:t xml:space="preserve"> </w:t>
      </w:r>
    </w:p>
    <w:p w14:paraId="55B7D4F1" w14:textId="77777777" w:rsidR="000D12DD" w:rsidRPr="00D77307" w:rsidRDefault="000D12DD" w:rsidP="000D12DD">
      <w:pPr>
        <w:spacing w:after="0" w:line="259" w:lineRule="auto"/>
        <w:ind w:left="0" w:right="58" w:firstLine="0"/>
        <w:jc w:val="right"/>
        <w:rPr>
          <w:sz w:val="23"/>
        </w:rPr>
      </w:pPr>
      <w:r w:rsidRPr="00BA050E">
        <w:rPr>
          <w:sz w:val="23"/>
        </w:rPr>
        <w:t xml:space="preserve">Report No. </w:t>
      </w:r>
      <w:r w:rsidR="00D77307" w:rsidRPr="00D77307">
        <w:rPr>
          <w:sz w:val="23"/>
        </w:rPr>
        <w:t>115716-MD</w:t>
      </w:r>
      <w:r w:rsidRPr="00BA050E">
        <w:rPr>
          <w:sz w:val="23"/>
        </w:rPr>
        <w:t xml:space="preserve"> </w:t>
      </w:r>
    </w:p>
    <w:p w14:paraId="08710C2D" w14:textId="77777777" w:rsidR="000D12DD" w:rsidRPr="00BA050E" w:rsidRDefault="000D12DD" w:rsidP="000D12DD">
      <w:pPr>
        <w:spacing w:after="0" w:line="259" w:lineRule="auto"/>
        <w:ind w:left="0" w:right="0" w:firstLine="0"/>
        <w:jc w:val="center"/>
      </w:pPr>
      <w:r w:rsidRPr="00BA050E">
        <w:rPr>
          <w:b/>
          <w:sz w:val="23"/>
        </w:rPr>
        <w:t xml:space="preserve"> </w:t>
      </w:r>
    </w:p>
    <w:p w14:paraId="73ECE007" w14:textId="77777777" w:rsidR="000D12DD" w:rsidRPr="00BA050E" w:rsidRDefault="000D12DD" w:rsidP="000D12DD">
      <w:pPr>
        <w:spacing w:after="0" w:line="259" w:lineRule="auto"/>
        <w:ind w:left="0" w:right="0" w:firstLine="0"/>
        <w:jc w:val="center"/>
      </w:pPr>
      <w:r w:rsidRPr="00BA050E">
        <w:rPr>
          <w:b/>
          <w:sz w:val="23"/>
        </w:rPr>
        <w:t xml:space="preserve"> </w:t>
      </w:r>
    </w:p>
    <w:p w14:paraId="615B69E5" w14:textId="77777777" w:rsidR="006746D0" w:rsidRPr="00BA050E" w:rsidRDefault="006746D0" w:rsidP="006746D0">
      <w:pPr>
        <w:spacing w:after="0" w:line="240" w:lineRule="auto"/>
        <w:ind w:left="10" w:right="59" w:hanging="10"/>
        <w:jc w:val="center"/>
        <w:rPr>
          <w:b/>
          <w:sz w:val="23"/>
        </w:rPr>
      </w:pPr>
    </w:p>
    <w:p w14:paraId="0AFA720D" w14:textId="77777777" w:rsidR="000D12DD" w:rsidRPr="00BA050E" w:rsidRDefault="000D12DD" w:rsidP="006746D0">
      <w:pPr>
        <w:spacing w:after="0" w:line="240" w:lineRule="auto"/>
        <w:ind w:left="10" w:right="59" w:hanging="10"/>
        <w:jc w:val="center"/>
        <w:rPr>
          <w:b/>
          <w:sz w:val="23"/>
        </w:rPr>
      </w:pPr>
      <w:r w:rsidRPr="00BA050E">
        <w:rPr>
          <w:b/>
          <w:sz w:val="23"/>
        </w:rPr>
        <w:t>INTERNATIONAL BANK FOR</w:t>
      </w:r>
      <w:r w:rsidR="006B0AD5" w:rsidRPr="00BA050E">
        <w:rPr>
          <w:b/>
          <w:sz w:val="23"/>
        </w:rPr>
        <w:t xml:space="preserve"> RECONSTRUCTION AND DEVELOPMENT</w:t>
      </w:r>
    </w:p>
    <w:p w14:paraId="44F619DD" w14:textId="77777777" w:rsidR="00BF03E8" w:rsidRPr="00BA050E" w:rsidRDefault="00BF03E8" w:rsidP="006746D0">
      <w:pPr>
        <w:spacing w:after="0" w:line="240" w:lineRule="auto"/>
        <w:ind w:left="10" w:right="59" w:hanging="10"/>
        <w:jc w:val="center"/>
      </w:pPr>
      <w:r w:rsidRPr="00BA050E">
        <w:rPr>
          <w:b/>
          <w:sz w:val="23"/>
        </w:rPr>
        <w:t>INTERNATIONAL DEVELOPMENT ASSOCIATION</w:t>
      </w:r>
    </w:p>
    <w:p w14:paraId="304B1584" w14:textId="77777777" w:rsidR="000D12DD" w:rsidRPr="00BA050E" w:rsidRDefault="000D12DD" w:rsidP="006746D0">
      <w:pPr>
        <w:spacing w:after="0" w:line="240" w:lineRule="auto"/>
        <w:ind w:left="10" w:right="58" w:hanging="10"/>
        <w:jc w:val="center"/>
      </w:pPr>
      <w:r w:rsidRPr="00BA050E">
        <w:rPr>
          <w:b/>
          <w:sz w:val="23"/>
        </w:rPr>
        <w:t>IN</w:t>
      </w:r>
      <w:r w:rsidR="006B0AD5" w:rsidRPr="00BA050E">
        <w:rPr>
          <w:b/>
          <w:sz w:val="23"/>
        </w:rPr>
        <w:t>TERNATIONAL FINANCE CORPORATION</w:t>
      </w:r>
    </w:p>
    <w:p w14:paraId="4B8547D0" w14:textId="77777777" w:rsidR="000D12DD" w:rsidRPr="00BA050E" w:rsidRDefault="000D12DD" w:rsidP="006746D0">
      <w:pPr>
        <w:spacing w:after="0" w:line="240" w:lineRule="auto"/>
        <w:ind w:left="10" w:right="58" w:hanging="10"/>
        <w:jc w:val="center"/>
      </w:pPr>
      <w:r w:rsidRPr="00BA050E">
        <w:rPr>
          <w:b/>
          <w:sz w:val="23"/>
        </w:rPr>
        <w:t>MULTILATE</w:t>
      </w:r>
      <w:r w:rsidR="006B0AD5" w:rsidRPr="00BA050E">
        <w:rPr>
          <w:b/>
          <w:sz w:val="23"/>
        </w:rPr>
        <w:t>RAL INVESTMENT GUARANTEE AGENCY</w:t>
      </w:r>
    </w:p>
    <w:p w14:paraId="5320CEC1" w14:textId="77777777" w:rsidR="000D12DD" w:rsidRPr="00BA050E" w:rsidRDefault="000D12DD" w:rsidP="000D12DD">
      <w:pPr>
        <w:spacing w:after="0" w:line="259" w:lineRule="auto"/>
        <w:ind w:left="0" w:right="0" w:firstLine="0"/>
        <w:jc w:val="center"/>
      </w:pPr>
      <w:r w:rsidRPr="00BA050E">
        <w:rPr>
          <w:b/>
          <w:sz w:val="23"/>
        </w:rPr>
        <w:t xml:space="preserve"> </w:t>
      </w:r>
    </w:p>
    <w:p w14:paraId="2CA893F0" w14:textId="77777777" w:rsidR="006746D0" w:rsidRPr="00BA050E" w:rsidRDefault="006746D0" w:rsidP="000D12DD">
      <w:pPr>
        <w:spacing w:after="0" w:line="259" w:lineRule="auto"/>
        <w:ind w:left="10" w:right="57" w:hanging="10"/>
        <w:jc w:val="center"/>
        <w:rPr>
          <w:b/>
          <w:sz w:val="23"/>
        </w:rPr>
      </w:pPr>
    </w:p>
    <w:p w14:paraId="5A401F26" w14:textId="77777777" w:rsidR="006746D0" w:rsidRPr="00BA050E" w:rsidRDefault="006746D0" w:rsidP="000D12DD">
      <w:pPr>
        <w:spacing w:after="0" w:line="259" w:lineRule="auto"/>
        <w:ind w:left="10" w:right="57" w:hanging="10"/>
        <w:jc w:val="center"/>
        <w:rPr>
          <w:b/>
          <w:sz w:val="23"/>
        </w:rPr>
      </w:pPr>
    </w:p>
    <w:p w14:paraId="68F7E126" w14:textId="77777777" w:rsidR="000D12DD" w:rsidRPr="00BA050E" w:rsidRDefault="006B0AD5" w:rsidP="000D12DD">
      <w:pPr>
        <w:spacing w:after="0" w:line="259" w:lineRule="auto"/>
        <w:ind w:left="10" w:right="57" w:hanging="10"/>
        <w:jc w:val="center"/>
      </w:pPr>
      <w:r w:rsidRPr="00BA050E">
        <w:rPr>
          <w:b/>
          <w:sz w:val="23"/>
        </w:rPr>
        <w:t>COUNTRY PARTNERSHIP FRAMEWORK</w:t>
      </w:r>
    </w:p>
    <w:p w14:paraId="088561AC" w14:textId="77777777" w:rsidR="000D12DD" w:rsidRPr="00BA050E" w:rsidRDefault="000D12DD" w:rsidP="000D12DD">
      <w:pPr>
        <w:spacing w:after="0" w:line="259" w:lineRule="auto"/>
        <w:ind w:left="0" w:right="0" w:firstLine="0"/>
        <w:jc w:val="center"/>
      </w:pPr>
    </w:p>
    <w:p w14:paraId="0000C86C" w14:textId="77777777" w:rsidR="000D12DD" w:rsidRPr="00BA050E" w:rsidRDefault="006B0AD5" w:rsidP="000D12DD">
      <w:pPr>
        <w:spacing w:after="0" w:line="259" w:lineRule="auto"/>
        <w:ind w:left="10" w:right="58" w:hanging="10"/>
        <w:jc w:val="center"/>
      </w:pPr>
      <w:r w:rsidRPr="00BA050E">
        <w:rPr>
          <w:b/>
          <w:sz w:val="23"/>
        </w:rPr>
        <w:t>FOR</w:t>
      </w:r>
    </w:p>
    <w:p w14:paraId="39158EE8" w14:textId="77777777" w:rsidR="000D12DD" w:rsidRPr="00BA050E" w:rsidRDefault="000D12DD" w:rsidP="000D12DD">
      <w:pPr>
        <w:spacing w:after="0" w:line="259" w:lineRule="auto"/>
        <w:ind w:left="0" w:right="0" w:firstLine="0"/>
        <w:jc w:val="center"/>
      </w:pPr>
    </w:p>
    <w:p w14:paraId="0B18328D" w14:textId="77777777" w:rsidR="000D12DD" w:rsidRPr="00BA050E" w:rsidRDefault="006B0AD5" w:rsidP="000D12DD">
      <w:pPr>
        <w:spacing w:after="0" w:line="259" w:lineRule="auto"/>
        <w:ind w:left="10" w:right="59" w:hanging="10"/>
        <w:jc w:val="center"/>
      </w:pPr>
      <w:r w:rsidRPr="00BA050E">
        <w:rPr>
          <w:b/>
          <w:sz w:val="23"/>
        </w:rPr>
        <w:t>THE REPUBLIC OF MOLDOVA</w:t>
      </w:r>
    </w:p>
    <w:p w14:paraId="3A580B70" w14:textId="77777777" w:rsidR="000D12DD" w:rsidRPr="00BA050E" w:rsidRDefault="000D12DD" w:rsidP="000D12DD">
      <w:pPr>
        <w:spacing w:after="0" w:line="259" w:lineRule="auto"/>
        <w:ind w:left="0" w:right="0" w:firstLine="0"/>
        <w:jc w:val="center"/>
      </w:pPr>
    </w:p>
    <w:p w14:paraId="5EBB94B6" w14:textId="77777777" w:rsidR="000D12DD" w:rsidRPr="00BA050E" w:rsidRDefault="006746D0" w:rsidP="000D12DD">
      <w:pPr>
        <w:spacing w:after="0" w:line="259" w:lineRule="auto"/>
        <w:ind w:left="10" w:right="57" w:hanging="10"/>
        <w:jc w:val="center"/>
      </w:pPr>
      <w:r w:rsidRPr="00BA050E">
        <w:rPr>
          <w:b/>
          <w:sz w:val="23"/>
        </w:rPr>
        <w:t>FOR THE PERIOD FY18-</w:t>
      </w:r>
      <w:r w:rsidR="00915E80" w:rsidRPr="00BA050E">
        <w:rPr>
          <w:b/>
          <w:sz w:val="23"/>
        </w:rPr>
        <w:t>21</w:t>
      </w:r>
    </w:p>
    <w:p w14:paraId="5D44FFD4" w14:textId="77777777" w:rsidR="000D12DD" w:rsidRPr="00BA050E" w:rsidRDefault="000D12DD" w:rsidP="000D12DD">
      <w:pPr>
        <w:spacing w:after="0" w:line="259" w:lineRule="auto"/>
        <w:ind w:left="0" w:right="0" w:firstLine="0"/>
        <w:jc w:val="center"/>
      </w:pPr>
      <w:r w:rsidRPr="00BA050E">
        <w:rPr>
          <w:b/>
          <w:sz w:val="23"/>
        </w:rPr>
        <w:t xml:space="preserve"> </w:t>
      </w:r>
    </w:p>
    <w:p w14:paraId="3B174F91" w14:textId="15240824" w:rsidR="000D12DD" w:rsidRPr="00BA050E" w:rsidRDefault="00430BAC" w:rsidP="000D12DD">
      <w:pPr>
        <w:spacing w:after="0" w:line="259" w:lineRule="auto"/>
        <w:ind w:left="10" w:right="59" w:hanging="10"/>
        <w:jc w:val="center"/>
      </w:pPr>
      <w:r w:rsidRPr="00597C69">
        <w:rPr>
          <w:b/>
          <w:sz w:val="23"/>
        </w:rPr>
        <w:t xml:space="preserve">June </w:t>
      </w:r>
      <w:r w:rsidR="00C54FAD">
        <w:rPr>
          <w:b/>
          <w:sz w:val="23"/>
        </w:rPr>
        <w:t>29</w:t>
      </w:r>
      <w:r w:rsidR="006B0AD5" w:rsidRPr="00D77307">
        <w:rPr>
          <w:b/>
          <w:sz w:val="23"/>
        </w:rPr>
        <w:t>, 2017</w:t>
      </w:r>
    </w:p>
    <w:p w14:paraId="08544891" w14:textId="77777777" w:rsidR="000D12DD" w:rsidRPr="00BA050E" w:rsidRDefault="000D12DD" w:rsidP="000D12DD">
      <w:pPr>
        <w:spacing w:after="0" w:line="259" w:lineRule="auto"/>
        <w:ind w:left="0" w:right="0" w:firstLine="0"/>
        <w:jc w:val="left"/>
      </w:pPr>
    </w:p>
    <w:p w14:paraId="2470A2D1" w14:textId="77777777" w:rsidR="000D12DD" w:rsidRPr="00BA050E" w:rsidRDefault="000D12DD" w:rsidP="000D12DD">
      <w:pPr>
        <w:spacing w:after="0" w:line="259" w:lineRule="auto"/>
        <w:ind w:left="0" w:right="0" w:firstLine="0"/>
        <w:jc w:val="left"/>
      </w:pPr>
    </w:p>
    <w:p w14:paraId="1022F1FD" w14:textId="77777777" w:rsidR="000D12DD" w:rsidRPr="00BA050E" w:rsidRDefault="000D12DD" w:rsidP="000D12DD">
      <w:pPr>
        <w:spacing w:after="0" w:line="259" w:lineRule="auto"/>
        <w:ind w:left="0" w:right="0" w:firstLine="0"/>
        <w:jc w:val="left"/>
      </w:pPr>
    </w:p>
    <w:p w14:paraId="27AA2405" w14:textId="77777777" w:rsidR="000D12DD" w:rsidRPr="00BA050E" w:rsidRDefault="000D12DD" w:rsidP="000D12DD">
      <w:pPr>
        <w:spacing w:after="0" w:line="259" w:lineRule="auto"/>
        <w:ind w:left="0" w:right="0" w:firstLine="0"/>
        <w:jc w:val="left"/>
      </w:pPr>
    </w:p>
    <w:p w14:paraId="453494A1" w14:textId="77777777" w:rsidR="000D12DD" w:rsidRPr="00BA050E" w:rsidRDefault="000D12DD" w:rsidP="000D12DD">
      <w:pPr>
        <w:spacing w:after="0" w:line="259" w:lineRule="auto"/>
        <w:ind w:left="0" w:right="0" w:firstLine="0"/>
        <w:jc w:val="left"/>
      </w:pPr>
    </w:p>
    <w:p w14:paraId="0D36C2E7" w14:textId="77777777" w:rsidR="000D12DD" w:rsidRPr="00BA050E" w:rsidRDefault="000D12DD" w:rsidP="000D12DD">
      <w:pPr>
        <w:spacing w:after="0" w:line="259" w:lineRule="auto"/>
        <w:ind w:left="-5" w:right="0" w:hanging="10"/>
        <w:jc w:val="left"/>
      </w:pPr>
      <w:r w:rsidRPr="00BA050E">
        <w:rPr>
          <w:b/>
          <w:sz w:val="23"/>
        </w:rPr>
        <w:t xml:space="preserve">Belarus, Moldova and </w:t>
      </w:r>
      <w:r w:rsidR="006B0AD5" w:rsidRPr="00BA050E">
        <w:rPr>
          <w:b/>
          <w:sz w:val="23"/>
        </w:rPr>
        <w:t>Ukraine Country Management Unit</w:t>
      </w:r>
    </w:p>
    <w:p w14:paraId="08DFC64D" w14:textId="77777777" w:rsidR="000D12DD" w:rsidRPr="00BA050E" w:rsidRDefault="006B0AD5" w:rsidP="000D12DD">
      <w:pPr>
        <w:spacing w:after="0" w:line="259" w:lineRule="auto"/>
        <w:ind w:left="-5" w:right="0" w:hanging="10"/>
        <w:jc w:val="left"/>
      </w:pPr>
      <w:r w:rsidRPr="00BA050E">
        <w:rPr>
          <w:b/>
          <w:sz w:val="23"/>
        </w:rPr>
        <w:t>Europe and Central Asia</w:t>
      </w:r>
    </w:p>
    <w:p w14:paraId="0BC73C29" w14:textId="77777777" w:rsidR="000D12DD" w:rsidRPr="00BA050E" w:rsidRDefault="000D12DD" w:rsidP="000D12DD">
      <w:pPr>
        <w:spacing w:after="0" w:line="259" w:lineRule="auto"/>
        <w:ind w:left="0" w:right="0" w:firstLine="0"/>
        <w:jc w:val="left"/>
      </w:pPr>
    </w:p>
    <w:p w14:paraId="755BAF9B" w14:textId="77777777" w:rsidR="000D12DD" w:rsidRPr="00BA050E" w:rsidRDefault="000D12DD" w:rsidP="000D12DD">
      <w:pPr>
        <w:spacing w:after="0" w:line="259" w:lineRule="auto"/>
        <w:ind w:left="-5" w:right="0" w:hanging="10"/>
        <w:jc w:val="left"/>
      </w:pPr>
      <w:r w:rsidRPr="00BA050E">
        <w:rPr>
          <w:b/>
          <w:sz w:val="23"/>
        </w:rPr>
        <w:t>Int</w:t>
      </w:r>
      <w:r w:rsidR="006B0AD5" w:rsidRPr="00BA050E">
        <w:rPr>
          <w:b/>
          <w:sz w:val="23"/>
        </w:rPr>
        <w:t>ernational Finance Corporation</w:t>
      </w:r>
    </w:p>
    <w:p w14:paraId="596CCEC9" w14:textId="77777777" w:rsidR="000D12DD" w:rsidRPr="00BA050E" w:rsidRDefault="006B0AD5" w:rsidP="000D12DD">
      <w:pPr>
        <w:spacing w:after="0" w:line="259" w:lineRule="auto"/>
        <w:ind w:left="-5" w:right="0" w:hanging="10"/>
        <w:jc w:val="left"/>
      </w:pPr>
      <w:r w:rsidRPr="00BA050E">
        <w:rPr>
          <w:b/>
          <w:sz w:val="23"/>
        </w:rPr>
        <w:t>Europe and Central Asia</w:t>
      </w:r>
    </w:p>
    <w:p w14:paraId="3E45CA10" w14:textId="77777777" w:rsidR="000D12DD" w:rsidRPr="00BA050E" w:rsidRDefault="000D12DD" w:rsidP="000D12DD">
      <w:pPr>
        <w:spacing w:after="0" w:line="259" w:lineRule="auto"/>
        <w:ind w:left="0" w:right="0" w:firstLine="0"/>
        <w:jc w:val="left"/>
      </w:pPr>
    </w:p>
    <w:p w14:paraId="1665A7E0" w14:textId="77777777" w:rsidR="000D12DD" w:rsidRPr="00BA050E" w:rsidRDefault="000D12DD" w:rsidP="000D12DD">
      <w:pPr>
        <w:spacing w:after="0" w:line="259" w:lineRule="auto"/>
        <w:ind w:left="-5" w:right="0" w:hanging="10"/>
        <w:jc w:val="left"/>
      </w:pPr>
      <w:r w:rsidRPr="00BA050E">
        <w:rPr>
          <w:b/>
          <w:sz w:val="23"/>
        </w:rPr>
        <w:t>Multilate</w:t>
      </w:r>
      <w:r w:rsidR="006B0AD5" w:rsidRPr="00BA050E">
        <w:rPr>
          <w:b/>
          <w:sz w:val="23"/>
        </w:rPr>
        <w:t>ral Investment Guarantee Agency</w:t>
      </w:r>
    </w:p>
    <w:p w14:paraId="54E5EA9B" w14:textId="77777777" w:rsidR="000D12DD" w:rsidRPr="00BA050E" w:rsidRDefault="000D12DD" w:rsidP="000D12DD">
      <w:pPr>
        <w:spacing w:after="0" w:line="259" w:lineRule="auto"/>
        <w:ind w:left="0" w:right="0" w:firstLine="0"/>
        <w:jc w:val="left"/>
      </w:pPr>
    </w:p>
    <w:tbl>
      <w:tblPr>
        <w:tblStyle w:val="TableGrid"/>
        <w:tblW w:w="9586" w:type="dxa"/>
        <w:tblInd w:w="-113" w:type="dxa"/>
        <w:tblCellMar>
          <w:top w:w="8" w:type="dxa"/>
          <w:left w:w="113" w:type="dxa"/>
          <w:right w:w="88" w:type="dxa"/>
        </w:tblCellMar>
        <w:tblLook w:val="04A0" w:firstRow="1" w:lastRow="0" w:firstColumn="1" w:lastColumn="0" w:noHBand="0" w:noVBand="1"/>
      </w:tblPr>
      <w:tblGrid>
        <w:gridCol w:w="9586"/>
      </w:tblGrid>
      <w:tr w:rsidR="000D12DD" w:rsidRPr="00BA050E" w14:paraId="4ED6DCB1" w14:textId="77777777" w:rsidTr="008E2722">
        <w:trPr>
          <w:trHeight w:val="278"/>
        </w:trPr>
        <w:tc>
          <w:tcPr>
            <w:tcW w:w="9586" w:type="dxa"/>
            <w:tcBorders>
              <w:top w:val="single" w:sz="4" w:space="0" w:color="000000"/>
              <w:left w:val="single" w:sz="4" w:space="0" w:color="000000"/>
              <w:bottom w:val="nil"/>
              <w:right w:val="single" w:sz="4" w:space="0" w:color="000000"/>
            </w:tcBorders>
          </w:tcPr>
          <w:p w14:paraId="136618EC" w14:textId="77777777" w:rsidR="000D12DD" w:rsidRPr="00BA050E" w:rsidRDefault="000D12DD" w:rsidP="00D77307">
            <w:pPr>
              <w:spacing w:after="0" w:line="240" w:lineRule="auto"/>
              <w:ind w:left="0" w:right="0" w:firstLine="0"/>
              <w:jc w:val="center"/>
            </w:pPr>
            <w:r w:rsidRPr="00BA050E">
              <w:rPr>
                <w:sz w:val="22"/>
              </w:rPr>
              <w:t>This document has a restricted distribution and may be used by recipients only in the performance of their</w:t>
            </w:r>
          </w:p>
        </w:tc>
      </w:tr>
      <w:tr w:rsidR="000D12DD" w:rsidRPr="00BA050E" w14:paraId="7BD2F1D7" w14:textId="77777777" w:rsidTr="008E2722">
        <w:trPr>
          <w:trHeight w:val="277"/>
        </w:trPr>
        <w:tc>
          <w:tcPr>
            <w:tcW w:w="9586" w:type="dxa"/>
            <w:tcBorders>
              <w:top w:val="nil"/>
              <w:left w:val="single" w:sz="4" w:space="0" w:color="000000"/>
              <w:bottom w:val="single" w:sz="4" w:space="0" w:color="000000"/>
              <w:right w:val="single" w:sz="4" w:space="0" w:color="000000"/>
            </w:tcBorders>
            <w:shd w:val="clear" w:color="auto" w:fill="FFFFFF"/>
          </w:tcPr>
          <w:p w14:paraId="23DD4CAB" w14:textId="77777777" w:rsidR="000D12DD" w:rsidRPr="00BA050E" w:rsidRDefault="000D12DD" w:rsidP="00D77307">
            <w:pPr>
              <w:spacing w:after="0" w:line="240" w:lineRule="auto"/>
              <w:ind w:left="0" w:right="0" w:firstLine="0"/>
              <w:jc w:val="center"/>
            </w:pPr>
            <w:r w:rsidRPr="00BA050E">
              <w:rPr>
                <w:sz w:val="22"/>
              </w:rPr>
              <w:t>official duties. Its contents may not otherwise be disclosed without W</w:t>
            </w:r>
            <w:r w:rsidR="006B0AD5" w:rsidRPr="00BA050E">
              <w:rPr>
                <w:sz w:val="22"/>
              </w:rPr>
              <w:t>orld Bank Group authorization.</w:t>
            </w:r>
          </w:p>
        </w:tc>
      </w:tr>
    </w:tbl>
    <w:p w14:paraId="6694CE5F" w14:textId="77777777" w:rsidR="008E2722" w:rsidRPr="00BA050E" w:rsidRDefault="008E2722"/>
    <w:p w14:paraId="75BE09B8" w14:textId="77777777" w:rsidR="000D12DD" w:rsidRPr="00BA050E" w:rsidRDefault="000D12DD"/>
    <w:p w14:paraId="1687D7AD" w14:textId="77777777" w:rsidR="00046633" w:rsidRPr="00BA050E" w:rsidRDefault="00046633" w:rsidP="00177BA8">
      <w:pPr>
        <w:spacing w:after="0" w:line="259" w:lineRule="auto"/>
        <w:ind w:left="0" w:right="0" w:firstLine="0"/>
        <w:rPr>
          <w:b/>
          <w:sz w:val="23"/>
        </w:rPr>
      </w:pPr>
    </w:p>
    <w:p w14:paraId="7469B6D3" w14:textId="77777777" w:rsidR="00046633" w:rsidRPr="00BA050E" w:rsidRDefault="00046633" w:rsidP="00CA6138">
      <w:pPr>
        <w:spacing w:after="0" w:line="259" w:lineRule="auto"/>
        <w:ind w:left="-5" w:right="0" w:hanging="10"/>
        <w:jc w:val="center"/>
      </w:pPr>
      <w:r w:rsidRPr="00BA050E">
        <w:rPr>
          <w:b/>
          <w:sz w:val="23"/>
        </w:rPr>
        <w:lastRenderedPageBreak/>
        <w:t>The date of the last Country Partnership Strategy Progress Report was August 9, 2013.</w:t>
      </w:r>
    </w:p>
    <w:p w14:paraId="1697B896" w14:textId="77777777" w:rsidR="00046633" w:rsidRPr="00BA050E" w:rsidRDefault="00046633" w:rsidP="00046633">
      <w:pPr>
        <w:spacing w:after="0" w:line="259" w:lineRule="auto"/>
        <w:ind w:left="0" w:right="0" w:firstLine="0"/>
        <w:jc w:val="center"/>
      </w:pPr>
      <w:r w:rsidRPr="00BA050E">
        <w:rPr>
          <w:b/>
          <w:sz w:val="23"/>
        </w:rPr>
        <w:t xml:space="preserve"> </w:t>
      </w:r>
    </w:p>
    <w:p w14:paraId="559116C0" w14:textId="77777777" w:rsidR="00F4058C" w:rsidRPr="00BA050E" w:rsidRDefault="00F4058C" w:rsidP="00F4058C">
      <w:pPr>
        <w:spacing w:after="0" w:line="259" w:lineRule="auto"/>
        <w:ind w:left="10" w:right="57" w:hanging="10"/>
        <w:jc w:val="center"/>
      </w:pPr>
      <w:r w:rsidRPr="00BA050E">
        <w:rPr>
          <w:b/>
          <w:sz w:val="23"/>
        </w:rPr>
        <w:t xml:space="preserve">CURRENCY EQUIVALENTS </w:t>
      </w:r>
      <w:r w:rsidRPr="00BA050E">
        <w:rPr>
          <w:sz w:val="23"/>
        </w:rPr>
        <w:t xml:space="preserve"> </w:t>
      </w:r>
    </w:p>
    <w:p w14:paraId="3A22AFCC" w14:textId="77777777" w:rsidR="00F4058C" w:rsidRPr="00BA050E" w:rsidRDefault="00F4058C" w:rsidP="00F4058C">
      <w:pPr>
        <w:spacing w:after="0" w:line="259" w:lineRule="auto"/>
        <w:ind w:left="10" w:right="55" w:hanging="10"/>
        <w:jc w:val="center"/>
      </w:pPr>
      <w:r w:rsidRPr="00BA050E">
        <w:rPr>
          <w:sz w:val="23"/>
        </w:rPr>
        <w:t xml:space="preserve">Exchange Rate as of </w:t>
      </w:r>
      <w:r w:rsidR="00451249" w:rsidRPr="00D77307">
        <w:rPr>
          <w:sz w:val="23"/>
        </w:rPr>
        <w:t>June 6</w:t>
      </w:r>
      <w:r w:rsidRPr="00451249">
        <w:rPr>
          <w:sz w:val="23"/>
        </w:rPr>
        <w:t>, 2017</w:t>
      </w:r>
      <w:r w:rsidRPr="00BA050E">
        <w:rPr>
          <w:sz w:val="23"/>
        </w:rPr>
        <w:t xml:space="preserve"> </w:t>
      </w:r>
    </w:p>
    <w:p w14:paraId="5FBEFC19" w14:textId="77777777" w:rsidR="00F4058C" w:rsidRPr="00BA050E" w:rsidRDefault="00F4058C" w:rsidP="00F4058C">
      <w:pPr>
        <w:spacing w:after="0" w:line="259" w:lineRule="auto"/>
        <w:ind w:left="10" w:right="57" w:hanging="10"/>
        <w:jc w:val="center"/>
      </w:pPr>
      <w:r w:rsidRPr="00BA050E">
        <w:rPr>
          <w:sz w:val="23"/>
        </w:rPr>
        <w:t xml:space="preserve">Currency Unit: MDL (Moldovan </w:t>
      </w:r>
      <w:proofErr w:type="spellStart"/>
      <w:r w:rsidRPr="00BA050E">
        <w:rPr>
          <w:sz w:val="23"/>
        </w:rPr>
        <w:t>Le</w:t>
      </w:r>
      <w:r>
        <w:rPr>
          <w:sz w:val="23"/>
        </w:rPr>
        <w:t>u</w:t>
      </w:r>
      <w:proofErr w:type="spellEnd"/>
      <w:r w:rsidRPr="00BA050E">
        <w:rPr>
          <w:sz w:val="23"/>
        </w:rPr>
        <w:t xml:space="preserve">) </w:t>
      </w:r>
    </w:p>
    <w:p w14:paraId="3CDA46DD" w14:textId="77777777" w:rsidR="00F4058C" w:rsidRPr="00BA050E" w:rsidRDefault="00F4058C" w:rsidP="00F4058C">
      <w:pPr>
        <w:spacing w:after="0" w:line="259" w:lineRule="auto"/>
        <w:ind w:left="10" w:right="58" w:hanging="10"/>
        <w:jc w:val="center"/>
      </w:pPr>
      <w:r w:rsidRPr="00BA050E">
        <w:rPr>
          <w:sz w:val="23"/>
        </w:rPr>
        <w:t xml:space="preserve">USD 1.00 = MDL </w:t>
      </w:r>
      <w:r w:rsidRPr="00D77307">
        <w:rPr>
          <w:sz w:val="23"/>
        </w:rPr>
        <w:t>1</w:t>
      </w:r>
      <w:r w:rsidR="00451249" w:rsidRPr="00D77307">
        <w:rPr>
          <w:sz w:val="23"/>
        </w:rPr>
        <w:t>8</w:t>
      </w:r>
      <w:r w:rsidRPr="00D77307">
        <w:rPr>
          <w:sz w:val="23"/>
        </w:rPr>
        <w:t>.</w:t>
      </w:r>
      <w:r w:rsidR="00451249" w:rsidRPr="00D77307">
        <w:rPr>
          <w:sz w:val="23"/>
        </w:rPr>
        <w:t>26</w:t>
      </w:r>
      <w:r w:rsidRPr="00BA050E">
        <w:rPr>
          <w:sz w:val="23"/>
        </w:rPr>
        <w:t xml:space="preserve"> </w:t>
      </w:r>
    </w:p>
    <w:p w14:paraId="1CDD68D3" w14:textId="77777777" w:rsidR="00F4058C" w:rsidRPr="00BA050E" w:rsidRDefault="00F4058C" w:rsidP="00F4058C">
      <w:pPr>
        <w:spacing w:after="0" w:line="259" w:lineRule="auto"/>
        <w:ind w:right="57"/>
      </w:pPr>
    </w:p>
    <w:p w14:paraId="750B26A3" w14:textId="77777777" w:rsidR="00B2678C" w:rsidRPr="00BA050E" w:rsidRDefault="00B2678C" w:rsidP="00B2678C">
      <w:pPr>
        <w:spacing w:after="0" w:line="259" w:lineRule="auto"/>
        <w:ind w:left="10" w:right="59" w:hanging="10"/>
        <w:jc w:val="center"/>
      </w:pPr>
      <w:r w:rsidRPr="00BA050E">
        <w:rPr>
          <w:b/>
          <w:sz w:val="23"/>
        </w:rPr>
        <w:t xml:space="preserve">FISCAL YEAR </w:t>
      </w:r>
      <w:r w:rsidRPr="00BA050E">
        <w:rPr>
          <w:sz w:val="23"/>
        </w:rPr>
        <w:t xml:space="preserve"> </w:t>
      </w:r>
    </w:p>
    <w:p w14:paraId="47D64010" w14:textId="77777777" w:rsidR="00B2678C" w:rsidRPr="00BA050E" w:rsidRDefault="00B2678C" w:rsidP="00B2678C">
      <w:pPr>
        <w:spacing w:after="0" w:line="259" w:lineRule="auto"/>
        <w:ind w:left="10" w:right="58" w:hanging="10"/>
        <w:jc w:val="center"/>
      </w:pPr>
      <w:r w:rsidRPr="00BA050E">
        <w:rPr>
          <w:sz w:val="23"/>
        </w:rPr>
        <w:t xml:space="preserve">January 1—December 31  </w:t>
      </w:r>
    </w:p>
    <w:p w14:paraId="0164819B" w14:textId="77777777" w:rsidR="00B2678C" w:rsidRPr="00BA050E" w:rsidRDefault="00B2678C" w:rsidP="00B2678C">
      <w:pPr>
        <w:spacing w:after="0" w:line="259" w:lineRule="auto"/>
        <w:ind w:left="0" w:right="0" w:firstLine="0"/>
        <w:jc w:val="center"/>
      </w:pPr>
      <w:r w:rsidRPr="00BA050E">
        <w:rPr>
          <w:b/>
          <w:sz w:val="23"/>
        </w:rPr>
        <w:t xml:space="preserve"> </w:t>
      </w:r>
    </w:p>
    <w:p w14:paraId="07CCB7FB" w14:textId="77777777" w:rsidR="00B2678C" w:rsidRDefault="00B2678C" w:rsidP="00B2678C">
      <w:pPr>
        <w:spacing w:after="0" w:line="259" w:lineRule="auto"/>
        <w:ind w:left="10" w:right="60" w:hanging="10"/>
        <w:jc w:val="center"/>
        <w:rPr>
          <w:b/>
          <w:sz w:val="23"/>
        </w:rPr>
      </w:pPr>
      <w:r w:rsidRPr="00BA050E">
        <w:rPr>
          <w:b/>
          <w:sz w:val="23"/>
        </w:rPr>
        <w:t>ABBREVIATIONS AND ACRONYMS</w:t>
      </w:r>
    </w:p>
    <w:p w14:paraId="53BAD327" w14:textId="77777777" w:rsidR="00B2678C" w:rsidRDefault="00B2678C" w:rsidP="00B2678C">
      <w:pPr>
        <w:spacing w:after="40"/>
        <w:ind w:left="0" w:firstLine="0"/>
        <w:rPr>
          <w:sz w:val="23"/>
        </w:rPr>
      </w:pPr>
    </w:p>
    <w:p w14:paraId="414362A3" w14:textId="77777777" w:rsidR="00B2678C" w:rsidRDefault="00B2678C" w:rsidP="00B2678C">
      <w:pPr>
        <w:spacing w:after="40"/>
        <w:ind w:left="0" w:firstLine="0"/>
        <w:rPr>
          <w:sz w:val="23"/>
        </w:rPr>
        <w:sectPr w:rsidR="00B2678C" w:rsidSect="0021700C">
          <w:footerReference w:type="default" r:id="rId8"/>
          <w:pgSz w:w="12240" w:h="15840" w:code="1"/>
          <w:pgMar w:top="1440" w:right="1440" w:bottom="1440" w:left="1440" w:header="720" w:footer="720" w:gutter="0"/>
          <w:pgNumType w:fmt="lowerRoman"/>
          <w:cols w:space="720"/>
          <w:titlePg/>
          <w:docGrid w:linePitch="360"/>
        </w:sectPr>
      </w:pPr>
    </w:p>
    <w:p w14:paraId="3E1F235A" w14:textId="494372ED" w:rsidR="00EC13A2" w:rsidRDefault="00EC13A2" w:rsidP="00D77307">
      <w:pPr>
        <w:spacing w:after="40"/>
        <w:ind w:left="0" w:right="0" w:firstLine="0"/>
        <w:jc w:val="left"/>
        <w:rPr>
          <w:rFonts w:eastAsiaTheme="minorEastAsia"/>
          <w:sz w:val="19"/>
          <w:szCs w:val="19"/>
          <w:lang w:eastAsia="en-GB"/>
        </w:rPr>
      </w:pPr>
      <w:r>
        <w:rPr>
          <w:rFonts w:eastAsiaTheme="minorEastAsia"/>
          <w:sz w:val="19"/>
          <w:szCs w:val="19"/>
          <w:lang w:eastAsia="en-GB"/>
        </w:rPr>
        <w:t>AA</w:t>
      </w:r>
      <w:r>
        <w:rPr>
          <w:rFonts w:eastAsiaTheme="minorEastAsia"/>
          <w:sz w:val="19"/>
          <w:szCs w:val="19"/>
          <w:lang w:eastAsia="en-GB"/>
        </w:rPr>
        <w:tab/>
        <w:t xml:space="preserve">    Association Agreement</w:t>
      </w:r>
    </w:p>
    <w:p w14:paraId="4CFBC3FC" w14:textId="056CE879" w:rsidR="006F7A89" w:rsidRDefault="006F7A89" w:rsidP="00D77307">
      <w:pPr>
        <w:spacing w:after="40"/>
        <w:ind w:left="0" w:right="0" w:firstLine="0"/>
        <w:jc w:val="left"/>
        <w:rPr>
          <w:rFonts w:eastAsiaTheme="minorEastAsia"/>
          <w:sz w:val="19"/>
          <w:szCs w:val="19"/>
          <w:lang w:eastAsia="en-GB"/>
        </w:rPr>
      </w:pPr>
      <w:r>
        <w:rPr>
          <w:rFonts w:eastAsiaTheme="minorEastAsia"/>
          <w:sz w:val="19"/>
          <w:szCs w:val="19"/>
          <w:lang w:eastAsia="en-GB"/>
        </w:rPr>
        <w:t>AF</w:t>
      </w:r>
      <w:r>
        <w:rPr>
          <w:rFonts w:eastAsiaTheme="minorEastAsia"/>
          <w:sz w:val="19"/>
          <w:szCs w:val="19"/>
          <w:lang w:eastAsia="en-GB"/>
        </w:rPr>
        <w:tab/>
        <w:t xml:space="preserve">    Additional Financing</w:t>
      </w:r>
    </w:p>
    <w:p w14:paraId="512BD2BE" w14:textId="616724CD" w:rsidR="00B2678C" w:rsidRPr="003120A6" w:rsidRDefault="00B2678C" w:rsidP="00D77307">
      <w:pPr>
        <w:spacing w:after="40"/>
        <w:ind w:left="0" w:right="0" w:firstLine="0"/>
        <w:jc w:val="left"/>
        <w:rPr>
          <w:rFonts w:eastAsiaTheme="minorEastAsia"/>
          <w:sz w:val="19"/>
          <w:szCs w:val="19"/>
          <w:lang w:eastAsia="en-GB"/>
        </w:rPr>
      </w:pPr>
      <w:r>
        <w:rPr>
          <w:rFonts w:eastAsiaTheme="minorEastAsia"/>
          <w:sz w:val="19"/>
          <w:szCs w:val="19"/>
          <w:lang w:eastAsia="en-GB"/>
        </w:rPr>
        <w:t>ASA</w:t>
      </w:r>
      <w:r>
        <w:rPr>
          <w:rFonts w:eastAsiaTheme="minorEastAsia"/>
          <w:sz w:val="19"/>
          <w:szCs w:val="19"/>
          <w:lang w:eastAsia="en-GB"/>
        </w:rPr>
        <w:tab/>
        <w:t xml:space="preserve">    Advisory Service</w:t>
      </w:r>
      <w:r w:rsidRPr="003120A6">
        <w:rPr>
          <w:rFonts w:eastAsiaTheme="minorEastAsia"/>
          <w:sz w:val="19"/>
          <w:szCs w:val="19"/>
          <w:lang w:eastAsia="en-GB"/>
        </w:rPr>
        <w:t>s</w:t>
      </w:r>
      <w:r>
        <w:rPr>
          <w:rFonts w:eastAsiaTheme="minorEastAsia"/>
          <w:sz w:val="19"/>
          <w:szCs w:val="19"/>
          <w:lang w:eastAsia="en-GB"/>
        </w:rPr>
        <w:t xml:space="preserve"> and Analytics</w:t>
      </w:r>
    </w:p>
    <w:p w14:paraId="1940A076" w14:textId="27DF37CE" w:rsidR="00B2678C" w:rsidRDefault="00B2678C" w:rsidP="00D77307">
      <w:pPr>
        <w:spacing w:after="40"/>
        <w:ind w:left="900" w:right="0" w:hanging="900"/>
        <w:jc w:val="left"/>
        <w:rPr>
          <w:rFonts w:eastAsiaTheme="minorEastAsia"/>
          <w:sz w:val="19"/>
          <w:szCs w:val="19"/>
          <w:lang w:eastAsia="en-GB"/>
        </w:rPr>
      </w:pPr>
      <w:r>
        <w:rPr>
          <w:rFonts w:eastAsiaTheme="minorEastAsia"/>
          <w:sz w:val="19"/>
          <w:szCs w:val="19"/>
          <w:lang w:eastAsia="en-GB"/>
        </w:rPr>
        <w:t>CE</w:t>
      </w:r>
      <w:r>
        <w:rPr>
          <w:rFonts w:eastAsiaTheme="minorEastAsia"/>
          <w:sz w:val="19"/>
          <w:szCs w:val="19"/>
          <w:lang w:eastAsia="en-GB"/>
        </w:rPr>
        <w:tab/>
        <w:t>Citizens’ E</w:t>
      </w:r>
      <w:r w:rsidRPr="003120A6">
        <w:rPr>
          <w:rFonts w:eastAsiaTheme="minorEastAsia"/>
          <w:sz w:val="19"/>
          <w:szCs w:val="19"/>
          <w:lang w:eastAsia="en-GB"/>
        </w:rPr>
        <w:t>ngagement</w:t>
      </w:r>
    </w:p>
    <w:p w14:paraId="396CA930" w14:textId="693CA2AD" w:rsidR="006F7A89" w:rsidRDefault="006F7A89" w:rsidP="00D77307">
      <w:pPr>
        <w:spacing w:after="40"/>
        <w:ind w:left="900" w:right="0" w:hanging="900"/>
        <w:jc w:val="left"/>
        <w:rPr>
          <w:rFonts w:eastAsiaTheme="minorEastAsia"/>
          <w:sz w:val="19"/>
          <w:szCs w:val="19"/>
          <w:lang w:eastAsia="en-GB"/>
        </w:rPr>
      </w:pPr>
      <w:r>
        <w:rPr>
          <w:rFonts w:eastAsiaTheme="minorEastAsia"/>
          <w:sz w:val="19"/>
          <w:szCs w:val="19"/>
          <w:lang w:eastAsia="en-GB"/>
        </w:rPr>
        <w:t>CGAP</w:t>
      </w:r>
      <w:r>
        <w:rPr>
          <w:rFonts w:eastAsiaTheme="minorEastAsia"/>
          <w:sz w:val="19"/>
          <w:szCs w:val="19"/>
          <w:lang w:eastAsia="en-GB"/>
        </w:rPr>
        <w:tab/>
        <w:t>Country Gender Action Plan</w:t>
      </w:r>
    </w:p>
    <w:p w14:paraId="5639C567" w14:textId="2EC1A8F5" w:rsidR="006F7A89" w:rsidRDefault="006F7A89" w:rsidP="00D77307">
      <w:pPr>
        <w:spacing w:after="40"/>
        <w:ind w:left="900" w:right="0" w:hanging="900"/>
        <w:jc w:val="left"/>
        <w:rPr>
          <w:rFonts w:eastAsiaTheme="minorEastAsia"/>
          <w:sz w:val="19"/>
          <w:szCs w:val="19"/>
          <w:lang w:eastAsia="en-GB"/>
        </w:rPr>
      </w:pPr>
      <w:r>
        <w:rPr>
          <w:rFonts w:eastAsiaTheme="minorEastAsia"/>
          <w:sz w:val="19"/>
          <w:szCs w:val="19"/>
          <w:lang w:eastAsia="en-GB"/>
        </w:rPr>
        <w:t>CPF</w:t>
      </w:r>
      <w:r>
        <w:rPr>
          <w:rFonts w:eastAsiaTheme="minorEastAsia"/>
          <w:sz w:val="19"/>
          <w:szCs w:val="19"/>
          <w:lang w:eastAsia="en-GB"/>
        </w:rPr>
        <w:tab/>
        <w:t>Country Partnership Framework</w:t>
      </w:r>
    </w:p>
    <w:p w14:paraId="567B82AA" w14:textId="4B2D56EE" w:rsidR="006F7A89" w:rsidRDefault="006F7A89" w:rsidP="00D77307">
      <w:pPr>
        <w:spacing w:after="40"/>
        <w:ind w:left="900" w:right="0" w:hanging="900"/>
        <w:jc w:val="left"/>
        <w:rPr>
          <w:rFonts w:eastAsiaTheme="minorEastAsia"/>
          <w:sz w:val="19"/>
          <w:szCs w:val="19"/>
          <w:lang w:eastAsia="en-GB"/>
        </w:rPr>
      </w:pPr>
      <w:r>
        <w:rPr>
          <w:rFonts w:eastAsiaTheme="minorEastAsia"/>
          <w:sz w:val="19"/>
          <w:szCs w:val="19"/>
          <w:lang w:eastAsia="en-GB"/>
        </w:rPr>
        <w:t>CPS</w:t>
      </w:r>
      <w:r>
        <w:rPr>
          <w:rFonts w:eastAsiaTheme="minorEastAsia"/>
          <w:sz w:val="19"/>
          <w:szCs w:val="19"/>
          <w:lang w:eastAsia="en-GB"/>
        </w:rPr>
        <w:tab/>
        <w:t>Country Partnership Strategy</w:t>
      </w:r>
    </w:p>
    <w:p w14:paraId="256CCD51" w14:textId="2F231A34" w:rsidR="00EC13A2" w:rsidRPr="003120A6" w:rsidRDefault="00EC13A2" w:rsidP="00D77307">
      <w:pPr>
        <w:spacing w:after="40"/>
        <w:ind w:left="900" w:right="0" w:hanging="900"/>
        <w:jc w:val="left"/>
        <w:rPr>
          <w:rFonts w:eastAsiaTheme="minorEastAsia"/>
          <w:sz w:val="19"/>
          <w:szCs w:val="19"/>
          <w:lang w:eastAsia="en-GB"/>
        </w:rPr>
      </w:pPr>
      <w:r>
        <w:rPr>
          <w:rFonts w:eastAsiaTheme="minorEastAsia"/>
          <w:sz w:val="19"/>
          <w:szCs w:val="19"/>
          <w:lang w:eastAsia="en-GB"/>
        </w:rPr>
        <w:t>DCFTA</w:t>
      </w:r>
      <w:r>
        <w:rPr>
          <w:rFonts w:eastAsiaTheme="minorEastAsia"/>
          <w:sz w:val="19"/>
          <w:szCs w:val="19"/>
          <w:lang w:eastAsia="en-GB"/>
        </w:rPr>
        <w:tab/>
        <w:t>Deep and Comprehensive Free Trade Area</w:t>
      </w:r>
    </w:p>
    <w:p w14:paraId="5F5895BF" w14:textId="29C557F2" w:rsidR="00B2678C" w:rsidRPr="003120A6" w:rsidRDefault="00B2678C" w:rsidP="00D77307">
      <w:pPr>
        <w:spacing w:after="40"/>
        <w:ind w:left="900" w:right="0" w:hanging="900"/>
        <w:jc w:val="left"/>
        <w:rPr>
          <w:rFonts w:eastAsiaTheme="minorEastAsia"/>
          <w:sz w:val="19"/>
          <w:szCs w:val="19"/>
          <w:lang w:eastAsia="en-GB"/>
        </w:rPr>
      </w:pPr>
      <w:r>
        <w:rPr>
          <w:rFonts w:eastAsiaTheme="minorEastAsia"/>
          <w:sz w:val="19"/>
          <w:szCs w:val="19"/>
          <w:lang w:eastAsia="en-GB"/>
        </w:rPr>
        <w:t>D</w:t>
      </w:r>
      <w:r w:rsidR="006F7A89">
        <w:rPr>
          <w:rFonts w:eastAsiaTheme="minorEastAsia"/>
          <w:sz w:val="19"/>
          <w:szCs w:val="19"/>
          <w:lang w:eastAsia="en-GB"/>
        </w:rPr>
        <w:t>FI</w:t>
      </w:r>
      <w:r>
        <w:rPr>
          <w:rFonts w:eastAsiaTheme="minorEastAsia"/>
          <w:sz w:val="19"/>
          <w:szCs w:val="19"/>
          <w:lang w:eastAsia="en-GB"/>
        </w:rPr>
        <w:t>D</w:t>
      </w:r>
      <w:r>
        <w:rPr>
          <w:rFonts w:eastAsiaTheme="minorEastAsia"/>
          <w:sz w:val="19"/>
          <w:szCs w:val="19"/>
          <w:lang w:eastAsia="en-GB"/>
        </w:rPr>
        <w:tab/>
      </w:r>
      <w:r w:rsidRPr="003120A6">
        <w:rPr>
          <w:rFonts w:eastAsiaTheme="minorEastAsia"/>
          <w:sz w:val="19"/>
          <w:szCs w:val="19"/>
          <w:lang w:eastAsia="en-GB"/>
        </w:rPr>
        <w:t>Department for International Development</w:t>
      </w:r>
    </w:p>
    <w:p w14:paraId="6475BA25"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DPO</w:t>
      </w:r>
      <w:r w:rsidRPr="003120A6">
        <w:rPr>
          <w:rFonts w:eastAsiaTheme="minorEastAsia"/>
          <w:sz w:val="19"/>
          <w:szCs w:val="19"/>
          <w:lang w:eastAsia="en-GB"/>
        </w:rPr>
        <w:tab/>
        <w:t>Development Policy Operation</w:t>
      </w:r>
    </w:p>
    <w:p w14:paraId="1372FDA7" w14:textId="2B10CC89" w:rsidR="00B2678C"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EC</w:t>
      </w:r>
      <w:r w:rsidRPr="003120A6">
        <w:rPr>
          <w:rFonts w:eastAsiaTheme="minorEastAsia"/>
          <w:sz w:val="19"/>
          <w:szCs w:val="19"/>
          <w:lang w:eastAsia="en-GB"/>
        </w:rPr>
        <w:tab/>
        <w:t>European Commission</w:t>
      </w:r>
    </w:p>
    <w:p w14:paraId="3E83681B" w14:textId="5B2B658B" w:rsidR="00EC13A2" w:rsidRPr="003120A6" w:rsidRDefault="00EC13A2" w:rsidP="00D77307">
      <w:pPr>
        <w:spacing w:after="40"/>
        <w:ind w:left="900" w:right="0" w:hanging="900"/>
        <w:jc w:val="left"/>
        <w:rPr>
          <w:rFonts w:eastAsiaTheme="minorEastAsia"/>
          <w:sz w:val="19"/>
          <w:szCs w:val="19"/>
          <w:lang w:eastAsia="en-GB"/>
        </w:rPr>
      </w:pPr>
      <w:r>
        <w:rPr>
          <w:rFonts w:eastAsiaTheme="minorEastAsia"/>
          <w:sz w:val="19"/>
          <w:szCs w:val="19"/>
          <w:lang w:eastAsia="en-GB"/>
        </w:rPr>
        <w:t>ECA</w:t>
      </w:r>
      <w:r>
        <w:rPr>
          <w:rFonts w:eastAsiaTheme="minorEastAsia"/>
          <w:sz w:val="19"/>
          <w:szCs w:val="19"/>
          <w:lang w:eastAsia="en-GB"/>
        </w:rPr>
        <w:tab/>
        <w:t>Europe and Central Asia</w:t>
      </w:r>
    </w:p>
    <w:p w14:paraId="3D79ABD6"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EU</w:t>
      </w:r>
      <w:r w:rsidRPr="003120A6">
        <w:rPr>
          <w:rFonts w:eastAsiaTheme="minorEastAsia"/>
          <w:sz w:val="19"/>
          <w:szCs w:val="19"/>
          <w:lang w:eastAsia="en-GB"/>
        </w:rPr>
        <w:tab/>
        <w:t>European Union</w:t>
      </w:r>
    </w:p>
    <w:p w14:paraId="7FC2051C"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FDI</w:t>
      </w:r>
      <w:r w:rsidRPr="003120A6">
        <w:rPr>
          <w:rFonts w:eastAsiaTheme="minorEastAsia"/>
          <w:sz w:val="19"/>
          <w:szCs w:val="19"/>
          <w:lang w:eastAsia="en-GB"/>
        </w:rPr>
        <w:tab/>
        <w:t>Foreign Direct Investment</w:t>
      </w:r>
    </w:p>
    <w:p w14:paraId="514AF13E"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FSAP</w:t>
      </w:r>
      <w:r w:rsidRPr="003120A6">
        <w:rPr>
          <w:rFonts w:eastAsiaTheme="minorEastAsia"/>
          <w:sz w:val="19"/>
          <w:szCs w:val="19"/>
          <w:lang w:eastAsia="en-GB"/>
        </w:rPr>
        <w:tab/>
        <w:t>Financial Sector Assessment Program</w:t>
      </w:r>
    </w:p>
    <w:p w14:paraId="4315AAEB"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FY</w:t>
      </w:r>
      <w:r w:rsidRPr="003120A6">
        <w:rPr>
          <w:rFonts w:eastAsiaTheme="minorEastAsia"/>
          <w:sz w:val="19"/>
          <w:szCs w:val="19"/>
          <w:lang w:eastAsia="en-GB"/>
        </w:rPr>
        <w:tab/>
        <w:t>Fiscal Year</w:t>
      </w:r>
    </w:p>
    <w:p w14:paraId="314AD995"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GDP</w:t>
      </w:r>
      <w:r w:rsidRPr="003120A6">
        <w:rPr>
          <w:rFonts w:eastAsiaTheme="minorEastAsia"/>
          <w:sz w:val="19"/>
          <w:szCs w:val="19"/>
          <w:lang w:eastAsia="en-GB"/>
        </w:rPr>
        <w:tab/>
        <w:t>Gross Domestic Product</w:t>
      </w:r>
    </w:p>
    <w:p w14:paraId="7F14CA32" w14:textId="5E453B80" w:rsidR="006F7A89" w:rsidRDefault="00B2678C">
      <w:pPr>
        <w:spacing w:after="40"/>
        <w:ind w:left="900" w:right="0" w:hanging="900"/>
        <w:jc w:val="left"/>
        <w:rPr>
          <w:rFonts w:eastAsiaTheme="minorEastAsia"/>
          <w:sz w:val="19"/>
          <w:szCs w:val="19"/>
          <w:lang w:eastAsia="en-GB"/>
        </w:rPr>
      </w:pPr>
      <w:r w:rsidRPr="003120A6">
        <w:rPr>
          <w:rFonts w:eastAsiaTheme="minorEastAsia"/>
          <w:sz w:val="19"/>
          <w:szCs w:val="19"/>
          <w:lang w:eastAsia="en-GB"/>
        </w:rPr>
        <w:t>GEF</w:t>
      </w:r>
      <w:r w:rsidRPr="003120A6">
        <w:rPr>
          <w:rFonts w:eastAsiaTheme="minorEastAsia"/>
          <w:sz w:val="19"/>
          <w:szCs w:val="19"/>
          <w:lang w:eastAsia="en-GB"/>
        </w:rPr>
        <w:tab/>
        <w:t>Global Environment Facility</w:t>
      </w:r>
    </w:p>
    <w:p w14:paraId="210891A4" w14:textId="7A7DFB64" w:rsidR="00EC13A2" w:rsidRPr="003120A6" w:rsidRDefault="00EC13A2">
      <w:pPr>
        <w:spacing w:after="40"/>
        <w:ind w:left="900" w:right="0" w:hanging="900"/>
        <w:jc w:val="left"/>
        <w:rPr>
          <w:rFonts w:eastAsiaTheme="minorEastAsia"/>
          <w:sz w:val="19"/>
          <w:szCs w:val="19"/>
          <w:lang w:eastAsia="en-GB"/>
        </w:rPr>
      </w:pPr>
      <w:r>
        <w:rPr>
          <w:rFonts w:eastAsiaTheme="minorEastAsia"/>
          <w:sz w:val="19"/>
          <w:szCs w:val="19"/>
          <w:lang w:eastAsia="en-GB"/>
        </w:rPr>
        <w:t>GGF</w:t>
      </w:r>
      <w:r>
        <w:rPr>
          <w:rFonts w:eastAsiaTheme="minorEastAsia"/>
          <w:sz w:val="19"/>
          <w:szCs w:val="19"/>
          <w:lang w:eastAsia="en-GB"/>
        </w:rPr>
        <w:tab/>
        <w:t>Good Governance Fund (United Kingdom)</w:t>
      </w:r>
    </w:p>
    <w:p w14:paraId="082E68FB"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HBS</w:t>
      </w:r>
      <w:r w:rsidRPr="003120A6">
        <w:rPr>
          <w:rFonts w:eastAsiaTheme="minorEastAsia"/>
          <w:sz w:val="19"/>
          <w:szCs w:val="19"/>
          <w:lang w:eastAsia="en-GB"/>
        </w:rPr>
        <w:tab/>
        <w:t>Household Budget Survey</w:t>
      </w:r>
    </w:p>
    <w:p w14:paraId="777E2CE3" w14:textId="6AFFF7FD" w:rsidR="00B2678C" w:rsidRDefault="00B2678C" w:rsidP="00D77307">
      <w:pPr>
        <w:spacing w:after="40"/>
        <w:ind w:left="900" w:right="0" w:hanging="900"/>
        <w:jc w:val="left"/>
        <w:rPr>
          <w:rFonts w:eastAsiaTheme="minorEastAsia"/>
          <w:sz w:val="19"/>
          <w:szCs w:val="19"/>
          <w:lang w:eastAsia="en-GB"/>
        </w:rPr>
      </w:pPr>
      <w:r>
        <w:rPr>
          <w:rFonts w:eastAsiaTheme="minorEastAsia"/>
          <w:sz w:val="19"/>
          <w:szCs w:val="19"/>
          <w:lang w:eastAsia="en-GB"/>
        </w:rPr>
        <w:t>IBRD</w:t>
      </w:r>
      <w:r>
        <w:rPr>
          <w:rFonts w:eastAsiaTheme="minorEastAsia"/>
          <w:sz w:val="19"/>
          <w:szCs w:val="19"/>
          <w:lang w:eastAsia="en-GB"/>
        </w:rPr>
        <w:tab/>
        <w:t>International Bank for R</w:t>
      </w:r>
      <w:r w:rsidRPr="003120A6">
        <w:rPr>
          <w:rFonts w:eastAsiaTheme="minorEastAsia"/>
          <w:sz w:val="19"/>
          <w:szCs w:val="19"/>
          <w:lang w:eastAsia="en-GB"/>
        </w:rPr>
        <w:t>econstruction and Development</w:t>
      </w:r>
    </w:p>
    <w:p w14:paraId="78D99393" w14:textId="216CB3B2" w:rsidR="001164F4" w:rsidRPr="003120A6" w:rsidRDefault="001164F4" w:rsidP="00D77307">
      <w:pPr>
        <w:spacing w:after="40"/>
        <w:ind w:left="900" w:right="0" w:hanging="900"/>
        <w:jc w:val="left"/>
        <w:rPr>
          <w:rFonts w:eastAsiaTheme="minorEastAsia"/>
          <w:sz w:val="19"/>
          <w:szCs w:val="19"/>
          <w:lang w:eastAsia="en-GB"/>
        </w:rPr>
      </w:pPr>
      <w:r>
        <w:rPr>
          <w:rFonts w:eastAsiaTheme="minorEastAsia"/>
          <w:sz w:val="19"/>
          <w:szCs w:val="19"/>
          <w:lang w:eastAsia="en-GB"/>
        </w:rPr>
        <w:t>ICR</w:t>
      </w:r>
      <w:r>
        <w:rPr>
          <w:rFonts w:eastAsiaTheme="minorEastAsia"/>
          <w:sz w:val="19"/>
          <w:szCs w:val="19"/>
          <w:lang w:eastAsia="en-GB"/>
        </w:rPr>
        <w:tab/>
        <w:t>Investment Climate Reform</w:t>
      </w:r>
    </w:p>
    <w:p w14:paraId="3E8CFA26"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IDA</w:t>
      </w:r>
      <w:r w:rsidRPr="003120A6">
        <w:rPr>
          <w:rFonts w:eastAsiaTheme="minorEastAsia"/>
          <w:sz w:val="19"/>
          <w:szCs w:val="19"/>
          <w:lang w:eastAsia="en-GB"/>
        </w:rPr>
        <w:tab/>
        <w:t>International Development Association</w:t>
      </w:r>
    </w:p>
    <w:p w14:paraId="41655D0B"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IEG</w:t>
      </w:r>
      <w:r w:rsidRPr="003120A6">
        <w:rPr>
          <w:rFonts w:eastAsiaTheme="minorEastAsia"/>
          <w:sz w:val="19"/>
          <w:szCs w:val="19"/>
          <w:lang w:eastAsia="en-GB"/>
        </w:rPr>
        <w:tab/>
        <w:t>Independent Evaluation Group</w:t>
      </w:r>
    </w:p>
    <w:p w14:paraId="68AF55A5"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IFC</w:t>
      </w:r>
      <w:r w:rsidRPr="003120A6">
        <w:rPr>
          <w:rFonts w:eastAsiaTheme="minorEastAsia"/>
          <w:sz w:val="19"/>
          <w:szCs w:val="19"/>
          <w:lang w:eastAsia="en-GB"/>
        </w:rPr>
        <w:tab/>
        <w:t>International Finance Corporation</w:t>
      </w:r>
    </w:p>
    <w:p w14:paraId="2975954D"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IFRS</w:t>
      </w:r>
      <w:r w:rsidRPr="003120A6">
        <w:rPr>
          <w:rFonts w:eastAsiaTheme="minorEastAsia"/>
          <w:sz w:val="19"/>
          <w:szCs w:val="19"/>
          <w:lang w:eastAsia="en-GB"/>
        </w:rPr>
        <w:tab/>
        <w:t>International Financial Reporting Standards</w:t>
      </w:r>
    </w:p>
    <w:p w14:paraId="6D726F15" w14:textId="77777777" w:rsidR="00EC13A2" w:rsidRPr="003120A6" w:rsidRDefault="00B2678C" w:rsidP="00EC13A2">
      <w:pPr>
        <w:spacing w:after="40"/>
        <w:ind w:left="900" w:right="0" w:hanging="900"/>
        <w:jc w:val="left"/>
        <w:rPr>
          <w:rFonts w:eastAsiaTheme="minorEastAsia"/>
          <w:sz w:val="19"/>
          <w:szCs w:val="19"/>
          <w:lang w:eastAsia="en-GB"/>
        </w:rPr>
      </w:pPr>
      <w:r>
        <w:rPr>
          <w:rFonts w:eastAsiaTheme="minorEastAsia"/>
          <w:sz w:val="19"/>
          <w:szCs w:val="19"/>
          <w:lang w:eastAsia="en-GB"/>
        </w:rPr>
        <w:br w:type="column"/>
      </w:r>
      <w:r w:rsidR="00EC13A2" w:rsidRPr="003120A6">
        <w:rPr>
          <w:rFonts w:eastAsiaTheme="minorEastAsia"/>
          <w:sz w:val="19"/>
          <w:szCs w:val="19"/>
          <w:lang w:eastAsia="en-GB"/>
        </w:rPr>
        <w:t>IMF</w:t>
      </w:r>
      <w:r w:rsidR="00EC13A2" w:rsidRPr="003120A6">
        <w:rPr>
          <w:rFonts w:eastAsiaTheme="minorEastAsia"/>
          <w:sz w:val="19"/>
          <w:szCs w:val="19"/>
          <w:lang w:eastAsia="en-GB"/>
        </w:rPr>
        <w:tab/>
        <w:t>International Monetary Fund</w:t>
      </w:r>
    </w:p>
    <w:p w14:paraId="5A1C6BB8" w14:textId="77777777" w:rsidR="00EC13A2" w:rsidRDefault="00EC13A2" w:rsidP="00EC13A2">
      <w:pPr>
        <w:spacing w:after="40"/>
        <w:ind w:left="900" w:right="0" w:hanging="900"/>
        <w:jc w:val="left"/>
        <w:rPr>
          <w:rFonts w:eastAsiaTheme="minorEastAsia"/>
          <w:sz w:val="19"/>
          <w:szCs w:val="19"/>
          <w:lang w:eastAsia="en-GB"/>
        </w:rPr>
      </w:pPr>
      <w:r w:rsidRPr="003120A6">
        <w:rPr>
          <w:rFonts w:eastAsiaTheme="minorEastAsia"/>
          <w:sz w:val="19"/>
          <w:szCs w:val="19"/>
          <w:lang w:eastAsia="en-GB"/>
        </w:rPr>
        <w:t>IPF</w:t>
      </w:r>
      <w:r w:rsidRPr="003120A6">
        <w:rPr>
          <w:rFonts w:eastAsiaTheme="minorEastAsia"/>
          <w:sz w:val="19"/>
          <w:szCs w:val="19"/>
          <w:lang w:eastAsia="en-GB"/>
        </w:rPr>
        <w:tab/>
        <w:t>Investment Project Financing</w:t>
      </w:r>
    </w:p>
    <w:p w14:paraId="0F5D4BB0" w14:textId="77777777" w:rsidR="00EC13A2" w:rsidRPr="003120A6" w:rsidRDefault="00EC13A2" w:rsidP="00EC13A2">
      <w:pPr>
        <w:spacing w:after="40"/>
        <w:ind w:left="900" w:right="0" w:hanging="900"/>
        <w:jc w:val="left"/>
        <w:rPr>
          <w:rFonts w:eastAsiaTheme="minorEastAsia"/>
          <w:sz w:val="19"/>
          <w:szCs w:val="19"/>
          <w:lang w:eastAsia="en-GB"/>
        </w:rPr>
      </w:pPr>
      <w:r w:rsidRPr="003120A6">
        <w:rPr>
          <w:rFonts w:eastAsiaTheme="minorEastAsia"/>
          <w:sz w:val="19"/>
          <w:szCs w:val="19"/>
          <w:lang w:eastAsia="en-GB"/>
        </w:rPr>
        <w:t>MIGA</w:t>
      </w:r>
      <w:r w:rsidRPr="003120A6">
        <w:rPr>
          <w:rFonts w:eastAsiaTheme="minorEastAsia"/>
          <w:sz w:val="19"/>
          <w:szCs w:val="19"/>
          <w:lang w:eastAsia="en-GB"/>
        </w:rPr>
        <w:tab/>
        <w:t>Multilateral Investment Guarantee Agency</w:t>
      </w:r>
    </w:p>
    <w:p w14:paraId="34E23C20" w14:textId="0C59F5F5"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MSMEs</w:t>
      </w:r>
      <w:r w:rsidRPr="003120A6">
        <w:rPr>
          <w:rFonts w:eastAsiaTheme="minorEastAsia"/>
          <w:sz w:val="19"/>
          <w:szCs w:val="19"/>
          <w:lang w:eastAsia="en-GB"/>
        </w:rPr>
        <w:tab/>
        <w:t>Micro, Small and Medium Enterprises</w:t>
      </w:r>
    </w:p>
    <w:p w14:paraId="66295F8E"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NBM</w:t>
      </w:r>
      <w:r w:rsidRPr="003120A6">
        <w:rPr>
          <w:rFonts w:eastAsiaTheme="minorEastAsia"/>
          <w:sz w:val="19"/>
          <w:szCs w:val="19"/>
          <w:lang w:eastAsia="en-GB"/>
        </w:rPr>
        <w:tab/>
        <w:t>National Bank of Moldova</w:t>
      </w:r>
    </w:p>
    <w:p w14:paraId="5C43B2CF"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NCFM</w:t>
      </w:r>
      <w:r w:rsidRPr="003120A6">
        <w:rPr>
          <w:rFonts w:eastAsiaTheme="minorEastAsia"/>
          <w:sz w:val="19"/>
          <w:szCs w:val="19"/>
          <w:lang w:eastAsia="en-GB"/>
        </w:rPr>
        <w:tab/>
        <w:t>National Commission of Financial Market</w:t>
      </w:r>
    </w:p>
    <w:p w14:paraId="2C2FA271"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PEFA</w:t>
      </w:r>
      <w:r w:rsidRPr="003120A6">
        <w:rPr>
          <w:rFonts w:eastAsiaTheme="minorEastAsia"/>
          <w:sz w:val="19"/>
          <w:szCs w:val="19"/>
          <w:lang w:eastAsia="en-GB"/>
        </w:rPr>
        <w:tab/>
        <w:t>Public Expenditure &amp; Financial Accountability</w:t>
      </w:r>
    </w:p>
    <w:p w14:paraId="3A778A77"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PER</w:t>
      </w:r>
      <w:r w:rsidRPr="003120A6">
        <w:rPr>
          <w:rFonts w:eastAsiaTheme="minorEastAsia"/>
          <w:sz w:val="19"/>
          <w:szCs w:val="19"/>
          <w:lang w:eastAsia="en-GB"/>
        </w:rPr>
        <w:tab/>
        <w:t>Public Expenditure Review</w:t>
      </w:r>
    </w:p>
    <w:p w14:paraId="1707C0AA"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PFM</w:t>
      </w:r>
      <w:r w:rsidRPr="003120A6">
        <w:rPr>
          <w:rFonts w:eastAsiaTheme="minorEastAsia"/>
          <w:sz w:val="19"/>
          <w:szCs w:val="19"/>
          <w:lang w:eastAsia="en-GB"/>
        </w:rPr>
        <w:tab/>
        <w:t>Public Financial Management</w:t>
      </w:r>
    </w:p>
    <w:p w14:paraId="1F76ED89"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PISA</w:t>
      </w:r>
      <w:r w:rsidRPr="003120A6">
        <w:rPr>
          <w:rFonts w:eastAsiaTheme="minorEastAsia"/>
          <w:sz w:val="19"/>
          <w:szCs w:val="19"/>
          <w:lang w:eastAsia="en-GB"/>
        </w:rPr>
        <w:tab/>
        <w:t>Program for International Student Assessment</w:t>
      </w:r>
    </w:p>
    <w:p w14:paraId="308367F4"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PLR</w:t>
      </w:r>
      <w:r w:rsidRPr="003120A6">
        <w:rPr>
          <w:rFonts w:eastAsiaTheme="minorEastAsia"/>
          <w:sz w:val="19"/>
          <w:szCs w:val="19"/>
          <w:lang w:eastAsia="en-GB"/>
        </w:rPr>
        <w:tab/>
        <w:t>Performance and Learning Review</w:t>
      </w:r>
    </w:p>
    <w:p w14:paraId="3C37C48C" w14:textId="436D0C71" w:rsidR="00B2678C"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PPPs</w:t>
      </w:r>
      <w:r w:rsidRPr="003120A6">
        <w:rPr>
          <w:rFonts w:eastAsiaTheme="minorEastAsia"/>
          <w:sz w:val="19"/>
          <w:szCs w:val="19"/>
          <w:lang w:eastAsia="en-GB"/>
        </w:rPr>
        <w:tab/>
        <w:t>Public Private Partnerships</w:t>
      </w:r>
    </w:p>
    <w:p w14:paraId="4983299C" w14:textId="176EEBC0" w:rsidR="009F1F8F" w:rsidRPr="003120A6" w:rsidRDefault="009F1F8F" w:rsidP="00D77307">
      <w:pPr>
        <w:spacing w:after="40"/>
        <w:ind w:left="900" w:right="0" w:hanging="900"/>
        <w:jc w:val="left"/>
        <w:rPr>
          <w:rFonts w:eastAsiaTheme="minorEastAsia"/>
          <w:sz w:val="19"/>
          <w:szCs w:val="19"/>
          <w:lang w:eastAsia="en-GB"/>
        </w:rPr>
      </w:pPr>
      <w:r>
        <w:rPr>
          <w:rFonts w:eastAsiaTheme="minorEastAsia"/>
          <w:sz w:val="19"/>
          <w:szCs w:val="19"/>
          <w:lang w:eastAsia="en-GB"/>
        </w:rPr>
        <w:t>SCD</w:t>
      </w:r>
      <w:r>
        <w:rPr>
          <w:rFonts w:eastAsiaTheme="minorEastAsia"/>
          <w:sz w:val="19"/>
          <w:szCs w:val="19"/>
          <w:lang w:eastAsia="en-GB"/>
        </w:rPr>
        <w:tab/>
        <w:t>Systematic Country Diagnostic</w:t>
      </w:r>
    </w:p>
    <w:p w14:paraId="427BFE95" w14:textId="77777777" w:rsidR="00B2678C" w:rsidRPr="003120A6" w:rsidRDefault="00B2678C" w:rsidP="00D77307">
      <w:pPr>
        <w:spacing w:after="40"/>
        <w:ind w:left="900" w:right="0" w:hanging="900"/>
        <w:jc w:val="left"/>
        <w:rPr>
          <w:rFonts w:eastAsiaTheme="minorEastAsia"/>
          <w:sz w:val="19"/>
          <w:szCs w:val="19"/>
          <w:lang w:eastAsia="en-GB"/>
        </w:rPr>
      </w:pPr>
      <w:r>
        <w:rPr>
          <w:rFonts w:eastAsiaTheme="minorEastAsia"/>
          <w:sz w:val="19"/>
          <w:szCs w:val="19"/>
          <w:lang w:eastAsia="en-GB"/>
        </w:rPr>
        <w:t>SIDA</w:t>
      </w:r>
      <w:r w:rsidRPr="003120A6">
        <w:rPr>
          <w:rFonts w:eastAsiaTheme="minorEastAsia"/>
          <w:sz w:val="19"/>
          <w:szCs w:val="19"/>
          <w:lang w:eastAsia="en-GB"/>
        </w:rPr>
        <w:tab/>
        <w:t>Swedish Intern</w:t>
      </w:r>
      <w:r>
        <w:rPr>
          <w:rFonts w:eastAsiaTheme="minorEastAsia"/>
          <w:sz w:val="19"/>
          <w:szCs w:val="19"/>
          <w:lang w:eastAsia="en-GB"/>
        </w:rPr>
        <w:t xml:space="preserve">ational Development </w:t>
      </w:r>
      <w:r w:rsidRPr="003120A6">
        <w:rPr>
          <w:rFonts w:eastAsiaTheme="minorEastAsia"/>
          <w:sz w:val="19"/>
          <w:szCs w:val="19"/>
          <w:lang w:eastAsia="en-GB"/>
        </w:rPr>
        <w:t>Agency</w:t>
      </w:r>
    </w:p>
    <w:p w14:paraId="42A17F5F" w14:textId="77777777" w:rsidR="001164F4"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SME</w:t>
      </w:r>
      <w:r w:rsidRPr="003120A6">
        <w:rPr>
          <w:rFonts w:eastAsiaTheme="minorEastAsia"/>
          <w:sz w:val="19"/>
          <w:szCs w:val="19"/>
          <w:lang w:eastAsia="en-GB"/>
        </w:rPr>
        <w:tab/>
        <w:t>Small and Medium-sized Enterprise</w:t>
      </w:r>
    </w:p>
    <w:p w14:paraId="29E27E29" w14:textId="12CBB409" w:rsidR="00B2678C" w:rsidRPr="003120A6" w:rsidRDefault="001164F4" w:rsidP="00D77307">
      <w:pPr>
        <w:spacing w:after="40"/>
        <w:ind w:left="900" w:right="0" w:hanging="900"/>
        <w:jc w:val="left"/>
        <w:rPr>
          <w:rFonts w:eastAsiaTheme="minorEastAsia"/>
          <w:sz w:val="19"/>
          <w:szCs w:val="19"/>
          <w:lang w:eastAsia="en-GB"/>
        </w:rPr>
      </w:pPr>
      <w:r>
        <w:rPr>
          <w:rFonts w:eastAsiaTheme="minorEastAsia"/>
          <w:sz w:val="19"/>
          <w:szCs w:val="19"/>
          <w:lang w:eastAsia="en-GB"/>
        </w:rPr>
        <w:t>SOE</w:t>
      </w:r>
      <w:r>
        <w:rPr>
          <w:rFonts w:eastAsiaTheme="minorEastAsia"/>
          <w:sz w:val="19"/>
          <w:szCs w:val="19"/>
          <w:lang w:eastAsia="en-GB"/>
        </w:rPr>
        <w:tab/>
        <w:t>State-Owned Enterprise</w:t>
      </w:r>
    </w:p>
    <w:p w14:paraId="710EB12D" w14:textId="2BC67DEF"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STAR</w:t>
      </w:r>
      <w:r>
        <w:rPr>
          <w:rFonts w:eastAsiaTheme="minorEastAsia"/>
          <w:sz w:val="19"/>
          <w:szCs w:val="19"/>
          <w:lang w:eastAsia="en-GB"/>
        </w:rPr>
        <w:t>/E</w:t>
      </w:r>
      <w:r w:rsidR="006F7A89">
        <w:rPr>
          <w:rFonts w:eastAsiaTheme="minorEastAsia"/>
          <w:sz w:val="19"/>
          <w:szCs w:val="19"/>
          <w:lang w:eastAsia="en-GB"/>
        </w:rPr>
        <w:t>P</w:t>
      </w:r>
      <w:r>
        <w:rPr>
          <w:rFonts w:eastAsiaTheme="minorEastAsia"/>
          <w:sz w:val="19"/>
          <w:szCs w:val="19"/>
          <w:lang w:eastAsia="en-GB"/>
        </w:rPr>
        <w:tab/>
        <w:t xml:space="preserve">Strengthening Auditing &amp; </w:t>
      </w:r>
      <w:r w:rsidRPr="003120A6">
        <w:rPr>
          <w:rFonts w:eastAsiaTheme="minorEastAsia"/>
          <w:sz w:val="19"/>
          <w:szCs w:val="19"/>
          <w:lang w:eastAsia="en-GB"/>
        </w:rPr>
        <w:t>Reporting in Countries of the Eastern Partnership</w:t>
      </w:r>
    </w:p>
    <w:p w14:paraId="5BAFF3B9"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TA</w:t>
      </w:r>
      <w:r w:rsidRPr="003120A6">
        <w:rPr>
          <w:rFonts w:eastAsiaTheme="minorEastAsia"/>
          <w:sz w:val="19"/>
          <w:szCs w:val="19"/>
          <w:lang w:eastAsia="en-GB"/>
        </w:rPr>
        <w:tab/>
        <w:t>Technical Assistance</w:t>
      </w:r>
    </w:p>
    <w:p w14:paraId="0825DB19"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TF</w:t>
      </w:r>
      <w:r w:rsidRPr="003120A6">
        <w:rPr>
          <w:rFonts w:eastAsiaTheme="minorEastAsia"/>
          <w:sz w:val="19"/>
          <w:szCs w:val="19"/>
          <w:lang w:eastAsia="en-GB"/>
        </w:rPr>
        <w:tab/>
        <w:t>Trust Fund</w:t>
      </w:r>
    </w:p>
    <w:p w14:paraId="2F530E39"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UNICEF</w:t>
      </w:r>
      <w:r w:rsidRPr="003120A6">
        <w:rPr>
          <w:rFonts w:eastAsiaTheme="minorEastAsia"/>
          <w:sz w:val="19"/>
          <w:szCs w:val="19"/>
          <w:lang w:eastAsia="en-GB"/>
        </w:rPr>
        <w:tab/>
        <w:t>United Nations Children’s Fund</w:t>
      </w:r>
    </w:p>
    <w:p w14:paraId="205566C4" w14:textId="77777777" w:rsidR="00B2678C" w:rsidRPr="003120A6" w:rsidRDefault="00B2678C" w:rsidP="00D77307">
      <w:pPr>
        <w:spacing w:after="40"/>
        <w:ind w:left="900" w:right="0" w:hanging="900"/>
        <w:jc w:val="left"/>
        <w:rPr>
          <w:rFonts w:eastAsiaTheme="minorEastAsia"/>
          <w:sz w:val="19"/>
          <w:szCs w:val="19"/>
          <w:lang w:eastAsia="en-GB"/>
        </w:rPr>
      </w:pPr>
      <w:r w:rsidRPr="003120A6">
        <w:rPr>
          <w:rFonts w:eastAsiaTheme="minorEastAsia"/>
          <w:sz w:val="19"/>
          <w:szCs w:val="19"/>
          <w:lang w:eastAsia="en-GB"/>
        </w:rPr>
        <w:t>USAID</w:t>
      </w:r>
      <w:r w:rsidRPr="003120A6">
        <w:rPr>
          <w:rFonts w:eastAsiaTheme="minorEastAsia"/>
          <w:sz w:val="19"/>
          <w:szCs w:val="19"/>
          <w:lang w:eastAsia="en-GB"/>
        </w:rPr>
        <w:tab/>
        <w:t>United States Agency for International Development</w:t>
      </w:r>
    </w:p>
    <w:p w14:paraId="075440AD" w14:textId="77777777" w:rsidR="00395E94" w:rsidRDefault="00B2678C" w:rsidP="00B2678C">
      <w:pPr>
        <w:spacing w:after="40"/>
        <w:ind w:left="900" w:right="0" w:hanging="900"/>
        <w:jc w:val="left"/>
        <w:rPr>
          <w:rFonts w:eastAsiaTheme="minorEastAsia"/>
          <w:sz w:val="19"/>
          <w:szCs w:val="19"/>
          <w:lang w:eastAsia="en-GB"/>
        </w:rPr>
        <w:sectPr w:rsidR="00395E94" w:rsidSect="00234B27">
          <w:type w:val="continuous"/>
          <w:pgSz w:w="12240" w:h="15840" w:code="1"/>
          <w:pgMar w:top="1440" w:right="1440" w:bottom="1440" w:left="1440" w:header="720" w:footer="720" w:gutter="0"/>
          <w:pgNumType w:fmt="lowerRoman"/>
          <w:cols w:num="2" w:space="720"/>
          <w:titlePg/>
          <w:docGrid w:linePitch="360"/>
        </w:sectPr>
      </w:pPr>
      <w:r>
        <w:rPr>
          <w:rFonts w:eastAsiaTheme="minorEastAsia"/>
          <w:sz w:val="19"/>
          <w:szCs w:val="19"/>
          <w:lang w:eastAsia="en-GB"/>
        </w:rPr>
        <w:t>USD</w:t>
      </w:r>
      <w:r>
        <w:rPr>
          <w:rFonts w:eastAsiaTheme="minorEastAsia"/>
          <w:sz w:val="19"/>
          <w:szCs w:val="19"/>
          <w:lang w:eastAsia="en-GB"/>
        </w:rPr>
        <w:tab/>
        <w:t>United States Dollar</w:t>
      </w:r>
    </w:p>
    <w:p w14:paraId="16F76D88" w14:textId="77777777" w:rsidR="00395E94" w:rsidRDefault="00395E94" w:rsidP="00B2678C">
      <w:pPr>
        <w:spacing w:after="40"/>
        <w:ind w:left="900" w:right="0" w:hanging="900"/>
        <w:jc w:val="left"/>
        <w:rPr>
          <w:rFonts w:eastAsiaTheme="minorEastAsia"/>
          <w:sz w:val="19"/>
          <w:szCs w:val="19"/>
          <w:lang w:eastAsia="en-GB"/>
        </w:rPr>
        <w:sectPr w:rsidR="00395E94" w:rsidSect="00234B27">
          <w:type w:val="continuous"/>
          <w:pgSz w:w="12240" w:h="15840" w:code="1"/>
          <w:pgMar w:top="1440" w:right="1440" w:bottom="1440" w:left="1440" w:header="720" w:footer="720" w:gutter="0"/>
          <w:pgNumType w:fmt="lowerRoman"/>
          <w:cols w:num="2" w:space="720"/>
          <w:titlePg/>
          <w:docGrid w:linePitch="360"/>
        </w:sectPr>
      </w:pPr>
    </w:p>
    <w:tbl>
      <w:tblPr>
        <w:tblStyle w:val="TableGrid"/>
        <w:tblW w:w="10181" w:type="dxa"/>
        <w:tblInd w:w="-365" w:type="dxa"/>
        <w:tblCellMar>
          <w:top w:w="17" w:type="dxa"/>
          <w:left w:w="108" w:type="dxa"/>
          <w:right w:w="85" w:type="dxa"/>
        </w:tblCellMar>
        <w:tblLook w:val="04A0" w:firstRow="1" w:lastRow="0" w:firstColumn="1" w:lastColumn="0" w:noHBand="0" w:noVBand="1"/>
      </w:tblPr>
      <w:tblGrid>
        <w:gridCol w:w="2250"/>
        <w:gridCol w:w="2723"/>
        <w:gridCol w:w="2665"/>
        <w:gridCol w:w="2543"/>
      </w:tblGrid>
      <w:tr w:rsidR="00395E94" w:rsidRPr="00BA050E" w14:paraId="101E4E87" w14:textId="77777777" w:rsidTr="00234B27">
        <w:trPr>
          <w:trHeight w:val="319"/>
        </w:trPr>
        <w:tc>
          <w:tcPr>
            <w:tcW w:w="2250" w:type="dxa"/>
            <w:tcBorders>
              <w:top w:val="single" w:sz="8" w:space="0" w:color="000000"/>
              <w:left w:val="single" w:sz="8" w:space="0" w:color="000000"/>
              <w:bottom w:val="single" w:sz="8" w:space="0" w:color="000000"/>
              <w:right w:val="single" w:sz="8" w:space="0" w:color="000000"/>
            </w:tcBorders>
          </w:tcPr>
          <w:p w14:paraId="2D31A8A3" w14:textId="77777777" w:rsidR="00395E94" w:rsidRPr="00BA050E" w:rsidRDefault="00395E94" w:rsidP="00234B27">
            <w:pPr>
              <w:spacing w:after="0" w:line="259" w:lineRule="auto"/>
              <w:ind w:left="0" w:right="0" w:firstLine="0"/>
              <w:jc w:val="left"/>
            </w:pPr>
          </w:p>
        </w:tc>
        <w:tc>
          <w:tcPr>
            <w:tcW w:w="2723" w:type="dxa"/>
            <w:tcBorders>
              <w:top w:val="single" w:sz="8" w:space="0" w:color="000000"/>
              <w:left w:val="single" w:sz="8" w:space="0" w:color="000000"/>
              <w:bottom w:val="single" w:sz="8" w:space="0" w:color="000000"/>
              <w:right w:val="single" w:sz="8" w:space="0" w:color="000000"/>
            </w:tcBorders>
          </w:tcPr>
          <w:p w14:paraId="651F51D3" w14:textId="77777777" w:rsidR="00395E94" w:rsidRPr="00BA050E" w:rsidRDefault="00395E94" w:rsidP="00234B27">
            <w:pPr>
              <w:spacing w:after="0" w:line="259" w:lineRule="auto"/>
              <w:ind w:left="0" w:right="0" w:firstLine="0"/>
              <w:jc w:val="left"/>
            </w:pPr>
            <w:r w:rsidRPr="00BA050E">
              <w:rPr>
                <w:b/>
                <w:sz w:val="23"/>
              </w:rPr>
              <w:t>IBRD</w:t>
            </w:r>
          </w:p>
        </w:tc>
        <w:tc>
          <w:tcPr>
            <w:tcW w:w="2665" w:type="dxa"/>
            <w:tcBorders>
              <w:top w:val="single" w:sz="8" w:space="0" w:color="000000"/>
              <w:left w:val="single" w:sz="8" w:space="0" w:color="000000"/>
              <w:bottom w:val="single" w:sz="8" w:space="0" w:color="000000"/>
              <w:right w:val="single" w:sz="8" w:space="0" w:color="000000"/>
            </w:tcBorders>
          </w:tcPr>
          <w:p w14:paraId="7D92F8F8" w14:textId="77777777" w:rsidR="00395E94" w:rsidRPr="00BA050E" w:rsidRDefault="00395E94" w:rsidP="00234B27">
            <w:pPr>
              <w:spacing w:after="0" w:line="259" w:lineRule="auto"/>
              <w:ind w:left="0" w:right="23" w:firstLine="0"/>
              <w:jc w:val="center"/>
            </w:pPr>
            <w:r w:rsidRPr="00BA050E">
              <w:rPr>
                <w:b/>
                <w:sz w:val="23"/>
              </w:rPr>
              <w:t>IFC</w:t>
            </w:r>
          </w:p>
        </w:tc>
        <w:tc>
          <w:tcPr>
            <w:tcW w:w="2543" w:type="dxa"/>
            <w:tcBorders>
              <w:top w:val="single" w:sz="8" w:space="0" w:color="000000"/>
              <w:left w:val="single" w:sz="8" w:space="0" w:color="000000"/>
              <w:bottom w:val="single" w:sz="8" w:space="0" w:color="000000"/>
              <w:right w:val="single" w:sz="8" w:space="0" w:color="000000"/>
            </w:tcBorders>
          </w:tcPr>
          <w:p w14:paraId="0A6642D3" w14:textId="77777777" w:rsidR="00395E94" w:rsidRPr="00BA050E" w:rsidRDefault="00395E94" w:rsidP="00234B27">
            <w:pPr>
              <w:spacing w:after="0" w:line="259" w:lineRule="auto"/>
              <w:ind w:left="0" w:right="24" w:firstLine="0"/>
              <w:jc w:val="center"/>
            </w:pPr>
            <w:r w:rsidRPr="00BA050E">
              <w:rPr>
                <w:b/>
                <w:sz w:val="23"/>
              </w:rPr>
              <w:t>MIGA</w:t>
            </w:r>
          </w:p>
        </w:tc>
      </w:tr>
      <w:tr w:rsidR="00395E94" w:rsidRPr="00BA050E" w14:paraId="74945E49" w14:textId="77777777" w:rsidTr="00234B27">
        <w:trPr>
          <w:trHeight w:val="1078"/>
        </w:trPr>
        <w:tc>
          <w:tcPr>
            <w:tcW w:w="2250" w:type="dxa"/>
            <w:tcBorders>
              <w:top w:val="single" w:sz="8" w:space="0" w:color="000000"/>
              <w:left w:val="single" w:sz="8" w:space="0" w:color="000000"/>
              <w:bottom w:val="single" w:sz="8" w:space="0" w:color="000000"/>
              <w:right w:val="single" w:sz="8" w:space="0" w:color="000000"/>
            </w:tcBorders>
          </w:tcPr>
          <w:p w14:paraId="75B75B85" w14:textId="77777777" w:rsidR="00395E94" w:rsidRPr="00BA050E" w:rsidRDefault="00395E94" w:rsidP="00234B27">
            <w:pPr>
              <w:spacing w:after="0" w:line="240" w:lineRule="auto"/>
              <w:ind w:left="0" w:right="0" w:firstLine="0"/>
              <w:jc w:val="left"/>
            </w:pPr>
            <w:r w:rsidRPr="00BA050E">
              <w:rPr>
                <w:b/>
                <w:sz w:val="23"/>
              </w:rPr>
              <w:t xml:space="preserve">Vice President: </w:t>
            </w:r>
            <w:r w:rsidRPr="00BA050E">
              <w:rPr>
                <w:sz w:val="23"/>
              </w:rPr>
              <w:t xml:space="preserve"> </w:t>
            </w:r>
          </w:p>
          <w:p w14:paraId="163EEC4A" w14:textId="77777777" w:rsidR="00395E94" w:rsidRPr="00BA050E" w:rsidRDefault="00395E94" w:rsidP="00234B27">
            <w:pPr>
              <w:spacing w:after="0" w:line="240" w:lineRule="auto"/>
              <w:ind w:left="0" w:right="0" w:firstLine="0"/>
              <w:jc w:val="left"/>
              <w:rPr>
                <w:b/>
                <w:sz w:val="23"/>
              </w:rPr>
            </w:pPr>
            <w:r w:rsidRPr="00BA050E">
              <w:rPr>
                <w:b/>
                <w:sz w:val="23"/>
              </w:rPr>
              <w:t xml:space="preserve">Country Director: </w:t>
            </w:r>
          </w:p>
          <w:p w14:paraId="06FB86D0" w14:textId="77777777" w:rsidR="00395E94" w:rsidRPr="00BA050E" w:rsidRDefault="00395E94" w:rsidP="00234B27">
            <w:pPr>
              <w:spacing w:after="0" w:line="240" w:lineRule="auto"/>
              <w:ind w:left="0" w:right="0" w:firstLine="0"/>
              <w:jc w:val="left"/>
            </w:pPr>
            <w:r w:rsidRPr="00BA050E">
              <w:rPr>
                <w:b/>
                <w:sz w:val="23"/>
              </w:rPr>
              <w:t>Country Manager:</w:t>
            </w:r>
            <w:r w:rsidRPr="00BA050E">
              <w:rPr>
                <w:sz w:val="23"/>
              </w:rPr>
              <w:t xml:space="preserve"> </w:t>
            </w:r>
          </w:p>
          <w:p w14:paraId="7A6F8851" w14:textId="77777777" w:rsidR="00395E94" w:rsidRPr="00BA050E" w:rsidRDefault="00395E94" w:rsidP="00234B27">
            <w:pPr>
              <w:spacing w:after="0" w:line="240" w:lineRule="auto"/>
              <w:ind w:left="0" w:right="0" w:firstLine="0"/>
            </w:pPr>
            <w:r w:rsidRPr="00BA050E">
              <w:rPr>
                <w:b/>
                <w:sz w:val="23"/>
              </w:rPr>
              <w:t xml:space="preserve">Task Team Leader: </w:t>
            </w:r>
            <w:r w:rsidRPr="00BA050E">
              <w:rPr>
                <w:sz w:val="23"/>
              </w:rPr>
              <w:t xml:space="preserve"> </w:t>
            </w:r>
          </w:p>
        </w:tc>
        <w:tc>
          <w:tcPr>
            <w:tcW w:w="2723" w:type="dxa"/>
            <w:tcBorders>
              <w:top w:val="single" w:sz="8" w:space="0" w:color="000000"/>
              <w:left w:val="single" w:sz="8" w:space="0" w:color="000000"/>
              <w:bottom w:val="single" w:sz="8" w:space="0" w:color="000000"/>
              <w:right w:val="single" w:sz="8" w:space="0" w:color="000000"/>
            </w:tcBorders>
          </w:tcPr>
          <w:p w14:paraId="23CD7274" w14:textId="77777777" w:rsidR="00395E94" w:rsidRPr="00BA050E" w:rsidRDefault="00395E94" w:rsidP="00234B27">
            <w:pPr>
              <w:spacing w:after="0" w:line="240" w:lineRule="auto"/>
              <w:ind w:left="0" w:right="0" w:firstLine="0"/>
              <w:jc w:val="left"/>
            </w:pPr>
            <w:r w:rsidRPr="00BA050E">
              <w:rPr>
                <w:sz w:val="23"/>
              </w:rPr>
              <w:t xml:space="preserve">Cyril E. Muller  </w:t>
            </w:r>
          </w:p>
          <w:p w14:paraId="1BAC9CB1" w14:textId="5FC9E298" w:rsidR="00395E94" w:rsidRPr="00BA050E" w:rsidRDefault="00395E94" w:rsidP="00234B27">
            <w:pPr>
              <w:spacing w:after="0" w:line="240" w:lineRule="auto"/>
              <w:ind w:left="0" w:right="0" w:firstLine="0"/>
              <w:jc w:val="left"/>
            </w:pPr>
            <w:r w:rsidRPr="00BA050E">
              <w:rPr>
                <w:sz w:val="23"/>
              </w:rPr>
              <w:t xml:space="preserve">Satu </w:t>
            </w:r>
            <w:proofErr w:type="spellStart"/>
            <w:r w:rsidRPr="00BA050E">
              <w:rPr>
                <w:sz w:val="23"/>
              </w:rPr>
              <w:t>Kahk</w:t>
            </w:r>
            <w:r w:rsidR="006F7A89">
              <w:rPr>
                <w:sz w:val="23"/>
              </w:rPr>
              <w:t>ö</w:t>
            </w:r>
            <w:r w:rsidRPr="00BA050E">
              <w:rPr>
                <w:sz w:val="23"/>
              </w:rPr>
              <w:t>nen</w:t>
            </w:r>
            <w:proofErr w:type="spellEnd"/>
          </w:p>
          <w:p w14:paraId="4803EFE4" w14:textId="77777777" w:rsidR="00395E94" w:rsidRPr="00BA050E" w:rsidRDefault="00395E94" w:rsidP="00234B27">
            <w:pPr>
              <w:spacing w:after="0" w:line="240" w:lineRule="auto"/>
              <w:ind w:left="0" w:right="0" w:firstLine="0"/>
              <w:jc w:val="left"/>
              <w:rPr>
                <w:sz w:val="23"/>
              </w:rPr>
            </w:pPr>
            <w:r w:rsidRPr="00BA050E">
              <w:rPr>
                <w:sz w:val="23"/>
              </w:rPr>
              <w:t>Alexander Kremer</w:t>
            </w:r>
          </w:p>
          <w:p w14:paraId="5A16E381" w14:textId="77777777" w:rsidR="00395E94" w:rsidRPr="00BA050E" w:rsidRDefault="00395E94" w:rsidP="00234B27">
            <w:pPr>
              <w:spacing w:after="0" w:line="240" w:lineRule="auto"/>
              <w:ind w:left="0" w:right="0" w:firstLine="0"/>
              <w:jc w:val="left"/>
            </w:pPr>
            <w:r w:rsidRPr="00BA050E">
              <w:rPr>
                <w:sz w:val="23"/>
              </w:rPr>
              <w:t>Carolina Odobescu</w:t>
            </w:r>
          </w:p>
        </w:tc>
        <w:tc>
          <w:tcPr>
            <w:tcW w:w="2665" w:type="dxa"/>
            <w:tcBorders>
              <w:top w:val="single" w:sz="8" w:space="0" w:color="000000"/>
              <w:left w:val="single" w:sz="8" w:space="0" w:color="000000"/>
              <w:bottom w:val="single" w:sz="8" w:space="0" w:color="000000"/>
              <w:right w:val="single" w:sz="8" w:space="0" w:color="000000"/>
            </w:tcBorders>
          </w:tcPr>
          <w:p w14:paraId="3B22B85C" w14:textId="77777777" w:rsidR="00395E94" w:rsidRPr="00BA050E" w:rsidRDefault="00395E94" w:rsidP="00234B27">
            <w:pPr>
              <w:spacing w:after="0" w:line="240" w:lineRule="auto"/>
              <w:ind w:left="0" w:right="0" w:firstLine="0"/>
              <w:jc w:val="left"/>
            </w:pPr>
            <w:r w:rsidRPr="00BA050E">
              <w:rPr>
                <w:sz w:val="23"/>
              </w:rPr>
              <w:t xml:space="preserve">Dimitris Tsitsiragos </w:t>
            </w:r>
          </w:p>
          <w:p w14:paraId="3E077BDC" w14:textId="77777777" w:rsidR="00395E94" w:rsidRPr="00BA050E" w:rsidRDefault="00395E94" w:rsidP="00234B27">
            <w:pPr>
              <w:spacing w:after="0" w:line="240" w:lineRule="auto"/>
              <w:ind w:left="0" w:right="0" w:firstLine="0"/>
              <w:jc w:val="left"/>
            </w:pPr>
            <w:r w:rsidRPr="00BA050E">
              <w:rPr>
                <w:sz w:val="23"/>
              </w:rPr>
              <w:t xml:space="preserve">Tomasz Telma </w:t>
            </w:r>
          </w:p>
          <w:p w14:paraId="402789FA" w14:textId="77777777" w:rsidR="00395E94" w:rsidRPr="00BA050E" w:rsidRDefault="00395E94" w:rsidP="00234B27">
            <w:pPr>
              <w:spacing w:after="0" w:line="240" w:lineRule="auto"/>
              <w:ind w:left="0" w:right="0" w:firstLine="0"/>
              <w:jc w:val="left"/>
              <w:rPr>
                <w:sz w:val="23"/>
              </w:rPr>
            </w:pPr>
            <w:r w:rsidRPr="00BA050E">
              <w:rPr>
                <w:sz w:val="23"/>
              </w:rPr>
              <w:t>Thomas Lubeck</w:t>
            </w:r>
          </w:p>
          <w:p w14:paraId="47E51A9B" w14:textId="77777777" w:rsidR="00395E94" w:rsidRPr="00BA050E" w:rsidRDefault="00395E94" w:rsidP="00234B27">
            <w:pPr>
              <w:spacing w:after="0" w:line="240" w:lineRule="auto"/>
              <w:ind w:left="0" w:right="0" w:firstLine="0"/>
              <w:jc w:val="left"/>
            </w:pPr>
            <w:r w:rsidRPr="00BA050E">
              <w:rPr>
                <w:sz w:val="23"/>
              </w:rPr>
              <w:t>Aimilios Chatzinikolaou</w:t>
            </w:r>
          </w:p>
        </w:tc>
        <w:tc>
          <w:tcPr>
            <w:tcW w:w="2543" w:type="dxa"/>
            <w:tcBorders>
              <w:top w:val="single" w:sz="8" w:space="0" w:color="000000"/>
              <w:left w:val="single" w:sz="8" w:space="0" w:color="000000"/>
              <w:bottom w:val="single" w:sz="8" w:space="0" w:color="000000"/>
              <w:right w:val="single" w:sz="8" w:space="0" w:color="000000"/>
            </w:tcBorders>
          </w:tcPr>
          <w:p w14:paraId="3B3A7D88" w14:textId="77777777" w:rsidR="00395E94" w:rsidRPr="00BA050E" w:rsidRDefault="00395E94" w:rsidP="00234B27">
            <w:pPr>
              <w:spacing w:after="0" w:line="240" w:lineRule="auto"/>
              <w:ind w:left="0" w:right="0" w:firstLine="0"/>
              <w:jc w:val="left"/>
            </w:pPr>
            <w:r w:rsidRPr="00BA050E">
              <w:rPr>
                <w:sz w:val="23"/>
              </w:rPr>
              <w:t xml:space="preserve">Keiko Honda (EVP) </w:t>
            </w:r>
          </w:p>
          <w:p w14:paraId="4DEEA059" w14:textId="77777777" w:rsidR="00395E94" w:rsidRPr="00BA050E" w:rsidRDefault="00395E94" w:rsidP="00234B27">
            <w:pPr>
              <w:spacing w:after="0" w:line="240" w:lineRule="auto"/>
              <w:ind w:left="0" w:right="0" w:firstLine="0"/>
              <w:jc w:val="left"/>
            </w:pPr>
            <w:r w:rsidRPr="00BA050E">
              <w:rPr>
                <w:sz w:val="23"/>
              </w:rPr>
              <w:t>Merli Baroudi</w:t>
            </w:r>
          </w:p>
          <w:p w14:paraId="568A5D48" w14:textId="77777777" w:rsidR="00395E94" w:rsidRPr="00BA050E" w:rsidRDefault="00395E94" w:rsidP="00234B27">
            <w:pPr>
              <w:spacing w:after="0" w:line="240" w:lineRule="auto"/>
              <w:ind w:left="0" w:right="0" w:firstLine="0"/>
              <w:jc w:val="left"/>
              <w:rPr>
                <w:sz w:val="23"/>
              </w:rPr>
            </w:pPr>
          </w:p>
          <w:p w14:paraId="15298307" w14:textId="77777777" w:rsidR="00395E94" w:rsidRPr="00BA050E" w:rsidRDefault="00395E94" w:rsidP="00234B27">
            <w:pPr>
              <w:spacing w:after="0" w:line="240" w:lineRule="auto"/>
              <w:ind w:left="0" w:right="0" w:firstLine="0"/>
              <w:jc w:val="left"/>
            </w:pPr>
            <w:r w:rsidRPr="00BA050E">
              <w:rPr>
                <w:sz w:val="23"/>
              </w:rPr>
              <w:t>Paul Antony Barbour</w:t>
            </w:r>
          </w:p>
        </w:tc>
      </w:tr>
    </w:tbl>
    <w:p w14:paraId="7AF1FFF1" w14:textId="77777777" w:rsidR="00395E94" w:rsidRDefault="00395E94" w:rsidP="00D77307">
      <w:pPr>
        <w:spacing w:after="40"/>
        <w:ind w:left="900" w:right="0" w:hanging="900"/>
        <w:jc w:val="left"/>
        <w:rPr>
          <w:rFonts w:eastAsiaTheme="minorEastAsia"/>
          <w:sz w:val="19"/>
          <w:szCs w:val="19"/>
          <w:lang w:eastAsia="en-GB"/>
        </w:rPr>
      </w:pPr>
    </w:p>
    <w:p w14:paraId="30F4B045" w14:textId="77777777" w:rsidR="00395E94" w:rsidRDefault="00395E94" w:rsidP="00D77307">
      <w:pPr>
        <w:spacing w:after="40"/>
        <w:ind w:left="900" w:right="0" w:hanging="900"/>
        <w:jc w:val="left"/>
        <w:rPr>
          <w:rFonts w:eastAsiaTheme="minorEastAsia"/>
          <w:sz w:val="19"/>
          <w:szCs w:val="19"/>
          <w:lang w:eastAsia="en-GB"/>
        </w:rPr>
      </w:pPr>
    </w:p>
    <w:p w14:paraId="361B1A50" w14:textId="77777777" w:rsidR="00395E94" w:rsidRDefault="00395E94" w:rsidP="00D77307">
      <w:pPr>
        <w:spacing w:after="40"/>
        <w:ind w:left="900" w:right="0" w:hanging="900"/>
        <w:jc w:val="left"/>
        <w:rPr>
          <w:rFonts w:eastAsiaTheme="minorEastAsia"/>
          <w:sz w:val="19"/>
          <w:szCs w:val="19"/>
          <w:lang w:eastAsia="en-GB"/>
        </w:rPr>
      </w:pPr>
    </w:p>
    <w:p w14:paraId="48CD4155" w14:textId="77777777" w:rsidR="00395E94" w:rsidRDefault="00395E94" w:rsidP="00D77307">
      <w:pPr>
        <w:spacing w:after="40"/>
        <w:ind w:left="0" w:right="0" w:firstLine="0"/>
        <w:jc w:val="left"/>
        <w:rPr>
          <w:rFonts w:eastAsiaTheme="minorEastAsia"/>
          <w:sz w:val="19"/>
          <w:szCs w:val="19"/>
          <w:lang w:eastAsia="en-GB"/>
        </w:rPr>
        <w:sectPr w:rsidR="00395E94" w:rsidSect="00D77307">
          <w:type w:val="continuous"/>
          <w:pgSz w:w="12240" w:h="15840" w:code="1"/>
          <w:pgMar w:top="1440" w:right="1440" w:bottom="1440" w:left="1440" w:header="720" w:footer="720" w:gutter="0"/>
          <w:pgNumType w:fmt="lowerRoman"/>
          <w:cols w:space="720"/>
          <w:titlePg/>
          <w:docGrid w:linePitch="360"/>
        </w:sectPr>
      </w:pPr>
    </w:p>
    <w:p w14:paraId="055044A8" w14:textId="77777777" w:rsidR="00B2678C" w:rsidRPr="00BA050E" w:rsidRDefault="00B2678C" w:rsidP="00D77307">
      <w:pPr>
        <w:spacing w:after="0" w:line="259" w:lineRule="auto"/>
        <w:ind w:left="0" w:right="0" w:firstLine="0"/>
        <w:rPr>
          <w:b/>
          <w:sz w:val="23"/>
        </w:rPr>
      </w:pPr>
    </w:p>
    <w:p w14:paraId="73668E49" w14:textId="77777777" w:rsidR="00A56A3E" w:rsidRPr="00BA050E" w:rsidRDefault="00A56A3E" w:rsidP="00A56A3E">
      <w:pPr>
        <w:spacing w:after="0" w:line="276" w:lineRule="auto"/>
        <w:ind w:right="0"/>
        <w:jc w:val="center"/>
        <w:rPr>
          <w:rFonts w:eastAsia="SimSun"/>
          <w:szCs w:val="24"/>
        </w:rPr>
      </w:pPr>
      <w:r w:rsidRPr="00BA050E">
        <w:rPr>
          <w:rFonts w:eastAsia="SimSun"/>
          <w:b/>
          <w:szCs w:val="24"/>
        </w:rPr>
        <w:t xml:space="preserve">MOLDOVA: COUNTRY PARTNERSHIP </w:t>
      </w:r>
      <w:r w:rsidR="00915E80" w:rsidRPr="00BA050E">
        <w:rPr>
          <w:rFonts w:eastAsia="SimSun"/>
          <w:b/>
          <w:szCs w:val="24"/>
        </w:rPr>
        <w:t>FRAMEWORK, FY18-21</w:t>
      </w:r>
    </w:p>
    <w:p w14:paraId="406D7BA2" w14:textId="77777777" w:rsidR="00A56A3E" w:rsidRPr="00BA050E" w:rsidRDefault="00A56A3E" w:rsidP="00A56A3E">
      <w:pPr>
        <w:spacing w:after="0" w:line="276" w:lineRule="auto"/>
        <w:ind w:right="0"/>
        <w:jc w:val="center"/>
        <w:rPr>
          <w:rFonts w:eastAsia="SimSun"/>
          <w:szCs w:val="24"/>
        </w:rPr>
      </w:pPr>
    </w:p>
    <w:sdt>
      <w:sdtPr>
        <w:id w:val="736744444"/>
        <w:docPartObj>
          <w:docPartGallery w:val="Table of Contents"/>
        </w:docPartObj>
      </w:sdtPr>
      <w:sdtEndPr/>
      <w:sdtContent>
        <w:p w14:paraId="432CCC18" w14:textId="77777777" w:rsidR="00A56A3E" w:rsidRPr="00BA050E" w:rsidRDefault="00F90973" w:rsidP="00A56A3E">
          <w:pPr>
            <w:spacing w:after="0" w:line="259" w:lineRule="auto"/>
            <w:ind w:left="0" w:right="59" w:firstLine="0"/>
            <w:jc w:val="center"/>
            <w:rPr>
              <w:sz w:val="28"/>
              <w:szCs w:val="28"/>
            </w:rPr>
          </w:pPr>
          <w:r w:rsidRPr="00BA050E">
            <w:rPr>
              <w:b/>
              <w:sz w:val="28"/>
              <w:szCs w:val="28"/>
            </w:rPr>
            <w:t>Table of Contents</w:t>
          </w:r>
        </w:p>
        <w:p w14:paraId="289E912F" w14:textId="77777777" w:rsidR="00A56A3E" w:rsidRPr="00BA050E" w:rsidRDefault="00A56A3E" w:rsidP="00A56A3E">
          <w:pPr>
            <w:spacing w:after="0" w:line="259" w:lineRule="auto"/>
            <w:ind w:left="0" w:right="0" w:firstLine="0"/>
            <w:jc w:val="left"/>
          </w:pPr>
          <w:r w:rsidRPr="00BA050E">
            <w:t xml:space="preserve"> </w:t>
          </w:r>
        </w:p>
        <w:p w14:paraId="66347118" w14:textId="77777777" w:rsidR="00A56A3E" w:rsidRPr="00BA050E" w:rsidRDefault="00A56A3E" w:rsidP="00A56A3E">
          <w:pPr>
            <w:spacing w:after="0" w:line="259" w:lineRule="auto"/>
            <w:ind w:left="0" w:right="0" w:firstLine="0"/>
            <w:jc w:val="left"/>
          </w:pPr>
          <w:r w:rsidRPr="00BA050E">
            <w:t xml:space="preserve"> </w:t>
          </w:r>
        </w:p>
        <w:p w14:paraId="04E38854" w14:textId="5F06CB17" w:rsidR="00A84519" w:rsidRDefault="00CF3258" w:rsidP="00597C69">
          <w:pPr>
            <w:pStyle w:val="TOC1"/>
            <w:numPr>
              <w:ilvl w:val="0"/>
              <w:numId w:val="49"/>
            </w:numPr>
            <w:tabs>
              <w:tab w:val="left" w:pos="660"/>
              <w:tab w:val="right" w:leader="dot" w:pos="9350"/>
            </w:tabs>
            <w:rPr>
              <w:rFonts w:asciiTheme="minorHAnsi" w:eastAsiaTheme="minorEastAsia" w:hAnsiTheme="minorHAnsi" w:cstheme="minorBidi"/>
              <w:b w:val="0"/>
              <w:noProof/>
              <w:color w:val="auto"/>
              <w:sz w:val="22"/>
            </w:rPr>
          </w:pPr>
          <w:r>
            <w:t>INTRODUCTION</w:t>
          </w:r>
          <w:r>
            <w:tab/>
            <w:t>0</w:t>
          </w:r>
          <w:r w:rsidR="00A56A3E" w:rsidRPr="00BA050E">
            <w:fldChar w:fldCharType="begin"/>
          </w:r>
          <w:r w:rsidR="00A56A3E" w:rsidRPr="00BA050E">
            <w:instrText xml:space="preserve"> TOC \o "1-3" \h \z \u </w:instrText>
          </w:r>
          <w:r w:rsidR="00A56A3E" w:rsidRPr="00BA050E">
            <w:fldChar w:fldCharType="separate"/>
          </w:r>
        </w:p>
        <w:p w14:paraId="27F1B37E" w14:textId="77777777" w:rsidR="00A84519" w:rsidRDefault="00095CE4">
          <w:pPr>
            <w:pStyle w:val="TOC1"/>
            <w:tabs>
              <w:tab w:val="left" w:pos="660"/>
              <w:tab w:val="right" w:leader="dot" w:pos="9350"/>
            </w:tabs>
            <w:rPr>
              <w:rFonts w:asciiTheme="minorHAnsi" w:eastAsiaTheme="minorEastAsia" w:hAnsiTheme="minorHAnsi" w:cstheme="minorBidi"/>
              <w:b w:val="0"/>
              <w:noProof/>
              <w:color w:val="auto"/>
              <w:sz w:val="22"/>
            </w:rPr>
          </w:pPr>
          <w:hyperlink w:anchor="_Toc484623047" w:history="1">
            <w:r w:rsidR="00A84519" w:rsidRPr="009E4862">
              <w:rPr>
                <w:rStyle w:val="Hyperlink"/>
                <w:rFonts w:eastAsia="SimSun"/>
                <w:noProof/>
              </w:rPr>
              <w:t>II.</w:t>
            </w:r>
            <w:r w:rsidR="00A84519">
              <w:rPr>
                <w:rFonts w:asciiTheme="minorHAnsi" w:eastAsiaTheme="minorEastAsia" w:hAnsiTheme="minorHAnsi" w:cstheme="minorBidi"/>
                <w:b w:val="0"/>
                <w:noProof/>
                <w:color w:val="auto"/>
                <w:sz w:val="22"/>
              </w:rPr>
              <w:tab/>
            </w:r>
            <w:r w:rsidR="00A84519" w:rsidRPr="009E4862">
              <w:rPr>
                <w:rStyle w:val="Hyperlink"/>
                <w:rFonts w:eastAsia="SimSun"/>
                <w:noProof/>
              </w:rPr>
              <w:t>COUNTRY CONTEXT AND DEVELOPMENT AGENDA</w:t>
            </w:r>
            <w:r w:rsidR="00A84519">
              <w:rPr>
                <w:noProof/>
                <w:webHidden/>
              </w:rPr>
              <w:tab/>
            </w:r>
            <w:r w:rsidR="00A84519">
              <w:rPr>
                <w:noProof/>
                <w:webHidden/>
              </w:rPr>
              <w:fldChar w:fldCharType="begin"/>
            </w:r>
            <w:r w:rsidR="00A84519">
              <w:rPr>
                <w:noProof/>
                <w:webHidden/>
              </w:rPr>
              <w:instrText xml:space="preserve"> PAGEREF _Toc484623047 \h </w:instrText>
            </w:r>
            <w:r w:rsidR="00A84519">
              <w:rPr>
                <w:noProof/>
                <w:webHidden/>
              </w:rPr>
            </w:r>
            <w:r w:rsidR="00A84519">
              <w:rPr>
                <w:noProof/>
                <w:webHidden/>
              </w:rPr>
              <w:fldChar w:fldCharType="separate"/>
            </w:r>
            <w:r w:rsidR="00D327D8">
              <w:rPr>
                <w:noProof/>
                <w:webHidden/>
              </w:rPr>
              <w:t>1</w:t>
            </w:r>
            <w:r w:rsidR="00A84519">
              <w:rPr>
                <w:noProof/>
                <w:webHidden/>
              </w:rPr>
              <w:fldChar w:fldCharType="end"/>
            </w:r>
          </w:hyperlink>
        </w:p>
        <w:p w14:paraId="7E7FAC5B" w14:textId="77777777" w:rsidR="00A84519" w:rsidRDefault="00095CE4">
          <w:pPr>
            <w:pStyle w:val="TOC1"/>
            <w:tabs>
              <w:tab w:val="left" w:pos="660"/>
              <w:tab w:val="right" w:leader="dot" w:pos="9350"/>
            </w:tabs>
            <w:rPr>
              <w:rFonts w:asciiTheme="minorHAnsi" w:eastAsiaTheme="minorEastAsia" w:hAnsiTheme="minorHAnsi" w:cstheme="minorBidi"/>
              <w:b w:val="0"/>
              <w:noProof/>
              <w:color w:val="auto"/>
              <w:sz w:val="22"/>
            </w:rPr>
          </w:pPr>
          <w:hyperlink w:anchor="_Toc484623048" w:history="1">
            <w:r w:rsidR="00A84519" w:rsidRPr="009E4862">
              <w:rPr>
                <w:rStyle w:val="Hyperlink"/>
                <w:rFonts w:eastAsia="SimSun"/>
                <w:noProof/>
              </w:rPr>
              <w:t>III.</w:t>
            </w:r>
            <w:r w:rsidR="00A84519">
              <w:rPr>
                <w:rFonts w:asciiTheme="minorHAnsi" w:eastAsiaTheme="minorEastAsia" w:hAnsiTheme="minorHAnsi" w:cstheme="minorBidi"/>
                <w:b w:val="0"/>
                <w:noProof/>
                <w:color w:val="auto"/>
                <w:sz w:val="22"/>
              </w:rPr>
              <w:tab/>
            </w:r>
            <w:r w:rsidR="00A84519" w:rsidRPr="009E4862">
              <w:rPr>
                <w:rStyle w:val="Hyperlink"/>
                <w:rFonts w:eastAsia="SimSun"/>
                <w:noProof/>
              </w:rPr>
              <w:t>BANK GROUP COUNTRY PARTNERSHIP FRAMEWORK</w:t>
            </w:r>
            <w:r w:rsidR="00A84519">
              <w:rPr>
                <w:noProof/>
                <w:webHidden/>
              </w:rPr>
              <w:tab/>
            </w:r>
            <w:r w:rsidR="00A84519">
              <w:rPr>
                <w:noProof/>
                <w:webHidden/>
              </w:rPr>
              <w:fldChar w:fldCharType="begin"/>
            </w:r>
            <w:r w:rsidR="00A84519">
              <w:rPr>
                <w:noProof/>
                <w:webHidden/>
              </w:rPr>
              <w:instrText xml:space="preserve"> PAGEREF _Toc484623048 \h </w:instrText>
            </w:r>
            <w:r w:rsidR="00A84519">
              <w:rPr>
                <w:noProof/>
                <w:webHidden/>
              </w:rPr>
            </w:r>
            <w:r w:rsidR="00A84519">
              <w:rPr>
                <w:noProof/>
                <w:webHidden/>
              </w:rPr>
              <w:fldChar w:fldCharType="separate"/>
            </w:r>
            <w:r w:rsidR="00D327D8">
              <w:rPr>
                <w:noProof/>
                <w:webHidden/>
              </w:rPr>
              <w:t>4</w:t>
            </w:r>
            <w:r w:rsidR="00A84519">
              <w:rPr>
                <w:noProof/>
                <w:webHidden/>
              </w:rPr>
              <w:fldChar w:fldCharType="end"/>
            </w:r>
          </w:hyperlink>
        </w:p>
        <w:p w14:paraId="0304191F" w14:textId="77777777" w:rsidR="00A84519" w:rsidRDefault="00095CE4">
          <w:pPr>
            <w:pStyle w:val="TOC1"/>
            <w:tabs>
              <w:tab w:val="left" w:pos="660"/>
              <w:tab w:val="right" w:leader="dot" w:pos="9350"/>
            </w:tabs>
            <w:rPr>
              <w:rFonts w:asciiTheme="minorHAnsi" w:eastAsiaTheme="minorEastAsia" w:hAnsiTheme="minorHAnsi" w:cstheme="minorBidi"/>
              <w:b w:val="0"/>
              <w:noProof/>
              <w:color w:val="auto"/>
              <w:sz w:val="22"/>
            </w:rPr>
          </w:pPr>
          <w:hyperlink w:anchor="_Toc484623049" w:history="1">
            <w:r w:rsidR="00A84519" w:rsidRPr="009E4862">
              <w:rPr>
                <w:rStyle w:val="Hyperlink"/>
                <w:rFonts w:eastAsia="SimSun"/>
                <w:noProof/>
              </w:rPr>
              <w:t>IV.</w:t>
            </w:r>
            <w:r w:rsidR="00A84519">
              <w:rPr>
                <w:rFonts w:asciiTheme="minorHAnsi" w:eastAsiaTheme="minorEastAsia" w:hAnsiTheme="minorHAnsi" w:cstheme="minorBidi"/>
                <w:b w:val="0"/>
                <w:noProof/>
                <w:color w:val="auto"/>
                <w:sz w:val="22"/>
              </w:rPr>
              <w:tab/>
            </w:r>
            <w:r w:rsidR="00A84519" w:rsidRPr="009E4862">
              <w:rPr>
                <w:rStyle w:val="Hyperlink"/>
                <w:rFonts w:eastAsia="SimSun"/>
                <w:noProof/>
              </w:rPr>
              <w:t>RISKS</w:t>
            </w:r>
            <w:r w:rsidR="00A84519">
              <w:rPr>
                <w:noProof/>
                <w:webHidden/>
              </w:rPr>
              <w:tab/>
            </w:r>
            <w:r w:rsidR="00A84519">
              <w:rPr>
                <w:noProof/>
                <w:webHidden/>
              </w:rPr>
              <w:fldChar w:fldCharType="begin"/>
            </w:r>
            <w:r w:rsidR="00A84519">
              <w:rPr>
                <w:noProof/>
                <w:webHidden/>
              </w:rPr>
              <w:instrText xml:space="preserve"> PAGEREF _Toc484623049 \h </w:instrText>
            </w:r>
            <w:r w:rsidR="00A84519">
              <w:rPr>
                <w:noProof/>
                <w:webHidden/>
              </w:rPr>
            </w:r>
            <w:r w:rsidR="00A84519">
              <w:rPr>
                <w:noProof/>
                <w:webHidden/>
              </w:rPr>
              <w:fldChar w:fldCharType="separate"/>
            </w:r>
            <w:r w:rsidR="00D327D8">
              <w:rPr>
                <w:noProof/>
                <w:webHidden/>
              </w:rPr>
              <w:t>9</w:t>
            </w:r>
            <w:r w:rsidR="00A84519">
              <w:rPr>
                <w:noProof/>
                <w:webHidden/>
              </w:rPr>
              <w:fldChar w:fldCharType="end"/>
            </w:r>
          </w:hyperlink>
        </w:p>
        <w:p w14:paraId="4F4469B1"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0" w:history="1">
            <w:r w:rsidR="00A84519" w:rsidRPr="009E4862">
              <w:rPr>
                <w:rStyle w:val="Hyperlink"/>
                <w:rFonts w:eastAsia="Calibri"/>
                <w:noProof/>
              </w:rPr>
              <w:t>Annex 1. FY18-21 CPF Results Framework</w:t>
            </w:r>
            <w:r w:rsidR="00A84519">
              <w:rPr>
                <w:noProof/>
                <w:webHidden/>
              </w:rPr>
              <w:tab/>
            </w:r>
            <w:r w:rsidR="00A84519">
              <w:rPr>
                <w:noProof/>
                <w:webHidden/>
              </w:rPr>
              <w:fldChar w:fldCharType="begin"/>
            </w:r>
            <w:r w:rsidR="00A84519">
              <w:rPr>
                <w:noProof/>
                <w:webHidden/>
              </w:rPr>
              <w:instrText xml:space="preserve"> PAGEREF _Toc484623050 \h </w:instrText>
            </w:r>
            <w:r w:rsidR="00A84519">
              <w:rPr>
                <w:noProof/>
                <w:webHidden/>
              </w:rPr>
            </w:r>
            <w:r w:rsidR="00A84519">
              <w:rPr>
                <w:noProof/>
                <w:webHidden/>
              </w:rPr>
              <w:fldChar w:fldCharType="separate"/>
            </w:r>
            <w:r w:rsidR="00D327D8">
              <w:rPr>
                <w:noProof/>
                <w:webHidden/>
              </w:rPr>
              <w:t>10</w:t>
            </w:r>
            <w:r w:rsidR="00A84519">
              <w:rPr>
                <w:noProof/>
                <w:webHidden/>
              </w:rPr>
              <w:fldChar w:fldCharType="end"/>
            </w:r>
          </w:hyperlink>
        </w:p>
        <w:p w14:paraId="0E978452"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1" w:history="1">
            <w:r w:rsidR="00A84519" w:rsidRPr="009E4862">
              <w:rPr>
                <w:rStyle w:val="Hyperlink"/>
                <w:rFonts w:eastAsia="Calibri"/>
                <w:noProof/>
                <w:lang w:bidi="km-KH"/>
              </w:rPr>
              <w:t>Annex 2. Citizen Engagement</w:t>
            </w:r>
            <w:r w:rsidR="00A84519">
              <w:rPr>
                <w:noProof/>
                <w:webHidden/>
              </w:rPr>
              <w:tab/>
            </w:r>
            <w:r w:rsidR="00A84519">
              <w:rPr>
                <w:noProof/>
                <w:webHidden/>
              </w:rPr>
              <w:fldChar w:fldCharType="begin"/>
            </w:r>
            <w:r w:rsidR="00A84519">
              <w:rPr>
                <w:noProof/>
                <w:webHidden/>
              </w:rPr>
              <w:instrText xml:space="preserve"> PAGEREF _Toc484623051 \h </w:instrText>
            </w:r>
            <w:r w:rsidR="00A84519">
              <w:rPr>
                <w:noProof/>
                <w:webHidden/>
              </w:rPr>
            </w:r>
            <w:r w:rsidR="00A84519">
              <w:rPr>
                <w:noProof/>
                <w:webHidden/>
              </w:rPr>
              <w:fldChar w:fldCharType="separate"/>
            </w:r>
            <w:r w:rsidR="00D327D8">
              <w:rPr>
                <w:noProof/>
                <w:webHidden/>
              </w:rPr>
              <w:t>18</w:t>
            </w:r>
            <w:r w:rsidR="00A84519">
              <w:rPr>
                <w:noProof/>
                <w:webHidden/>
              </w:rPr>
              <w:fldChar w:fldCharType="end"/>
            </w:r>
          </w:hyperlink>
        </w:p>
        <w:p w14:paraId="65BC002C"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2" w:history="1">
            <w:r w:rsidR="00A84519" w:rsidRPr="009E4862">
              <w:rPr>
                <w:rStyle w:val="Hyperlink"/>
                <w:noProof/>
              </w:rPr>
              <w:t>Annex 3. Moldova: FY14-17 CPS Completion and Learning Review</w:t>
            </w:r>
            <w:r w:rsidR="00A84519">
              <w:rPr>
                <w:noProof/>
                <w:webHidden/>
              </w:rPr>
              <w:tab/>
            </w:r>
            <w:r w:rsidR="00A84519">
              <w:rPr>
                <w:noProof/>
                <w:webHidden/>
              </w:rPr>
              <w:fldChar w:fldCharType="begin"/>
            </w:r>
            <w:r w:rsidR="00A84519">
              <w:rPr>
                <w:noProof/>
                <w:webHidden/>
              </w:rPr>
              <w:instrText xml:space="preserve"> PAGEREF _Toc484623052 \h </w:instrText>
            </w:r>
            <w:r w:rsidR="00A84519">
              <w:rPr>
                <w:noProof/>
                <w:webHidden/>
              </w:rPr>
            </w:r>
            <w:r w:rsidR="00A84519">
              <w:rPr>
                <w:noProof/>
                <w:webHidden/>
              </w:rPr>
              <w:fldChar w:fldCharType="separate"/>
            </w:r>
            <w:r w:rsidR="00D327D8">
              <w:rPr>
                <w:noProof/>
                <w:webHidden/>
              </w:rPr>
              <w:t>19</w:t>
            </w:r>
            <w:r w:rsidR="00A84519">
              <w:rPr>
                <w:noProof/>
                <w:webHidden/>
              </w:rPr>
              <w:fldChar w:fldCharType="end"/>
            </w:r>
          </w:hyperlink>
        </w:p>
        <w:p w14:paraId="785F95A3"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3" w:history="1">
            <w:r w:rsidR="00A84519" w:rsidRPr="009E4862">
              <w:rPr>
                <w:rStyle w:val="Hyperlink"/>
                <w:noProof/>
              </w:rPr>
              <w:t>Annex 4. Selected Indicators* of Bank Portfolio Performance and Management</w:t>
            </w:r>
            <w:r w:rsidR="00A84519">
              <w:rPr>
                <w:noProof/>
                <w:webHidden/>
              </w:rPr>
              <w:tab/>
            </w:r>
            <w:r w:rsidR="00A84519">
              <w:rPr>
                <w:noProof/>
                <w:webHidden/>
              </w:rPr>
              <w:fldChar w:fldCharType="begin"/>
            </w:r>
            <w:r w:rsidR="00A84519">
              <w:rPr>
                <w:noProof/>
                <w:webHidden/>
              </w:rPr>
              <w:instrText xml:space="preserve"> PAGEREF _Toc484623053 \h </w:instrText>
            </w:r>
            <w:r w:rsidR="00A84519">
              <w:rPr>
                <w:noProof/>
                <w:webHidden/>
              </w:rPr>
            </w:r>
            <w:r w:rsidR="00A84519">
              <w:rPr>
                <w:noProof/>
                <w:webHidden/>
              </w:rPr>
              <w:fldChar w:fldCharType="separate"/>
            </w:r>
            <w:r w:rsidR="00D327D8">
              <w:rPr>
                <w:noProof/>
                <w:webHidden/>
              </w:rPr>
              <w:t>53</w:t>
            </w:r>
            <w:r w:rsidR="00A84519">
              <w:rPr>
                <w:noProof/>
                <w:webHidden/>
              </w:rPr>
              <w:fldChar w:fldCharType="end"/>
            </w:r>
          </w:hyperlink>
        </w:p>
        <w:p w14:paraId="05FC7F83"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4" w:history="1">
            <w:r w:rsidR="00A84519" w:rsidRPr="009E4862">
              <w:rPr>
                <w:rStyle w:val="Hyperlink"/>
                <w:noProof/>
              </w:rPr>
              <w:t>Annex 5. Operations Portfolio (IBRD/IDA and Grants)</w:t>
            </w:r>
            <w:r w:rsidR="00A84519">
              <w:rPr>
                <w:noProof/>
                <w:webHidden/>
              </w:rPr>
              <w:tab/>
            </w:r>
            <w:r w:rsidR="00A84519">
              <w:rPr>
                <w:noProof/>
                <w:webHidden/>
              </w:rPr>
              <w:fldChar w:fldCharType="begin"/>
            </w:r>
            <w:r w:rsidR="00A84519">
              <w:rPr>
                <w:noProof/>
                <w:webHidden/>
              </w:rPr>
              <w:instrText xml:space="preserve"> PAGEREF _Toc484623054 \h </w:instrText>
            </w:r>
            <w:r w:rsidR="00A84519">
              <w:rPr>
                <w:noProof/>
                <w:webHidden/>
              </w:rPr>
            </w:r>
            <w:r w:rsidR="00A84519">
              <w:rPr>
                <w:noProof/>
                <w:webHidden/>
              </w:rPr>
              <w:fldChar w:fldCharType="separate"/>
            </w:r>
            <w:r w:rsidR="00D327D8">
              <w:rPr>
                <w:noProof/>
                <w:webHidden/>
              </w:rPr>
              <w:t>54</w:t>
            </w:r>
            <w:r w:rsidR="00A84519">
              <w:rPr>
                <w:noProof/>
                <w:webHidden/>
              </w:rPr>
              <w:fldChar w:fldCharType="end"/>
            </w:r>
          </w:hyperlink>
        </w:p>
        <w:p w14:paraId="42B46A47" w14:textId="74450340"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5" w:history="1">
            <w:r w:rsidR="00A84519" w:rsidRPr="009E4862">
              <w:rPr>
                <w:rStyle w:val="Hyperlink"/>
                <w:noProof/>
              </w:rPr>
              <w:t>Annex 6. Statement of IFC and MIGA Committed and Outstanding Portfolio</w:t>
            </w:r>
            <w:r w:rsidR="00A84519">
              <w:rPr>
                <w:noProof/>
                <w:webHidden/>
              </w:rPr>
              <w:tab/>
            </w:r>
            <w:r w:rsidR="00A84519">
              <w:rPr>
                <w:noProof/>
                <w:webHidden/>
              </w:rPr>
              <w:fldChar w:fldCharType="begin"/>
            </w:r>
            <w:r w:rsidR="00A84519">
              <w:rPr>
                <w:noProof/>
                <w:webHidden/>
              </w:rPr>
              <w:instrText xml:space="preserve"> PAGEREF _Toc484623055 \h </w:instrText>
            </w:r>
            <w:r w:rsidR="00A84519">
              <w:rPr>
                <w:noProof/>
                <w:webHidden/>
              </w:rPr>
            </w:r>
            <w:r w:rsidR="00A84519">
              <w:rPr>
                <w:noProof/>
                <w:webHidden/>
              </w:rPr>
              <w:fldChar w:fldCharType="separate"/>
            </w:r>
            <w:r w:rsidR="00D327D8">
              <w:rPr>
                <w:noProof/>
                <w:webHidden/>
              </w:rPr>
              <w:t>55</w:t>
            </w:r>
            <w:r w:rsidR="00A84519">
              <w:rPr>
                <w:noProof/>
                <w:webHidden/>
              </w:rPr>
              <w:fldChar w:fldCharType="end"/>
            </w:r>
          </w:hyperlink>
        </w:p>
        <w:p w14:paraId="1E5E0DA5"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6" w:history="1">
            <w:r w:rsidR="00A84519" w:rsidRPr="009E4862">
              <w:rPr>
                <w:rStyle w:val="Hyperlink"/>
                <w:noProof/>
              </w:rPr>
              <w:t>Annex 7. Moldova FY18-19 CPF Indicative Lending and ASA</w:t>
            </w:r>
            <w:r w:rsidR="00A84519">
              <w:rPr>
                <w:noProof/>
                <w:webHidden/>
              </w:rPr>
              <w:tab/>
            </w:r>
            <w:r w:rsidR="00A84519">
              <w:rPr>
                <w:noProof/>
                <w:webHidden/>
              </w:rPr>
              <w:fldChar w:fldCharType="begin"/>
            </w:r>
            <w:r w:rsidR="00A84519">
              <w:rPr>
                <w:noProof/>
                <w:webHidden/>
              </w:rPr>
              <w:instrText xml:space="preserve"> PAGEREF _Toc484623056 \h </w:instrText>
            </w:r>
            <w:r w:rsidR="00A84519">
              <w:rPr>
                <w:noProof/>
                <w:webHidden/>
              </w:rPr>
            </w:r>
            <w:r w:rsidR="00A84519">
              <w:rPr>
                <w:noProof/>
                <w:webHidden/>
              </w:rPr>
              <w:fldChar w:fldCharType="separate"/>
            </w:r>
            <w:r w:rsidR="00D327D8">
              <w:rPr>
                <w:noProof/>
                <w:webHidden/>
              </w:rPr>
              <w:t>56</w:t>
            </w:r>
            <w:r w:rsidR="00A84519">
              <w:rPr>
                <w:noProof/>
                <w:webHidden/>
              </w:rPr>
              <w:fldChar w:fldCharType="end"/>
            </w:r>
          </w:hyperlink>
        </w:p>
        <w:p w14:paraId="193E4358"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7" w:history="1">
            <w:r w:rsidR="00A84519" w:rsidRPr="009E4862">
              <w:rPr>
                <w:rStyle w:val="Hyperlink"/>
                <w:rFonts w:eastAsiaTheme="minorHAnsi"/>
                <w:noProof/>
              </w:rPr>
              <w:t>Annex 8. Coordination among Development Partners</w:t>
            </w:r>
            <w:r w:rsidR="00A84519">
              <w:rPr>
                <w:noProof/>
                <w:webHidden/>
              </w:rPr>
              <w:tab/>
            </w:r>
            <w:r w:rsidR="00A84519">
              <w:rPr>
                <w:noProof/>
                <w:webHidden/>
              </w:rPr>
              <w:fldChar w:fldCharType="begin"/>
            </w:r>
            <w:r w:rsidR="00A84519">
              <w:rPr>
                <w:noProof/>
                <w:webHidden/>
              </w:rPr>
              <w:instrText xml:space="preserve"> PAGEREF _Toc484623057 \h </w:instrText>
            </w:r>
            <w:r w:rsidR="00A84519">
              <w:rPr>
                <w:noProof/>
                <w:webHidden/>
              </w:rPr>
            </w:r>
            <w:r w:rsidR="00A84519">
              <w:rPr>
                <w:noProof/>
                <w:webHidden/>
              </w:rPr>
              <w:fldChar w:fldCharType="separate"/>
            </w:r>
            <w:r w:rsidR="00D327D8">
              <w:rPr>
                <w:noProof/>
                <w:webHidden/>
              </w:rPr>
              <w:t>57</w:t>
            </w:r>
            <w:r w:rsidR="00A84519">
              <w:rPr>
                <w:noProof/>
                <w:webHidden/>
              </w:rPr>
              <w:fldChar w:fldCharType="end"/>
            </w:r>
          </w:hyperlink>
        </w:p>
        <w:p w14:paraId="04AA36A1"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8" w:history="1">
            <w:r w:rsidR="00A84519" w:rsidRPr="009E4862">
              <w:rPr>
                <w:rStyle w:val="Hyperlink"/>
                <w:rFonts w:eastAsiaTheme="minorHAnsi"/>
                <w:noProof/>
              </w:rPr>
              <w:t>Annex 9. Summary of Country Gender Action Plan (CGAP)</w:t>
            </w:r>
            <w:r w:rsidR="00A84519">
              <w:rPr>
                <w:noProof/>
                <w:webHidden/>
              </w:rPr>
              <w:tab/>
            </w:r>
            <w:r w:rsidR="00A84519">
              <w:rPr>
                <w:noProof/>
                <w:webHidden/>
              </w:rPr>
              <w:fldChar w:fldCharType="begin"/>
            </w:r>
            <w:r w:rsidR="00A84519">
              <w:rPr>
                <w:noProof/>
                <w:webHidden/>
              </w:rPr>
              <w:instrText xml:space="preserve"> PAGEREF _Toc484623058 \h </w:instrText>
            </w:r>
            <w:r w:rsidR="00A84519">
              <w:rPr>
                <w:noProof/>
                <w:webHidden/>
              </w:rPr>
            </w:r>
            <w:r w:rsidR="00A84519">
              <w:rPr>
                <w:noProof/>
                <w:webHidden/>
              </w:rPr>
              <w:fldChar w:fldCharType="separate"/>
            </w:r>
            <w:r w:rsidR="00D327D8">
              <w:rPr>
                <w:noProof/>
                <w:webHidden/>
              </w:rPr>
              <w:t>58</w:t>
            </w:r>
            <w:r w:rsidR="00A84519">
              <w:rPr>
                <w:noProof/>
                <w:webHidden/>
              </w:rPr>
              <w:fldChar w:fldCharType="end"/>
            </w:r>
          </w:hyperlink>
        </w:p>
        <w:p w14:paraId="10FE5FAF" w14:textId="77777777" w:rsidR="00A84519" w:rsidRDefault="00095CE4">
          <w:pPr>
            <w:pStyle w:val="TOC1"/>
            <w:tabs>
              <w:tab w:val="right" w:leader="dot" w:pos="9350"/>
            </w:tabs>
            <w:rPr>
              <w:rFonts w:asciiTheme="minorHAnsi" w:eastAsiaTheme="minorEastAsia" w:hAnsiTheme="minorHAnsi" w:cstheme="minorBidi"/>
              <w:b w:val="0"/>
              <w:noProof/>
              <w:color w:val="auto"/>
              <w:sz w:val="22"/>
            </w:rPr>
          </w:pPr>
          <w:hyperlink w:anchor="_Toc484623059" w:history="1">
            <w:r w:rsidR="00A84519" w:rsidRPr="009E4862">
              <w:rPr>
                <w:rStyle w:val="Hyperlink"/>
                <w:rFonts w:eastAsiaTheme="minorHAnsi"/>
                <w:noProof/>
              </w:rPr>
              <w:t>Annex 10. Consultations</w:t>
            </w:r>
            <w:r w:rsidR="00A84519">
              <w:rPr>
                <w:noProof/>
                <w:webHidden/>
              </w:rPr>
              <w:tab/>
            </w:r>
            <w:r w:rsidR="00A84519">
              <w:rPr>
                <w:noProof/>
                <w:webHidden/>
              </w:rPr>
              <w:fldChar w:fldCharType="begin"/>
            </w:r>
            <w:r w:rsidR="00A84519">
              <w:rPr>
                <w:noProof/>
                <w:webHidden/>
              </w:rPr>
              <w:instrText xml:space="preserve"> PAGEREF _Toc484623059 \h </w:instrText>
            </w:r>
            <w:r w:rsidR="00A84519">
              <w:rPr>
                <w:noProof/>
                <w:webHidden/>
              </w:rPr>
            </w:r>
            <w:r w:rsidR="00A84519">
              <w:rPr>
                <w:noProof/>
                <w:webHidden/>
              </w:rPr>
              <w:fldChar w:fldCharType="separate"/>
            </w:r>
            <w:r w:rsidR="00D327D8">
              <w:rPr>
                <w:noProof/>
                <w:webHidden/>
              </w:rPr>
              <w:t>60</w:t>
            </w:r>
            <w:r w:rsidR="00A84519">
              <w:rPr>
                <w:noProof/>
                <w:webHidden/>
              </w:rPr>
              <w:fldChar w:fldCharType="end"/>
            </w:r>
          </w:hyperlink>
        </w:p>
        <w:p w14:paraId="09A981F6" w14:textId="77777777" w:rsidR="00A56A3E" w:rsidRPr="00CA6138" w:rsidRDefault="00A56A3E" w:rsidP="00A67057">
          <w:pPr>
            <w:spacing w:after="0" w:line="276" w:lineRule="auto"/>
            <w:ind w:right="0"/>
            <w:jc w:val="center"/>
          </w:pPr>
          <w:r w:rsidRPr="00BA050E">
            <w:fldChar w:fldCharType="end"/>
          </w:r>
        </w:p>
      </w:sdtContent>
    </w:sdt>
    <w:p w14:paraId="46EB757C" w14:textId="77777777" w:rsidR="00C62A37" w:rsidRDefault="00C62A37" w:rsidP="00C62A37">
      <w:pPr>
        <w:rPr>
          <w:rFonts w:eastAsia="SimSun"/>
        </w:rPr>
      </w:pPr>
    </w:p>
    <w:p w14:paraId="5206FBF3" w14:textId="77777777" w:rsidR="00C62A37" w:rsidRDefault="00C62A37" w:rsidP="00C62A37">
      <w:pPr>
        <w:rPr>
          <w:rFonts w:eastAsia="SimSun"/>
        </w:rPr>
      </w:pPr>
    </w:p>
    <w:p w14:paraId="70FC7450" w14:textId="77777777" w:rsidR="00C62A37" w:rsidRDefault="00C62A37" w:rsidP="00C62A37">
      <w:pPr>
        <w:rPr>
          <w:rFonts w:eastAsia="SimSun"/>
        </w:rPr>
      </w:pPr>
    </w:p>
    <w:p w14:paraId="20071581" w14:textId="77777777" w:rsidR="00C62A37" w:rsidRDefault="00C62A37" w:rsidP="00C62A37">
      <w:pPr>
        <w:rPr>
          <w:rFonts w:eastAsia="SimSun"/>
        </w:rPr>
      </w:pPr>
    </w:p>
    <w:p w14:paraId="4AD0B3D4" w14:textId="77777777" w:rsidR="00C62A37" w:rsidRDefault="00C62A37" w:rsidP="00C62A37">
      <w:pPr>
        <w:rPr>
          <w:rFonts w:eastAsia="SimSun"/>
        </w:rPr>
      </w:pPr>
    </w:p>
    <w:p w14:paraId="438FAE2C" w14:textId="77777777" w:rsidR="00C62A37" w:rsidRDefault="00C62A37" w:rsidP="00C62A37">
      <w:pPr>
        <w:rPr>
          <w:rFonts w:eastAsia="SimSun"/>
        </w:rPr>
      </w:pPr>
    </w:p>
    <w:p w14:paraId="7A19A5DF" w14:textId="77777777" w:rsidR="00C62A37" w:rsidRDefault="00C62A37" w:rsidP="00C62A37">
      <w:pPr>
        <w:rPr>
          <w:rFonts w:eastAsia="SimSun"/>
        </w:rPr>
      </w:pPr>
    </w:p>
    <w:p w14:paraId="44FD5EB0" w14:textId="77777777" w:rsidR="00C62A37" w:rsidRDefault="00C62A37" w:rsidP="00C62A37">
      <w:pPr>
        <w:rPr>
          <w:rFonts w:eastAsia="SimSun"/>
        </w:rPr>
      </w:pPr>
    </w:p>
    <w:p w14:paraId="47265762" w14:textId="77777777" w:rsidR="007802F1" w:rsidRPr="00A67057" w:rsidRDefault="007802F1" w:rsidP="00CA6138">
      <w:pPr>
        <w:rPr>
          <w:rFonts w:eastAsia="SimSun"/>
        </w:rPr>
      </w:pPr>
    </w:p>
    <w:p w14:paraId="24F33574" w14:textId="77777777" w:rsidR="006F17C2" w:rsidRDefault="006F17C2" w:rsidP="006D2153">
      <w:pPr>
        <w:pStyle w:val="Heading1"/>
        <w:numPr>
          <w:ilvl w:val="0"/>
          <w:numId w:val="38"/>
        </w:numPr>
        <w:ind w:right="0"/>
        <w:rPr>
          <w:rFonts w:eastAsia="SimSun" w:hint="eastAsia"/>
        </w:rPr>
        <w:sectPr w:rsidR="006F17C2" w:rsidSect="00205570">
          <w:footerReference w:type="default" r:id="rId9"/>
          <w:type w:val="continuous"/>
          <w:pgSz w:w="12240" w:h="15840" w:code="1"/>
          <w:pgMar w:top="1440" w:right="1440" w:bottom="1440" w:left="1440" w:header="720" w:footer="720" w:gutter="0"/>
          <w:pgNumType w:start="0"/>
          <w:cols w:space="720"/>
          <w:docGrid w:linePitch="360"/>
        </w:sectPr>
      </w:pPr>
      <w:bookmarkStart w:id="0" w:name="_Toc484623046"/>
    </w:p>
    <w:p w14:paraId="2156575E" w14:textId="77777777" w:rsidR="00704E6E" w:rsidRPr="00BA050E" w:rsidRDefault="007B6678" w:rsidP="006D2153">
      <w:pPr>
        <w:pStyle w:val="Heading1"/>
        <w:numPr>
          <w:ilvl w:val="0"/>
          <w:numId w:val="38"/>
        </w:numPr>
        <w:ind w:right="0"/>
        <w:rPr>
          <w:rFonts w:eastAsia="SimSun" w:hint="eastAsia"/>
          <w:szCs w:val="24"/>
        </w:rPr>
      </w:pPr>
      <w:r w:rsidRPr="00A67057">
        <w:rPr>
          <w:rFonts w:eastAsia="SimSun"/>
        </w:rPr>
        <w:lastRenderedPageBreak/>
        <w:t>INTRODUCTION</w:t>
      </w:r>
      <w:bookmarkEnd w:id="0"/>
    </w:p>
    <w:p w14:paraId="08627BC8" w14:textId="233BD855" w:rsidR="007802F1" w:rsidRPr="004C5D21" w:rsidRDefault="007802F1" w:rsidP="007802F1">
      <w:pPr>
        <w:pStyle w:val="ListParagraph"/>
        <w:numPr>
          <w:ilvl w:val="0"/>
          <w:numId w:val="1"/>
        </w:numPr>
        <w:spacing w:after="0" w:line="240" w:lineRule="auto"/>
        <w:ind w:left="0" w:right="0" w:firstLine="0"/>
        <w:rPr>
          <w:rFonts w:eastAsia="SimSun"/>
          <w:b/>
          <w:color w:val="auto"/>
          <w:szCs w:val="24"/>
        </w:rPr>
      </w:pPr>
      <w:r w:rsidRPr="00BA050E">
        <w:rPr>
          <w:b/>
          <w:color w:val="auto"/>
          <w:sz w:val="22"/>
        </w:rPr>
        <w:t xml:space="preserve">The quest for an alternative </w:t>
      </w:r>
      <w:r>
        <w:rPr>
          <w:b/>
          <w:color w:val="auto"/>
          <w:sz w:val="22"/>
        </w:rPr>
        <w:t>development</w:t>
      </w:r>
      <w:r w:rsidRPr="00BA050E">
        <w:rPr>
          <w:b/>
          <w:color w:val="auto"/>
          <w:sz w:val="22"/>
        </w:rPr>
        <w:t xml:space="preserve"> model</w:t>
      </w:r>
      <w:r>
        <w:rPr>
          <w:b/>
          <w:color w:val="auto"/>
          <w:sz w:val="22"/>
        </w:rPr>
        <w:t xml:space="preserve"> that underlies Moldova’s </w:t>
      </w:r>
      <w:r w:rsidRPr="004C5D21">
        <w:rPr>
          <w:b/>
          <w:sz w:val="22"/>
        </w:rPr>
        <w:t>National Development Strategy (NDS)</w:t>
      </w:r>
      <w:r w:rsidR="006F7A89">
        <w:rPr>
          <w:b/>
          <w:sz w:val="22"/>
        </w:rPr>
        <w:t xml:space="preserve">, </w:t>
      </w:r>
      <w:r w:rsidRPr="004C5D21">
        <w:rPr>
          <w:b/>
          <w:i/>
          <w:sz w:val="22"/>
        </w:rPr>
        <w:t>Moldova 2020</w:t>
      </w:r>
      <w:r w:rsidR="006F7A89">
        <w:rPr>
          <w:b/>
          <w:i/>
          <w:sz w:val="22"/>
        </w:rPr>
        <w:t>,</w:t>
      </w:r>
      <w:r w:rsidRPr="004C5D21">
        <w:rPr>
          <w:b/>
          <w:color w:val="auto"/>
          <w:sz w:val="22"/>
        </w:rPr>
        <w:t xml:space="preserve"> </w:t>
      </w:r>
      <w:r w:rsidRPr="00BA050E">
        <w:rPr>
          <w:b/>
          <w:color w:val="auto"/>
          <w:sz w:val="22"/>
        </w:rPr>
        <w:t xml:space="preserve">is a recognition that the two </w:t>
      </w:r>
      <w:r w:rsidRPr="00BA050E">
        <w:rPr>
          <w:b/>
          <w:sz w:val="22"/>
        </w:rPr>
        <w:t xml:space="preserve">main </w:t>
      </w:r>
      <w:r>
        <w:rPr>
          <w:b/>
          <w:sz w:val="22"/>
        </w:rPr>
        <w:t xml:space="preserve">drivers of </w:t>
      </w:r>
      <w:r w:rsidRPr="00BA050E">
        <w:rPr>
          <w:b/>
          <w:sz w:val="22"/>
        </w:rPr>
        <w:t>economic growth and poverty reduction since the early 2000s are no longer sustainable</w:t>
      </w:r>
      <w:r w:rsidRPr="00D77307">
        <w:rPr>
          <w:b/>
          <w:sz w:val="22"/>
        </w:rPr>
        <w:t>.</w:t>
      </w:r>
      <w:r>
        <w:rPr>
          <w:sz w:val="22"/>
        </w:rPr>
        <w:t xml:space="preserve"> Growth was powered</w:t>
      </w:r>
      <w:r w:rsidRPr="00BA050E">
        <w:rPr>
          <w:sz w:val="22"/>
        </w:rPr>
        <w:t xml:space="preserve"> largely by consumption</w:t>
      </w:r>
      <w:r w:rsidR="006F7A89">
        <w:rPr>
          <w:sz w:val="22"/>
        </w:rPr>
        <w:t>,</w:t>
      </w:r>
      <w:r w:rsidRPr="00BA050E">
        <w:rPr>
          <w:sz w:val="22"/>
        </w:rPr>
        <w:t xml:space="preserve"> and poverty reduction mainly by remittances and pensions</w:t>
      </w:r>
      <w:r>
        <w:rPr>
          <w:sz w:val="22"/>
        </w:rPr>
        <w:t xml:space="preserve">. Since neither are expected to continue, </w:t>
      </w:r>
      <w:r w:rsidRPr="00BA050E">
        <w:rPr>
          <w:sz w:val="22"/>
        </w:rPr>
        <w:t xml:space="preserve">future growth and poverty reduction will need </w:t>
      </w:r>
      <w:r>
        <w:rPr>
          <w:sz w:val="22"/>
        </w:rPr>
        <w:t>to be driven</w:t>
      </w:r>
      <w:r w:rsidRPr="00BA050E">
        <w:rPr>
          <w:sz w:val="22"/>
        </w:rPr>
        <w:t xml:space="preserve"> </w:t>
      </w:r>
      <w:r w:rsidR="00353D4A">
        <w:rPr>
          <w:sz w:val="22"/>
        </w:rPr>
        <w:t xml:space="preserve">increasingly </w:t>
      </w:r>
      <w:r>
        <w:rPr>
          <w:sz w:val="22"/>
        </w:rPr>
        <w:t xml:space="preserve">by </w:t>
      </w:r>
      <w:r w:rsidRPr="00BA050E">
        <w:rPr>
          <w:sz w:val="22"/>
        </w:rPr>
        <w:t xml:space="preserve">private sector-led job creation. Moreover, </w:t>
      </w:r>
      <w:r w:rsidR="00353D4A">
        <w:rPr>
          <w:sz w:val="22"/>
        </w:rPr>
        <w:t xml:space="preserve">given the country’s </w:t>
      </w:r>
      <w:r>
        <w:rPr>
          <w:sz w:val="22"/>
        </w:rPr>
        <w:t xml:space="preserve">vulnerability to </w:t>
      </w:r>
      <w:r w:rsidRPr="00BA050E">
        <w:rPr>
          <w:sz w:val="22"/>
        </w:rPr>
        <w:t>changes in external demand and weather shocks</w:t>
      </w:r>
      <w:r>
        <w:rPr>
          <w:sz w:val="22"/>
        </w:rPr>
        <w:t>,</w:t>
      </w:r>
      <w:r w:rsidRPr="00BA050E">
        <w:rPr>
          <w:sz w:val="22"/>
        </w:rPr>
        <w:t xml:space="preserve"> due to its small size, open economy, and reliance on agriculture</w:t>
      </w:r>
      <w:r>
        <w:rPr>
          <w:sz w:val="22"/>
        </w:rPr>
        <w:t xml:space="preserve">, </w:t>
      </w:r>
      <w:r w:rsidR="00353D4A">
        <w:rPr>
          <w:sz w:val="22"/>
        </w:rPr>
        <w:t>Moldova’s</w:t>
      </w:r>
      <w:r>
        <w:rPr>
          <w:sz w:val="22"/>
        </w:rPr>
        <w:t xml:space="preserve"> future development path will also need to </w:t>
      </w:r>
      <w:r w:rsidR="00353D4A">
        <w:rPr>
          <w:sz w:val="22"/>
        </w:rPr>
        <w:t>include</w:t>
      </w:r>
      <w:r>
        <w:rPr>
          <w:sz w:val="22"/>
        </w:rPr>
        <w:t xml:space="preserve"> measure</w:t>
      </w:r>
      <w:r w:rsidR="00F4058C">
        <w:rPr>
          <w:sz w:val="22"/>
        </w:rPr>
        <w:t>s</w:t>
      </w:r>
      <w:r>
        <w:rPr>
          <w:sz w:val="22"/>
        </w:rPr>
        <w:t xml:space="preserve"> to renew and protect its</w:t>
      </w:r>
      <w:r w:rsidRPr="00BA050E">
        <w:rPr>
          <w:sz w:val="22"/>
        </w:rPr>
        <w:t xml:space="preserve"> human, </w:t>
      </w:r>
      <w:r>
        <w:rPr>
          <w:sz w:val="22"/>
        </w:rPr>
        <w:t xml:space="preserve">physical, and social </w:t>
      </w:r>
      <w:r w:rsidRPr="00BA050E">
        <w:rPr>
          <w:sz w:val="22"/>
        </w:rPr>
        <w:t>capital stock.</w:t>
      </w:r>
    </w:p>
    <w:p w14:paraId="453357D6" w14:textId="77777777" w:rsidR="007802F1" w:rsidRPr="004C5D21" w:rsidRDefault="007802F1" w:rsidP="007802F1">
      <w:pPr>
        <w:pStyle w:val="ListParagraph"/>
        <w:spacing w:after="0" w:line="240" w:lineRule="auto"/>
        <w:ind w:left="0" w:right="0" w:firstLine="0"/>
        <w:rPr>
          <w:rFonts w:eastAsia="SimSun"/>
          <w:b/>
          <w:color w:val="auto"/>
          <w:szCs w:val="24"/>
        </w:rPr>
      </w:pPr>
    </w:p>
    <w:p w14:paraId="5DBD7EB6" w14:textId="49E706A0" w:rsidR="007802F1" w:rsidRPr="00BA050E" w:rsidRDefault="007802F1" w:rsidP="007802F1">
      <w:pPr>
        <w:pStyle w:val="ListParagraph"/>
        <w:numPr>
          <w:ilvl w:val="0"/>
          <w:numId w:val="1"/>
        </w:numPr>
        <w:spacing w:after="0" w:line="240" w:lineRule="auto"/>
        <w:ind w:left="0" w:right="0" w:firstLine="0"/>
        <w:rPr>
          <w:rFonts w:eastAsia="SimSun"/>
          <w:b/>
          <w:color w:val="auto"/>
          <w:sz w:val="22"/>
        </w:rPr>
      </w:pPr>
      <w:r>
        <w:rPr>
          <w:rFonts w:eastAsia="SimSun"/>
          <w:b/>
          <w:color w:val="auto"/>
          <w:sz w:val="22"/>
        </w:rPr>
        <w:t>Against this background, t</w:t>
      </w:r>
      <w:r w:rsidRPr="00BA050E">
        <w:rPr>
          <w:rFonts w:eastAsia="SimSun"/>
          <w:b/>
          <w:color w:val="auto"/>
          <w:sz w:val="22"/>
        </w:rPr>
        <w:t xml:space="preserve">he </w:t>
      </w:r>
      <w:r>
        <w:rPr>
          <w:rFonts w:eastAsia="SimSun"/>
          <w:b/>
          <w:color w:val="auto"/>
          <w:sz w:val="22"/>
        </w:rPr>
        <w:t xml:space="preserve">main </w:t>
      </w:r>
      <w:r w:rsidRPr="00BA050E">
        <w:rPr>
          <w:rFonts w:eastAsia="SimSun"/>
          <w:b/>
          <w:color w:val="auto"/>
          <w:sz w:val="22"/>
        </w:rPr>
        <w:t xml:space="preserve">purpose of </w:t>
      </w:r>
      <w:r w:rsidR="00353D4A">
        <w:rPr>
          <w:rFonts w:eastAsia="SimSun"/>
          <w:b/>
          <w:color w:val="auto"/>
          <w:sz w:val="22"/>
        </w:rPr>
        <w:t>the</w:t>
      </w:r>
      <w:r w:rsidRPr="00BA050E">
        <w:rPr>
          <w:rFonts w:eastAsia="SimSun"/>
          <w:b/>
          <w:color w:val="auto"/>
          <w:sz w:val="22"/>
        </w:rPr>
        <w:t xml:space="preserve"> FY18-21 Country Partnership Framework (CPF) is to support Moldova’s transition towards </w:t>
      </w:r>
      <w:r w:rsidRPr="00BA050E">
        <w:rPr>
          <w:b/>
          <w:sz w:val="22"/>
        </w:rPr>
        <w:t xml:space="preserve">a new, more sustainable and inclusive </w:t>
      </w:r>
      <w:r>
        <w:rPr>
          <w:b/>
          <w:sz w:val="22"/>
        </w:rPr>
        <w:t xml:space="preserve">development and </w:t>
      </w:r>
      <w:r w:rsidRPr="00BA050E">
        <w:rPr>
          <w:b/>
          <w:sz w:val="22"/>
        </w:rPr>
        <w:t>growth model</w:t>
      </w:r>
      <w:r w:rsidRPr="00D77307">
        <w:rPr>
          <w:b/>
          <w:sz w:val="22"/>
        </w:rPr>
        <w:t>.</w:t>
      </w:r>
      <w:r>
        <w:rPr>
          <w:sz w:val="22"/>
        </w:rPr>
        <w:t xml:space="preserve"> </w:t>
      </w:r>
      <w:r w:rsidRPr="00DD47BF">
        <w:rPr>
          <w:sz w:val="22"/>
        </w:rPr>
        <w:t>It is</w:t>
      </w:r>
      <w:r>
        <w:rPr>
          <w:b/>
          <w:sz w:val="22"/>
        </w:rPr>
        <w:t xml:space="preserve"> </w:t>
      </w:r>
      <w:r>
        <w:rPr>
          <w:sz w:val="22"/>
        </w:rPr>
        <w:t>gr</w:t>
      </w:r>
      <w:r w:rsidRPr="00BA050E">
        <w:rPr>
          <w:sz w:val="22"/>
        </w:rPr>
        <w:t xml:space="preserve">ounded in the </w:t>
      </w:r>
      <w:r>
        <w:rPr>
          <w:sz w:val="22"/>
        </w:rPr>
        <w:t>NDS, takes</w:t>
      </w:r>
      <w:r w:rsidR="00353D4A">
        <w:rPr>
          <w:sz w:val="22"/>
        </w:rPr>
        <w:t xml:space="preserve"> into account </w:t>
      </w:r>
      <w:r>
        <w:rPr>
          <w:sz w:val="22"/>
        </w:rPr>
        <w:t>outcome</w:t>
      </w:r>
      <w:r w:rsidR="00353D4A">
        <w:rPr>
          <w:sz w:val="22"/>
        </w:rPr>
        <w:t>s</w:t>
      </w:r>
      <w:r w:rsidRPr="00BA050E">
        <w:rPr>
          <w:sz w:val="22"/>
        </w:rPr>
        <w:t xml:space="preserve"> of the FY14-17 Country Partnership Strategy (CPS),</w:t>
      </w:r>
      <w:r w:rsidRPr="00BA050E">
        <w:rPr>
          <w:b/>
          <w:sz w:val="22"/>
        </w:rPr>
        <w:t xml:space="preserve"> </w:t>
      </w:r>
      <w:r>
        <w:rPr>
          <w:sz w:val="22"/>
        </w:rPr>
        <w:t xml:space="preserve">and incorporates </w:t>
      </w:r>
      <w:r>
        <w:rPr>
          <w:rFonts w:eastAsia="SimSun"/>
          <w:color w:val="auto"/>
          <w:sz w:val="22"/>
        </w:rPr>
        <w:t xml:space="preserve">the three topmost priorities of the </w:t>
      </w:r>
      <w:r w:rsidRPr="00FA7B26">
        <w:rPr>
          <w:sz w:val="22"/>
        </w:rPr>
        <w:t>recent Systematic Country Diagnostic (SCD)</w:t>
      </w:r>
      <w:r>
        <w:rPr>
          <w:sz w:val="22"/>
        </w:rPr>
        <w:t xml:space="preserve">, namely: (a) </w:t>
      </w:r>
      <w:r w:rsidRPr="00BA050E">
        <w:rPr>
          <w:sz w:val="22"/>
        </w:rPr>
        <w:t xml:space="preserve">strengthening the rule of law and accountability </w:t>
      </w:r>
      <w:r w:rsidR="00094662">
        <w:rPr>
          <w:sz w:val="22"/>
        </w:rPr>
        <w:t>in</w:t>
      </w:r>
      <w:r w:rsidRPr="00BA050E">
        <w:rPr>
          <w:sz w:val="22"/>
        </w:rPr>
        <w:t xml:space="preserve"> economic </w:t>
      </w:r>
      <w:r>
        <w:rPr>
          <w:sz w:val="22"/>
        </w:rPr>
        <w:t>institutions; (b)</w:t>
      </w:r>
      <w:r w:rsidRPr="00BA050E">
        <w:rPr>
          <w:sz w:val="22"/>
        </w:rPr>
        <w:t xml:space="preserve"> improving inclusive access to and the efficiency and quality </w:t>
      </w:r>
      <w:r>
        <w:rPr>
          <w:sz w:val="22"/>
        </w:rPr>
        <w:t xml:space="preserve">of public services; </w:t>
      </w:r>
      <w:r w:rsidRPr="00BA050E">
        <w:rPr>
          <w:sz w:val="22"/>
        </w:rPr>
        <w:t xml:space="preserve">and </w:t>
      </w:r>
      <w:r>
        <w:rPr>
          <w:sz w:val="22"/>
        </w:rPr>
        <w:t xml:space="preserve">(c) </w:t>
      </w:r>
      <w:r w:rsidRPr="00BA050E">
        <w:rPr>
          <w:sz w:val="22"/>
        </w:rPr>
        <w:t>enhancing the quality and relevance of education and training for job-relevant skills</w:t>
      </w:r>
      <w:r>
        <w:rPr>
          <w:sz w:val="22"/>
        </w:rPr>
        <w:t>.</w:t>
      </w:r>
      <w:r w:rsidRPr="00FA7B26">
        <w:rPr>
          <w:rStyle w:val="FootnoteReference"/>
          <w:sz w:val="22"/>
        </w:rPr>
        <w:footnoteReference w:id="2"/>
      </w:r>
      <w:r>
        <w:rPr>
          <w:sz w:val="22"/>
        </w:rPr>
        <w:t xml:space="preserve"> These </w:t>
      </w:r>
      <w:r w:rsidR="00353D4A">
        <w:rPr>
          <w:sz w:val="22"/>
        </w:rPr>
        <w:t>three</w:t>
      </w:r>
      <w:r>
        <w:rPr>
          <w:sz w:val="22"/>
        </w:rPr>
        <w:t xml:space="preserve"> priorities </w:t>
      </w:r>
      <w:r w:rsidRPr="00BA050E">
        <w:rPr>
          <w:sz w:val="22"/>
        </w:rPr>
        <w:t xml:space="preserve">define and inform the CPF’s three focus areas: </w:t>
      </w:r>
      <w:r w:rsidRPr="00BA050E">
        <w:rPr>
          <w:b/>
          <w:i/>
          <w:sz w:val="22"/>
        </w:rPr>
        <w:t>economic governance</w:t>
      </w:r>
      <w:r w:rsidRPr="00BA050E">
        <w:rPr>
          <w:sz w:val="22"/>
        </w:rPr>
        <w:t xml:space="preserve">, </w:t>
      </w:r>
      <w:r w:rsidRPr="00BA050E">
        <w:rPr>
          <w:b/>
          <w:i/>
          <w:sz w:val="22"/>
        </w:rPr>
        <w:t>service governance</w:t>
      </w:r>
      <w:r w:rsidRPr="00BA050E">
        <w:rPr>
          <w:sz w:val="22"/>
        </w:rPr>
        <w:t xml:space="preserve">, and </w:t>
      </w:r>
      <w:r w:rsidRPr="00BA050E">
        <w:rPr>
          <w:b/>
          <w:i/>
          <w:sz w:val="22"/>
        </w:rPr>
        <w:t>skills development</w:t>
      </w:r>
      <w:r>
        <w:rPr>
          <w:sz w:val="22"/>
        </w:rPr>
        <w:t xml:space="preserve">, which are </w:t>
      </w:r>
      <w:r w:rsidRPr="00BA050E">
        <w:rPr>
          <w:sz w:val="22"/>
        </w:rPr>
        <w:t xml:space="preserve">supplemented by </w:t>
      </w:r>
      <w:r w:rsidRPr="00BA050E">
        <w:rPr>
          <w:b/>
          <w:i/>
          <w:sz w:val="22"/>
        </w:rPr>
        <w:t>climate change</w:t>
      </w:r>
      <w:r w:rsidR="00F4058C">
        <w:rPr>
          <w:b/>
          <w:i/>
          <w:sz w:val="22"/>
        </w:rPr>
        <w:t>—</w:t>
      </w:r>
      <w:r w:rsidR="00F4058C">
        <w:rPr>
          <w:sz w:val="22"/>
        </w:rPr>
        <w:t xml:space="preserve">a </w:t>
      </w:r>
      <w:r w:rsidR="007F02EE">
        <w:rPr>
          <w:sz w:val="22"/>
        </w:rPr>
        <w:t xml:space="preserve">World </w:t>
      </w:r>
      <w:r w:rsidR="00F4058C">
        <w:rPr>
          <w:sz w:val="22"/>
        </w:rPr>
        <w:t>Bank Group corporate priority—</w:t>
      </w:r>
      <w:r w:rsidRPr="00BA050E">
        <w:rPr>
          <w:sz w:val="22"/>
        </w:rPr>
        <w:t>as a cross-cutting theme</w:t>
      </w:r>
      <w:r w:rsidRPr="00BA050E">
        <w:rPr>
          <w:color w:val="auto"/>
          <w:sz w:val="22"/>
        </w:rPr>
        <w:t>.</w:t>
      </w:r>
    </w:p>
    <w:p w14:paraId="49B30161" w14:textId="77777777" w:rsidR="007802F1" w:rsidRPr="00CA6138" w:rsidRDefault="007802F1" w:rsidP="00CA6138">
      <w:pPr>
        <w:pStyle w:val="ListParagraph"/>
        <w:spacing w:after="0" w:line="240" w:lineRule="auto"/>
        <w:ind w:left="0" w:right="0" w:firstLine="0"/>
        <w:rPr>
          <w:rFonts w:eastAsia="SimSun"/>
          <w:b/>
          <w:color w:val="auto"/>
          <w:szCs w:val="24"/>
        </w:rPr>
      </w:pPr>
    </w:p>
    <w:p w14:paraId="7348CA57" w14:textId="77777777" w:rsidR="0012453D" w:rsidRPr="00BA050E" w:rsidRDefault="001E63DB" w:rsidP="000C5801">
      <w:pPr>
        <w:pStyle w:val="ListParagraph"/>
        <w:numPr>
          <w:ilvl w:val="0"/>
          <w:numId w:val="1"/>
        </w:numPr>
        <w:spacing w:after="0" w:line="240" w:lineRule="auto"/>
        <w:ind w:left="0" w:right="0" w:firstLine="0"/>
        <w:rPr>
          <w:rFonts w:eastAsia="SimSun"/>
          <w:b/>
          <w:color w:val="auto"/>
          <w:szCs w:val="24"/>
        </w:rPr>
      </w:pPr>
      <w:r w:rsidRPr="00BA050E">
        <w:rPr>
          <w:b/>
          <w:sz w:val="22"/>
        </w:rPr>
        <w:t xml:space="preserve">The CPF incorporates key </w:t>
      </w:r>
      <w:r w:rsidR="0012453D" w:rsidRPr="00BA050E">
        <w:rPr>
          <w:b/>
          <w:sz w:val="22"/>
        </w:rPr>
        <w:t xml:space="preserve">lessons learned during </w:t>
      </w:r>
      <w:r w:rsidRPr="00BA050E">
        <w:rPr>
          <w:b/>
          <w:sz w:val="22"/>
        </w:rPr>
        <w:t xml:space="preserve">the </w:t>
      </w:r>
      <w:r w:rsidR="0012453D" w:rsidRPr="00BA050E">
        <w:rPr>
          <w:b/>
          <w:sz w:val="22"/>
        </w:rPr>
        <w:t>last CPS</w:t>
      </w:r>
      <w:r w:rsidR="00353D4A">
        <w:rPr>
          <w:b/>
          <w:sz w:val="22"/>
        </w:rPr>
        <w:t>—</w:t>
      </w:r>
      <w:r w:rsidR="0012453D" w:rsidRPr="00BA050E">
        <w:rPr>
          <w:b/>
          <w:sz w:val="22"/>
        </w:rPr>
        <w:t>that</w:t>
      </w:r>
      <w:r w:rsidR="006B1E8B" w:rsidRPr="00BA050E">
        <w:rPr>
          <w:b/>
          <w:sz w:val="22"/>
        </w:rPr>
        <w:t xml:space="preserve"> </w:t>
      </w:r>
      <w:r w:rsidR="0012453D" w:rsidRPr="00BA050E">
        <w:rPr>
          <w:b/>
          <w:sz w:val="22"/>
        </w:rPr>
        <w:t>political instability and governance cha</w:t>
      </w:r>
      <w:r w:rsidRPr="00BA050E">
        <w:rPr>
          <w:b/>
          <w:sz w:val="22"/>
        </w:rPr>
        <w:t>llenges slow the pace of reform</w:t>
      </w:r>
      <w:r w:rsidR="0012453D" w:rsidRPr="00BA050E">
        <w:rPr>
          <w:b/>
          <w:sz w:val="22"/>
        </w:rPr>
        <w:t xml:space="preserve"> and that frequent personnel changes </w:t>
      </w:r>
      <w:r w:rsidRPr="00BA050E">
        <w:rPr>
          <w:b/>
          <w:sz w:val="22"/>
        </w:rPr>
        <w:t xml:space="preserve">affect portfolio performance. </w:t>
      </w:r>
      <w:r w:rsidRPr="00BA050E">
        <w:rPr>
          <w:sz w:val="22"/>
        </w:rPr>
        <w:t>Further</w:t>
      </w:r>
      <w:r w:rsidR="00704E6E" w:rsidRPr="00BA050E">
        <w:rPr>
          <w:sz w:val="22"/>
        </w:rPr>
        <w:t xml:space="preserve">, it </w:t>
      </w:r>
      <w:r w:rsidR="0012453D" w:rsidRPr="00BA050E">
        <w:rPr>
          <w:sz w:val="22"/>
        </w:rPr>
        <w:t>assumes that the economic, political, and social stability</w:t>
      </w:r>
      <w:r w:rsidR="00704E6E" w:rsidRPr="00BA050E">
        <w:rPr>
          <w:sz w:val="22"/>
        </w:rPr>
        <w:t xml:space="preserve"> experienced since January 2016 will continue </w:t>
      </w:r>
      <w:r w:rsidR="000E4754" w:rsidRPr="00BA050E">
        <w:rPr>
          <w:sz w:val="22"/>
        </w:rPr>
        <w:t xml:space="preserve">at least </w:t>
      </w:r>
      <w:r w:rsidR="00704E6E" w:rsidRPr="00BA050E">
        <w:rPr>
          <w:sz w:val="22"/>
        </w:rPr>
        <w:t xml:space="preserve">until </w:t>
      </w:r>
      <w:r w:rsidR="00C3477C" w:rsidRPr="00BA050E">
        <w:rPr>
          <w:sz w:val="22"/>
        </w:rPr>
        <w:t xml:space="preserve">parliamentary elections in </w:t>
      </w:r>
      <w:r w:rsidR="00704E6E" w:rsidRPr="00BA050E">
        <w:rPr>
          <w:sz w:val="22"/>
        </w:rPr>
        <w:t>November 2018</w:t>
      </w:r>
      <w:r w:rsidR="00C3477C" w:rsidRPr="00BA050E">
        <w:rPr>
          <w:sz w:val="22"/>
        </w:rPr>
        <w:t>.</w:t>
      </w:r>
      <w:r w:rsidR="00704E6E" w:rsidRPr="00BA050E">
        <w:rPr>
          <w:sz w:val="22"/>
        </w:rPr>
        <w:t xml:space="preserve"> </w:t>
      </w:r>
      <w:r w:rsidR="00B045A0">
        <w:rPr>
          <w:sz w:val="22"/>
        </w:rPr>
        <w:t>G</w:t>
      </w:r>
      <w:r w:rsidR="000E4754" w:rsidRPr="00BA050E">
        <w:rPr>
          <w:sz w:val="22"/>
        </w:rPr>
        <w:t xml:space="preserve">iven that </w:t>
      </w:r>
      <w:r w:rsidR="00704E6E" w:rsidRPr="00BA050E">
        <w:rPr>
          <w:sz w:val="22"/>
        </w:rPr>
        <w:t xml:space="preserve">Moldova’s post-election political orientation, policy environment, and stability </w:t>
      </w:r>
      <w:r w:rsidR="00B045A0">
        <w:rPr>
          <w:sz w:val="22"/>
        </w:rPr>
        <w:t xml:space="preserve">are </w:t>
      </w:r>
      <w:r w:rsidR="000E4754" w:rsidRPr="00BA050E">
        <w:rPr>
          <w:sz w:val="22"/>
        </w:rPr>
        <w:t xml:space="preserve">uncertain, </w:t>
      </w:r>
      <w:r w:rsidR="0012453D" w:rsidRPr="00BA050E">
        <w:rPr>
          <w:sz w:val="22"/>
        </w:rPr>
        <w:t>only the first half of the CPF</w:t>
      </w:r>
      <w:r w:rsidR="00353D4A">
        <w:rPr>
          <w:sz w:val="22"/>
        </w:rPr>
        <w:t xml:space="preserve"> </w:t>
      </w:r>
      <w:r w:rsidR="0012453D" w:rsidRPr="00BA050E">
        <w:rPr>
          <w:sz w:val="22"/>
        </w:rPr>
        <w:t>(FY18-19)</w:t>
      </w:r>
      <w:r w:rsidR="0012453D" w:rsidRPr="00BA050E">
        <w:rPr>
          <w:i/>
          <w:sz w:val="22"/>
        </w:rPr>
        <w:t xml:space="preserve"> </w:t>
      </w:r>
      <w:r w:rsidR="0012453D" w:rsidRPr="00BA050E">
        <w:rPr>
          <w:sz w:val="22"/>
        </w:rPr>
        <w:t>is programmed. Activities for the second half (FY20-21) will be defined during the</w:t>
      </w:r>
      <w:r w:rsidR="00B045A0">
        <w:rPr>
          <w:sz w:val="22"/>
        </w:rPr>
        <w:t xml:space="preserve"> FY19</w:t>
      </w:r>
      <w:r w:rsidR="0012453D" w:rsidRPr="00BA050E">
        <w:rPr>
          <w:sz w:val="22"/>
        </w:rPr>
        <w:t xml:space="preserve"> Perform</w:t>
      </w:r>
      <w:r w:rsidR="006B1E8B" w:rsidRPr="00BA050E">
        <w:rPr>
          <w:sz w:val="22"/>
        </w:rPr>
        <w:t>ance and Learning Review (PLR).</w:t>
      </w:r>
    </w:p>
    <w:p w14:paraId="4A875F38" w14:textId="77777777" w:rsidR="006D135B" w:rsidRPr="00BA050E" w:rsidRDefault="006D135B" w:rsidP="006B1E8B">
      <w:pPr>
        <w:ind w:left="0" w:firstLine="0"/>
        <w:rPr>
          <w:rFonts w:eastAsia="SimSun"/>
          <w:b/>
          <w:color w:val="auto"/>
          <w:szCs w:val="24"/>
        </w:rPr>
      </w:pPr>
    </w:p>
    <w:p w14:paraId="465CCBAC" w14:textId="4242D7C7" w:rsidR="006D135B" w:rsidRPr="00BA050E" w:rsidRDefault="00B045A0" w:rsidP="000C5801">
      <w:pPr>
        <w:pStyle w:val="ListParagraph"/>
        <w:numPr>
          <w:ilvl w:val="0"/>
          <w:numId w:val="1"/>
        </w:numPr>
        <w:spacing w:after="0" w:line="240" w:lineRule="auto"/>
        <w:ind w:left="0" w:right="0" w:firstLine="0"/>
        <w:rPr>
          <w:rFonts w:eastAsia="SimSun"/>
          <w:b/>
          <w:color w:val="auto"/>
          <w:szCs w:val="24"/>
        </w:rPr>
      </w:pPr>
      <w:r>
        <w:rPr>
          <w:rFonts w:eastAsia="SimSun"/>
          <w:b/>
          <w:color w:val="auto"/>
          <w:sz w:val="22"/>
        </w:rPr>
        <w:t>A</w:t>
      </w:r>
      <w:r w:rsidR="001B1D72" w:rsidRPr="00BA050E">
        <w:rPr>
          <w:rFonts w:eastAsia="SimSun"/>
          <w:b/>
          <w:color w:val="auto"/>
          <w:sz w:val="22"/>
        </w:rPr>
        <w:t>nalytical, financial, and technical assistance activities aim</w:t>
      </w:r>
      <w:r>
        <w:rPr>
          <w:rFonts w:eastAsia="SimSun"/>
          <w:b/>
          <w:color w:val="auto"/>
          <w:sz w:val="22"/>
        </w:rPr>
        <w:t xml:space="preserve"> </w:t>
      </w:r>
      <w:r w:rsidR="0010477D" w:rsidRPr="00BA050E">
        <w:rPr>
          <w:rFonts w:eastAsia="SimSun"/>
          <w:b/>
          <w:color w:val="auto"/>
          <w:sz w:val="22"/>
        </w:rPr>
        <w:t xml:space="preserve">to achieve </w:t>
      </w:r>
      <w:r w:rsidR="00462CF2">
        <w:rPr>
          <w:rFonts w:eastAsia="SimSun"/>
          <w:b/>
          <w:color w:val="auto"/>
          <w:sz w:val="22"/>
        </w:rPr>
        <w:t>seven</w:t>
      </w:r>
      <w:r w:rsidR="00BF03E8" w:rsidRPr="00BA050E">
        <w:rPr>
          <w:rFonts w:eastAsia="SimSun"/>
          <w:b/>
          <w:color w:val="auto"/>
          <w:sz w:val="22"/>
        </w:rPr>
        <w:t xml:space="preserve"> </w:t>
      </w:r>
      <w:r w:rsidR="002904A5" w:rsidRPr="00BA050E">
        <w:rPr>
          <w:rFonts w:eastAsia="SimSun"/>
          <w:b/>
          <w:color w:val="auto"/>
          <w:sz w:val="22"/>
        </w:rPr>
        <w:t xml:space="preserve">broad </w:t>
      </w:r>
      <w:r w:rsidR="00B03909" w:rsidRPr="00BA050E">
        <w:rPr>
          <w:rFonts w:eastAsia="SimSun"/>
          <w:b/>
          <w:color w:val="auto"/>
          <w:sz w:val="22"/>
        </w:rPr>
        <w:t>objectives</w:t>
      </w:r>
      <w:r w:rsidR="002904A5" w:rsidRPr="00BA050E">
        <w:rPr>
          <w:rFonts w:eastAsia="SimSun"/>
          <w:b/>
          <w:color w:val="auto"/>
          <w:sz w:val="22"/>
        </w:rPr>
        <w:t xml:space="preserve"> measured </w:t>
      </w:r>
      <w:r w:rsidR="001B1D72" w:rsidRPr="00BA050E">
        <w:rPr>
          <w:rFonts w:eastAsia="SimSun"/>
          <w:b/>
          <w:color w:val="auto"/>
          <w:sz w:val="22"/>
        </w:rPr>
        <w:t xml:space="preserve">by </w:t>
      </w:r>
      <w:r w:rsidR="0010477D" w:rsidRPr="00BA050E">
        <w:rPr>
          <w:rFonts w:eastAsia="SimSun"/>
          <w:b/>
          <w:color w:val="auto"/>
          <w:sz w:val="22"/>
        </w:rPr>
        <w:t>2</w:t>
      </w:r>
      <w:r w:rsidR="00462CF2">
        <w:rPr>
          <w:rFonts w:eastAsia="SimSun"/>
          <w:b/>
          <w:color w:val="auto"/>
          <w:sz w:val="22"/>
        </w:rPr>
        <w:t>0</w:t>
      </w:r>
      <w:r w:rsidR="0010477D" w:rsidRPr="00BA050E">
        <w:rPr>
          <w:rFonts w:eastAsia="SimSun"/>
          <w:b/>
          <w:color w:val="auto"/>
          <w:sz w:val="22"/>
        </w:rPr>
        <w:t xml:space="preserve"> indicators across </w:t>
      </w:r>
      <w:r w:rsidR="002904A5" w:rsidRPr="00BA050E">
        <w:rPr>
          <w:rFonts w:eastAsia="SimSun"/>
          <w:b/>
          <w:color w:val="auto"/>
          <w:sz w:val="22"/>
        </w:rPr>
        <w:t xml:space="preserve">the </w:t>
      </w:r>
      <w:r w:rsidR="0010477D" w:rsidRPr="00BA050E">
        <w:rPr>
          <w:rFonts w:eastAsia="SimSun"/>
          <w:b/>
          <w:color w:val="auto"/>
          <w:sz w:val="22"/>
        </w:rPr>
        <w:t xml:space="preserve">three </w:t>
      </w:r>
      <w:r w:rsidR="00CC558E" w:rsidRPr="00BA050E">
        <w:rPr>
          <w:rFonts w:eastAsia="SimSun"/>
          <w:b/>
          <w:color w:val="auto"/>
          <w:sz w:val="22"/>
        </w:rPr>
        <w:t>focus areas</w:t>
      </w:r>
      <w:r w:rsidR="0010477D" w:rsidRPr="00BA050E">
        <w:rPr>
          <w:rFonts w:eastAsia="SimSun"/>
          <w:b/>
          <w:color w:val="auto"/>
          <w:sz w:val="22"/>
        </w:rPr>
        <w:t>, plus the climate change cross-cutting theme</w:t>
      </w:r>
      <w:r w:rsidR="001B1D72" w:rsidRPr="00BA050E">
        <w:rPr>
          <w:rFonts w:eastAsia="SimSun"/>
          <w:b/>
          <w:color w:val="auto"/>
          <w:sz w:val="22"/>
        </w:rPr>
        <w:t xml:space="preserve">. </w:t>
      </w:r>
      <w:r w:rsidR="00A25D2A" w:rsidRPr="00BA050E">
        <w:rPr>
          <w:rFonts w:eastAsia="SimSun"/>
          <w:color w:val="auto"/>
          <w:sz w:val="22"/>
        </w:rPr>
        <w:t>These range from</w:t>
      </w:r>
      <w:r w:rsidR="00B12BC7" w:rsidRPr="00BA050E">
        <w:rPr>
          <w:rFonts w:eastAsia="SimSun"/>
          <w:color w:val="auto"/>
          <w:sz w:val="22"/>
        </w:rPr>
        <w:t>:</w:t>
      </w:r>
      <w:r w:rsidR="00A25D2A" w:rsidRPr="00BA050E">
        <w:rPr>
          <w:rFonts w:eastAsia="SimSun"/>
          <w:color w:val="auto"/>
          <w:sz w:val="22"/>
        </w:rPr>
        <w:t xml:space="preserve"> </w:t>
      </w:r>
      <w:r w:rsidR="001B1D72" w:rsidRPr="00BA050E">
        <w:rPr>
          <w:rFonts w:eastAsia="SimSun"/>
          <w:color w:val="auto"/>
          <w:sz w:val="22"/>
        </w:rPr>
        <w:t xml:space="preserve">more effective </w:t>
      </w:r>
      <w:r w:rsidR="006D135B" w:rsidRPr="00BA050E">
        <w:rPr>
          <w:sz w:val="22"/>
        </w:rPr>
        <w:t xml:space="preserve">government policies </w:t>
      </w:r>
      <w:r w:rsidR="001B1D72" w:rsidRPr="00BA050E">
        <w:rPr>
          <w:sz w:val="22"/>
        </w:rPr>
        <w:t>to promote</w:t>
      </w:r>
      <w:r w:rsidR="006D135B" w:rsidRPr="00BA050E">
        <w:rPr>
          <w:sz w:val="22"/>
        </w:rPr>
        <w:t xml:space="preserve"> private sector-led </w:t>
      </w:r>
      <w:r w:rsidR="00A25D2A" w:rsidRPr="00BA050E">
        <w:rPr>
          <w:sz w:val="22"/>
        </w:rPr>
        <w:t xml:space="preserve">job creation and improved governance of selected economic </w:t>
      </w:r>
      <w:r w:rsidR="006D135B" w:rsidRPr="00BA050E">
        <w:rPr>
          <w:sz w:val="22"/>
        </w:rPr>
        <w:t>and financial institutions</w:t>
      </w:r>
      <w:r w:rsidR="00B12BC7" w:rsidRPr="00BA050E">
        <w:rPr>
          <w:sz w:val="22"/>
        </w:rPr>
        <w:t>;</w:t>
      </w:r>
      <w:r w:rsidR="00A25D2A" w:rsidRPr="00BA050E">
        <w:rPr>
          <w:sz w:val="22"/>
        </w:rPr>
        <w:t xml:space="preserve"> to improved access, efficiency, and quality</w:t>
      </w:r>
      <w:r w:rsidR="00B12BC7" w:rsidRPr="00BA050E">
        <w:rPr>
          <w:sz w:val="22"/>
        </w:rPr>
        <w:t xml:space="preserve"> of selected public services;</w:t>
      </w:r>
      <w:r w:rsidR="00A25D2A" w:rsidRPr="00BA050E">
        <w:rPr>
          <w:sz w:val="22"/>
        </w:rPr>
        <w:t xml:space="preserve"> to </w:t>
      </w:r>
      <w:r w:rsidR="00B12BC7" w:rsidRPr="00BA050E">
        <w:rPr>
          <w:sz w:val="22"/>
        </w:rPr>
        <w:t>better alignment of</w:t>
      </w:r>
      <w:r w:rsidR="001B1D72" w:rsidRPr="00BA050E">
        <w:rPr>
          <w:sz w:val="22"/>
        </w:rPr>
        <w:t xml:space="preserve"> skills with labor market needs</w:t>
      </w:r>
      <w:r w:rsidR="00B12BC7" w:rsidRPr="00BA050E">
        <w:rPr>
          <w:sz w:val="22"/>
        </w:rPr>
        <w:t>; and to greater adaptation, resilience, and response to climate change</w:t>
      </w:r>
      <w:r w:rsidR="00B12BC7" w:rsidRPr="00D91CFB">
        <w:rPr>
          <w:sz w:val="22"/>
        </w:rPr>
        <w:t xml:space="preserve">. </w:t>
      </w:r>
      <w:r w:rsidR="00C3477C" w:rsidRPr="00597C69">
        <w:rPr>
          <w:rFonts w:eastAsia="SimSun"/>
          <w:color w:val="auto"/>
          <w:sz w:val="22"/>
        </w:rPr>
        <w:t>Thirteen</w:t>
      </w:r>
      <w:r w:rsidR="00C3477C" w:rsidRPr="00597C69">
        <w:rPr>
          <w:rFonts w:eastAsia="SimSun"/>
          <w:b/>
          <w:color w:val="auto"/>
          <w:sz w:val="22"/>
        </w:rPr>
        <w:t xml:space="preserve"> </w:t>
      </w:r>
      <w:r w:rsidR="0010477D" w:rsidRPr="00597C69">
        <w:rPr>
          <w:rFonts w:eastAsia="SimSun"/>
          <w:color w:val="auto"/>
          <w:sz w:val="22"/>
        </w:rPr>
        <w:t xml:space="preserve">lending operations (8 ongoing and </w:t>
      </w:r>
      <w:r w:rsidR="00C3477C" w:rsidRPr="00597C69">
        <w:rPr>
          <w:rFonts w:eastAsia="SimSun"/>
          <w:color w:val="auto"/>
          <w:sz w:val="22"/>
        </w:rPr>
        <w:t>5</w:t>
      </w:r>
      <w:r w:rsidR="0010477D" w:rsidRPr="00597C69">
        <w:rPr>
          <w:rFonts w:eastAsia="SimSun"/>
          <w:color w:val="auto"/>
          <w:sz w:val="22"/>
        </w:rPr>
        <w:t xml:space="preserve"> planned)</w:t>
      </w:r>
      <w:r w:rsidR="00393221" w:rsidRPr="00597C69">
        <w:rPr>
          <w:rFonts w:eastAsia="SimSun"/>
          <w:color w:val="auto"/>
          <w:sz w:val="22"/>
        </w:rPr>
        <w:t>;</w:t>
      </w:r>
      <w:r w:rsidR="00B12BC7" w:rsidRPr="00597C69">
        <w:rPr>
          <w:rFonts w:eastAsia="SimSun"/>
          <w:color w:val="auto"/>
          <w:sz w:val="22"/>
        </w:rPr>
        <w:t xml:space="preserve"> </w:t>
      </w:r>
      <w:r w:rsidR="00B03909" w:rsidRPr="00597C69">
        <w:rPr>
          <w:rFonts w:eastAsia="SimSun"/>
          <w:color w:val="auto"/>
          <w:sz w:val="22"/>
        </w:rPr>
        <w:t>a</w:t>
      </w:r>
      <w:r w:rsidR="00BF2748" w:rsidRPr="00597C69">
        <w:rPr>
          <w:rFonts w:eastAsia="SimSun"/>
          <w:color w:val="auto"/>
          <w:sz w:val="22"/>
        </w:rPr>
        <w:t xml:space="preserve">dvisory </w:t>
      </w:r>
      <w:r w:rsidR="00B03909" w:rsidRPr="00597C69">
        <w:rPr>
          <w:rFonts w:eastAsia="SimSun"/>
          <w:color w:val="auto"/>
          <w:sz w:val="22"/>
        </w:rPr>
        <w:t>services</w:t>
      </w:r>
      <w:r w:rsidR="00BF2748" w:rsidRPr="00597C69">
        <w:rPr>
          <w:rFonts w:eastAsia="SimSun"/>
          <w:color w:val="auto"/>
          <w:sz w:val="22"/>
        </w:rPr>
        <w:t xml:space="preserve"> and analytics</w:t>
      </w:r>
      <w:r w:rsidR="00B03909" w:rsidRPr="00597C69">
        <w:rPr>
          <w:rFonts w:eastAsia="SimSun"/>
          <w:color w:val="auto"/>
          <w:sz w:val="22"/>
        </w:rPr>
        <w:t xml:space="preserve"> (</w:t>
      </w:r>
      <w:r w:rsidR="00BF03E8" w:rsidRPr="00597C69">
        <w:rPr>
          <w:rFonts w:eastAsia="SimSun"/>
          <w:color w:val="auto"/>
          <w:sz w:val="22"/>
        </w:rPr>
        <w:t>A</w:t>
      </w:r>
      <w:r w:rsidR="00B03909" w:rsidRPr="00597C69">
        <w:rPr>
          <w:rFonts w:eastAsia="SimSun"/>
          <w:color w:val="auto"/>
          <w:sz w:val="22"/>
        </w:rPr>
        <w:t>S</w:t>
      </w:r>
      <w:r w:rsidR="00A25D2A" w:rsidRPr="00597C69">
        <w:rPr>
          <w:rFonts w:eastAsia="SimSun"/>
          <w:color w:val="auto"/>
          <w:sz w:val="22"/>
        </w:rPr>
        <w:t>A</w:t>
      </w:r>
      <w:r w:rsidR="00B03909" w:rsidRPr="00597C69">
        <w:rPr>
          <w:rFonts w:eastAsia="SimSun"/>
          <w:color w:val="auto"/>
          <w:sz w:val="22"/>
        </w:rPr>
        <w:t>)</w:t>
      </w:r>
      <w:r w:rsidR="00D432C7" w:rsidRPr="00597C69">
        <w:rPr>
          <w:rFonts w:eastAsia="SimSun"/>
          <w:color w:val="auto"/>
          <w:sz w:val="22"/>
        </w:rPr>
        <w:t xml:space="preserve">, including </w:t>
      </w:r>
      <w:r w:rsidR="00CF3258">
        <w:rPr>
          <w:rFonts w:eastAsia="SimSun"/>
          <w:color w:val="auto"/>
          <w:sz w:val="22"/>
        </w:rPr>
        <w:t xml:space="preserve">continued </w:t>
      </w:r>
      <w:r w:rsidR="00D432C7" w:rsidRPr="00597C69">
        <w:rPr>
          <w:rFonts w:eastAsia="SimSun"/>
          <w:color w:val="auto"/>
          <w:sz w:val="22"/>
        </w:rPr>
        <w:t>joint I</w:t>
      </w:r>
      <w:r w:rsidR="00BF03E8" w:rsidRPr="00597C69">
        <w:rPr>
          <w:rFonts w:eastAsia="SimSun"/>
          <w:color w:val="auto"/>
          <w:sz w:val="22"/>
        </w:rPr>
        <w:t xml:space="preserve">nternational </w:t>
      </w:r>
      <w:r w:rsidR="00D432C7" w:rsidRPr="00597C69">
        <w:rPr>
          <w:rFonts w:eastAsia="SimSun"/>
          <w:color w:val="auto"/>
          <w:sz w:val="22"/>
        </w:rPr>
        <w:t>F</w:t>
      </w:r>
      <w:r w:rsidR="00BF03E8" w:rsidRPr="00597C69">
        <w:rPr>
          <w:rFonts w:eastAsia="SimSun"/>
          <w:color w:val="auto"/>
          <w:sz w:val="22"/>
        </w:rPr>
        <w:t xml:space="preserve">inance </w:t>
      </w:r>
      <w:r w:rsidR="00D432C7" w:rsidRPr="00597C69">
        <w:rPr>
          <w:rFonts w:eastAsia="SimSun"/>
          <w:color w:val="auto"/>
          <w:sz w:val="22"/>
        </w:rPr>
        <w:t>C</w:t>
      </w:r>
      <w:r w:rsidR="00BF03E8" w:rsidRPr="00597C69">
        <w:rPr>
          <w:rFonts w:eastAsia="SimSun"/>
          <w:color w:val="auto"/>
          <w:sz w:val="22"/>
        </w:rPr>
        <w:t>orporation (IFC)</w:t>
      </w:r>
      <w:r w:rsidR="00D432C7" w:rsidRPr="00597C69">
        <w:rPr>
          <w:rFonts w:eastAsia="SimSun"/>
          <w:color w:val="auto"/>
          <w:sz w:val="22"/>
        </w:rPr>
        <w:t>/</w:t>
      </w:r>
      <w:r w:rsidR="00BF03E8" w:rsidRPr="00597C69">
        <w:rPr>
          <w:rFonts w:eastAsia="SimSun"/>
          <w:color w:val="auto"/>
          <w:sz w:val="22"/>
        </w:rPr>
        <w:t>World Bank</w:t>
      </w:r>
      <w:r w:rsidR="00D432C7" w:rsidRPr="00597C69">
        <w:rPr>
          <w:rFonts w:eastAsia="SimSun"/>
          <w:color w:val="auto"/>
          <w:sz w:val="22"/>
        </w:rPr>
        <w:t xml:space="preserve"> </w:t>
      </w:r>
      <w:r w:rsidR="00BF2748" w:rsidRPr="00597C69">
        <w:rPr>
          <w:rFonts w:eastAsia="SimSun"/>
          <w:color w:val="auto"/>
          <w:sz w:val="22"/>
        </w:rPr>
        <w:t xml:space="preserve">(Bank) </w:t>
      </w:r>
      <w:r w:rsidR="009531B4">
        <w:rPr>
          <w:rFonts w:eastAsia="SimSun"/>
          <w:color w:val="auto"/>
          <w:sz w:val="22"/>
        </w:rPr>
        <w:t>investment climate reform advisory services</w:t>
      </w:r>
      <w:r w:rsidR="008C7F0C" w:rsidRPr="00597C69">
        <w:rPr>
          <w:rFonts w:eastAsia="SimSun"/>
          <w:color w:val="auto"/>
          <w:sz w:val="22"/>
        </w:rPr>
        <w:t>;</w:t>
      </w:r>
      <w:r w:rsidR="00C3477C" w:rsidRPr="00BA050E">
        <w:rPr>
          <w:rFonts w:eastAsia="SimSun"/>
          <w:color w:val="auto"/>
          <w:sz w:val="22"/>
        </w:rPr>
        <w:t xml:space="preserve"> a major governance program financed by the E</w:t>
      </w:r>
      <w:r w:rsidR="00BF03E8" w:rsidRPr="00BA050E">
        <w:rPr>
          <w:rFonts w:eastAsia="SimSun"/>
          <w:color w:val="auto"/>
          <w:sz w:val="22"/>
        </w:rPr>
        <w:t xml:space="preserve">uropean </w:t>
      </w:r>
      <w:r w:rsidR="00C3477C" w:rsidRPr="00BA050E">
        <w:rPr>
          <w:rFonts w:eastAsia="SimSun"/>
          <w:color w:val="auto"/>
          <w:sz w:val="22"/>
        </w:rPr>
        <w:t>U</w:t>
      </w:r>
      <w:r w:rsidR="00BF03E8" w:rsidRPr="00BA050E">
        <w:rPr>
          <w:rFonts w:eastAsia="SimSun"/>
          <w:color w:val="auto"/>
          <w:sz w:val="22"/>
        </w:rPr>
        <w:t>nion (EU)</w:t>
      </w:r>
      <w:r w:rsidR="00C3477C" w:rsidRPr="00BA050E">
        <w:rPr>
          <w:rFonts w:eastAsia="SimSun"/>
          <w:color w:val="auto"/>
          <w:sz w:val="22"/>
        </w:rPr>
        <w:t xml:space="preserve"> and </w:t>
      </w:r>
      <w:r w:rsidR="008C7F0C">
        <w:rPr>
          <w:rFonts w:eastAsia="SimSun"/>
          <w:color w:val="auto"/>
          <w:sz w:val="22"/>
        </w:rPr>
        <w:t xml:space="preserve">the </w:t>
      </w:r>
      <w:r w:rsidR="00C3477C" w:rsidRPr="00BA050E">
        <w:rPr>
          <w:rFonts w:eastAsia="SimSun"/>
          <w:color w:val="auto"/>
          <w:sz w:val="22"/>
        </w:rPr>
        <w:t>U</w:t>
      </w:r>
      <w:r w:rsidR="00BF03E8" w:rsidRPr="00BA050E">
        <w:rPr>
          <w:rFonts w:eastAsia="SimSun"/>
          <w:color w:val="auto"/>
          <w:sz w:val="22"/>
        </w:rPr>
        <w:t xml:space="preserve">nited </w:t>
      </w:r>
      <w:r w:rsidR="00C3477C" w:rsidRPr="00BA050E">
        <w:rPr>
          <w:rFonts w:eastAsia="SimSun"/>
          <w:color w:val="auto"/>
          <w:sz w:val="22"/>
        </w:rPr>
        <w:t>K</w:t>
      </w:r>
      <w:r w:rsidR="00BF03E8" w:rsidRPr="00BA050E">
        <w:rPr>
          <w:rFonts w:eastAsia="SimSun"/>
          <w:color w:val="auto"/>
          <w:sz w:val="22"/>
        </w:rPr>
        <w:t>ingdom (UK</w:t>
      </w:r>
      <w:r w:rsidR="00BF03E8" w:rsidRPr="00597C69">
        <w:rPr>
          <w:rFonts w:eastAsia="SimSun"/>
          <w:color w:val="auto"/>
          <w:sz w:val="22"/>
        </w:rPr>
        <w:t>)</w:t>
      </w:r>
      <w:r w:rsidR="008C7F0C" w:rsidRPr="00597C69">
        <w:rPr>
          <w:rFonts w:eastAsia="SimSun"/>
          <w:color w:val="auto"/>
          <w:sz w:val="22"/>
        </w:rPr>
        <w:t>;</w:t>
      </w:r>
      <w:r w:rsidR="00A25D2A" w:rsidRPr="00597C69">
        <w:rPr>
          <w:rFonts w:eastAsia="SimSun"/>
          <w:color w:val="auto"/>
          <w:sz w:val="22"/>
        </w:rPr>
        <w:t xml:space="preserve"> </w:t>
      </w:r>
      <w:r w:rsidR="00C3477C" w:rsidRPr="00597C69">
        <w:rPr>
          <w:rFonts w:eastAsia="SimSun"/>
          <w:color w:val="auto"/>
          <w:sz w:val="22"/>
        </w:rPr>
        <w:t xml:space="preserve">and </w:t>
      </w:r>
      <w:r w:rsidR="0010477D" w:rsidRPr="00597C69">
        <w:rPr>
          <w:rFonts w:eastAsia="SimSun"/>
          <w:color w:val="auto"/>
          <w:sz w:val="22"/>
        </w:rPr>
        <w:t xml:space="preserve">potential </w:t>
      </w:r>
      <w:r w:rsidR="00C3477C" w:rsidRPr="00597C69">
        <w:rPr>
          <w:rFonts w:eastAsia="SimSun"/>
          <w:color w:val="auto"/>
          <w:sz w:val="22"/>
        </w:rPr>
        <w:t xml:space="preserve">IFC </w:t>
      </w:r>
      <w:r w:rsidR="0010477D" w:rsidRPr="00597C69">
        <w:rPr>
          <w:rFonts w:eastAsia="SimSun"/>
          <w:color w:val="auto"/>
          <w:sz w:val="22"/>
        </w:rPr>
        <w:t>investments</w:t>
      </w:r>
      <w:r w:rsidR="00A25D2A" w:rsidRPr="00597C69">
        <w:rPr>
          <w:rFonts w:eastAsia="SimSun"/>
          <w:color w:val="auto"/>
          <w:sz w:val="22"/>
        </w:rPr>
        <w:t xml:space="preserve"> </w:t>
      </w:r>
      <w:r w:rsidR="00522481" w:rsidRPr="00597C69">
        <w:rPr>
          <w:rFonts w:eastAsia="SimSun"/>
          <w:color w:val="auto"/>
          <w:sz w:val="22"/>
        </w:rPr>
        <w:t>or</w:t>
      </w:r>
      <w:r w:rsidR="00522481" w:rsidRPr="00BA050E">
        <w:rPr>
          <w:rFonts w:eastAsia="SimSun"/>
          <w:color w:val="auto"/>
          <w:sz w:val="22"/>
        </w:rPr>
        <w:t xml:space="preserve"> M</w:t>
      </w:r>
      <w:r w:rsidR="00BF03E8" w:rsidRPr="00BA050E">
        <w:rPr>
          <w:rFonts w:eastAsia="SimSun"/>
          <w:color w:val="auto"/>
          <w:sz w:val="22"/>
        </w:rPr>
        <w:t xml:space="preserve">ultilateral </w:t>
      </w:r>
      <w:r w:rsidR="00522481" w:rsidRPr="00BA050E">
        <w:rPr>
          <w:rFonts w:eastAsia="SimSun"/>
          <w:color w:val="auto"/>
          <w:sz w:val="22"/>
        </w:rPr>
        <w:t>I</w:t>
      </w:r>
      <w:r w:rsidR="00BF03E8" w:rsidRPr="00BA050E">
        <w:rPr>
          <w:rFonts w:eastAsia="SimSun"/>
          <w:color w:val="auto"/>
          <w:sz w:val="22"/>
        </w:rPr>
        <w:t xml:space="preserve">nvestment </w:t>
      </w:r>
      <w:r w:rsidR="00522481" w:rsidRPr="00BA050E">
        <w:rPr>
          <w:rFonts w:eastAsia="SimSun"/>
          <w:color w:val="auto"/>
          <w:sz w:val="22"/>
        </w:rPr>
        <w:t>G</w:t>
      </w:r>
      <w:r w:rsidR="00BF03E8" w:rsidRPr="00BA050E">
        <w:rPr>
          <w:rFonts w:eastAsia="SimSun"/>
          <w:color w:val="auto"/>
          <w:sz w:val="22"/>
        </w:rPr>
        <w:t xml:space="preserve">uarantee </w:t>
      </w:r>
      <w:r w:rsidR="00522481" w:rsidRPr="00BA050E">
        <w:rPr>
          <w:rFonts w:eastAsia="SimSun"/>
          <w:color w:val="auto"/>
          <w:sz w:val="22"/>
        </w:rPr>
        <w:t>A</w:t>
      </w:r>
      <w:r w:rsidR="00BF03E8" w:rsidRPr="00BA050E">
        <w:rPr>
          <w:rFonts w:eastAsia="SimSun"/>
          <w:color w:val="auto"/>
          <w:sz w:val="22"/>
        </w:rPr>
        <w:t>gency (MIGA)</w:t>
      </w:r>
      <w:r w:rsidR="00522481" w:rsidRPr="00BA050E">
        <w:rPr>
          <w:rFonts w:eastAsia="SimSun"/>
          <w:color w:val="auto"/>
          <w:sz w:val="22"/>
        </w:rPr>
        <w:t xml:space="preserve"> guarantees </w:t>
      </w:r>
      <w:r w:rsidR="00A25D2A" w:rsidRPr="00BA050E">
        <w:rPr>
          <w:rFonts w:eastAsia="SimSun"/>
          <w:color w:val="auto"/>
          <w:sz w:val="22"/>
        </w:rPr>
        <w:t>would be the main instrument</w:t>
      </w:r>
      <w:r w:rsidR="006D135B" w:rsidRPr="00BA050E">
        <w:rPr>
          <w:rFonts w:eastAsia="SimSun"/>
          <w:color w:val="auto"/>
          <w:sz w:val="22"/>
        </w:rPr>
        <w:t xml:space="preserve">s. </w:t>
      </w:r>
      <w:r w:rsidR="006D135B" w:rsidRPr="00BA050E">
        <w:rPr>
          <w:sz w:val="22"/>
        </w:rPr>
        <w:t xml:space="preserve">The </w:t>
      </w:r>
      <w:r w:rsidR="00B565A1" w:rsidRPr="00BA050E">
        <w:rPr>
          <w:sz w:val="22"/>
        </w:rPr>
        <w:t xml:space="preserve">old CPS and new CPF exhibit </w:t>
      </w:r>
      <w:r w:rsidR="006D135B" w:rsidRPr="00BA050E">
        <w:rPr>
          <w:sz w:val="22"/>
        </w:rPr>
        <w:t>continuity, the main difference being a tighter focus on governance</w:t>
      </w:r>
      <w:r w:rsidR="00F4058C">
        <w:rPr>
          <w:sz w:val="22"/>
        </w:rPr>
        <w:t>—maintaining the shift in focus begun during the FY16 PLR—</w:t>
      </w:r>
      <w:r w:rsidR="006D135B" w:rsidRPr="00BA050E">
        <w:rPr>
          <w:sz w:val="22"/>
        </w:rPr>
        <w:t>and job-relevant sk</w:t>
      </w:r>
      <w:r w:rsidR="006B1E8B" w:rsidRPr="00BA050E">
        <w:rPr>
          <w:sz w:val="22"/>
        </w:rPr>
        <w:t>ills development in the latter.</w:t>
      </w:r>
    </w:p>
    <w:p w14:paraId="70FE67A3" w14:textId="77777777" w:rsidR="006D135B" w:rsidRPr="00BA050E" w:rsidRDefault="006D135B" w:rsidP="006B1E8B">
      <w:pPr>
        <w:ind w:left="0" w:firstLine="0"/>
        <w:rPr>
          <w:rFonts w:eastAsia="SimSun"/>
          <w:b/>
          <w:color w:val="auto"/>
          <w:szCs w:val="24"/>
        </w:rPr>
      </w:pPr>
    </w:p>
    <w:p w14:paraId="6ADAD677" w14:textId="77777777" w:rsidR="00B12BC7" w:rsidRPr="00D77307" w:rsidRDefault="00B565A1" w:rsidP="000C5801">
      <w:pPr>
        <w:pStyle w:val="ListParagraph"/>
        <w:numPr>
          <w:ilvl w:val="0"/>
          <w:numId w:val="1"/>
        </w:numPr>
        <w:spacing w:after="0" w:line="240" w:lineRule="auto"/>
        <w:ind w:left="0" w:right="0" w:firstLine="0"/>
        <w:rPr>
          <w:rFonts w:eastAsia="SimSun"/>
          <w:b/>
          <w:color w:val="BF8F00" w:themeColor="accent4" w:themeShade="BF"/>
          <w:szCs w:val="24"/>
        </w:rPr>
      </w:pPr>
      <w:r w:rsidRPr="00BA050E">
        <w:rPr>
          <w:b/>
          <w:sz w:val="22"/>
        </w:rPr>
        <w:t xml:space="preserve">The principal risks to </w:t>
      </w:r>
      <w:r w:rsidR="00B12BC7" w:rsidRPr="00BA050E">
        <w:rPr>
          <w:b/>
          <w:sz w:val="22"/>
        </w:rPr>
        <w:t xml:space="preserve">program implementation are political and governance, </w:t>
      </w:r>
      <w:r w:rsidR="006D135B" w:rsidRPr="00BA050E">
        <w:rPr>
          <w:b/>
          <w:sz w:val="22"/>
        </w:rPr>
        <w:t xml:space="preserve">which are </w:t>
      </w:r>
      <w:r w:rsidR="00B12BC7" w:rsidRPr="00BA050E">
        <w:rPr>
          <w:b/>
          <w:sz w:val="22"/>
        </w:rPr>
        <w:t>rated high, and macroeconomic, institutional cap</w:t>
      </w:r>
      <w:r w:rsidRPr="00BA050E">
        <w:rPr>
          <w:b/>
          <w:sz w:val="22"/>
        </w:rPr>
        <w:t xml:space="preserve">acity, and fiduciary, which are </w:t>
      </w:r>
      <w:r w:rsidR="00B12BC7" w:rsidRPr="00BA050E">
        <w:rPr>
          <w:b/>
          <w:sz w:val="22"/>
        </w:rPr>
        <w:t>rated substantial</w:t>
      </w:r>
      <w:r w:rsidR="00B12BC7" w:rsidRPr="00BA050E">
        <w:rPr>
          <w:sz w:val="22"/>
        </w:rPr>
        <w:t xml:space="preserve">. </w:t>
      </w:r>
      <w:r w:rsidR="00B93910" w:rsidRPr="00BA050E">
        <w:rPr>
          <w:sz w:val="22"/>
        </w:rPr>
        <w:t>Measures to manage and/or mitigate these risks are described</w:t>
      </w:r>
      <w:r w:rsidR="008F06F0" w:rsidRPr="00BA050E">
        <w:rPr>
          <w:sz w:val="22"/>
        </w:rPr>
        <w:t xml:space="preserve"> in S</w:t>
      </w:r>
      <w:r w:rsidR="006D135B" w:rsidRPr="00BA050E">
        <w:rPr>
          <w:sz w:val="22"/>
        </w:rPr>
        <w:t xml:space="preserve">ection </w:t>
      </w:r>
      <w:r w:rsidR="008F06F0" w:rsidRPr="00BA050E">
        <w:rPr>
          <w:sz w:val="22"/>
        </w:rPr>
        <w:t>IV</w:t>
      </w:r>
      <w:r w:rsidR="006D135B" w:rsidRPr="00BA050E">
        <w:rPr>
          <w:sz w:val="22"/>
        </w:rPr>
        <w:t>.</w:t>
      </w:r>
    </w:p>
    <w:p w14:paraId="686295FA" w14:textId="77777777" w:rsidR="0098362A" w:rsidRPr="00D77307" w:rsidRDefault="0098362A" w:rsidP="00D77307">
      <w:pPr>
        <w:pStyle w:val="ListParagraph"/>
        <w:rPr>
          <w:rFonts w:eastAsia="SimSun"/>
          <w:b/>
          <w:color w:val="BF8F00" w:themeColor="accent4" w:themeShade="BF"/>
          <w:szCs w:val="24"/>
        </w:rPr>
      </w:pPr>
    </w:p>
    <w:p w14:paraId="292096AD" w14:textId="77777777" w:rsidR="007B6678" w:rsidRPr="00CA6138" w:rsidRDefault="00A84519" w:rsidP="00A84519">
      <w:pPr>
        <w:pStyle w:val="Heading1"/>
        <w:ind w:right="0"/>
        <w:rPr>
          <w:rFonts w:eastAsia="SimSun" w:hint="eastAsia"/>
        </w:rPr>
      </w:pPr>
      <w:bookmarkStart w:id="1" w:name="_Toc484623047"/>
      <w:r>
        <w:rPr>
          <w:rFonts w:eastAsia="SimSun"/>
        </w:rPr>
        <w:t>II.</w:t>
      </w:r>
      <w:r w:rsidR="008C7F0C" w:rsidRPr="00CA6138">
        <w:rPr>
          <w:rFonts w:eastAsia="SimSun"/>
        </w:rPr>
        <w:tab/>
      </w:r>
      <w:r w:rsidR="007B6678" w:rsidRPr="00CA6138">
        <w:rPr>
          <w:rFonts w:eastAsia="SimSun" w:hint="eastAsia"/>
        </w:rPr>
        <w:t>COUNTRY CONTEXT AND DEVELOPMENT AGENDA</w:t>
      </w:r>
      <w:bookmarkEnd w:id="1"/>
    </w:p>
    <w:p w14:paraId="6241322D" w14:textId="77777777" w:rsidR="007B6678" w:rsidRPr="00BA050E" w:rsidRDefault="007B6678" w:rsidP="007B6678">
      <w:pPr>
        <w:spacing w:after="200" w:line="276" w:lineRule="auto"/>
        <w:ind w:right="0"/>
        <w:rPr>
          <w:rFonts w:eastAsia="SimSun"/>
          <w:b/>
          <w:color w:val="auto"/>
          <w:szCs w:val="24"/>
        </w:rPr>
      </w:pPr>
      <w:r w:rsidRPr="00BA050E">
        <w:rPr>
          <w:rFonts w:eastAsia="SimSun"/>
          <w:b/>
          <w:color w:val="auto"/>
          <w:szCs w:val="24"/>
        </w:rPr>
        <w:t>Background</w:t>
      </w:r>
    </w:p>
    <w:p w14:paraId="7A2EE58D" w14:textId="50AAB6CF" w:rsidR="000F2754" w:rsidRPr="00BA050E" w:rsidRDefault="00D072BE" w:rsidP="000C5801">
      <w:pPr>
        <w:pStyle w:val="ListParagraph"/>
        <w:numPr>
          <w:ilvl w:val="0"/>
          <w:numId w:val="1"/>
        </w:numPr>
        <w:spacing w:after="100" w:afterAutospacing="1" w:line="240" w:lineRule="auto"/>
        <w:ind w:left="14" w:right="0" w:firstLine="0"/>
        <w:rPr>
          <w:sz w:val="22"/>
        </w:rPr>
      </w:pPr>
      <w:r w:rsidRPr="00BA050E">
        <w:rPr>
          <w:b/>
          <w:sz w:val="22"/>
        </w:rPr>
        <w:t xml:space="preserve">Since the early 2000s, </w:t>
      </w:r>
      <w:r w:rsidR="007B6678" w:rsidRPr="00BA050E">
        <w:rPr>
          <w:b/>
          <w:sz w:val="22"/>
        </w:rPr>
        <w:t xml:space="preserve">Moldova, the poorest country in Europe, has made significant progress in </w:t>
      </w:r>
      <w:r w:rsidR="004E03DA" w:rsidRPr="00BA050E">
        <w:rPr>
          <w:b/>
          <w:sz w:val="22"/>
        </w:rPr>
        <w:t>achiev</w:t>
      </w:r>
      <w:r w:rsidRPr="00BA050E">
        <w:rPr>
          <w:b/>
          <w:sz w:val="22"/>
        </w:rPr>
        <w:t>ing inclusive growth</w:t>
      </w:r>
      <w:r w:rsidR="00AF4167" w:rsidRPr="00BA050E">
        <w:rPr>
          <w:b/>
          <w:sz w:val="22"/>
        </w:rPr>
        <w:t xml:space="preserve">, averaging 5 percent annually, </w:t>
      </w:r>
      <w:r w:rsidRPr="00BA050E">
        <w:rPr>
          <w:b/>
          <w:sz w:val="22"/>
        </w:rPr>
        <w:t>and reducing poverty</w:t>
      </w:r>
      <w:r w:rsidR="00AF4167" w:rsidRPr="00BA050E">
        <w:rPr>
          <w:b/>
          <w:sz w:val="22"/>
        </w:rPr>
        <w:t xml:space="preserve">, which </w:t>
      </w:r>
      <w:r w:rsidR="00C76BBB" w:rsidRPr="00BA050E">
        <w:rPr>
          <w:b/>
          <w:sz w:val="22"/>
        </w:rPr>
        <w:t xml:space="preserve">declined </w:t>
      </w:r>
      <w:r w:rsidR="00AF4167" w:rsidRPr="00BA050E">
        <w:rPr>
          <w:b/>
          <w:sz w:val="22"/>
        </w:rPr>
        <w:t>from 26 percent in 2007 to 11 percent in 2014</w:t>
      </w:r>
      <w:r w:rsidR="006746D0" w:rsidRPr="00BA050E">
        <w:rPr>
          <w:b/>
          <w:sz w:val="22"/>
        </w:rPr>
        <w:t>.</w:t>
      </w:r>
      <w:r w:rsidR="004B1E78" w:rsidRPr="00CA6138">
        <w:rPr>
          <w:rStyle w:val="FootnoteReference"/>
          <w:sz w:val="22"/>
        </w:rPr>
        <w:footnoteReference w:id="3"/>
      </w:r>
      <w:r w:rsidR="006B1E8B" w:rsidRPr="00BA050E">
        <w:rPr>
          <w:b/>
          <w:sz w:val="22"/>
        </w:rPr>
        <w:t xml:space="preserve"> </w:t>
      </w:r>
      <w:r w:rsidR="00C76BBB" w:rsidRPr="00BA050E">
        <w:rPr>
          <w:sz w:val="22"/>
        </w:rPr>
        <w:t xml:space="preserve">Growth </w:t>
      </w:r>
      <w:r w:rsidR="00E818BE" w:rsidRPr="00BA050E">
        <w:rPr>
          <w:sz w:val="22"/>
        </w:rPr>
        <w:t>h</w:t>
      </w:r>
      <w:r w:rsidR="00AF4167" w:rsidRPr="00BA050E">
        <w:rPr>
          <w:sz w:val="22"/>
        </w:rPr>
        <w:t xml:space="preserve">as </w:t>
      </w:r>
      <w:r w:rsidR="00E818BE" w:rsidRPr="00BA050E">
        <w:rPr>
          <w:sz w:val="22"/>
        </w:rPr>
        <w:t xml:space="preserve">been driven </w:t>
      </w:r>
      <w:r w:rsidR="007B6678" w:rsidRPr="00BA050E">
        <w:rPr>
          <w:sz w:val="22"/>
        </w:rPr>
        <w:t xml:space="preserve">largely </w:t>
      </w:r>
      <w:r w:rsidR="00E818BE" w:rsidRPr="00BA050E">
        <w:rPr>
          <w:sz w:val="22"/>
        </w:rPr>
        <w:t xml:space="preserve">by </w:t>
      </w:r>
      <w:r w:rsidRPr="00BA050E">
        <w:rPr>
          <w:sz w:val="22"/>
        </w:rPr>
        <w:t>consumption</w:t>
      </w:r>
      <w:r w:rsidR="00E818BE" w:rsidRPr="00BA050E">
        <w:rPr>
          <w:sz w:val="22"/>
        </w:rPr>
        <w:t xml:space="preserve"> </w:t>
      </w:r>
      <w:r w:rsidR="00C76BBB" w:rsidRPr="00BA050E">
        <w:rPr>
          <w:sz w:val="22"/>
        </w:rPr>
        <w:t>and poverty reduction</w:t>
      </w:r>
      <w:r w:rsidRPr="00BA050E">
        <w:rPr>
          <w:sz w:val="22"/>
        </w:rPr>
        <w:t xml:space="preserve"> </w:t>
      </w:r>
      <w:r w:rsidR="004F0891" w:rsidRPr="00BA050E">
        <w:rPr>
          <w:sz w:val="22"/>
        </w:rPr>
        <w:t xml:space="preserve">mainly </w:t>
      </w:r>
      <w:r w:rsidR="005A2505" w:rsidRPr="00BA050E">
        <w:rPr>
          <w:sz w:val="22"/>
        </w:rPr>
        <w:t>by</w:t>
      </w:r>
      <w:r w:rsidR="009E12A6" w:rsidRPr="00BA050E">
        <w:rPr>
          <w:sz w:val="22"/>
        </w:rPr>
        <w:t xml:space="preserve"> </w:t>
      </w:r>
      <w:r w:rsidR="007B6678" w:rsidRPr="00BA050E">
        <w:rPr>
          <w:sz w:val="22"/>
        </w:rPr>
        <w:t>remittanc</w:t>
      </w:r>
      <w:r w:rsidR="004F0891" w:rsidRPr="00BA050E">
        <w:rPr>
          <w:sz w:val="22"/>
        </w:rPr>
        <w:t xml:space="preserve">es </w:t>
      </w:r>
      <w:r w:rsidR="007F2054" w:rsidRPr="00BA050E">
        <w:rPr>
          <w:sz w:val="22"/>
        </w:rPr>
        <w:t xml:space="preserve">and </w:t>
      </w:r>
      <w:r w:rsidR="007B6678" w:rsidRPr="00BA050E">
        <w:rPr>
          <w:sz w:val="22"/>
        </w:rPr>
        <w:t>pensions</w:t>
      </w:r>
      <w:r w:rsidR="00C3477C" w:rsidRPr="00BA050E">
        <w:rPr>
          <w:sz w:val="22"/>
        </w:rPr>
        <w:t xml:space="preserve">. </w:t>
      </w:r>
      <w:r w:rsidR="006565B0" w:rsidRPr="00BA050E">
        <w:rPr>
          <w:sz w:val="22"/>
        </w:rPr>
        <w:t>E</w:t>
      </w:r>
      <w:r w:rsidR="000F2754" w:rsidRPr="00BA050E">
        <w:rPr>
          <w:sz w:val="22"/>
        </w:rPr>
        <w:t>mploymen</w:t>
      </w:r>
      <w:r w:rsidR="004F0891" w:rsidRPr="00BA050E">
        <w:rPr>
          <w:sz w:val="22"/>
        </w:rPr>
        <w:t xml:space="preserve">t </w:t>
      </w:r>
      <w:r w:rsidR="00F751B0" w:rsidRPr="00BA050E">
        <w:rPr>
          <w:sz w:val="22"/>
        </w:rPr>
        <w:t>declined</w:t>
      </w:r>
      <w:r w:rsidR="000F2754" w:rsidRPr="00BA050E">
        <w:rPr>
          <w:sz w:val="22"/>
        </w:rPr>
        <w:t xml:space="preserve"> </w:t>
      </w:r>
      <w:r w:rsidR="00E271EB" w:rsidRPr="00BA050E">
        <w:rPr>
          <w:sz w:val="22"/>
        </w:rPr>
        <w:t>because of</w:t>
      </w:r>
      <w:r w:rsidR="00B9517B" w:rsidRPr="00BA050E">
        <w:rPr>
          <w:sz w:val="22"/>
        </w:rPr>
        <w:t xml:space="preserve"> </w:t>
      </w:r>
      <w:r w:rsidR="00D432C7" w:rsidRPr="00BA050E">
        <w:rPr>
          <w:sz w:val="22"/>
        </w:rPr>
        <w:t xml:space="preserve">emigration and </w:t>
      </w:r>
      <w:r w:rsidR="00B9517B" w:rsidRPr="00BA050E">
        <w:rPr>
          <w:sz w:val="22"/>
        </w:rPr>
        <w:t>fall</w:t>
      </w:r>
      <w:r w:rsidR="006565B0" w:rsidRPr="00BA050E">
        <w:rPr>
          <w:sz w:val="22"/>
        </w:rPr>
        <w:t xml:space="preserve">ing </w:t>
      </w:r>
      <w:r w:rsidR="007F2054" w:rsidRPr="00BA050E">
        <w:rPr>
          <w:sz w:val="22"/>
        </w:rPr>
        <w:t xml:space="preserve">labor force participation, </w:t>
      </w:r>
      <w:r w:rsidR="006565B0" w:rsidRPr="00BA050E">
        <w:rPr>
          <w:sz w:val="22"/>
        </w:rPr>
        <w:t>so wage income added little to improving</w:t>
      </w:r>
      <w:r w:rsidR="007F2054" w:rsidRPr="00BA050E">
        <w:rPr>
          <w:sz w:val="22"/>
        </w:rPr>
        <w:t xml:space="preserve"> living stand</w:t>
      </w:r>
      <w:r w:rsidR="00115DDC" w:rsidRPr="00BA050E">
        <w:rPr>
          <w:sz w:val="22"/>
        </w:rPr>
        <w:t xml:space="preserve">ards. </w:t>
      </w:r>
      <w:r w:rsidR="00C3477C" w:rsidRPr="00BA050E">
        <w:rPr>
          <w:sz w:val="22"/>
        </w:rPr>
        <w:t xml:space="preserve">As noted above, </w:t>
      </w:r>
      <w:r w:rsidR="000F3C26" w:rsidRPr="00BA050E">
        <w:rPr>
          <w:sz w:val="22"/>
        </w:rPr>
        <w:t xml:space="preserve">Moldova </w:t>
      </w:r>
      <w:r w:rsidR="00115DDC" w:rsidRPr="00BA050E">
        <w:rPr>
          <w:sz w:val="22"/>
        </w:rPr>
        <w:t>i</w:t>
      </w:r>
      <w:r w:rsidR="004F0891" w:rsidRPr="00BA050E">
        <w:rPr>
          <w:sz w:val="22"/>
        </w:rPr>
        <w:t>s</w:t>
      </w:r>
      <w:r w:rsidR="00312832" w:rsidRPr="00BA050E">
        <w:rPr>
          <w:sz w:val="22"/>
        </w:rPr>
        <w:t xml:space="preserve"> vulnerable to </w:t>
      </w:r>
      <w:r w:rsidR="00115DDC" w:rsidRPr="00BA050E">
        <w:rPr>
          <w:sz w:val="22"/>
        </w:rPr>
        <w:t xml:space="preserve">changes in external demand </w:t>
      </w:r>
      <w:r w:rsidR="00C3477C" w:rsidRPr="00BA050E">
        <w:rPr>
          <w:sz w:val="22"/>
        </w:rPr>
        <w:t>and</w:t>
      </w:r>
      <w:r w:rsidR="00312832" w:rsidRPr="00BA050E">
        <w:rPr>
          <w:sz w:val="22"/>
        </w:rPr>
        <w:t xml:space="preserve"> climate shocks.</w:t>
      </w:r>
      <w:r w:rsidR="0036058E" w:rsidRPr="00BA050E">
        <w:rPr>
          <w:sz w:val="22"/>
        </w:rPr>
        <w:t xml:space="preserve"> </w:t>
      </w:r>
      <w:r w:rsidR="00CA2DB8" w:rsidRPr="00BA050E">
        <w:rPr>
          <w:sz w:val="22"/>
        </w:rPr>
        <w:t>It is also at risk</w:t>
      </w:r>
      <w:r w:rsidR="00312832" w:rsidRPr="00BA050E">
        <w:rPr>
          <w:sz w:val="22"/>
        </w:rPr>
        <w:t xml:space="preserve"> because of high e</w:t>
      </w:r>
      <w:r w:rsidR="006565B0" w:rsidRPr="00BA050E">
        <w:rPr>
          <w:sz w:val="22"/>
        </w:rPr>
        <w:t>xternal debt and</w:t>
      </w:r>
      <w:r w:rsidR="00C3477C" w:rsidRPr="00BA050E">
        <w:rPr>
          <w:sz w:val="22"/>
        </w:rPr>
        <w:t xml:space="preserve"> </w:t>
      </w:r>
      <w:r w:rsidR="001A5665" w:rsidRPr="00BA050E">
        <w:rPr>
          <w:sz w:val="22"/>
        </w:rPr>
        <w:t xml:space="preserve">a legacy </w:t>
      </w:r>
      <w:r w:rsidR="00C3477C" w:rsidRPr="00BA050E">
        <w:rPr>
          <w:sz w:val="22"/>
        </w:rPr>
        <w:t>of</w:t>
      </w:r>
      <w:r w:rsidR="006B1E8B" w:rsidRPr="00BA050E">
        <w:rPr>
          <w:sz w:val="22"/>
        </w:rPr>
        <w:t xml:space="preserve"> political instability</w:t>
      </w:r>
      <w:r w:rsidR="00537BB9">
        <w:rPr>
          <w:sz w:val="22"/>
        </w:rPr>
        <w:t xml:space="preserve">. Emigration of the working-age population and </w:t>
      </w:r>
      <w:r w:rsidR="00393221">
        <w:rPr>
          <w:sz w:val="22"/>
        </w:rPr>
        <w:t xml:space="preserve">an </w:t>
      </w:r>
      <w:r w:rsidR="00537BB9">
        <w:rPr>
          <w:sz w:val="22"/>
        </w:rPr>
        <w:t xml:space="preserve">annual population decline of </w:t>
      </w:r>
      <w:r w:rsidR="006F7A89">
        <w:rPr>
          <w:sz w:val="22"/>
        </w:rPr>
        <w:t xml:space="preserve">around 1½ percent </w:t>
      </w:r>
      <w:r w:rsidR="00537BB9">
        <w:rPr>
          <w:sz w:val="22"/>
        </w:rPr>
        <w:t xml:space="preserve">add to </w:t>
      </w:r>
      <w:r w:rsidR="008C7F0C">
        <w:rPr>
          <w:sz w:val="22"/>
        </w:rPr>
        <w:t xml:space="preserve">the country’s </w:t>
      </w:r>
      <w:r w:rsidR="00537BB9">
        <w:rPr>
          <w:sz w:val="22"/>
        </w:rPr>
        <w:t xml:space="preserve">economic, </w:t>
      </w:r>
      <w:r w:rsidR="004D28B5">
        <w:rPr>
          <w:sz w:val="22"/>
        </w:rPr>
        <w:t xml:space="preserve">fiscal, and </w:t>
      </w:r>
      <w:r w:rsidR="00537BB9">
        <w:rPr>
          <w:sz w:val="22"/>
        </w:rPr>
        <w:t>social fragility.</w:t>
      </w:r>
      <w:r w:rsidR="002A1AB4">
        <w:rPr>
          <w:sz w:val="22"/>
        </w:rPr>
        <w:t xml:space="preserve"> </w:t>
      </w:r>
    </w:p>
    <w:p w14:paraId="74294011" w14:textId="77777777" w:rsidR="000F2754" w:rsidRPr="00BA050E" w:rsidRDefault="000F2754" w:rsidP="000F2754">
      <w:pPr>
        <w:pStyle w:val="ListParagraph"/>
        <w:spacing w:after="100" w:afterAutospacing="1" w:line="240" w:lineRule="auto"/>
        <w:ind w:left="0" w:right="0" w:firstLine="0"/>
        <w:rPr>
          <w:sz w:val="22"/>
        </w:rPr>
      </w:pPr>
    </w:p>
    <w:p w14:paraId="6D8BB11A" w14:textId="38EFE604" w:rsidR="007B6678" w:rsidRPr="00BA050E" w:rsidRDefault="00C3477C" w:rsidP="000C5801">
      <w:pPr>
        <w:pStyle w:val="ListParagraph"/>
        <w:numPr>
          <w:ilvl w:val="0"/>
          <w:numId w:val="1"/>
        </w:numPr>
        <w:spacing w:after="100" w:afterAutospacing="1" w:line="240" w:lineRule="auto"/>
        <w:ind w:left="0" w:right="0" w:firstLine="0"/>
        <w:rPr>
          <w:sz w:val="22"/>
        </w:rPr>
      </w:pPr>
      <w:r w:rsidRPr="00BA050E">
        <w:rPr>
          <w:b/>
          <w:sz w:val="22"/>
        </w:rPr>
        <w:t xml:space="preserve">The NDS and SCD </w:t>
      </w:r>
      <w:r w:rsidR="00F767BE">
        <w:rPr>
          <w:b/>
          <w:sz w:val="22"/>
        </w:rPr>
        <w:t>stress</w:t>
      </w:r>
      <w:r w:rsidR="00F767BE" w:rsidRPr="00BA050E">
        <w:rPr>
          <w:b/>
          <w:sz w:val="22"/>
        </w:rPr>
        <w:t xml:space="preserve"> </w:t>
      </w:r>
      <w:r w:rsidR="00B67E91" w:rsidRPr="00BA050E">
        <w:rPr>
          <w:b/>
          <w:sz w:val="22"/>
        </w:rPr>
        <w:t xml:space="preserve">that </w:t>
      </w:r>
      <w:r w:rsidR="000F2754" w:rsidRPr="00BA050E">
        <w:rPr>
          <w:b/>
          <w:sz w:val="22"/>
        </w:rPr>
        <w:t xml:space="preserve">the drivers of growth and poverty reduction </w:t>
      </w:r>
      <w:r w:rsidR="00B67E91" w:rsidRPr="00BA050E">
        <w:rPr>
          <w:b/>
          <w:sz w:val="22"/>
        </w:rPr>
        <w:t xml:space="preserve">hitherto </w:t>
      </w:r>
      <w:r w:rsidR="000F2754" w:rsidRPr="00BA050E">
        <w:rPr>
          <w:b/>
          <w:sz w:val="22"/>
        </w:rPr>
        <w:t>are not sustainable</w:t>
      </w:r>
      <w:r w:rsidR="00B67E91" w:rsidRPr="00BA050E">
        <w:rPr>
          <w:b/>
          <w:sz w:val="22"/>
        </w:rPr>
        <w:t xml:space="preserve"> </w:t>
      </w:r>
      <w:r w:rsidR="00BC21DA" w:rsidRPr="00BA050E">
        <w:rPr>
          <w:b/>
          <w:sz w:val="22"/>
        </w:rPr>
        <w:t>and</w:t>
      </w:r>
      <w:r w:rsidR="000F2754" w:rsidRPr="00BA050E">
        <w:rPr>
          <w:b/>
          <w:sz w:val="22"/>
        </w:rPr>
        <w:t xml:space="preserve"> </w:t>
      </w:r>
      <w:r w:rsidR="00B67E91" w:rsidRPr="00BA050E">
        <w:rPr>
          <w:b/>
          <w:sz w:val="22"/>
        </w:rPr>
        <w:t xml:space="preserve">that </w:t>
      </w:r>
      <w:r w:rsidR="007E4C7A" w:rsidRPr="00BA050E">
        <w:rPr>
          <w:b/>
          <w:sz w:val="22"/>
        </w:rPr>
        <w:t xml:space="preserve">Moldova </w:t>
      </w:r>
      <w:r w:rsidR="00BC21DA" w:rsidRPr="00BA050E">
        <w:rPr>
          <w:b/>
          <w:sz w:val="22"/>
        </w:rPr>
        <w:t xml:space="preserve">therefore </w:t>
      </w:r>
      <w:r w:rsidR="007E4C7A" w:rsidRPr="00BA050E">
        <w:rPr>
          <w:b/>
          <w:sz w:val="22"/>
        </w:rPr>
        <w:t xml:space="preserve">needs </w:t>
      </w:r>
      <w:r w:rsidR="009E12A6" w:rsidRPr="00BA050E">
        <w:rPr>
          <w:b/>
          <w:sz w:val="22"/>
        </w:rPr>
        <w:t xml:space="preserve">a </w:t>
      </w:r>
      <w:r w:rsidR="00EF04CF" w:rsidRPr="00BA050E">
        <w:rPr>
          <w:b/>
          <w:sz w:val="22"/>
        </w:rPr>
        <w:t xml:space="preserve">more </w:t>
      </w:r>
      <w:r w:rsidR="000F2754" w:rsidRPr="00BA050E">
        <w:rPr>
          <w:b/>
          <w:sz w:val="22"/>
        </w:rPr>
        <w:t xml:space="preserve">balanced </w:t>
      </w:r>
      <w:r w:rsidR="000E55EA" w:rsidRPr="00BA050E">
        <w:rPr>
          <w:b/>
          <w:sz w:val="22"/>
        </w:rPr>
        <w:t xml:space="preserve">development </w:t>
      </w:r>
      <w:r w:rsidR="007E4C7A" w:rsidRPr="00BA050E">
        <w:rPr>
          <w:b/>
          <w:sz w:val="22"/>
        </w:rPr>
        <w:t>model</w:t>
      </w:r>
      <w:r w:rsidR="006B1E8B" w:rsidRPr="00BA050E">
        <w:rPr>
          <w:b/>
          <w:sz w:val="22"/>
        </w:rPr>
        <w:t>.</w:t>
      </w:r>
      <w:r w:rsidR="006B1E8B" w:rsidRPr="00BA050E">
        <w:rPr>
          <w:sz w:val="22"/>
        </w:rPr>
        <w:t xml:space="preserve"> </w:t>
      </w:r>
      <w:r w:rsidR="000E55EA" w:rsidRPr="00BA050E">
        <w:rPr>
          <w:sz w:val="22"/>
        </w:rPr>
        <w:t xml:space="preserve">As the role of </w:t>
      </w:r>
      <w:r w:rsidR="000F2754" w:rsidRPr="00BA050E">
        <w:rPr>
          <w:sz w:val="22"/>
        </w:rPr>
        <w:t>remittances and pensions</w:t>
      </w:r>
      <w:r w:rsidR="00FB3837" w:rsidRPr="00BA050E">
        <w:rPr>
          <w:sz w:val="22"/>
        </w:rPr>
        <w:t xml:space="preserve"> moderates</w:t>
      </w:r>
      <w:r w:rsidR="00BC21DA" w:rsidRPr="00BA050E">
        <w:rPr>
          <w:sz w:val="22"/>
        </w:rPr>
        <w:t xml:space="preserve">, </w:t>
      </w:r>
      <w:r w:rsidR="000E55EA" w:rsidRPr="00BA050E">
        <w:rPr>
          <w:sz w:val="22"/>
        </w:rPr>
        <w:t xml:space="preserve">future growth and poverty reduction </w:t>
      </w:r>
      <w:r w:rsidR="00DF5052" w:rsidRPr="00BA050E">
        <w:rPr>
          <w:sz w:val="22"/>
        </w:rPr>
        <w:t xml:space="preserve">will </w:t>
      </w:r>
      <w:r w:rsidR="00237822" w:rsidRPr="00BA050E">
        <w:rPr>
          <w:sz w:val="22"/>
        </w:rPr>
        <w:t xml:space="preserve">need </w:t>
      </w:r>
      <w:r w:rsidR="000E55EA" w:rsidRPr="00BA050E">
        <w:rPr>
          <w:sz w:val="22"/>
        </w:rPr>
        <w:t xml:space="preserve">to be </w:t>
      </w:r>
      <w:r w:rsidR="00115DDC" w:rsidRPr="00BA050E">
        <w:rPr>
          <w:sz w:val="22"/>
        </w:rPr>
        <w:t>generat</w:t>
      </w:r>
      <w:r w:rsidR="00DF5052" w:rsidRPr="00BA050E">
        <w:rPr>
          <w:sz w:val="22"/>
        </w:rPr>
        <w:t>ed</w:t>
      </w:r>
      <w:r w:rsidR="00753878" w:rsidRPr="00BA050E">
        <w:rPr>
          <w:sz w:val="22"/>
        </w:rPr>
        <w:t xml:space="preserve"> </w:t>
      </w:r>
      <w:r w:rsidR="00DF5052" w:rsidRPr="00BA050E">
        <w:rPr>
          <w:sz w:val="22"/>
        </w:rPr>
        <w:t>by</w:t>
      </w:r>
      <w:r w:rsidR="005F2595" w:rsidRPr="00BA050E">
        <w:rPr>
          <w:sz w:val="22"/>
        </w:rPr>
        <w:t xml:space="preserve"> </w:t>
      </w:r>
      <w:r w:rsidR="00B67E91" w:rsidRPr="00BA050E">
        <w:rPr>
          <w:sz w:val="22"/>
        </w:rPr>
        <w:t>quick</w:t>
      </w:r>
      <w:r w:rsidR="00F678D0" w:rsidRPr="00BA050E">
        <w:rPr>
          <w:sz w:val="22"/>
        </w:rPr>
        <w:t xml:space="preserve">er </w:t>
      </w:r>
      <w:r w:rsidR="007B6678" w:rsidRPr="00BA050E">
        <w:rPr>
          <w:sz w:val="22"/>
        </w:rPr>
        <w:t xml:space="preserve">private </w:t>
      </w:r>
      <w:r w:rsidR="00AA3DE5" w:rsidRPr="00BA050E">
        <w:rPr>
          <w:sz w:val="22"/>
        </w:rPr>
        <w:t xml:space="preserve">sector </w:t>
      </w:r>
      <w:r w:rsidR="00F678D0" w:rsidRPr="00BA050E">
        <w:rPr>
          <w:sz w:val="22"/>
        </w:rPr>
        <w:t>job creation</w:t>
      </w:r>
      <w:r w:rsidR="00B67E91" w:rsidRPr="00BA050E">
        <w:rPr>
          <w:sz w:val="22"/>
        </w:rPr>
        <w:t xml:space="preserve"> and increased</w:t>
      </w:r>
      <w:r w:rsidR="00DF5052" w:rsidRPr="00BA050E">
        <w:rPr>
          <w:sz w:val="22"/>
        </w:rPr>
        <w:t xml:space="preserve"> productivity</w:t>
      </w:r>
      <w:r w:rsidR="00237822" w:rsidRPr="00BA050E">
        <w:rPr>
          <w:sz w:val="22"/>
        </w:rPr>
        <w:t xml:space="preserve"> </w:t>
      </w:r>
      <w:r w:rsidR="00672A53">
        <w:rPr>
          <w:sz w:val="22"/>
        </w:rPr>
        <w:t>as well as</w:t>
      </w:r>
      <w:r w:rsidR="00753878" w:rsidRPr="00BA050E">
        <w:rPr>
          <w:sz w:val="22"/>
        </w:rPr>
        <w:t xml:space="preserve"> </w:t>
      </w:r>
      <w:r w:rsidR="00BC21DA" w:rsidRPr="00BA050E">
        <w:rPr>
          <w:sz w:val="22"/>
        </w:rPr>
        <w:t xml:space="preserve">by renewing </w:t>
      </w:r>
      <w:r w:rsidR="005F2595" w:rsidRPr="00BA050E">
        <w:rPr>
          <w:sz w:val="22"/>
        </w:rPr>
        <w:t xml:space="preserve">the </w:t>
      </w:r>
      <w:r w:rsidR="00BC21DA" w:rsidRPr="00BA050E">
        <w:rPr>
          <w:sz w:val="22"/>
        </w:rPr>
        <w:t xml:space="preserve">stock of </w:t>
      </w:r>
      <w:r w:rsidR="002A1AB4">
        <w:rPr>
          <w:sz w:val="22"/>
        </w:rPr>
        <w:t xml:space="preserve">market-relevant </w:t>
      </w:r>
      <w:r w:rsidR="00BC21DA" w:rsidRPr="00BA050E">
        <w:rPr>
          <w:sz w:val="22"/>
        </w:rPr>
        <w:t>human capital</w:t>
      </w:r>
      <w:r w:rsidR="00753878" w:rsidRPr="00BA050E">
        <w:rPr>
          <w:sz w:val="22"/>
        </w:rPr>
        <w:t>, while</w:t>
      </w:r>
      <w:r w:rsidR="005F2595" w:rsidRPr="00BA050E">
        <w:rPr>
          <w:sz w:val="22"/>
        </w:rPr>
        <w:t xml:space="preserve"> </w:t>
      </w:r>
      <w:r w:rsidR="00974950" w:rsidRPr="00BA050E">
        <w:rPr>
          <w:sz w:val="22"/>
        </w:rPr>
        <w:t xml:space="preserve">shielding </w:t>
      </w:r>
      <w:r w:rsidR="00753878" w:rsidRPr="00BA050E">
        <w:rPr>
          <w:sz w:val="22"/>
        </w:rPr>
        <w:t>the population</w:t>
      </w:r>
      <w:r w:rsidR="005F2595" w:rsidRPr="00BA050E">
        <w:rPr>
          <w:sz w:val="22"/>
        </w:rPr>
        <w:t xml:space="preserve"> from shocks</w:t>
      </w:r>
      <w:r w:rsidR="00753878" w:rsidRPr="00BA050E">
        <w:rPr>
          <w:sz w:val="22"/>
        </w:rPr>
        <w:t xml:space="preserve">. For Moldova to </w:t>
      </w:r>
      <w:r w:rsidR="00915CBC" w:rsidRPr="00BA050E">
        <w:rPr>
          <w:sz w:val="22"/>
        </w:rPr>
        <w:t>cont</w:t>
      </w:r>
      <w:r w:rsidR="005F2595" w:rsidRPr="00BA050E">
        <w:rPr>
          <w:sz w:val="22"/>
        </w:rPr>
        <w:t xml:space="preserve">inue progress towards the Bank Group’s </w:t>
      </w:r>
      <w:r w:rsidR="00915CBC" w:rsidRPr="00BA050E">
        <w:rPr>
          <w:sz w:val="22"/>
        </w:rPr>
        <w:t>twin goals</w:t>
      </w:r>
      <w:r w:rsidR="008969CE" w:rsidRPr="00BA050E">
        <w:rPr>
          <w:sz w:val="22"/>
        </w:rPr>
        <w:t xml:space="preserve">, </w:t>
      </w:r>
      <w:r w:rsidR="007E4C7A" w:rsidRPr="00BA050E">
        <w:rPr>
          <w:sz w:val="22"/>
        </w:rPr>
        <w:t>the</w:t>
      </w:r>
      <w:r w:rsidR="00B67E91" w:rsidRPr="00BA050E">
        <w:rPr>
          <w:sz w:val="22"/>
        </w:rPr>
        <w:t xml:space="preserve"> </w:t>
      </w:r>
      <w:r w:rsidR="005F2595" w:rsidRPr="00BA050E">
        <w:rPr>
          <w:sz w:val="22"/>
        </w:rPr>
        <w:t xml:space="preserve">SCD </w:t>
      </w:r>
      <w:r w:rsidR="009449E2" w:rsidRPr="00BA050E">
        <w:rPr>
          <w:sz w:val="22"/>
        </w:rPr>
        <w:t xml:space="preserve">identified </w:t>
      </w:r>
      <w:r w:rsidR="00537BB9">
        <w:rPr>
          <w:sz w:val="22"/>
        </w:rPr>
        <w:t>three top</w:t>
      </w:r>
      <w:r w:rsidR="00915CBC" w:rsidRPr="00BA050E">
        <w:rPr>
          <w:sz w:val="22"/>
        </w:rPr>
        <w:t xml:space="preserve"> </w:t>
      </w:r>
      <w:r w:rsidR="00753878" w:rsidRPr="00BA050E">
        <w:rPr>
          <w:sz w:val="22"/>
        </w:rPr>
        <w:t>pr</w:t>
      </w:r>
      <w:r w:rsidR="00BC21DA" w:rsidRPr="00BA050E">
        <w:rPr>
          <w:sz w:val="22"/>
        </w:rPr>
        <w:t>iority policy areas</w:t>
      </w:r>
      <w:r w:rsidR="00460FFA" w:rsidRPr="00BA050E">
        <w:rPr>
          <w:sz w:val="22"/>
        </w:rPr>
        <w:t>:</w:t>
      </w:r>
      <w:r w:rsidR="007B6678" w:rsidRPr="00BA050E">
        <w:rPr>
          <w:sz w:val="22"/>
        </w:rPr>
        <w:t xml:space="preserve"> </w:t>
      </w:r>
      <w:r w:rsidR="00496158" w:rsidRPr="00BA050E">
        <w:rPr>
          <w:i/>
          <w:sz w:val="22"/>
        </w:rPr>
        <w:t xml:space="preserve">first, </w:t>
      </w:r>
      <w:r w:rsidR="007B6678" w:rsidRPr="00BA050E">
        <w:rPr>
          <w:sz w:val="22"/>
        </w:rPr>
        <w:t>strengthening the rule of law and a</w:t>
      </w:r>
      <w:r w:rsidR="00460FFA" w:rsidRPr="00BA050E">
        <w:rPr>
          <w:sz w:val="22"/>
        </w:rPr>
        <w:t xml:space="preserve">ccountability </w:t>
      </w:r>
      <w:r w:rsidR="00094662">
        <w:rPr>
          <w:sz w:val="22"/>
        </w:rPr>
        <w:t>in</w:t>
      </w:r>
      <w:r w:rsidR="00460FFA" w:rsidRPr="00BA050E">
        <w:rPr>
          <w:sz w:val="22"/>
        </w:rPr>
        <w:t xml:space="preserve"> </w:t>
      </w:r>
      <w:r w:rsidR="00BC21DA" w:rsidRPr="00BA050E">
        <w:rPr>
          <w:sz w:val="22"/>
        </w:rPr>
        <w:t xml:space="preserve">economic </w:t>
      </w:r>
      <w:r w:rsidR="00460FFA" w:rsidRPr="00BA050E">
        <w:rPr>
          <w:sz w:val="22"/>
        </w:rPr>
        <w:t>institutions;</w:t>
      </w:r>
      <w:r w:rsidR="007B6678" w:rsidRPr="00BA050E">
        <w:rPr>
          <w:sz w:val="22"/>
        </w:rPr>
        <w:t xml:space="preserve"> </w:t>
      </w:r>
      <w:r w:rsidR="00496158" w:rsidRPr="00BA050E">
        <w:rPr>
          <w:i/>
          <w:sz w:val="22"/>
        </w:rPr>
        <w:t xml:space="preserve">second, </w:t>
      </w:r>
      <w:r w:rsidR="00B67E91" w:rsidRPr="00BA050E">
        <w:rPr>
          <w:sz w:val="22"/>
        </w:rPr>
        <w:t>improving inclusive access to and the efficiency and quality of public services</w:t>
      </w:r>
      <w:r w:rsidR="00460FFA" w:rsidRPr="00BA050E">
        <w:rPr>
          <w:sz w:val="22"/>
        </w:rPr>
        <w:t>;</w:t>
      </w:r>
      <w:r w:rsidR="007B6678" w:rsidRPr="00BA050E">
        <w:rPr>
          <w:sz w:val="22"/>
        </w:rPr>
        <w:t xml:space="preserve"> </w:t>
      </w:r>
      <w:r w:rsidR="00460FFA" w:rsidRPr="00BA050E">
        <w:rPr>
          <w:sz w:val="22"/>
        </w:rPr>
        <w:t xml:space="preserve">and </w:t>
      </w:r>
      <w:r w:rsidR="00496158" w:rsidRPr="00BA050E">
        <w:rPr>
          <w:i/>
          <w:sz w:val="22"/>
        </w:rPr>
        <w:t xml:space="preserve">third, </w:t>
      </w:r>
      <w:r w:rsidR="00460FFA" w:rsidRPr="00BA050E">
        <w:rPr>
          <w:sz w:val="22"/>
        </w:rPr>
        <w:t>enhanc</w:t>
      </w:r>
      <w:r w:rsidR="007B6678" w:rsidRPr="00BA050E">
        <w:rPr>
          <w:sz w:val="22"/>
        </w:rPr>
        <w:t xml:space="preserve">ing the </w:t>
      </w:r>
      <w:r w:rsidR="00915CBC" w:rsidRPr="00BA050E">
        <w:rPr>
          <w:sz w:val="22"/>
        </w:rPr>
        <w:t xml:space="preserve">quality </w:t>
      </w:r>
      <w:r w:rsidR="007B6678" w:rsidRPr="00BA050E">
        <w:rPr>
          <w:sz w:val="22"/>
        </w:rPr>
        <w:t>and relevance o</w:t>
      </w:r>
      <w:r w:rsidR="00753878" w:rsidRPr="00BA050E">
        <w:rPr>
          <w:sz w:val="22"/>
        </w:rPr>
        <w:t>f education and training</w:t>
      </w:r>
      <w:r w:rsidR="00B67E91" w:rsidRPr="00BA050E">
        <w:rPr>
          <w:sz w:val="22"/>
        </w:rPr>
        <w:t xml:space="preserve"> institutions for job-relevant skills</w:t>
      </w:r>
      <w:r w:rsidR="007B6678" w:rsidRPr="00BA050E">
        <w:rPr>
          <w:sz w:val="22"/>
        </w:rPr>
        <w:t xml:space="preserve">. </w:t>
      </w:r>
      <w:r w:rsidR="00F4058C">
        <w:rPr>
          <w:sz w:val="22"/>
        </w:rPr>
        <w:t xml:space="preserve">Three </w:t>
      </w:r>
      <w:r w:rsidR="004C4629">
        <w:rPr>
          <w:sz w:val="22"/>
        </w:rPr>
        <w:t>related SCD</w:t>
      </w:r>
      <w:r w:rsidR="00F4058C">
        <w:rPr>
          <w:sz w:val="22"/>
        </w:rPr>
        <w:t xml:space="preserve"> </w:t>
      </w:r>
      <w:r w:rsidR="00537BB9">
        <w:rPr>
          <w:sz w:val="22"/>
        </w:rPr>
        <w:t>priorities were</w:t>
      </w:r>
      <w:r w:rsidR="00460FFA" w:rsidRPr="00BA050E">
        <w:rPr>
          <w:sz w:val="22"/>
        </w:rPr>
        <w:t xml:space="preserve">: ensuring sound macroeconomic and fiscal management; </w:t>
      </w:r>
      <w:r w:rsidR="007B6678" w:rsidRPr="00BA050E">
        <w:rPr>
          <w:sz w:val="22"/>
        </w:rPr>
        <w:t>improving t</w:t>
      </w:r>
      <w:r w:rsidR="00460FFA" w:rsidRPr="00BA050E">
        <w:rPr>
          <w:sz w:val="22"/>
        </w:rPr>
        <w:t xml:space="preserve">he business regulatory environment; and </w:t>
      </w:r>
      <w:r w:rsidR="007B6678" w:rsidRPr="00BA050E">
        <w:rPr>
          <w:sz w:val="22"/>
        </w:rPr>
        <w:t>reforming the social protection</w:t>
      </w:r>
      <w:r w:rsidR="00496158" w:rsidRPr="00BA050E">
        <w:rPr>
          <w:sz w:val="22"/>
        </w:rPr>
        <w:t xml:space="preserve"> system, particularly pensions.</w:t>
      </w:r>
    </w:p>
    <w:p w14:paraId="23162610" w14:textId="77777777" w:rsidR="00C77B58" w:rsidRPr="00BA050E" w:rsidRDefault="00C77B58" w:rsidP="00C77B58">
      <w:pPr>
        <w:pStyle w:val="ListParagraph"/>
        <w:spacing w:after="100" w:afterAutospacing="1" w:line="240" w:lineRule="auto"/>
        <w:ind w:left="0" w:right="0" w:firstLine="0"/>
        <w:rPr>
          <w:b/>
          <w:sz w:val="22"/>
        </w:rPr>
      </w:pPr>
    </w:p>
    <w:p w14:paraId="23BEF1C8" w14:textId="77777777" w:rsidR="00C77B58" w:rsidRPr="00BA050E" w:rsidRDefault="00C77B58" w:rsidP="00C77B58">
      <w:pPr>
        <w:pStyle w:val="ListParagraph"/>
        <w:spacing w:after="100" w:afterAutospacing="1" w:line="240" w:lineRule="auto"/>
        <w:ind w:left="0" w:right="0" w:firstLine="0"/>
        <w:rPr>
          <w:b/>
          <w:sz w:val="22"/>
        </w:rPr>
      </w:pPr>
      <w:r w:rsidRPr="00BA050E">
        <w:rPr>
          <w:b/>
          <w:sz w:val="22"/>
        </w:rPr>
        <w:t>Political context</w:t>
      </w:r>
    </w:p>
    <w:p w14:paraId="6F4E4172" w14:textId="77777777" w:rsidR="00483D75" w:rsidRPr="00BA050E" w:rsidRDefault="00483D75" w:rsidP="00C77B58">
      <w:pPr>
        <w:pStyle w:val="ListParagraph"/>
        <w:spacing w:after="100" w:afterAutospacing="1" w:line="240" w:lineRule="auto"/>
        <w:ind w:left="0" w:right="0" w:firstLine="0"/>
        <w:rPr>
          <w:sz w:val="22"/>
        </w:rPr>
      </w:pPr>
    </w:p>
    <w:p w14:paraId="2831B0AC" w14:textId="1F231F15" w:rsidR="00483D75" w:rsidRPr="00BA050E" w:rsidRDefault="00483D75" w:rsidP="000C5801">
      <w:pPr>
        <w:pStyle w:val="ListParagraph"/>
        <w:numPr>
          <w:ilvl w:val="0"/>
          <w:numId w:val="1"/>
        </w:numPr>
        <w:spacing w:after="0" w:line="240" w:lineRule="auto"/>
        <w:ind w:left="14" w:right="0" w:firstLine="0"/>
        <w:rPr>
          <w:sz w:val="22"/>
        </w:rPr>
      </w:pPr>
      <w:r w:rsidRPr="00BA050E">
        <w:rPr>
          <w:b/>
          <w:sz w:val="22"/>
        </w:rPr>
        <w:t xml:space="preserve">From the so-called </w:t>
      </w:r>
      <w:r w:rsidR="00974950" w:rsidRPr="00BA050E">
        <w:rPr>
          <w:b/>
          <w:sz w:val="22"/>
        </w:rPr>
        <w:t>‘</w:t>
      </w:r>
      <w:r w:rsidRPr="00BA050E">
        <w:rPr>
          <w:b/>
          <w:sz w:val="22"/>
        </w:rPr>
        <w:t>Twitter Revolution</w:t>
      </w:r>
      <w:r w:rsidR="00974950" w:rsidRPr="00BA050E">
        <w:rPr>
          <w:b/>
          <w:sz w:val="22"/>
        </w:rPr>
        <w:t>’</w:t>
      </w:r>
      <w:r w:rsidRPr="00BA050E">
        <w:rPr>
          <w:b/>
          <w:sz w:val="22"/>
        </w:rPr>
        <w:t xml:space="preserve"> in 2009 until 2016, Moldova was governed by a series of coalition</w:t>
      </w:r>
      <w:r w:rsidR="00537BB9">
        <w:rPr>
          <w:b/>
          <w:sz w:val="22"/>
        </w:rPr>
        <w:t>s</w:t>
      </w:r>
      <w:r w:rsidRPr="00BA050E">
        <w:rPr>
          <w:b/>
          <w:sz w:val="22"/>
        </w:rPr>
        <w:t xml:space="preserve">, characterized by </w:t>
      </w:r>
      <w:r w:rsidR="00C208D0">
        <w:rPr>
          <w:b/>
          <w:sz w:val="22"/>
        </w:rPr>
        <w:t xml:space="preserve">orientation towards the European Union (EU), </w:t>
      </w:r>
      <w:r w:rsidRPr="00BA050E">
        <w:rPr>
          <w:b/>
          <w:sz w:val="22"/>
        </w:rPr>
        <w:t xml:space="preserve">political instability and worsening corruption indicators. </w:t>
      </w:r>
      <w:r w:rsidRPr="00BA050E">
        <w:rPr>
          <w:sz w:val="22"/>
        </w:rPr>
        <w:t xml:space="preserve">During the fifteen months following the November 2014 parliamentary election, there were seven </w:t>
      </w:r>
      <w:r w:rsidR="008969CE" w:rsidRPr="00BA050E">
        <w:rPr>
          <w:sz w:val="22"/>
        </w:rPr>
        <w:t>substantive or acti</w:t>
      </w:r>
      <w:r w:rsidR="001A5665" w:rsidRPr="00BA050E">
        <w:rPr>
          <w:sz w:val="22"/>
        </w:rPr>
        <w:t>ng</w:t>
      </w:r>
      <w:r w:rsidR="008969CE" w:rsidRPr="00BA050E">
        <w:rPr>
          <w:sz w:val="22"/>
        </w:rPr>
        <w:t xml:space="preserve"> </w:t>
      </w:r>
      <w:r w:rsidRPr="00BA050E">
        <w:rPr>
          <w:sz w:val="22"/>
        </w:rPr>
        <w:t xml:space="preserve">governments, due partly to competition </w:t>
      </w:r>
      <w:r w:rsidR="008969CE" w:rsidRPr="00BA050E">
        <w:rPr>
          <w:sz w:val="22"/>
        </w:rPr>
        <w:t>among</w:t>
      </w:r>
      <w:r w:rsidRPr="00BA050E">
        <w:rPr>
          <w:sz w:val="22"/>
        </w:rPr>
        <w:t xml:space="preserve"> oli</w:t>
      </w:r>
      <w:r w:rsidR="00B67E91" w:rsidRPr="00BA050E">
        <w:rPr>
          <w:sz w:val="22"/>
        </w:rPr>
        <w:t>garchic interests; and</w:t>
      </w:r>
      <w:r w:rsidRPr="00BA050E">
        <w:rPr>
          <w:sz w:val="22"/>
        </w:rPr>
        <w:t xml:space="preserve"> Moldova’s ranking for control of corruption on </w:t>
      </w:r>
      <w:r w:rsidR="00974950" w:rsidRPr="00BA050E">
        <w:rPr>
          <w:sz w:val="22"/>
        </w:rPr>
        <w:t xml:space="preserve">the Bank Group’s </w:t>
      </w:r>
      <w:r w:rsidRPr="00BA050E">
        <w:rPr>
          <w:sz w:val="22"/>
        </w:rPr>
        <w:t xml:space="preserve">Worldwide Governance Indicators (WGI) declined from </w:t>
      </w:r>
      <w:r w:rsidR="00FD6895" w:rsidRPr="00BA050E">
        <w:rPr>
          <w:sz w:val="22"/>
        </w:rPr>
        <w:t>33</w:t>
      </w:r>
      <w:r w:rsidRPr="00BA050E">
        <w:rPr>
          <w:sz w:val="22"/>
        </w:rPr>
        <w:t xml:space="preserve"> in 2008 to </w:t>
      </w:r>
      <w:r w:rsidR="00FD6895" w:rsidRPr="00BA050E">
        <w:rPr>
          <w:sz w:val="22"/>
        </w:rPr>
        <w:t>17</w:t>
      </w:r>
      <w:r w:rsidRPr="00BA050E">
        <w:rPr>
          <w:sz w:val="22"/>
        </w:rPr>
        <w:t xml:space="preserve"> in 201</w:t>
      </w:r>
      <w:r w:rsidR="00FD6895" w:rsidRPr="00BA050E">
        <w:rPr>
          <w:sz w:val="22"/>
        </w:rPr>
        <w:t>5</w:t>
      </w:r>
      <w:r w:rsidRPr="00BA050E">
        <w:rPr>
          <w:sz w:val="22"/>
        </w:rPr>
        <w:t>, a score not yet</w:t>
      </w:r>
      <w:r w:rsidR="00FD6895" w:rsidRPr="00BA050E">
        <w:rPr>
          <w:sz w:val="22"/>
        </w:rPr>
        <w:t xml:space="preserve"> fully</w:t>
      </w:r>
      <w:r w:rsidRPr="00BA050E">
        <w:rPr>
          <w:sz w:val="22"/>
        </w:rPr>
        <w:t xml:space="preserve"> reflecting a massive banking fraud in 2013-14 that led to losses </w:t>
      </w:r>
      <w:r w:rsidR="00FD6895" w:rsidRPr="00BA050E">
        <w:rPr>
          <w:sz w:val="22"/>
        </w:rPr>
        <w:t>of</w:t>
      </w:r>
      <w:r w:rsidRPr="00BA050E">
        <w:rPr>
          <w:sz w:val="22"/>
        </w:rPr>
        <w:t xml:space="preserve"> about 12 percent of G</w:t>
      </w:r>
      <w:r w:rsidR="003B57CF" w:rsidRPr="00BA050E">
        <w:rPr>
          <w:sz w:val="22"/>
        </w:rPr>
        <w:t xml:space="preserve">ross </w:t>
      </w:r>
      <w:r w:rsidRPr="00BA050E">
        <w:rPr>
          <w:sz w:val="22"/>
        </w:rPr>
        <w:t>D</w:t>
      </w:r>
      <w:r w:rsidR="003B57CF" w:rsidRPr="00BA050E">
        <w:rPr>
          <w:sz w:val="22"/>
        </w:rPr>
        <w:t xml:space="preserve">omestic </w:t>
      </w:r>
      <w:r w:rsidRPr="00BA050E">
        <w:rPr>
          <w:sz w:val="22"/>
        </w:rPr>
        <w:t>P</w:t>
      </w:r>
      <w:r w:rsidR="003B57CF" w:rsidRPr="00BA050E">
        <w:rPr>
          <w:sz w:val="22"/>
        </w:rPr>
        <w:t>roduct (GDP)</w:t>
      </w:r>
      <w:r w:rsidRPr="00BA050E">
        <w:rPr>
          <w:sz w:val="22"/>
        </w:rPr>
        <w:t xml:space="preserve">. </w:t>
      </w:r>
      <w:r w:rsidR="00FD6895" w:rsidRPr="00BA050E">
        <w:rPr>
          <w:sz w:val="22"/>
        </w:rPr>
        <w:t>T</w:t>
      </w:r>
      <w:r w:rsidRPr="00BA050E">
        <w:rPr>
          <w:sz w:val="22"/>
        </w:rPr>
        <w:t>he present coalition, in place since January 2016,</w:t>
      </w:r>
      <w:r w:rsidR="00974950" w:rsidRPr="00BA050E">
        <w:rPr>
          <w:sz w:val="22"/>
        </w:rPr>
        <w:t xml:space="preserve"> seems likely to remain in office</w:t>
      </w:r>
      <w:r w:rsidRPr="00BA050E">
        <w:rPr>
          <w:sz w:val="22"/>
        </w:rPr>
        <w:t xml:space="preserve"> until </w:t>
      </w:r>
      <w:r w:rsidR="00FD6895" w:rsidRPr="00BA050E">
        <w:rPr>
          <w:sz w:val="22"/>
        </w:rPr>
        <w:t xml:space="preserve">elections in </w:t>
      </w:r>
      <w:r w:rsidRPr="00BA050E">
        <w:rPr>
          <w:sz w:val="22"/>
        </w:rPr>
        <w:t>November 2018</w:t>
      </w:r>
      <w:r w:rsidR="00FD6895" w:rsidRPr="00BA050E">
        <w:rPr>
          <w:sz w:val="22"/>
        </w:rPr>
        <w:t>.</w:t>
      </w:r>
      <w:r w:rsidRPr="00BA050E">
        <w:rPr>
          <w:sz w:val="22"/>
        </w:rPr>
        <w:t xml:space="preserve"> This would extend the current window for reforms in defined areas </w:t>
      </w:r>
      <w:r w:rsidR="00537BB9">
        <w:rPr>
          <w:sz w:val="22"/>
        </w:rPr>
        <w:t>until mid-2018</w:t>
      </w:r>
      <w:r w:rsidR="002206EA" w:rsidRPr="00BA050E">
        <w:rPr>
          <w:sz w:val="22"/>
        </w:rPr>
        <w:t>.</w:t>
      </w:r>
    </w:p>
    <w:p w14:paraId="15536C83" w14:textId="77777777" w:rsidR="000A2440" w:rsidRPr="00BA050E" w:rsidRDefault="000A2440" w:rsidP="000A2440">
      <w:pPr>
        <w:pStyle w:val="ListParagraph"/>
        <w:spacing w:after="0" w:line="240" w:lineRule="auto"/>
        <w:ind w:left="14" w:right="0" w:firstLine="0"/>
        <w:rPr>
          <w:sz w:val="22"/>
        </w:rPr>
      </w:pPr>
    </w:p>
    <w:p w14:paraId="2B716D4E" w14:textId="216C1E81" w:rsidR="00443858" w:rsidRPr="0010540B" w:rsidRDefault="00483D75" w:rsidP="00597C69">
      <w:pPr>
        <w:pStyle w:val="ListParagraph"/>
        <w:numPr>
          <w:ilvl w:val="0"/>
          <w:numId w:val="1"/>
        </w:numPr>
        <w:spacing w:after="100" w:afterAutospacing="1" w:line="240" w:lineRule="auto"/>
        <w:ind w:left="0" w:right="0" w:firstLine="0"/>
        <w:rPr>
          <w:b/>
          <w:sz w:val="22"/>
        </w:rPr>
      </w:pPr>
      <w:r w:rsidRPr="0010540B">
        <w:rPr>
          <w:b/>
          <w:sz w:val="22"/>
        </w:rPr>
        <w:t>Against this background, Moldova’s European orientation has anchored its foreign</w:t>
      </w:r>
      <w:r w:rsidR="00974950" w:rsidRPr="0010540B">
        <w:rPr>
          <w:b/>
          <w:sz w:val="22"/>
        </w:rPr>
        <w:t xml:space="preserve"> economic</w:t>
      </w:r>
      <w:r w:rsidRPr="0010540B">
        <w:rPr>
          <w:b/>
          <w:sz w:val="22"/>
        </w:rPr>
        <w:t xml:space="preserve"> relations and domestic policy reforms</w:t>
      </w:r>
      <w:r w:rsidR="00B27582" w:rsidRPr="0010540B">
        <w:rPr>
          <w:b/>
          <w:sz w:val="22"/>
        </w:rPr>
        <w:t>–</w:t>
      </w:r>
      <w:r w:rsidRPr="0010540B">
        <w:rPr>
          <w:b/>
          <w:sz w:val="22"/>
        </w:rPr>
        <w:t>exemplified</w:t>
      </w:r>
      <w:r w:rsidR="00B27582" w:rsidRPr="0010540B">
        <w:rPr>
          <w:b/>
          <w:sz w:val="22"/>
        </w:rPr>
        <w:t xml:space="preserve"> </w:t>
      </w:r>
      <w:r w:rsidRPr="0010540B">
        <w:rPr>
          <w:b/>
          <w:sz w:val="22"/>
        </w:rPr>
        <w:t>by its 2014 Association Agreement (AA) and Deep and Comprehensive Trade</w:t>
      </w:r>
      <w:r w:rsidR="00B27582" w:rsidRPr="0010540B">
        <w:rPr>
          <w:b/>
          <w:sz w:val="22"/>
        </w:rPr>
        <w:t xml:space="preserve"> Agreement (DCFTA) with the EU.</w:t>
      </w:r>
      <w:r w:rsidRPr="0010540B">
        <w:rPr>
          <w:b/>
          <w:sz w:val="22"/>
        </w:rPr>
        <w:t xml:space="preserve"> </w:t>
      </w:r>
      <w:r w:rsidR="00FD6895" w:rsidRPr="0010540B">
        <w:rPr>
          <w:sz w:val="22"/>
        </w:rPr>
        <w:t>The commitment</w:t>
      </w:r>
      <w:r w:rsidRPr="0010540B">
        <w:rPr>
          <w:sz w:val="22"/>
        </w:rPr>
        <w:t xml:space="preserve"> to harmonize many of Moldova’s </w:t>
      </w:r>
      <w:r w:rsidR="00974950" w:rsidRPr="0010540B">
        <w:rPr>
          <w:sz w:val="22"/>
        </w:rPr>
        <w:t>laws and regulations</w:t>
      </w:r>
      <w:r w:rsidRPr="0010540B">
        <w:rPr>
          <w:sz w:val="22"/>
        </w:rPr>
        <w:t xml:space="preserve"> with those of the EU ha</w:t>
      </w:r>
      <w:r w:rsidR="00FD6895" w:rsidRPr="0010540B">
        <w:rPr>
          <w:sz w:val="22"/>
        </w:rPr>
        <w:t xml:space="preserve">s </w:t>
      </w:r>
      <w:r w:rsidRPr="0010540B">
        <w:rPr>
          <w:sz w:val="22"/>
        </w:rPr>
        <w:t xml:space="preserve">prompted important structural reforms </w:t>
      </w:r>
      <w:r w:rsidR="00FD6895" w:rsidRPr="0010540B">
        <w:rPr>
          <w:sz w:val="22"/>
        </w:rPr>
        <w:t>since 2014</w:t>
      </w:r>
      <w:r w:rsidRPr="0010540B">
        <w:rPr>
          <w:sz w:val="22"/>
        </w:rPr>
        <w:t xml:space="preserve">. On the other hand, popular support for the EU has </w:t>
      </w:r>
      <w:r w:rsidR="007753E5" w:rsidRPr="0010540B">
        <w:rPr>
          <w:sz w:val="22"/>
        </w:rPr>
        <w:t>erod</w:t>
      </w:r>
      <w:r w:rsidRPr="0010540B">
        <w:rPr>
          <w:sz w:val="22"/>
        </w:rPr>
        <w:t xml:space="preserve">ed and President </w:t>
      </w:r>
      <w:proofErr w:type="spellStart"/>
      <w:r w:rsidRPr="0010540B">
        <w:rPr>
          <w:sz w:val="22"/>
        </w:rPr>
        <w:t>Dodon</w:t>
      </w:r>
      <w:proofErr w:type="spellEnd"/>
      <w:r w:rsidR="00F4058C" w:rsidRPr="0010540B">
        <w:rPr>
          <w:sz w:val="22"/>
        </w:rPr>
        <w:t>, who favors closer relations with Russia and recently initiated the process for Moldova to acquire observer status in the Eurasian Economic Union,</w:t>
      </w:r>
      <w:r w:rsidRPr="0010540B">
        <w:rPr>
          <w:sz w:val="22"/>
        </w:rPr>
        <w:t xml:space="preserve"> has argued that the EU’s relationship with Moldova’s governments has been overly tolerant of corruption and insufficiently attentive to </w:t>
      </w:r>
      <w:r w:rsidR="00F4058C" w:rsidRPr="0010540B">
        <w:rPr>
          <w:sz w:val="22"/>
        </w:rPr>
        <w:t xml:space="preserve">the country’s </w:t>
      </w:r>
      <w:r w:rsidRPr="0010540B">
        <w:rPr>
          <w:sz w:val="22"/>
        </w:rPr>
        <w:t xml:space="preserve">socio-economic conditions. </w:t>
      </w:r>
      <w:r w:rsidR="00C208D0" w:rsidRPr="0010540B">
        <w:rPr>
          <w:sz w:val="22"/>
        </w:rPr>
        <w:t xml:space="preserve">Moreover, </w:t>
      </w:r>
      <w:r w:rsidR="00EC01CD" w:rsidRPr="0010540B">
        <w:rPr>
          <w:sz w:val="22"/>
        </w:rPr>
        <w:lastRenderedPageBreak/>
        <w:t xml:space="preserve">opinion polls </w:t>
      </w:r>
      <w:r w:rsidR="008048F4" w:rsidRPr="0010540B">
        <w:rPr>
          <w:sz w:val="22"/>
        </w:rPr>
        <w:t>report low approval ratings for</w:t>
      </w:r>
      <w:r w:rsidR="00C208D0" w:rsidRPr="0010540B">
        <w:rPr>
          <w:sz w:val="22"/>
        </w:rPr>
        <w:t xml:space="preserve"> </w:t>
      </w:r>
      <w:r w:rsidR="008048F4" w:rsidRPr="0010540B">
        <w:rPr>
          <w:sz w:val="22"/>
        </w:rPr>
        <w:t xml:space="preserve">the </w:t>
      </w:r>
      <w:r w:rsidR="00EC01CD" w:rsidRPr="0010540B">
        <w:rPr>
          <w:sz w:val="22"/>
        </w:rPr>
        <w:t>Executive Coordinator of the coalition.</w:t>
      </w:r>
      <w:r w:rsidR="00C208D0" w:rsidRPr="0010540B">
        <w:rPr>
          <w:sz w:val="22"/>
        </w:rPr>
        <w:t xml:space="preserve"> </w:t>
      </w:r>
      <w:r w:rsidRPr="0010540B">
        <w:rPr>
          <w:sz w:val="22"/>
        </w:rPr>
        <w:t xml:space="preserve">Moldova’s post-election political orientation, policy environment, </w:t>
      </w:r>
      <w:r w:rsidR="00DB0565" w:rsidRPr="0010540B">
        <w:rPr>
          <w:sz w:val="22"/>
        </w:rPr>
        <w:t>and stability beyond end-2018 are</w:t>
      </w:r>
      <w:r w:rsidRPr="0010540B">
        <w:rPr>
          <w:sz w:val="22"/>
        </w:rPr>
        <w:t xml:space="preserve"> </w:t>
      </w:r>
      <w:r w:rsidR="007753E5" w:rsidRPr="0010540B">
        <w:rPr>
          <w:sz w:val="22"/>
        </w:rPr>
        <w:t xml:space="preserve">therefore </w:t>
      </w:r>
      <w:r w:rsidRPr="0010540B">
        <w:rPr>
          <w:sz w:val="22"/>
        </w:rPr>
        <w:t>unclear.</w:t>
      </w:r>
    </w:p>
    <w:p w14:paraId="397B244D" w14:textId="4BDB0557" w:rsidR="00B27582" w:rsidRPr="00BA050E" w:rsidRDefault="00B27582" w:rsidP="00B27582">
      <w:pPr>
        <w:pStyle w:val="ListParagraph"/>
        <w:spacing w:after="100" w:afterAutospacing="1" w:line="240" w:lineRule="auto"/>
        <w:ind w:left="0" w:right="0" w:firstLine="0"/>
        <w:rPr>
          <w:b/>
          <w:sz w:val="22"/>
        </w:rPr>
      </w:pPr>
    </w:p>
    <w:p w14:paraId="2E920A2F" w14:textId="77777777" w:rsidR="0010540B" w:rsidRDefault="0010540B" w:rsidP="00B27582">
      <w:pPr>
        <w:pStyle w:val="ListParagraph"/>
        <w:spacing w:after="100" w:afterAutospacing="1" w:line="240" w:lineRule="auto"/>
        <w:ind w:left="0" w:right="0" w:firstLine="0"/>
        <w:rPr>
          <w:b/>
          <w:sz w:val="22"/>
        </w:rPr>
      </w:pPr>
    </w:p>
    <w:p w14:paraId="442C6514" w14:textId="631DF3CA" w:rsidR="00F45823" w:rsidRDefault="00DE6DD5" w:rsidP="00B27582">
      <w:pPr>
        <w:pStyle w:val="ListParagraph"/>
        <w:spacing w:after="100" w:afterAutospacing="1" w:line="240" w:lineRule="auto"/>
        <w:ind w:left="0" w:right="0" w:firstLine="0"/>
        <w:rPr>
          <w:b/>
          <w:sz w:val="22"/>
        </w:rPr>
      </w:pPr>
      <w:r w:rsidRPr="00BA050E">
        <w:rPr>
          <w:b/>
          <w:sz w:val="22"/>
        </w:rPr>
        <w:t>Recent economic developments</w:t>
      </w:r>
    </w:p>
    <w:p w14:paraId="0F1E65ED" w14:textId="77777777" w:rsidR="0010540B" w:rsidRPr="00BA050E" w:rsidRDefault="0010540B" w:rsidP="00B27582">
      <w:pPr>
        <w:pStyle w:val="ListParagraph"/>
        <w:spacing w:after="100" w:afterAutospacing="1" w:line="240" w:lineRule="auto"/>
        <w:ind w:left="0" w:right="0" w:firstLine="0"/>
        <w:rPr>
          <w:b/>
          <w:sz w:val="22"/>
        </w:rPr>
      </w:pPr>
    </w:p>
    <w:p w14:paraId="749FC685" w14:textId="2C68C993" w:rsidR="00DE6DD5" w:rsidRPr="00BA050E" w:rsidRDefault="003A100A" w:rsidP="00597C69">
      <w:pPr>
        <w:pStyle w:val="ListParagraph"/>
        <w:numPr>
          <w:ilvl w:val="0"/>
          <w:numId w:val="1"/>
        </w:numPr>
        <w:spacing w:before="120" w:after="100" w:afterAutospacing="1" w:line="240" w:lineRule="auto"/>
        <w:ind w:left="0" w:right="0" w:firstLine="0"/>
        <w:rPr>
          <w:b/>
          <w:sz w:val="22"/>
        </w:rPr>
      </w:pPr>
      <w:r w:rsidRPr="00BA050E">
        <w:rPr>
          <w:b/>
          <w:sz w:val="22"/>
        </w:rPr>
        <w:t>After</w:t>
      </w:r>
      <w:r w:rsidR="00A97761" w:rsidRPr="00BA050E">
        <w:rPr>
          <w:b/>
          <w:sz w:val="22"/>
        </w:rPr>
        <w:t xml:space="preserve"> rapid growth and poverty reductio</w:t>
      </w:r>
      <w:r w:rsidR="00BC6B02" w:rsidRPr="00BA050E">
        <w:rPr>
          <w:b/>
          <w:sz w:val="22"/>
        </w:rPr>
        <w:t xml:space="preserve">n since </w:t>
      </w:r>
      <w:r w:rsidR="00EF53ED">
        <w:rPr>
          <w:b/>
          <w:sz w:val="22"/>
        </w:rPr>
        <w:t xml:space="preserve">the </w:t>
      </w:r>
      <w:r w:rsidR="00BC6B02" w:rsidRPr="00BA050E">
        <w:rPr>
          <w:b/>
          <w:sz w:val="22"/>
        </w:rPr>
        <w:t>early 2000s</w:t>
      </w:r>
      <w:r w:rsidR="00A97761" w:rsidRPr="00BA050E">
        <w:rPr>
          <w:b/>
          <w:sz w:val="22"/>
        </w:rPr>
        <w:t xml:space="preserve">, </w:t>
      </w:r>
      <w:r w:rsidR="005E7465" w:rsidRPr="00BA050E">
        <w:rPr>
          <w:b/>
          <w:sz w:val="22"/>
        </w:rPr>
        <w:t xml:space="preserve">deteriorating </w:t>
      </w:r>
      <w:r w:rsidR="00A97761" w:rsidRPr="00BA050E">
        <w:rPr>
          <w:b/>
          <w:sz w:val="22"/>
        </w:rPr>
        <w:t>e</w:t>
      </w:r>
      <w:r w:rsidR="00927A66" w:rsidRPr="00BA050E">
        <w:rPr>
          <w:b/>
          <w:sz w:val="22"/>
        </w:rPr>
        <w:t>x</w:t>
      </w:r>
      <w:r w:rsidR="006B18A3" w:rsidRPr="00BA050E">
        <w:rPr>
          <w:b/>
          <w:sz w:val="22"/>
        </w:rPr>
        <w:t>ternal conditions and increased</w:t>
      </w:r>
      <w:r w:rsidR="00A97761" w:rsidRPr="00BA050E">
        <w:rPr>
          <w:b/>
          <w:sz w:val="22"/>
        </w:rPr>
        <w:t xml:space="preserve"> governance challenges </w:t>
      </w:r>
      <w:r w:rsidR="005E7465" w:rsidRPr="00BA050E">
        <w:rPr>
          <w:b/>
          <w:sz w:val="22"/>
        </w:rPr>
        <w:t>slowed</w:t>
      </w:r>
      <w:r w:rsidR="00443858" w:rsidRPr="00BA050E">
        <w:rPr>
          <w:b/>
          <w:sz w:val="22"/>
        </w:rPr>
        <w:t xml:space="preserve"> </w:t>
      </w:r>
      <w:r w:rsidR="001408F4">
        <w:rPr>
          <w:b/>
          <w:sz w:val="22"/>
        </w:rPr>
        <w:t>growth</w:t>
      </w:r>
      <w:r w:rsidR="00B27582" w:rsidRPr="00BA050E">
        <w:rPr>
          <w:b/>
          <w:sz w:val="22"/>
        </w:rPr>
        <w:t xml:space="preserve">. </w:t>
      </w:r>
      <w:r w:rsidR="005E7465" w:rsidRPr="00BA050E">
        <w:rPr>
          <w:sz w:val="22"/>
        </w:rPr>
        <w:t>In 2015,</w:t>
      </w:r>
      <w:r w:rsidR="005E7465" w:rsidRPr="00BA050E">
        <w:rPr>
          <w:b/>
          <w:sz w:val="22"/>
        </w:rPr>
        <w:t xml:space="preserve"> </w:t>
      </w:r>
      <w:r w:rsidR="005E7465" w:rsidRPr="00BA050E">
        <w:rPr>
          <w:sz w:val="22"/>
        </w:rPr>
        <w:t>t</w:t>
      </w:r>
      <w:r w:rsidR="00A97761" w:rsidRPr="00BA050E">
        <w:rPr>
          <w:sz w:val="22"/>
        </w:rPr>
        <w:t>he economy co</w:t>
      </w:r>
      <w:r w:rsidR="005E7465" w:rsidRPr="00BA050E">
        <w:rPr>
          <w:sz w:val="22"/>
        </w:rPr>
        <w:t>ntracted by 0.5 percent</w:t>
      </w:r>
      <w:r w:rsidR="00062E30" w:rsidRPr="00BA050E">
        <w:rPr>
          <w:sz w:val="22"/>
        </w:rPr>
        <w:t xml:space="preserve"> due to</w:t>
      </w:r>
      <w:r w:rsidR="001A5665" w:rsidRPr="00BA050E">
        <w:rPr>
          <w:sz w:val="22"/>
        </w:rPr>
        <w:t>:</w:t>
      </w:r>
      <w:r w:rsidR="00443858" w:rsidRPr="00BA050E">
        <w:rPr>
          <w:sz w:val="22"/>
        </w:rPr>
        <w:t xml:space="preserve"> </w:t>
      </w:r>
      <w:r w:rsidR="007D2703" w:rsidRPr="00BA050E">
        <w:rPr>
          <w:sz w:val="22"/>
        </w:rPr>
        <w:t>adverse e</w:t>
      </w:r>
      <w:r w:rsidR="00062E30" w:rsidRPr="00BA050E">
        <w:rPr>
          <w:sz w:val="22"/>
        </w:rPr>
        <w:t>xternal factors that reduced remittances from and halved exports to Russi</w:t>
      </w:r>
      <w:r w:rsidR="00443858" w:rsidRPr="00BA050E">
        <w:rPr>
          <w:sz w:val="22"/>
        </w:rPr>
        <w:t xml:space="preserve">a; </w:t>
      </w:r>
      <w:r w:rsidR="007D2703" w:rsidRPr="00BA050E">
        <w:rPr>
          <w:sz w:val="22"/>
        </w:rPr>
        <w:t>a summer drought</w:t>
      </w:r>
      <w:r w:rsidR="00CF110A" w:rsidRPr="00BA050E">
        <w:rPr>
          <w:sz w:val="22"/>
        </w:rPr>
        <w:t>;</w:t>
      </w:r>
      <w:r w:rsidR="00062E30" w:rsidRPr="00BA050E">
        <w:rPr>
          <w:sz w:val="22"/>
        </w:rPr>
        <w:t xml:space="preserve"> </w:t>
      </w:r>
      <w:r w:rsidR="001408F4">
        <w:rPr>
          <w:sz w:val="22"/>
        </w:rPr>
        <w:t>and a</w:t>
      </w:r>
      <w:r w:rsidR="00E40457" w:rsidRPr="00BA050E">
        <w:rPr>
          <w:sz w:val="22"/>
        </w:rPr>
        <w:t xml:space="preserve"> </w:t>
      </w:r>
      <w:r w:rsidR="00062E30" w:rsidRPr="00BA050E">
        <w:rPr>
          <w:sz w:val="22"/>
        </w:rPr>
        <w:t>fraud in three large banks</w:t>
      </w:r>
      <w:r w:rsidR="001408F4">
        <w:rPr>
          <w:sz w:val="22"/>
        </w:rPr>
        <w:t xml:space="preserve"> costing an eighth of GDP</w:t>
      </w:r>
      <w:r w:rsidR="006946BA" w:rsidRPr="00BA050E">
        <w:rPr>
          <w:sz w:val="22"/>
        </w:rPr>
        <w:t>. The latter</w:t>
      </w:r>
      <w:r w:rsidR="00E40457" w:rsidRPr="00BA050E">
        <w:rPr>
          <w:sz w:val="22"/>
        </w:rPr>
        <w:t xml:space="preserve"> </w:t>
      </w:r>
      <w:r w:rsidR="00CF110A" w:rsidRPr="00BA050E">
        <w:rPr>
          <w:sz w:val="22"/>
        </w:rPr>
        <w:t xml:space="preserve">led to </w:t>
      </w:r>
      <w:r w:rsidR="00E40457" w:rsidRPr="00BA050E">
        <w:rPr>
          <w:sz w:val="22"/>
        </w:rPr>
        <w:t xml:space="preserve">higher interest rates, an increase in public </w:t>
      </w:r>
      <w:r w:rsidR="00A97761" w:rsidRPr="00BA050E">
        <w:rPr>
          <w:sz w:val="22"/>
        </w:rPr>
        <w:t xml:space="preserve">debt to </w:t>
      </w:r>
      <w:r w:rsidR="005E7465" w:rsidRPr="00BA050E">
        <w:rPr>
          <w:sz w:val="22"/>
        </w:rPr>
        <w:t xml:space="preserve">47 </w:t>
      </w:r>
      <w:r w:rsidR="00A97761" w:rsidRPr="00BA050E">
        <w:rPr>
          <w:sz w:val="22"/>
        </w:rPr>
        <w:t>per</w:t>
      </w:r>
      <w:r w:rsidR="00CF110A" w:rsidRPr="00BA050E">
        <w:rPr>
          <w:sz w:val="22"/>
        </w:rPr>
        <w:t>cent of GDP (</w:t>
      </w:r>
      <w:r w:rsidR="005E7465" w:rsidRPr="00BA050E">
        <w:rPr>
          <w:sz w:val="22"/>
        </w:rPr>
        <w:t xml:space="preserve">up from 38 </w:t>
      </w:r>
      <w:r w:rsidR="00E40457" w:rsidRPr="00BA050E">
        <w:rPr>
          <w:sz w:val="22"/>
        </w:rPr>
        <w:t>percent in 2014</w:t>
      </w:r>
      <w:r w:rsidR="00CF110A" w:rsidRPr="00BA050E">
        <w:rPr>
          <w:sz w:val="22"/>
        </w:rPr>
        <w:t>)</w:t>
      </w:r>
      <w:r w:rsidR="00E40457" w:rsidRPr="00BA050E">
        <w:rPr>
          <w:sz w:val="22"/>
        </w:rPr>
        <w:t>, and damage to business confidence</w:t>
      </w:r>
      <w:r w:rsidR="00DB0565" w:rsidRPr="00BA050E">
        <w:rPr>
          <w:sz w:val="22"/>
        </w:rPr>
        <w:t>. T</w:t>
      </w:r>
      <w:r w:rsidR="00443858" w:rsidRPr="00BA050E">
        <w:rPr>
          <w:sz w:val="22"/>
        </w:rPr>
        <w:t xml:space="preserve">he authorities’ </w:t>
      </w:r>
      <w:r w:rsidR="00EF53ED">
        <w:rPr>
          <w:sz w:val="22"/>
        </w:rPr>
        <w:t xml:space="preserve">short-term </w:t>
      </w:r>
      <w:r w:rsidR="00C208D0">
        <w:rPr>
          <w:sz w:val="22"/>
        </w:rPr>
        <w:t>economic</w:t>
      </w:r>
      <w:r w:rsidR="00C208D0" w:rsidRPr="00BA050E">
        <w:rPr>
          <w:sz w:val="22"/>
        </w:rPr>
        <w:t xml:space="preserve"> </w:t>
      </w:r>
      <w:r w:rsidR="00443858" w:rsidRPr="00BA050E">
        <w:rPr>
          <w:sz w:val="22"/>
        </w:rPr>
        <w:t xml:space="preserve">agenda </w:t>
      </w:r>
      <w:r w:rsidR="00EF53ED">
        <w:rPr>
          <w:sz w:val="22"/>
        </w:rPr>
        <w:t>i</w:t>
      </w:r>
      <w:r w:rsidR="00443858" w:rsidRPr="00BA050E">
        <w:rPr>
          <w:sz w:val="22"/>
        </w:rPr>
        <w:t xml:space="preserve">s </w:t>
      </w:r>
      <w:r w:rsidR="00DB0565" w:rsidRPr="00BA050E">
        <w:rPr>
          <w:sz w:val="22"/>
        </w:rPr>
        <w:t xml:space="preserve">thus </w:t>
      </w:r>
      <w:r w:rsidR="00443858" w:rsidRPr="00BA050E">
        <w:rPr>
          <w:sz w:val="22"/>
        </w:rPr>
        <w:t xml:space="preserve">dominated by </w:t>
      </w:r>
      <w:r w:rsidR="00861C00" w:rsidRPr="00BA050E">
        <w:rPr>
          <w:sz w:val="22"/>
        </w:rPr>
        <w:t>t</w:t>
      </w:r>
      <w:r w:rsidR="00694C81" w:rsidRPr="00BA050E">
        <w:rPr>
          <w:sz w:val="22"/>
        </w:rPr>
        <w:t xml:space="preserve">he macro-fiscal consequences of the banking fraud </w:t>
      </w:r>
      <w:r w:rsidR="00861C00" w:rsidRPr="00BA050E">
        <w:rPr>
          <w:sz w:val="22"/>
        </w:rPr>
        <w:t xml:space="preserve">and </w:t>
      </w:r>
      <w:r w:rsidR="00DB0565" w:rsidRPr="00BA050E">
        <w:rPr>
          <w:sz w:val="22"/>
        </w:rPr>
        <w:t xml:space="preserve">by </w:t>
      </w:r>
      <w:r w:rsidRPr="00BA050E">
        <w:rPr>
          <w:sz w:val="22"/>
        </w:rPr>
        <w:t>the desire to restore investors’ confidence in economic governance</w:t>
      </w:r>
      <w:r w:rsidR="00B27582" w:rsidRPr="00BA050E">
        <w:rPr>
          <w:sz w:val="22"/>
        </w:rPr>
        <w:t>.</w:t>
      </w:r>
    </w:p>
    <w:p w14:paraId="308FC00C" w14:textId="77777777" w:rsidR="001A5665" w:rsidRPr="00BA050E" w:rsidRDefault="001A5665" w:rsidP="00B27582">
      <w:pPr>
        <w:pStyle w:val="ListParagraph"/>
        <w:spacing w:after="100" w:afterAutospacing="1" w:line="240" w:lineRule="auto"/>
        <w:ind w:left="0" w:right="0" w:firstLine="0"/>
        <w:rPr>
          <w:b/>
          <w:sz w:val="22"/>
        </w:rPr>
      </w:pPr>
    </w:p>
    <w:p w14:paraId="15C75D36" w14:textId="77777777" w:rsidR="001A5665" w:rsidRPr="00BA050E" w:rsidRDefault="00051561" w:rsidP="000C5801">
      <w:pPr>
        <w:pStyle w:val="ListParagraph"/>
        <w:numPr>
          <w:ilvl w:val="0"/>
          <w:numId w:val="1"/>
        </w:numPr>
        <w:spacing w:after="100" w:afterAutospacing="1" w:line="240" w:lineRule="auto"/>
        <w:ind w:left="14" w:right="0" w:firstLine="0"/>
        <w:rPr>
          <w:sz w:val="22"/>
        </w:rPr>
      </w:pPr>
      <w:r w:rsidRPr="00BA050E">
        <w:rPr>
          <w:b/>
          <w:sz w:val="22"/>
        </w:rPr>
        <w:t xml:space="preserve">Moldova’s achievements in poverty reduction and shared prosperity have been impressive relative to other countries in Europe and Central Asia (ECA). </w:t>
      </w:r>
      <w:r w:rsidRPr="00BA050E">
        <w:rPr>
          <w:sz w:val="22"/>
        </w:rPr>
        <w:t xml:space="preserve">Besides the significant decrease in poverty, inequality measured by the </w:t>
      </w:r>
      <w:r w:rsidRPr="00BA050E">
        <w:rPr>
          <w:i/>
          <w:sz w:val="22"/>
        </w:rPr>
        <w:t xml:space="preserve">Gini </w:t>
      </w:r>
      <w:r w:rsidRPr="00BA050E">
        <w:rPr>
          <w:sz w:val="22"/>
        </w:rPr>
        <w:t xml:space="preserve">coefficient also declined from 0.3 to 0.23 between 2007-14. However, </w:t>
      </w:r>
      <w:r w:rsidR="00D656A2" w:rsidRPr="00BA050E">
        <w:rPr>
          <w:sz w:val="22"/>
        </w:rPr>
        <w:t xml:space="preserve">as noted above, </w:t>
      </w:r>
      <w:r w:rsidRPr="00BA050E">
        <w:rPr>
          <w:sz w:val="22"/>
        </w:rPr>
        <w:t>the principal drivers of past progress</w:t>
      </w:r>
      <w:r w:rsidR="00B27582" w:rsidRPr="00BA050E">
        <w:rPr>
          <w:sz w:val="22"/>
        </w:rPr>
        <w:t>–</w:t>
      </w:r>
      <w:r w:rsidRPr="00BA050E">
        <w:rPr>
          <w:sz w:val="22"/>
        </w:rPr>
        <w:t>pensions</w:t>
      </w:r>
      <w:r w:rsidR="00B27582" w:rsidRPr="00BA050E">
        <w:rPr>
          <w:sz w:val="22"/>
        </w:rPr>
        <w:t xml:space="preserve"> </w:t>
      </w:r>
      <w:r w:rsidR="003B57CF" w:rsidRPr="00BA050E">
        <w:rPr>
          <w:sz w:val="22"/>
        </w:rPr>
        <w:t>and remittances–</w:t>
      </w:r>
      <w:r w:rsidRPr="00BA050E">
        <w:rPr>
          <w:sz w:val="22"/>
        </w:rPr>
        <w:t xml:space="preserve">are unsustainable, underlining the need for a more </w:t>
      </w:r>
      <w:r w:rsidR="00893B57">
        <w:rPr>
          <w:sz w:val="22"/>
        </w:rPr>
        <w:t>active</w:t>
      </w:r>
      <w:r w:rsidRPr="00BA050E">
        <w:rPr>
          <w:sz w:val="22"/>
        </w:rPr>
        <w:t xml:space="preserve"> domestic labor market. This will involve creating more and better jobs and enhancing access to improved education, health and other services enabling individuals to enter </w:t>
      </w:r>
      <w:r w:rsidR="00D656A2" w:rsidRPr="00BA050E">
        <w:rPr>
          <w:sz w:val="22"/>
        </w:rPr>
        <w:t>productive employment</w:t>
      </w:r>
      <w:r w:rsidRPr="00BA050E">
        <w:rPr>
          <w:sz w:val="22"/>
        </w:rPr>
        <w:t>.</w:t>
      </w:r>
      <w:r w:rsidR="00D656A2" w:rsidRPr="00BA050E">
        <w:rPr>
          <w:sz w:val="22"/>
        </w:rPr>
        <w:t xml:space="preserve"> At the same time, structural issues such as the burgeoning economic dependency ratio and regional and group disparities will need to be addressed.</w:t>
      </w:r>
    </w:p>
    <w:p w14:paraId="1C4F93B9" w14:textId="77777777" w:rsidR="00055996" w:rsidRPr="00BA050E" w:rsidRDefault="00055996" w:rsidP="00055996">
      <w:pPr>
        <w:pStyle w:val="ListParagraph"/>
        <w:spacing w:after="100" w:afterAutospacing="1" w:line="240" w:lineRule="auto"/>
        <w:ind w:left="0" w:right="0" w:firstLine="0"/>
        <w:rPr>
          <w:b/>
          <w:sz w:val="22"/>
        </w:rPr>
      </w:pPr>
    </w:p>
    <w:p w14:paraId="33E2CF0A" w14:textId="55E1098C" w:rsidR="00E92FE1" w:rsidRPr="004F6B62" w:rsidRDefault="00B119F3" w:rsidP="000C5801">
      <w:pPr>
        <w:pStyle w:val="ListParagraph"/>
        <w:numPr>
          <w:ilvl w:val="0"/>
          <w:numId w:val="1"/>
        </w:numPr>
        <w:spacing w:after="0" w:line="240" w:lineRule="auto"/>
        <w:ind w:left="0" w:right="0" w:firstLine="0"/>
        <w:rPr>
          <w:b/>
          <w:sz w:val="22"/>
        </w:rPr>
      </w:pPr>
      <w:r w:rsidRPr="00BA050E">
        <w:rPr>
          <w:b/>
          <w:sz w:val="22"/>
        </w:rPr>
        <w:t xml:space="preserve">Going forward, GDP growth is expected to pick up gradually, but remain below the pre-2014 average of 5 percent. </w:t>
      </w:r>
      <w:r w:rsidRPr="00BA050E">
        <w:rPr>
          <w:sz w:val="22"/>
        </w:rPr>
        <w:t>In 2016, agriculture re</w:t>
      </w:r>
      <w:r>
        <w:rPr>
          <w:sz w:val="22"/>
        </w:rPr>
        <w:t>covered and the economy grew by an estimated 4.1</w:t>
      </w:r>
      <w:r w:rsidRPr="00BA050E">
        <w:rPr>
          <w:sz w:val="22"/>
        </w:rPr>
        <w:t xml:space="preserve"> percen</w:t>
      </w:r>
      <w:r>
        <w:rPr>
          <w:sz w:val="22"/>
        </w:rPr>
        <w:t>t</w:t>
      </w:r>
      <w:r w:rsidR="004F6B62">
        <w:rPr>
          <w:sz w:val="22"/>
        </w:rPr>
        <w:t xml:space="preserve"> (</w:t>
      </w:r>
      <w:r w:rsidR="004F6B62" w:rsidRPr="00597C69">
        <w:rPr>
          <w:color w:val="auto"/>
          <w:sz w:val="22"/>
        </w:rPr>
        <w:fldChar w:fldCharType="begin"/>
      </w:r>
      <w:r w:rsidR="004F6B62" w:rsidRPr="00597C69">
        <w:rPr>
          <w:color w:val="auto"/>
          <w:sz w:val="22"/>
        </w:rPr>
        <w:instrText xml:space="preserve"> REF _Ref484625695 \h  \* MERGEFORMAT </w:instrText>
      </w:r>
      <w:r w:rsidR="004F6B62" w:rsidRPr="00597C69">
        <w:rPr>
          <w:color w:val="auto"/>
          <w:sz w:val="22"/>
        </w:rPr>
      </w:r>
      <w:r w:rsidR="004F6B62" w:rsidRPr="00597C69">
        <w:rPr>
          <w:color w:val="auto"/>
          <w:sz w:val="22"/>
        </w:rPr>
        <w:fldChar w:fldCharType="separate"/>
      </w:r>
      <w:r w:rsidR="004F6B62" w:rsidRPr="00597C69">
        <w:rPr>
          <w:color w:val="auto"/>
          <w:sz w:val="22"/>
        </w:rPr>
        <w:t xml:space="preserve">Table </w:t>
      </w:r>
      <w:r w:rsidR="004F6B62" w:rsidRPr="00597C69">
        <w:rPr>
          <w:noProof/>
          <w:color w:val="auto"/>
          <w:sz w:val="22"/>
        </w:rPr>
        <w:t>1</w:t>
      </w:r>
      <w:r w:rsidR="004F6B62" w:rsidRPr="00597C69">
        <w:rPr>
          <w:color w:val="auto"/>
          <w:sz w:val="22"/>
        </w:rPr>
        <w:fldChar w:fldCharType="end"/>
      </w:r>
      <w:r w:rsidR="004F6B62" w:rsidRPr="0015259F">
        <w:rPr>
          <w:color w:val="auto"/>
          <w:sz w:val="22"/>
        </w:rPr>
        <w:t xml:space="preserve"> </w:t>
      </w:r>
      <w:r w:rsidR="004F6B62" w:rsidRPr="004F6B62">
        <w:rPr>
          <w:sz w:val="22"/>
        </w:rPr>
        <w:t>below)</w:t>
      </w:r>
      <w:r w:rsidRPr="004F6B62">
        <w:rPr>
          <w:sz w:val="22"/>
        </w:rPr>
        <w:t>. However, investment is likely to remain subdued due to high interest rates and only slowly emerging confidence in anti-corruption measures and investment climate reforms. In 2017-18, recovery in the EU and Russia may permit an increase in exports and a slow upturn</w:t>
      </w:r>
      <w:r w:rsidRPr="004F6B62" w:rsidDel="007279F0">
        <w:rPr>
          <w:sz w:val="22"/>
        </w:rPr>
        <w:t xml:space="preserve"> </w:t>
      </w:r>
      <w:r w:rsidRPr="004F6B62">
        <w:rPr>
          <w:sz w:val="22"/>
        </w:rPr>
        <w:t>in remittances, leading to a gradual rise</w:t>
      </w:r>
      <w:r w:rsidRPr="004F6B62" w:rsidDel="007279F0">
        <w:rPr>
          <w:sz w:val="22"/>
        </w:rPr>
        <w:t xml:space="preserve"> </w:t>
      </w:r>
      <w:r w:rsidRPr="004F6B62">
        <w:rPr>
          <w:sz w:val="22"/>
        </w:rPr>
        <w:t xml:space="preserve">in consumption, which will remain the key driver of growth expected to average about 3.6 percent annually. </w:t>
      </w:r>
      <w:r w:rsidR="0010540B">
        <w:rPr>
          <w:sz w:val="22"/>
        </w:rPr>
        <w:t>In the l</w:t>
      </w:r>
      <w:r w:rsidRPr="004F6B62">
        <w:rPr>
          <w:sz w:val="22"/>
        </w:rPr>
        <w:t xml:space="preserve">onger term, Moldova’s economic outlook faces several challenges, including macroeconomic and fiscal stabilization, </w:t>
      </w:r>
      <w:r w:rsidRPr="004F6B62">
        <w:rPr>
          <w:rFonts w:eastAsia="Segoe UI"/>
          <w:sz w:val="22"/>
        </w:rPr>
        <w:t>economic governance and tran</w:t>
      </w:r>
      <w:r w:rsidRPr="004F6B62">
        <w:rPr>
          <w:sz w:val="22"/>
        </w:rPr>
        <w:t>sparency―especially in the investment climate―and the uncertain post-election policy environment.</w:t>
      </w:r>
    </w:p>
    <w:p w14:paraId="1F2D7A44" w14:textId="77777777" w:rsidR="00AC309A" w:rsidRPr="004F6B62" w:rsidRDefault="00AC309A" w:rsidP="00D77307">
      <w:pPr>
        <w:spacing w:after="0" w:line="240" w:lineRule="auto"/>
        <w:ind w:right="0"/>
        <w:rPr>
          <w:b/>
          <w:sz w:val="22"/>
        </w:rPr>
      </w:pPr>
    </w:p>
    <w:tbl>
      <w:tblPr>
        <w:tblStyle w:val="ListTable1Light-Accent11"/>
        <w:tblW w:w="5127" w:type="pct"/>
        <w:tblLook w:val="04A0" w:firstRow="1" w:lastRow="0" w:firstColumn="1" w:lastColumn="0" w:noHBand="0" w:noVBand="1"/>
      </w:tblPr>
      <w:tblGrid>
        <w:gridCol w:w="3916"/>
        <w:gridCol w:w="586"/>
        <w:gridCol w:w="586"/>
        <w:gridCol w:w="610"/>
        <w:gridCol w:w="610"/>
        <w:gridCol w:w="610"/>
        <w:gridCol w:w="610"/>
        <w:gridCol w:w="690"/>
        <w:gridCol w:w="690"/>
        <w:gridCol w:w="690"/>
      </w:tblGrid>
      <w:tr w:rsidR="00AC309A" w:rsidRPr="003120A6" w14:paraId="6FBDA972" w14:textId="77777777" w:rsidTr="00662EC2">
        <w:trPr>
          <w:cnfStyle w:val="100000000000" w:firstRow="1" w:lastRow="0" w:firstColumn="0" w:lastColumn="0" w:oddVBand="0" w:evenVBand="0" w:oddHBand="0" w:evenHBand="0" w:firstRowFirstColumn="0" w:firstRowLastColumn="0" w:lastRowFirstColumn="0" w:lastRowLastColumn="0"/>
          <w:cantSplit/>
          <w:trHeight w:val="329"/>
          <w:tblHeader/>
        </w:trPr>
        <w:tc>
          <w:tcPr>
            <w:cnfStyle w:val="001000000000" w:firstRow="0" w:lastRow="0" w:firstColumn="1" w:lastColumn="0" w:oddVBand="0" w:evenVBand="0" w:oddHBand="0" w:evenHBand="0" w:firstRowFirstColumn="0" w:firstRowLastColumn="0" w:lastRowFirstColumn="0" w:lastRowLastColumn="0"/>
            <w:tcW w:w="0" w:type="pct"/>
            <w:gridSpan w:val="10"/>
            <w:tcBorders>
              <w:top w:val="nil"/>
              <w:left w:val="nil"/>
              <w:right w:val="nil"/>
            </w:tcBorders>
            <w:noWrap/>
            <w:hideMark/>
          </w:tcPr>
          <w:p w14:paraId="2EB84F0E" w14:textId="1F63FF63" w:rsidR="00AC309A" w:rsidRPr="00325573" w:rsidRDefault="00AC309A" w:rsidP="00234B27">
            <w:pPr>
              <w:ind w:right="0"/>
              <w:jc w:val="center"/>
              <w:rPr>
                <w:sz w:val="22"/>
              </w:rPr>
            </w:pPr>
            <w:bookmarkStart w:id="2" w:name="_Ref484625695"/>
            <w:r w:rsidRPr="004F6B62">
              <w:rPr>
                <w:sz w:val="22"/>
              </w:rPr>
              <w:lastRenderedPageBreak/>
              <w:t xml:space="preserve">Table </w:t>
            </w:r>
            <w:r w:rsidRPr="004F6B62">
              <w:rPr>
                <w:sz w:val="22"/>
              </w:rPr>
              <w:fldChar w:fldCharType="begin"/>
            </w:r>
            <w:r w:rsidRPr="004F6B62">
              <w:rPr>
                <w:sz w:val="22"/>
              </w:rPr>
              <w:instrText xml:space="preserve"> SEQ Table \* ARABIC </w:instrText>
            </w:r>
            <w:r w:rsidRPr="004F6B62">
              <w:rPr>
                <w:sz w:val="22"/>
              </w:rPr>
              <w:fldChar w:fldCharType="separate"/>
            </w:r>
            <w:r w:rsidR="00A226A4">
              <w:rPr>
                <w:noProof/>
                <w:sz w:val="22"/>
              </w:rPr>
              <w:t>1</w:t>
            </w:r>
            <w:r w:rsidRPr="004F6B62">
              <w:rPr>
                <w:sz w:val="22"/>
              </w:rPr>
              <w:fldChar w:fldCharType="end"/>
            </w:r>
            <w:bookmarkEnd w:id="2"/>
            <w:r w:rsidRPr="004F6B62">
              <w:rPr>
                <w:sz w:val="22"/>
              </w:rPr>
              <w:t>: Key Macroeconomic Indicators</w:t>
            </w:r>
            <w:r w:rsidR="0010540B">
              <w:rPr>
                <w:sz w:val="22"/>
              </w:rPr>
              <w:t xml:space="preserve"> </w:t>
            </w:r>
          </w:p>
        </w:tc>
      </w:tr>
      <w:tr w:rsidR="00AC309A" w:rsidRPr="003120A6" w14:paraId="5C290FFD" w14:textId="77777777" w:rsidTr="00662EC2">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5A1A60B1" w14:textId="77777777" w:rsidR="00AC309A" w:rsidRPr="00EC13A2" w:rsidRDefault="00AC309A" w:rsidP="00234B27">
            <w:pPr>
              <w:ind w:right="0"/>
              <w:rPr>
                <w:sz w:val="17"/>
                <w:szCs w:val="17"/>
              </w:rPr>
            </w:pPr>
          </w:p>
        </w:tc>
        <w:tc>
          <w:tcPr>
            <w:tcW w:w="358" w:type="pct"/>
            <w:noWrap/>
            <w:hideMark/>
          </w:tcPr>
          <w:p w14:paraId="40FC3DE4"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sidRPr="003120A6">
              <w:rPr>
                <w:sz w:val="17"/>
                <w:szCs w:val="17"/>
              </w:rPr>
              <w:t>2011</w:t>
            </w:r>
          </w:p>
        </w:tc>
        <w:tc>
          <w:tcPr>
            <w:tcW w:w="0" w:type="pct"/>
            <w:noWrap/>
            <w:hideMark/>
          </w:tcPr>
          <w:p w14:paraId="27DF3AA2"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sidRPr="003120A6">
              <w:rPr>
                <w:sz w:val="17"/>
                <w:szCs w:val="17"/>
              </w:rPr>
              <w:t>2012</w:t>
            </w:r>
          </w:p>
        </w:tc>
        <w:tc>
          <w:tcPr>
            <w:tcW w:w="0" w:type="pct"/>
            <w:noWrap/>
          </w:tcPr>
          <w:p w14:paraId="39D9146C"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sidRPr="003120A6">
              <w:rPr>
                <w:sz w:val="17"/>
                <w:szCs w:val="17"/>
              </w:rPr>
              <w:t>2013</w:t>
            </w:r>
          </w:p>
        </w:tc>
        <w:tc>
          <w:tcPr>
            <w:tcW w:w="0" w:type="pct"/>
            <w:noWrap/>
          </w:tcPr>
          <w:p w14:paraId="57F13638"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sidRPr="003120A6">
              <w:rPr>
                <w:sz w:val="17"/>
                <w:szCs w:val="17"/>
              </w:rPr>
              <w:t>2014</w:t>
            </w:r>
          </w:p>
        </w:tc>
        <w:tc>
          <w:tcPr>
            <w:tcW w:w="0" w:type="pct"/>
            <w:noWrap/>
          </w:tcPr>
          <w:p w14:paraId="5BB9EB04"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sidRPr="003120A6">
              <w:rPr>
                <w:sz w:val="17"/>
                <w:szCs w:val="17"/>
              </w:rPr>
              <w:t>2015</w:t>
            </w:r>
          </w:p>
        </w:tc>
        <w:tc>
          <w:tcPr>
            <w:tcW w:w="0" w:type="pct"/>
            <w:noWrap/>
          </w:tcPr>
          <w:p w14:paraId="0679EF25"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sidRPr="003120A6">
              <w:rPr>
                <w:sz w:val="17"/>
                <w:szCs w:val="17"/>
              </w:rPr>
              <w:t>2016</w:t>
            </w:r>
          </w:p>
        </w:tc>
        <w:tc>
          <w:tcPr>
            <w:tcW w:w="0" w:type="pct"/>
            <w:noWrap/>
          </w:tcPr>
          <w:p w14:paraId="0ED80721"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sidRPr="003120A6">
              <w:rPr>
                <w:sz w:val="17"/>
                <w:szCs w:val="17"/>
              </w:rPr>
              <w:t>2017F</w:t>
            </w:r>
          </w:p>
        </w:tc>
        <w:tc>
          <w:tcPr>
            <w:tcW w:w="0" w:type="pct"/>
            <w:noWrap/>
          </w:tcPr>
          <w:p w14:paraId="109648AB"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Pr>
                <w:sz w:val="17"/>
                <w:szCs w:val="17"/>
              </w:rPr>
              <w:t>2018F</w:t>
            </w:r>
          </w:p>
        </w:tc>
        <w:tc>
          <w:tcPr>
            <w:tcW w:w="363" w:type="pct"/>
            <w:noWrap/>
          </w:tcPr>
          <w:p w14:paraId="706E8D21" w14:textId="77777777" w:rsidR="00AC309A" w:rsidRPr="003120A6" w:rsidRDefault="00AC309A" w:rsidP="00234B27">
            <w:pPr>
              <w:ind w:left="-46" w:right="0"/>
              <w:cnfStyle w:val="100000000000" w:firstRow="1" w:lastRow="0" w:firstColumn="0" w:lastColumn="0" w:oddVBand="0" w:evenVBand="0" w:oddHBand="0" w:evenHBand="0" w:firstRowFirstColumn="0" w:firstRowLastColumn="0" w:lastRowFirstColumn="0" w:lastRowLastColumn="0"/>
              <w:rPr>
                <w:b w:val="0"/>
                <w:sz w:val="17"/>
                <w:szCs w:val="17"/>
              </w:rPr>
            </w:pPr>
            <w:r>
              <w:rPr>
                <w:sz w:val="17"/>
                <w:szCs w:val="17"/>
              </w:rPr>
              <w:t>2019F</w:t>
            </w:r>
          </w:p>
        </w:tc>
      </w:tr>
      <w:tr w:rsidR="00AC309A" w:rsidRPr="003120A6" w14:paraId="2CD4966A"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2E57576B" w14:textId="77777777" w:rsidR="00AC309A" w:rsidRPr="00EC13A2" w:rsidRDefault="00AC309A" w:rsidP="00234B27">
            <w:pPr>
              <w:ind w:right="0"/>
              <w:rPr>
                <w:sz w:val="17"/>
                <w:szCs w:val="17"/>
              </w:rPr>
            </w:pPr>
            <w:r w:rsidRPr="00EC13A2">
              <w:rPr>
                <w:sz w:val="17"/>
                <w:szCs w:val="17"/>
              </w:rPr>
              <w:t xml:space="preserve">Nominal GDP, </w:t>
            </w:r>
            <w:r w:rsidRPr="00EC13A2">
              <w:rPr>
                <w:i/>
                <w:iCs/>
                <w:sz w:val="17"/>
                <w:szCs w:val="17"/>
              </w:rPr>
              <w:t>MDL billion</w:t>
            </w:r>
          </w:p>
        </w:tc>
        <w:tc>
          <w:tcPr>
            <w:tcW w:w="358" w:type="pct"/>
            <w:noWrap/>
            <w:hideMark/>
          </w:tcPr>
          <w:p w14:paraId="67C17D0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82.3</w:t>
            </w:r>
          </w:p>
        </w:tc>
        <w:tc>
          <w:tcPr>
            <w:tcW w:w="0" w:type="pct"/>
            <w:noWrap/>
            <w:hideMark/>
          </w:tcPr>
          <w:p w14:paraId="04E6A1F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88.2</w:t>
            </w:r>
          </w:p>
        </w:tc>
        <w:tc>
          <w:tcPr>
            <w:tcW w:w="0" w:type="pct"/>
            <w:noWrap/>
          </w:tcPr>
          <w:p w14:paraId="1EDFE5C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100.5</w:t>
            </w:r>
          </w:p>
        </w:tc>
        <w:tc>
          <w:tcPr>
            <w:tcW w:w="0" w:type="pct"/>
            <w:noWrap/>
          </w:tcPr>
          <w:p w14:paraId="0E7E0E5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112.1</w:t>
            </w:r>
          </w:p>
        </w:tc>
        <w:tc>
          <w:tcPr>
            <w:tcW w:w="0" w:type="pct"/>
            <w:noWrap/>
          </w:tcPr>
          <w:p w14:paraId="14F897F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122.6</w:t>
            </w:r>
          </w:p>
        </w:tc>
        <w:tc>
          <w:tcPr>
            <w:tcW w:w="0" w:type="pct"/>
            <w:noWrap/>
          </w:tcPr>
          <w:p w14:paraId="1FEAA45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134.5</w:t>
            </w:r>
          </w:p>
        </w:tc>
        <w:tc>
          <w:tcPr>
            <w:tcW w:w="0" w:type="pct"/>
            <w:noWrap/>
          </w:tcPr>
          <w:p w14:paraId="07AF6DA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143.8</w:t>
            </w:r>
          </w:p>
        </w:tc>
        <w:tc>
          <w:tcPr>
            <w:tcW w:w="0" w:type="pct"/>
            <w:noWrap/>
          </w:tcPr>
          <w:p w14:paraId="700D930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158.4</w:t>
            </w:r>
          </w:p>
        </w:tc>
        <w:tc>
          <w:tcPr>
            <w:tcW w:w="363" w:type="pct"/>
            <w:noWrap/>
          </w:tcPr>
          <w:p w14:paraId="53CE4FB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158.4</w:t>
            </w:r>
          </w:p>
        </w:tc>
      </w:tr>
      <w:tr w:rsidR="00AC309A" w:rsidRPr="003120A6" w14:paraId="421A6D35"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729B3B2B" w14:textId="77777777" w:rsidR="00AC309A" w:rsidRPr="00EC13A2" w:rsidRDefault="00AC309A" w:rsidP="00234B27">
            <w:pPr>
              <w:ind w:right="0"/>
              <w:rPr>
                <w:sz w:val="17"/>
                <w:szCs w:val="17"/>
              </w:rPr>
            </w:pPr>
          </w:p>
        </w:tc>
        <w:tc>
          <w:tcPr>
            <w:tcW w:w="358" w:type="pct"/>
            <w:noWrap/>
            <w:hideMark/>
          </w:tcPr>
          <w:p w14:paraId="4839D89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 </w:t>
            </w:r>
          </w:p>
        </w:tc>
        <w:tc>
          <w:tcPr>
            <w:tcW w:w="0" w:type="pct"/>
            <w:noWrap/>
            <w:hideMark/>
          </w:tcPr>
          <w:p w14:paraId="6E369E9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 </w:t>
            </w:r>
          </w:p>
        </w:tc>
        <w:tc>
          <w:tcPr>
            <w:tcW w:w="0" w:type="pct"/>
            <w:noWrap/>
          </w:tcPr>
          <w:p w14:paraId="4070397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 </w:t>
            </w:r>
          </w:p>
        </w:tc>
        <w:tc>
          <w:tcPr>
            <w:tcW w:w="0" w:type="pct"/>
            <w:noWrap/>
          </w:tcPr>
          <w:p w14:paraId="2C586B4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 </w:t>
            </w:r>
          </w:p>
        </w:tc>
        <w:tc>
          <w:tcPr>
            <w:tcW w:w="0" w:type="pct"/>
            <w:noWrap/>
          </w:tcPr>
          <w:p w14:paraId="5719859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 </w:t>
            </w:r>
          </w:p>
        </w:tc>
        <w:tc>
          <w:tcPr>
            <w:tcW w:w="0" w:type="pct"/>
            <w:noWrap/>
          </w:tcPr>
          <w:p w14:paraId="0926240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 </w:t>
            </w:r>
          </w:p>
        </w:tc>
        <w:tc>
          <w:tcPr>
            <w:tcW w:w="0" w:type="pct"/>
            <w:noWrap/>
          </w:tcPr>
          <w:p w14:paraId="17401EC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 </w:t>
            </w:r>
          </w:p>
        </w:tc>
        <w:tc>
          <w:tcPr>
            <w:tcW w:w="0" w:type="pct"/>
            <w:noWrap/>
          </w:tcPr>
          <w:p w14:paraId="11E92E5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363" w:type="pct"/>
            <w:noWrap/>
          </w:tcPr>
          <w:p w14:paraId="39A3204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r>
      <w:tr w:rsidR="00AC309A" w:rsidRPr="003120A6" w14:paraId="3645E300"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0ADC582F" w14:textId="77777777" w:rsidR="00AC309A" w:rsidRPr="00EC13A2" w:rsidRDefault="00AC309A" w:rsidP="00234B27">
            <w:pPr>
              <w:ind w:right="0"/>
              <w:rPr>
                <w:sz w:val="17"/>
                <w:szCs w:val="17"/>
              </w:rPr>
            </w:pPr>
            <w:r w:rsidRPr="00EC13A2">
              <w:rPr>
                <w:sz w:val="17"/>
                <w:szCs w:val="17"/>
              </w:rPr>
              <w:t xml:space="preserve">Real GDP, </w:t>
            </w:r>
            <w:r w:rsidRPr="00EC13A2">
              <w:rPr>
                <w:i/>
                <w:iCs/>
                <w:sz w:val="17"/>
                <w:szCs w:val="17"/>
              </w:rPr>
              <w:t>% change</w:t>
            </w:r>
          </w:p>
        </w:tc>
        <w:tc>
          <w:tcPr>
            <w:tcW w:w="358" w:type="pct"/>
            <w:noWrap/>
            <w:vAlign w:val="bottom"/>
            <w:hideMark/>
          </w:tcPr>
          <w:p w14:paraId="422FB2F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6.8</w:t>
            </w:r>
          </w:p>
        </w:tc>
        <w:tc>
          <w:tcPr>
            <w:tcW w:w="0" w:type="pct"/>
            <w:noWrap/>
            <w:vAlign w:val="bottom"/>
            <w:hideMark/>
          </w:tcPr>
          <w:p w14:paraId="3AF1171A"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-0.7</w:t>
            </w:r>
          </w:p>
        </w:tc>
        <w:tc>
          <w:tcPr>
            <w:tcW w:w="0" w:type="pct"/>
            <w:noWrap/>
            <w:vAlign w:val="bottom"/>
          </w:tcPr>
          <w:p w14:paraId="4E101FD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9.4</w:t>
            </w:r>
          </w:p>
        </w:tc>
        <w:tc>
          <w:tcPr>
            <w:tcW w:w="0" w:type="pct"/>
            <w:noWrap/>
            <w:vAlign w:val="bottom"/>
          </w:tcPr>
          <w:p w14:paraId="5BA1EA9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4.8</w:t>
            </w:r>
          </w:p>
        </w:tc>
        <w:tc>
          <w:tcPr>
            <w:tcW w:w="0" w:type="pct"/>
            <w:noWrap/>
            <w:vAlign w:val="bottom"/>
          </w:tcPr>
          <w:p w14:paraId="6DB2B11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-0.4</w:t>
            </w:r>
          </w:p>
        </w:tc>
        <w:tc>
          <w:tcPr>
            <w:tcW w:w="0" w:type="pct"/>
            <w:noWrap/>
            <w:vAlign w:val="bottom"/>
          </w:tcPr>
          <w:p w14:paraId="7B40F60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4.1</w:t>
            </w:r>
          </w:p>
        </w:tc>
        <w:tc>
          <w:tcPr>
            <w:tcW w:w="0" w:type="pct"/>
            <w:noWrap/>
            <w:vAlign w:val="bottom"/>
          </w:tcPr>
          <w:p w14:paraId="062B64C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4.0</w:t>
            </w:r>
          </w:p>
        </w:tc>
        <w:tc>
          <w:tcPr>
            <w:tcW w:w="0" w:type="pct"/>
            <w:noWrap/>
            <w:vAlign w:val="bottom"/>
          </w:tcPr>
          <w:p w14:paraId="49C4FD7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3.7</w:t>
            </w:r>
          </w:p>
        </w:tc>
        <w:tc>
          <w:tcPr>
            <w:tcW w:w="363" w:type="pct"/>
            <w:noWrap/>
            <w:vAlign w:val="bottom"/>
          </w:tcPr>
          <w:p w14:paraId="253D287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3.5</w:t>
            </w:r>
          </w:p>
        </w:tc>
      </w:tr>
      <w:tr w:rsidR="00AC309A" w:rsidRPr="003120A6" w14:paraId="1DB318FB"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32225051" w14:textId="77777777" w:rsidR="00AC309A" w:rsidRPr="00EC13A2" w:rsidRDefault="00AC309A" w:rsidP="00234B27">
            <w:pPr>
              <w:ind w:right="0"/>
              <w:rPr>
                <w:sz w:val="17"/>
                <w:szCs w:val="17"/>
              </w:rPr>
            </w:pPr>
            <w:r w:rsidRPr="00EC13A2">
              <w:rPr>
                <w:sz w:val="17"/>
                <w:szCs w:val="17"/>
              </w:rPr>
              <w:t xml:space="preserve">Consumption, </w:t>
            </w:r>
            <w:r w:rsidRPr="00EC13A2">
              <w:rPr>
                <w:i/>
                <w:iCs/>
                <w:sz w:val="17"/>
                <w:szCs w:val="17"/>
              </w:rPr>
              <w:t>% change</w:t>
            </w:r>
          </w:p>
        </w:tc>
        <w:tc>
          <w:tcPr>
            <w:tcW w:w="358" w:type="pct"/>
            <w:noWrap/>
            <w:vAlign w:val="bottom"/>
            <w:hideMark/>
          </w:tcPr>
          <w:p w14:paraId="696FFAA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9.4</w:t>
            </w:r>
          </w:p>
        </w:tc>
        <w:tc>
          <w:tcPr>
            <w:tcW w:w="0" w:type="pct"/>
            <w:noWrap/>
            <w:vAlign w:val="bottom"/>
            <w:hideMark/>
          </w:tcPr>
          <w:p w14:paraId="07F0DB7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0.9</w:t>
            </w:r>
          </w:p>
        </w:tc>
        <w:tc>
          <w:tcPr>
            <w:tcW w:w="0" w:type="pct"/>
            <w:noWrap/>
            <w:vAlign w:val="bottom"/>
          </w:tcPr>
          <w:p w14:paraId="3E1F966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5.2</w:t>
            </w:r>
          </w:p>
        </w:tc>
        <w:tc>
          <w:tcPr>
            <w:tcW w:w="0" w:type="pct"/>
            <w:noWrap/>
            <w:vAlign w:val="bottom"/>
          </w:tcPr>
          <w:p w14:paraId="5CD8EBA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2.7</w:t>
            </w:r>
          </w:p>
        </w:tc>
        <w:tc>
          <w:tcPr>
            <w:tcW w:w="0" w:type="pct"/>
            <w:noWrap/>
            <w:vAlign w:val="bottom"/>
          </w:tcPr>
          <w:p w14:paraId="08D4DBB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-1.9</w:t>
            </w:r>
          </w:p>
        </w:tc>
        <w:tc>
          <w:tcPr>
            <w:tcW w:w="0" w:type="pct"/>
            <w:noWrap/>
            <w:vAlign w:val="bottom"/>
          </w:tcPr>
          <w:p w14:paraId="68FD5C2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3.0</w:t>
            </w:r>
          </w:p>
        </w:tc>
        <w:tc>
          <w:tcPr>
            <w:tcW w:w="0" w:type="pct"/>
            <w:noWrap/>
            <w:vAlign w:val="bottom"/>
          </w:tcPr>
          <w:p w14:paraId="5AC56D9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3.5</w:t>
            </w:r>
          </w:p>
        </w:tc>
        <w:tc>
          <w:tcPr>
            <w:tcW w:w="0" w:type="pct"/>
            <w:noWrap/>
            <w:vAlign w:val="bottom"/>
          </w:tcPr>
          <w:p w14:paraId="6309BB0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3.3</w:t>
            </w:r>
          </w:p>
        </w:tc>
        <w:tc>
          <w:tcPr>
            <w:tcW w:w="363" w:type="pct"/>
            <w:noWrap/>
            <w:vAlign w:val="bottom"/>
          </w:tcPr>
          <w:p w14:paraId="0759DE5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3.1</w:t>
            </w:r>
          </w:p>
        </w:tc>
      </w:tr>
      <w:tr w:rsidR="00AC309A" w:rsidRPr="003120A6" w14:paraId="595A7E11"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7AD20E33" w14:textId="77777777" w:rsidR="00AC309A" w:rsidRPr="00EC13A2" w:rsidRDefault="00AC309A" w:rsidP="00234B27">
            <w:pPr>
              <w:ind w:right="0"/>
              <w:rPr>
                <w:sz w:val="17"/>
                <w:szCs w:val="17"/>
              </w:rPr>
            </w:pPr>
            <w:r w:rsidRPr="00EC13A2">
              <w:rPr>
                <w:sz w:val="17"/>
                <w:szCs w:val="17"/>
              </w:rPr>
              <w:t xml:space="preserve">Gross Fixed Investment, </w:t>
            </w:r>
            <w:r w:rsidRPr="00EC13A2">
              <w:rPr>
                <w:i/>
                <w:iCs/>
                <w:sz w:val="17"/>
                <w:szCs w:val="17"/>
              </w:rPr>
              <w:t>% change</w:t>
            </w:r>
          </w:p>
        </w:tc>
        <w:tc>
          <w:tcPr>
            <w:tcW w:w="358" w:type="pct"/>
            <w:noWrap/>
            <w:vAlign w:val="bottom"/>
            <w:hideMark/>
          </w:tcPr>
          <w:p w14:paraId="6777C37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13.0</w:t>
            </w:r>
          </w:p>
        </w:tc>
        <w:tc>
          <w:tcPr>
            <w:tcW w:w="0" w:type="pct"/>
            <w:noWrap/>
            <w:vAlign w:val="bottom"/>
            <w:hideMark/>
          </w:tcPr>
          <w:p w14:paraId="7893BA7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0.4</w:t>
            </w:r>
          </w:p>
        </w:tc>
        <w:tc>
          <w:tcPr>
            <w:tcW w:w="0" w:type="pct"/>
            <w:noWrap/>
            <w:vAlign w:val="bottom"/>
          </w:tcPr>
          <w:p w14:paraId="56659DE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w:t>
            </w:r>
          </w:p>
        </w:tc>
        <w:tc>
          <w:tcPr>
            <w:tcW w:w="0" w:type="pct"/>
            <w:vAlign w:val="bottom"/>
          </w:tcPr>
          <w:p w14:paraId="1367A12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10.0</w:t>
            </w:r>
          </w:p>
        </w:tc>
        <w:tc>
          <w:tcPr>
            <w:tcW w:w="0" w:type="pct"/>
            <w:noWrap/>
            <w:vAlign w:val="bottom"/>
          </w:tcPr>
          <w:p w14:paraId="099D2C4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-2.3</w:t>
            </w:r>
          </w:p>
        </w:tc>
        <w:tc>
          <w:tcPr>
            <w:tcW w:w="0" w:type="pct"/>
            <w:noWrap/>
            <w:vAlign w:val="bottom"/>
          </w:tcPr>
          <w:p w14:paraId="6DB88FF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-3.0</w:t>
            </w:r>
          </w:p>
        </w:tc>
        <w:tc>
          <w:tcPr>
            <w:tcW w:w="0" w:type="pct"/>
            <w:noWrap/>
            <w:vAlign w:val="bottom"/>
          </w:tcPr>
          <w:p w14:paraId="5C77A6F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2.9</w:t>
            </w:r>
          </w:p>
        </w:tc>
        <w:tc>
          <w:tcPr>
            <w:tcW w:w="0" w:type="pct"/>
            <w:noWrap/>
            <w:vAlign w:val="bottom"/>
          </w:tcPr>
          <w:p w14:paraId="754DEA7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w:t>
            </w:r>
          </w:p>
        </w:tc>
        <w:tc>
          <w:tcPr>
            <w:tcW w:w="363" w:type="pct"/>
            <w:noWrap/>
            <w:vAlign w:val="bottom"/>
          </w:tcPr>
          <w:p w14:paraId="4929883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4.5</w:t>
            </w:r>
          </w:p>
        </w:tc>
      </w:tr>
      <w:tr w:rsidR="00AC309A" w:rsidRPr="003120A6" w14:paraId="3F43F519"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7FA329D7" w14:textId="77777777" w:rsidR="00AC309A" w:rsidRPr="00EC13A2" w:rsidRDefault="00AC309A" w:rsidP="00234B27">
            <w:pPr>
              <w:ind w:right="0"/>
              <w:rPr>
                <w:sz w:val="17"/>
                <w:szCs w:val="17"/>
              </w:rPr>
            </w:pPr>
            <w:r w:rsidRPr="00EC13A2">
              <w:rPr>
                <w:sz w:val="17"/>
                <w:szCs w:val="17"/>
              </w:rPr>
              <w:t xml:space="preserve">Export, </w:t>
            </w:r>
            <w:r w:rsidRPr="00EC13A2">
              <w:rPr>
                <w:i/>
                <w:iCs/>
                <w:sz w:val="17"/>
                <w:szCs w:val="17"/>
              </w:rPr>
              <w:t>% change</w:t>
            </w:r>
          </w:p>
        </w:tc>
        <w:tc>
          <w:tcPr>
            <w:tcW w:w="358" w:type="pct"/>
            <w:noWrap/>
            <w:vAlign w:val="bottom"/>
            <w:hideMark/>
          </w:tcPr>
          <w:p w14:paraId="31890AE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27.4</w:t>
            </w:r>
          </w:p>
        </w:tc>
        <w:tc>
          <w:tcPr>
            <w:tcW w:w="0" w:type="pct"/>
            <w:noWrap/>
            <w:vAlign w:val="bottom"/>
            <w:hideMark/>
          </w:tcPr>
          <w:p w14:paraId="7173114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2.3</w:t>
            </w:r>
          </w:p>
        </w:tc>
        <w:tc>
          <w:tcPr>
            <w:tcW w:w="0" w:type="pct"/>
            <w:noWrap/>
            <w:vAlign w:val="bottom"/>
          </w:tcPr>
          <w:p w14:paraId="666A01A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9.6</w:t>
            </w:r>
          </w:p>
        </w:tc>
        <w:tc>
          <w:tcPr>
            <w:tcW w:w="0" w:type="pct"/>
            <w:vAlign w:val="bottom"/>
          </w:tcPr>
          <w:p w14:paraId="0BCEDE2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1.0</w:t>
            </w:r>
          </w:p>
        </w:tc>
        <w:tc>
          <w:tcPr>
            <w:tcW w:w="0" w:type="pct"/>
            <w:vAlign w:val="bottom"/>
          </w:tcPr>
          <w:p w14:paraId="1A2D60A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2.9</w:t>
            </w:r>
          </w:p>
        </w:tc>
        <w:tc>
          <w:tcPr>
            <w:tcW w:w="0" w:type="pct"/>
            <w:noWrap/>
            <w:vAlign w:val="bottom"/>
          </w:tcPr>
          <w:p w14:paraId="59E0A78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8.8</w:t>
            </w:r>
          </w:p>
        </w:tc>
        <w:tc>
          <w:tcPr>
            <w:tcW w:w="0" w:type="pct"/>
            <w:noWrap/>
            <w:vAlign w:val="bottom"/>
          </w:tcPr>
          <w:p w14:paraId="1A87B1D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9.4</w:t>
            </w:r>
          </w:p>
        </w:tc>
        <w:tc>
          <w:tcPr>
            <w:tcW w:w="0" w:type="pct"/>
            <w:noWrap/>
            <w:vAlign w:val="bottom"/>
          </w:tcPr>
          <w:p w14:paraId="62BF8AF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w:t>
            </w:r>
          </w:p>
        </w:tc>
        <w:tc>
          <w:tcPr>
            <w:tcW w:w="363" w:type="pct"/>
            <w:noWrap/>
            <w:vAlign w:val="bottom"/>
          </w:tcPr>
          <w:p w14:paraId="6942B5C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4.0</w:t>
            </w:r>
          </w:p>
        </w:tc>
      </w:tr>
      <w:tr w:rsidR="00AC309A" w:rsidRPr="003120A6" w14:paraId="37D76128"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2D1E9234" w14:textId="77777777" w:rsidR="00AC309A" w:rsidRPr="00EC13A2" w:rsidRDefault="00AC309A" w:rsidP="00234B27">
            <w:pPr>
              <w:ind w:right="0"/>
              <w:rPr>
                <w:sz w:val="17"/>
                <w:szCs w:val="17"/>
              </w:rPr>
            </w:pPr>
            <w:r w:rsidRPr="00EC13A2">
              <w:rPr>
                <w:sz w:val="17"/>
                <w:szCs w:val="17"/>
              </w:rPr>
              <w:t xml:space="preserve">Import, </w:t>
            </w:r>
            <w:r w:rsidRPr="00EC13A2">
              <w:rPr>
                <w:i/>
                <w:iCs/>
                <w:sz w:val="17"/>
                <w:szCs w:val="17"/>
              </w:rPr>
              <w:t>% change</w:t>
            </w:r>
          </w:p>
        </w:tc>
        <w:tc>
          <w:tcPr>
            <w:tcW w:w="358" w:type="pct"/>
            <w:noWrap/>
            <w:vAlign w:val="bottom"/>
            <w:hideMark/>
          </w:tcPr>
          <w:p w14:paraId="08DBB1B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19.7</w:t>
            </w:r>
          </w:p>
        </w:tc>
        <w:tc>
          <w:tcPr>
            <w:tcW w:w="0" w:type="pct"/>
            <w:noWrap/>
            <w:vAlign w:val="bottom"/>
            <w:hideMark/>
          </w:tcPr>
          <w:p w14:paraId="6F3E086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2.5</w:t>
            </w:r>
          </w:p>
        </w:tc>
        <w:tc>
          <w:tcPr>
            <w:tcW w:w="0" w:type="pct"/>
            <w:noWrap/>
            <w:vAlign w:val="bottom"/>
          </w:tcPr>
          <w:p w14:paraId="39D6585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4.4</w:t>
            </w:r>
          </w:p>
        </w:tc>
        <w:tc>
          <w:tcPr>
            <w:tcW w:w="0" w:type="pct"/>
            <w:vAlign w:val="bottom"/>
          </w:tcPr>
          <w:p w14:paraId="6F07456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0.4</w:t>
            </w:r>
          </w:p>
        </w:tc>
        <w:tc>
          <w:tcPr>
            <w:tcW w:w="0" w:type="pct"/>
            <w:vAlign w:val="bottom"/>
          </w:tcPr>
          <w:p w14:paraId="04FFB90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-4.7</w:t>
            </w:r>
          </w:p>
        </w:tc>
        <w:tc>
          <w:tcPr>
            <w:tcW w:w="0" w:type="pct"/>
            <w:noWrap/>
            <w:vAlign w:val="bottom"/>
          </w:tcPr>
          <w:p w14:paraId="6168EA4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5.9</w:t>
            </w:r>
          </w:p>
        </w:tc>
        <w:tc>
          <w:tcPr>
            <w:tcW w:w="0" w:type="pct"/>
            <w:noWrap/>
            <w:vAlign w:val="bottom"/>
          </w:tcPr>
          <w:p w14:paraId="10F05EE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6.8</w:t>
            </w:r>
          </w:p>
        </w:tc>
        <w:tc>
          <w:tcPr>
            <w:tcW w:w="0" w:type="pct"/>
            <w:noWrap/>
            <w:vAlign w:val="bottom"/>
          </w:tcPr>
          <w:p w14:paraId="7075140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3.9</w:t>
            </w:r>
          </w:p>
        </w:tc>
        <w:tc>
          <w:tcPr>
            <w:tcW w:w="363" w:type="pct"/>
            <w:noWrap/>
            <w:vAlign w:val="bottom"/>
          </w:tcPr>
          <w:p w14:paraId="568E9AD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4.2</w:t>
            </w:r>
          </w:p>
        </w:tc>
      </w:tr>
      <w:tr w:rsidR="00AC309A" w:rsidRPr="003120A6" w14:paraId="058C6203"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5CB70BB4" w14:textId="77777777" w:rsidR="00AC309A" w:rsidRPr="00EC13A2" w:rsidRDefault="00AC309A" w:rsidP="00234B27">
            <w:pPr>
              <w:ind w:right="0"/>
              <w:rPr>
                <w:sz w:val="17"/>
                <w:szCs w:val="17"/>
              </w:rPr>
            </w:pPr>
          </w:p>
        </w:tc>
        <w:tc>
          <w:tcPr>
            <w:tcW w:w="358" w:type="pct"/>
            <w:noWrap/>
            <w:hideMark/>
          </w:tcPr>
          <w:p w14:paraId="7548DFD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hideMark/>
          </w:tcPr>
          <w:p w14:paraId="07C11B9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tcPr>
          <w:p w14:paraId="164B744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tcPr>
          <w:p w14:paraId="67B973A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tcPr>
          <w:p w14:paraId="5096CB0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tcPr>
          <w:p w14:paraId="43F77A9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tcPr>
          <w:p w14:paraId="08271C1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tcPr>
          <w:p w14:paraId="5F6E914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363" w:type="pct"/>
            <w:noWrap/>
          </w:tcPr>
          <w:p w14:paraId="2FC722B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r>
      <w:tr w:rsidR="00AC309A" w:rsidRPr="003120A6" w14:paraId="06C3D71F"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7598CD27" w14:textId="77777777" w:rsidR="00AC309A" w:rsidRPr="00EC13A2" w:rsidRDefault="00AC309A" w:rsidP="00234B27">
            <w:pPr>
              <w:ind w:right="0"/>
              <w:rPr>
                <w:sz w:val="17"/>
                <w:szCs w:val="17"/>
              </w:rPr>
            </w:pPr>
            <w:r w:rsidRPr="00EC13A2">
              <w:rPr>
                <w:sz w:val="17"/>
                <w:szCs w:val="17"/>
              </w:rPr>
              <w:t xml:space="preserve">GDP deflator, </w:t>
            </w:r>
            <w:r w:rsidRPr="00EC13A2">
              <w:rPr>
                <w:i/>
                <w:iCs/>
                <w:sz w:val="17"/>
                <w:szCs w:val="17"/>
              </w:rPr>
              <w:t>% change</w:t>
            </w:r>
          </w:p>
        </w:tc>
        <w:tc>
          <w:tcPr>
            <w:tcW w:w="358" w:type="pct"/>
            <w:noWrap/>
            <w:vAlign w:val="bottom"/>
          </w:tcPr>
          <w:p w14:paraId="020336A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7.2</w:t>
            </w:r>
          </w:p>
        </w:tc>
        <w:tc>
          <w:tcPr>
            <w:tcW w:w="0" w:type="pct"/>
            <w:noWrap/>
            <w:vAlign w:val="bottom"/>
          </w:tcPr>
          <w:p w14:paraId="5053498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7.9</w:t>
            </w:r>
          </w:p>
        </w:tc>
        <w:tc>
          <w:tcPr>
            <w:tcW w:w="0" w:type="pct"/>
            <w:noWrap/>
            <w:vAlign w:val="bottom"/>
          </w:tcPr>
          <w:p w14:paraId="2637A83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4.1</w:t>
            </w:r>
          </w:p>
        </w:tc>
        <w:tc>
          <w:tcPr>
            <w:tcW w:w="0" w:type="pct"/>
            <w:vAlign w:val="bottom"/>
          </w:tcPr>
          <w:p w14:paraId="403E1CDA"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6.4</w:t>
            </w:r>
          </w:p>
        </w:tc>
        <w:tc>
          <w:tcPr>
            <w:tcW w:w="0" w:type="pct"/>
            <w:vAlign w:val="bottom"/>
          </w:tcPr>
          <w:p w14:paraId="29E5B83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9.9</w:t>
            </w:r>
          </w:p>
        </w:tc>
        <w:tc>
          <w:tcPr>
            <w:tcW w:w="0" w:type="pct"/>
            <w:noWrap/>
            <w:vAlign w:val="bottom"/>
          </w:tcPr>
          <w:p w14:paraId="6CD96B8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5.9</w:t>
            </w:r>
          </w:p>
        </w:tc>
        <w:tc>
          <w:tcPr>
            <w:tcW w:w="0" w:type="pct"/>
            <w:noWrap/>
            <w:vAlign w:val="bottom"/>
          </w:tcPr>
          <w:p w14:paraId="6BFEE77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5.6</w:t>
            </w:r>
          </w:p>
        </w:tc>
        <w:tc>
          <w:tcPr>
            <w:tcW w:w="0" w:type="pct"/>
            <w:noWrap/>
            <w:vAlign w:val="bottom"/>
          </w:tcPr>
          <w:p w14:paraId="2D01CC5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4.7</w:t>
            </w:r>
          </w:p>
        </w:tc>
        <w:tc>
          <w:tcPr>
            <w:tcW w:w="363" w:type="pct"/>
            <w:noWrap/>
            <w:vAlign w:val="bottom"/>
          </w:tcPr>
          <w:p w14:paraId="3908196A"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4.7</w:t>
            </w:r>
          </w:p>
        </w:tc>
      </w:tr>
      <w:tr w:rsidR="00AC309A" w:rsidRPr="003120A6" w14:paraId="39C2D5A5"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22206B0C" w14:textId="77777777" w:rsidR="00AC309A" w:rsidRPr="00EC13A2" w:rsidRDefault="00AC309A" w:rsidP="00234B27">
            <w:pPr>
              <w:ind w:right="0"/>
              <w:rPr>
                <w:sz w:val="17"/>
                <w:szCs w:val="17"/>
              </w:rPr>
            </w:pPr>
            <w:r w:rsidRPr="00EC13A2">
              <w:rPr>
                <w:sz w:val="17"/>
                <w:szCs w:val="17"/>
              </w:rPr>
              <w:t xml:space="preserve">CPI, </w:t>
            </w:r>
            <w:r w:rsidRPr="00EC13A2">
              <w:rPr>
                <w:i/>
                <w:iCs/>
                <w:sz w:val="17"/>
                <w:szCs w:val="17"/>
              </w:rPr>
              <w:t>% average</w:t>
            </w:r>
          </w:p>
        </w:tc>
        <w:tc>
          <w:tcPr>
            <w:tcW w:w="358" w:type="pct"/>
            <w:noWrap/>
            <w:vAlign w:val="bottom"/>
            <w:hideMark/>
          </w:tcPr>
          <w:p w14:paraId="50B77A5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7.6</w:t>
            </w:r>
          </w:p>
        </w:tc>
        <w:tc>
          <w:tcPr>
            <w:tcW w:w="0" w:type="pct"/>
            <w:noWrap/>
            <w:vAlign w:val="bottom"/>
            <w:hideMark/>
          </w:tcPr>
          <w:p w14:paraId="29DCF9F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4.6</w:t>
            </w:r>
          </w:p>
        </w:tc>
        <w:tc>
          <w:tcPr>
            <w:tcW w:w="0" w:type="pct"/>
            <w:noWrap/>
            <w:vAlign w:val="bottom"/>
          </w:tcPr>
          <w:p w14:paraId="1D6DCEC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4.6</w:t>
            </w:r>
          </w:p>
        </w:tc>
        <w:tc>
          <w:tcPr>
            <w:tcW w:w="0" w:type="pct"/>
            <w:vAlign w:val="bottom"/>
          </w:tcPr>
          <w:p w14:paraId="18A2403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5.1</w:t>
            </w:r>
          </w:p>
        </w:tc>
        <w:tc>
          <w:tcPr>
            <w:tcW w:w="0" w:type="pct"/>
            <w:vAlign w:val="bottom"/>
          </w:tcPr>
          <w:p w14:paraId="238595D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9.7</w:t>
            </w:r>
          </w:p>
        </w:tc>
        <w:tc>
          <w:tcPr>
            <w:tcW w:w="0" w:type="pct"/>
            <w:noWrap/>
            <w:vAlign w:val="bottom"/>
          </w:tcPr>
          <w:p w14:paraId="56D1D3C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6.9</w:t>
            </w:r>
          </w:p>
        </w:tc>
        <w:tc>
          <w:tcPr>
            <w:tcW w:w="0" w:type="pct"/>
            <w:noWrap/>
            <w:vAlign w:val="bottom"/>
          </w:tcPr>
          <w:p w14:paraId="4AB6A3D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5.3</w:t>
            </w:r>
          </w:p>
        </w:tc>
        <w:tc>
          <w:tcPr>
            <w:tcW w:w="0" w:type="pct"/>
            <w:noWrap/>
            <w:vAlign w:val="bottom"/>
          </w:tcPr>
          <w:p w14:paraId="5BB7E5B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4.8</w:t>
            </w:r>
          </w:p>
        </w:tc>
        <w:tc>
          <w:tcPr>
            <w:tcW w:w="363" w:type="pct"/>
            <w:noWrap/>
            <w:vAlign w:val="bottom"/>
          </w:tcPr>
          <w:p w14:paraId="38F568D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5.0</w:t>
            </w:r>
          </w:p>
        </w:tc>
      </w:tr>
      <w:tr w:rsidR="00AC309A" w:rsidRPr="003120A6" w14:paraId="262044B5"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028AEBDE" w14:textId="77777777" w:rsidR="00AC309A" w:rsidRPr="00EC13A2" w:rsidRDefault="00AC309A" w:rsidP="00234B27">
            <w:pPr>
              <w:ind w:right="0"/>
              <w:rPr>
                <w:sz w:val="17"/>
                <w:szCs w:val="17"/>
              </w:rPr>
            </w:pPr>
            <w:r w:rsidRPr="00EC13A2">
              <w:rPr>
                <w:sz w:val="17"/>
                <w:szCs w:val="17"/>
              </w:rPr>
              <w:t xml:space="preserve">Current Account Balance, </w:t>
            </w:r>
            <w:r w:rsidRPr="00EC13A2">
              <w:rPr>
                <w:i/>
                <w:iCs/>
                <w:sz w:val="17"/>
                <w:szCs w:val="17"/>
              </w:rPr>
              <w:t>% GDP</w:t>
            </w:r>
            <w:r w:rsidRPr="00EC13A2">
              <w:rPr>
                <w:i/>
                <w:iCs/>
                <w:sz w:val="17"/>
                <w:szCs w:val="17"/>
                <w:vertAlign w:val="superscript"/>
              </w:rPr>
              <w:t>*</w:t>
            </w:r>
          </w:p>
        </w:tc>
        <w:tc>
          <w:tcPr>
            <w:tcW w:w="358" w:type="pct"/>
            <w:noWrap/>
            <w:vAlign w:val="bottom"/>
            <w:hideMark/>
          </w:tcPr>
          <w:p w14:paraId="26875DB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-12.1</w:t>
            </w:r>
          </w:p>
        </w:tc>
        <w:tc>
          <w:tcPr>
            <w:tcW w:w="0" w:type="pct"/>
            <w:noWrap/>
            <w:vAlign w:val="bottom"/>
            <w:hideMark/>
          </w:tcPr>
          <w:p w14:paraId="32232CE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-8.7</w:t>
            </w:r>
          </w:p>
        </w:tc>
        <w:tc>
          <w:tcPr>
            <w:tcW w:w="0" w:type="pct"/>
            <w:noWrap/>
            <w:vAlign w:val="bottom"/>
          </w:tcPr>
          <w:p w14:paraId="0A7F126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-6.5</w:t>
            </w:r>
          </w:p>
        </w:tc>
        <w:tc>
          <w:tcPr>
            <w:tcW w:w="0" w:type="pct"/>
            <w:noWrap/>
            <w:vAlign w:val="bottom"/>
          </w:tcPr>
          <w:p w14:paraId="47F0F95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-7.1</w:t>
            </w:r>
          </w:p>
        </w:tc>
        <w:tc>
          <w:tcPr>
            <w:tcW w:w="0" w:type="pct"/>
            <w:noWrap/>
            <w:vAlign w:val="bottom"/>
          </w:tcPr>
          <w:p w14:paraId="029B54B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-6.4</w:t>
            </w:r>
          </w:p>
        </w:tc>
        <w:tc>
          <w:tcPr>
            <w:tcW w:w="0" w:type="pct"/>
            <w:noWrap/>
            <w:vAlign w:val="bottom"/>
          </w:tcPr>
          <w:p w14:paraId="1C0E4BA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-4.1</w:t>
            </w:r>
          </w:p>
        </w:tc>
        <w:tc>
          <w:tcPr>
            <w:tcW w:w="0" w:type="pct"/>
            <w:noWrap/>
            <w:vAlign w:val="bottom"/>
          </w:tcPr>
          <w:p w14:paraId="6B78DE3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-4.5</w:t>
            </w:r>
          </w:p>
        </w:tc>
        <w:tc>
          <w:tcPr>
            <w:tcW w:w="0" w:type="pct"/>
            <w:noWrap/>
            <w:vAlign w:val="bottom"/>
          </w:tcPr>
          <w:p w14:paraId="16F2F78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-4.8</w:t>
            </w:r>
          </w:p>
        </w:tc>
        <w:tc>
          <w:tcPr>
            <w:tcW w:w="363" w:type="pct"/>
            <w:noWrap/>
            <w:vAlign w:val="bottom"/>
          </w:tcPr>
          <w:p w14:paraId="020F75A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-5.3</w:t>
            </w:r>
          </w:p>
        </w:tc>
      </w:tr>
      <w:tr w:rsidR="00AC309A" w:rsidRPr="003120A6" w14:paraId="304ADF86"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3EF89578" w14:textId="77777777" w:rsidR="00AC309A" w:rsidRPr="00EC13A2" w:rsidRDefault="00AC309A" w:rsidP="00234B27">
            <w:pPr>
              <w:ind w:right="0"/>
              <w:rPr>
                <w:sz w:val="17"/>
                <w:szCs w:val="17"/>
                <w:vertAlign w:val="superscript"/>
              </w:rPr>
            </w:pPr>
            <w:r w:rsidRPr="00EC13A2">
              <w:rPr>
                <w:sz w:val="17"/>
                <w:szCs w:val="17"/>
              </w:rPr>
              <w:t>Remittances,</w:t>
            </w:r>
            <w:r w:rsidRPr="00EC13A2">
              <w:rPr>
                <w:i/>
                <w:iCs/>
                <w:sz w:val="17"/>
                <w:szCs w:val="17"/>
              </w:rPr>
              <w:t xml:space="preserve"> % change, USD</w:t>
            </w:r>
          </w:p>
        </w:tc>
        <w:tc>
          <w:tcPr>
            <w:tcW w:w="358" w:type="pct"/>
            <w:noWrap/>
            <w:vAlign w:val="bottom"/>
            <w:hideMark/>
          </w:tcPr>
          <w:p w14:paraId="618AF28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21.7</w:t>
            </w:r>
          </w:p>
        </w:tc>
        <w:tc>
          <w:tcPr>
            <w:tcW w:w="0" w:type="pct"/>
            <w:noWrap/>
            <w:vAlign w:val="bottom"/>
            <w:hideMark/>
          </w:tcPr>
          <w:p w14:paraId="2A8758B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8.8</w:t>
            </w:r>
          </w:p>
        </w:tc>
        <w:tc>
          <w:tcPr>
            <w:tcW w:w="0" w:type="pct"/>
            <w:noWrap/>
            <w:vAlign w:val="bottom"/>
          </w:tcPr>
          <w:p w14:paraId="25637AB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10.2</w:t>
            </w:r>
          </w:p>
        </w:tc>
        <w:tc>
          <w:tcPr>
            <w:tcW w:w="0" w:type="pct"/>
            <w:vAlign w:val="bottom"/>
          </w:tcPr>
          <w:p w14:paraId="7467793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-5.2</w:t>
            </w:r>
          </w:p>
        </w:tc>
        <w:tc>
          <w:tcPr>
            <w:tcW w:w="0" w:type="pct"/>
            <w:vAlign w:val="bottom"/>
          </w:tcPr>
          <w:p w14:paraId="40A2692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-26.1</w:t>
            </w:r>
          </w:p>
        </w:tc>
        <w:tc>
          <w:tcPr>
            <w:tcW w:w="0" w:type="pct"/>
            <w:noWrap/>
            <w:vAlign w:val="bottom"/>
          </w:tcPr>
          <w:p w14:paraId="31A806B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-4.6</w:t>
            </w:r>
          </w:p>
        </w:tc>
        <w:tc>
          <w:tcPr>
            <w:tcW w:w="0" w:type="pct"/>
            <w:noWrap/>
            <w:vAlign w:val="bottom"/>
          </w:tcPr>
          <w:p w14:paraId="161620E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1.8</w:t>
            </w:r>
          </w:p>
        </w:tc>
        <w:tc>
          <w:tcPr>
            <w:tcW w:w="0" w:type="pct"/>
            <w:noWrap/>
            <w:vAlign w:val="bottom"/>
          </w:tcPr>
          <w:p w14:paraId="69F9EF6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2.3</w:t>
            </w:r>
          </w:p>
        </w:tc>
        <w:tc>
          <w:tcPr>
            <w:tcW w:w="363" w:type="pct"/>
            <w:noWrap/>
            <w:vAlign w:val="bottom"/>
          </w:tcPr>
          <w:p w14:paraId="34620AF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2.9</w:t>
            </w:r>
          </w:p>
        </w:tc>
      </w:tr>
      <w:tr w:rsidR="00AC309A" w:rsidRPr="003120A6" w14:paraId="51F8E5A8"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436DE9F3" w14:textId="77777777" w:rsidR="00AC309A" w:rsidRPr="00EC13A2" w:rsidRDefault="00AC309A" w:rsidP="00234B27">
            <w:pPr>
              <w:ind w:right="0"/>
              <w:rPr>
                <w:sz w:val="17"/>
                <w:szCs w:val="17"/>
              </w:rPr>
            </w:pPr>
            <w:r w:rsidRPr="00EC13A2">
              <w:rPr>
                <w:sz w:val="17"/>
                <w:szCs w:val="17"/>
              </w:rPr>
              <w:t xml:space="preserve">Terms of Trade, </w:t>
            </w:r>
            <w:r w:rsidRPr="00EC13A2">
              <w:rPr>
                <w:i/>
                <w:iCs/>
                <w:sz w:val="17"/>
                <w:szCs w:val="17"/>
              </w:rPr>
              <w:t>% change</w:t>
            </w:r>
          </w:p>
        </w:tc>
        <w:tc>
          <w:tcPr>
            <w:tcW w:w="358" w:type="pct"/>
            <w:noWrap/>
            <w:vAlign w:val="bottom"/>
            <w:hideMark/>
          </w:tcPr>
          <w:p w14:paraId="6AB4FA0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-1.4</w:t>
            </w:r>
          </w:p>
        </w:tc>
        <w:tc>
          <w:tcPr>
            <w:tcW w:w="0" w:type="pct"/>
            <w:noWrap/>
            <w:vAlign w:val="bottom"/>
            <w:hideMark/>
          </w:tcPr>
          <w:p w14:paraId="3BE9985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0.8</w:t>
            </w:r>
          </w:p>
        </w:tc>
        <w:tc>
          <w:tcPr>
            <w:tcW w:w="0" w:type="pct"/>
            <w:noWrap/>
            <w:vAlign w:val="bottom"/>
          </w:tcPr>
          <w:p w14:paraId="0B8636B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-0.4</w:t>
            </w:r>
          </w:p>
        </w:tc>
        <w:tc>
          <w:tcPr>
            <w:tcW w:w="0" w:type="pct"/>
            <w:noWrap/>
            <w:vAlign w:val="bottom"/>
          </w:tcPr>
          <w:p w14:paraId="36EE070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-1.2</w:t>
            </w:r>
          </w:p>
        </w:tc>
        <w:tc>
          <w:tcPr>
            <w:tcW w:w="0" w:type="pct"/>
            <w:noWrap/>
            <w:vAlign w:val="bottom"/>
          </w:tcPr>
          <w:p w14:paraId="648FD39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w:t>
            </w:r>
          </w:p>
        </w:tc>
        <w:tc>
          <w:tcPr>
            <w:tcW w:w="0" w:type="pct"/>
            <w:noWrap/>
            <w:vAlign w:val="bottom"/>
          </w:tcPr>
          <w:p w14:paraId="7CB4DEA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-0.1</w:t>
            </w:r>
          </w:p>
        </w:tc>
        <w:tc>
          <w:tcPr>
            <w:tcW w:w="0" w:type="pct"/>
            <w:noWrap/>
            <w:vAlign w:val="bottom"/>
          </w:tcPr>
          <w:p w14:paraId="41CDCF1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0.2</w:t>
            </w:r>
          </w:p>
        </w:tc>
        <w:tc>
          <w:tcPr>
            <w:tcW w:w="0" w:type="pct"/>
            <w:noWrap/>
            <w:vAlign w:val="bottom"/>
          </w:tcPr>
          <w:p w14:paraId="0F8E379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0.5</w:t>
            </w:r>
          </w:p>
        </w:tc>
        <w:tc>
          <w:tcPr>
            <w:tcW w:w="363" w:type="pct"/>
            <w:noWrap/>
            <w:vAlign w:val="bottom"/>
          </w:tcPr>
          <w:p w14:paraId="5DF66E7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1.2</w:t>
            </w:r>
          </w:p>
        </w:tc>
      </w:tr>
      <w:tr w:rsidR="00AC309A" w:rsidRPr="003120A6" w14:paraId="55339E54"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548F45BB" w14:textId="77777777" w:rsidR="00AC309A" w:rsidRPr="00EC13A2" w:rsidRDefault="00AC309A" w:rsidP="00234B27">
            <w:pPr>
              <w:ind w:right="0"/>
              <w:rPr>
                <w:sz w:val="17"/>
                <w:szCs w:val="17"/>
              </w:rPr>
            </w:pPr>
            <w:r w:rsidRPr="00EC13A2">
              <w:rPr>
                <w:sz w:val="17"/>
                <w:szCs w:val="17"/>
              </w:rPr>
              <w:t xml:space="preserve">International gross reserves, million, USD, </w:t>
            </w:r>
            <w:proofErr w:type="spellStart"/>
            <w:r w:rsidRPr="00EC13A2">
              <w:rPr>
                <w:sz w:val="17"/>
                <w:szCs w:val="17"/>
              </w:rPr>
              <w:t>eop</w:t>
            </w:r>
            <w:proofErr w:type="spellEnd"/>
          </w:p>
        </w:tc>
        <w:tc>
          <w:tcPr>
            <w:tcW w:w="358" w:type="pct"/>
            <w:noWrap/>
            <w:hideMark/>
          </w:tcPr>
          <w:p w14:paraId="1772FFC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1965</w:t>
            </w:r>
          </w:p>
        </w:tc>
        <w:tc>
          <w:tcPr>
            <w:tcW w:w="0" w:type="pct"/>
            <w:noWrap/>
            <w:hideMark/>
          </w:tcPr>
          <w:p w14:paraId="31CA93B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2515</w:t>
            </w:r>
          </w:p>
        </w:tc>
        <w:tc>
          <w:tcPr>
            <w:tcW w:w="0" w:type="pct"/>
            <w:noWrap/>
          </w:tcPr>
          <w:p w14:paraId="4392807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2820</w:t>
            </w:r>
          </w:p>
        </w:tc>
        <w:tc>
          <w:tcPr>
            <w:tcW w:w="0" w:type="pct"/>
          </w:tcPr>
          <w:p w14:paraId="6657480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2156</w:t>
            </w:r>
          </w:p>
        </w:tc>
        <w:tc>
          <w:tcPr>
            <w:tcW w:w="0" w:type="pct"/>
          </w:tcPr>
          <w:p w14:paraId="3D72CC2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1768</w:t>
            </w:r>
          </w:p>
        </w:tc>
        <w:tc>
          <w:tcPr>
            <w:tcW w:w="0" w:type="pct"/>
            <w:noWrap/>
          </w:tcPr>
          <w:p w14:paraId="780E899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2206</w:t>
            </w:r>
          </w:p>
        </w:tc>
        <w:tc>
          <w:tcPr>
            <w:tcW w:w="0" w:type="pct"/>
            <w:noWrap/>
          </w:tcPr>
          <w:p w14:paraId="60C18A7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tcPr>
          <w:p w14:paraId="7BEA205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363" w:type="pct"/>
            <w:noWrap/>
          </w:tcPr>
          <w:p w14:paraId="5FE7A86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r>
      <w:tr w:rsidR="00AC309A" w:rsidRPr="003120A6" w14:paraId="77CC0A83"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384DD77B" w14:textId="77777777" w:rsidR="00AC309A" w:rsidRPr="00EC13A2" w:rsidRDefault="00AC309A" w:rsidP="00234B27">
            <w:pPr>
              <w:ind w:right="0"/>
              <w:rPr>
                <w:sz w:val="17"/>
                <w:szCs w:val="17"/>
              </w:rPr>
            </w:pPr>
            <w:r w:rsidRPr="00EC13A2">
              <w:rPr>
                <w:sz w:val="17"/>
                <w:szCs w:val="17"/>
              </w:rPr>
              <w:t xml:space="preserve">   In months of next year’s imports</w:t>
            </w:r>
          </w:p>
        </w:tc>
        <w:tc>
          <w:tcPr>
            <w:tcW w:w="358" w:type="pct"/>
            <w:noWrap/>
          </w:tcPr>
          <w:p w14:paraId="1D5050C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4.2</w:t>
            </w:r>
          </w:p>
        </w:tc>
        <w:tc>
          <w:tcPr>
            <w:tcW w:w="0" w:type="pct"/>
            <w:noWrap/>
          </w:tcPr>
          <w:p w14:paraId="2D383DA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5.3</w:t>
            </w:r>
          </w:p>
        </w:tc>
        <w:tc>
          <w:tcPr>
            <w:tcW w:w="0" w:type="pct"/>
            <w:noWrap/>
          </w:tcPr>
          <w:p w14:paraId="61A3366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5.6</w:t>
            </w:r>
          </w:p>
        </w:tc>
        <w:tc>
          <w:tcPr>
            <w:tcW w:w="0" w:type="pct"/>
          </w:tcPr>
          <w:p w14:paraId="4D6B8A8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4.4</w:t>
            </w:r>
          </w:p>
        </w:tc>
        <w:tc>
          <w:tcPr>
            <w:tcW w:w="0" w:type="pct"/>
            <w:noWrap/>
          </w:tcPr>
          <w:p w14:paraId="31AE26D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4.8</w:t>
            </w:r>
          </w:p>
        </w:tc>
        <w:tc>
          <w:tcPr>
            <w:tcW w:w="0" w:type="pct"/>
            <w:noWrap/>
          </w:tcPr>
          <w:p w14:paraId="0115297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6.0</w:t>
            </w:r>
          </w:p>
        </w:tc>
        <w:tc>
          <w:tcPr>
            <w:tcW w:w="0" w:type="pct"/>
            <w:noWrap/>
          </w:tcPr>
          <w:p w14:paraId="23E3F9B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tcPr>
          <w:p w14:paraId="7BEFD29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363" w:type="pct"/>
            <w:noWrap/>
          </w:tcPr>
          <w:p w14:paraId="3A700DB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r>
      <w:tr w:rsidR="00AC309A" w:rsidRPr="003120A6" w14:paraId="0B660396"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tcPr>
          <w:p w14:paraId="69BC3148" w14:textId="77777777" w:rsidR="00AC309A" w:rsidRPr="00EC13A2" w:rsidRDefault="00AC309A" w:rsidP="00234B27">
            <w:pPr>
              <w:ind w:right="0"/>
              <w:rPr>
                <w:sz w:val="17"/>
                <w:szCs w:val="17"/>
              </w:rPr>
            </w:pPr>
            <w:r w:rsidRPr="00EC13A2">
              <w:rPr>
                <w:sz w:val="17"/>
                <w:szCs w:val="17"/>
              </w:rPr>
              <w:t xml:space="preserve">Budget revenues, </w:t>
            </w:r>
            <w:r w:rsidRPr="00EC13A2">
              <w:rPr>
                <w:i/>
                <w:iCs/>
                <w:sz w:val="17"/>
                <w:szCs w:val="17"/>
              </w:rPr>
              <w:t>% GDP</w:t>
            </w:r>
          </w:p>
        </w:tc>
        <w:tc>
          <w:tcPr>
            <w:tcW w:w="358" w:type="pct"/>
            <w:noWrap/>
            <w:vAlign w:val="bottom"/>
          </w:tcPr>
          <w:p w14:paraId="73BB945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36.6</w:t>
            </w:r>
          </w:p>
        </w:tc>
        <w:tc>
          <w:tcPr>
            <w:tcW w:w="0" w:type="pct"/>
            <w:noWrap/>
            <w:vAlign w:val="bottom"/>
          </w:tcPr>
          <w:p w14:paraId="7E377B4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38.0</w:t>
            </w:r>
          </w:p>
        </w:tc>
        <w:tc>
          <w:tcPr>
            <w:tcW w:w="0" w:type="pct"/>
            <w:noWrap/>
            <w:vAlign w:val="bottom"/>
          </w:tcPr>
          <w:p w14:paraId="3180C4A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36.7</w:t>
            </w:r>
          </w:p>
        </w:tc>
        <w:tc>
          <w:tcPr>
            <w:tcW w:w="0" w:type="pct"/>
            <w:vAlign w:val="bottom"/>
          </w:tcPr>
          <w:p w14:paraId="3404481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37.8</w:t>
            </w:r>
          </w:p>
        </w:tc>
        <w:tc>
          <w:tcPr>
            <w:tcW w:w="0" w:type="pct"/>
            <w:noWrap/>
            <w:vAlign w:val="bottom"/>
          </w:tcPr>
          <w:p w14:paraId="234EF1B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35.7</w:t>
            </w:r>
          </w:p>
        </w:tc>
        <w:tc>
          <w:tcPr>
            <w:tcW w:w="0" w:type="pct"/>
            <w:noWrap/>
            <w:vAlign w:val="bottom"/>
          </w:tcPr>
          <w:p w14:paraId="269B3B3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34.2</w:t>
            </w:r>
          </w:p>
        </w:tc>
        <w:tc>
          <w:tcPr>
            <w:tcW w:w="0" w:type="pct"/>
            <w:noWrap/>
            <w:vAlign w:val="bottom"/>
          </w:tcPr>
          <w:p w14:paraId="2C3B88F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35.4</w:t>
            </w:r>
          </w:p>
        </w:tc>
        <w:tc>
          <w:tcPr>
            <w:tcW w:w="0" w:type="pct"/>
            <w:noWrap/>
            <w:vAlign w:val="bottom"/>
          </w:tcPr>
          <w:p w14:paraId="0303543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35.5</w:t>
            </w:r>
          </w:p>
        </w:tc>
        <w:tc>
          <w:tcPr>
            <w:tcW w:w="363" w:type="pct"/>
            <w:noWrap/>
            <w:vAlign w:val="bottom"/>
          </w:tcPr>
          <w:p w14:paraId="31C2709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35.3</w:t>
            </w:r>
          </w:p>
        </w:tc>
      </w:tr>
      <w:tr w:rsidR="00AC309A" w:rsidRPr="003120A6" w14:paraId="278E3117"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63A45AD8" w14:textId="77777777" w:rsidR="00AC309A" w:rsidRPr="00EC13A2" w:rsidRDefault="00AC309A" w:rsidP="00234B27">
            <w:pPr>
              <w:ind w:right="0"/>
              <w:rPr>
                <w:sz w:val="17"/>
                <w:szCs w:val="17"/>
              </w:rPr>
            </w:pPr>
            <w:r w:rsidRPr="00EC13A2">
              <w:rPr>
                <w:sz w:val="17"/>
                <w:szCs w:val="17"/>
              </w:rPr>
              <w:t xml:space="preserve">Budget expenditures, </w:t>
            </w:r>
            <w:r w:rsidRPr="00EC13A2">
              <w:rPr>
                <w:i/>
                <w:iCs/>
                <w:sz w:val="17"/>
                <w:szCs w:val="17"/>
              </w:rPr>
              <w:t>% GDP</w:t>
            </w:r>
          </w:p>
        </w:tc>
        <w:tc>
          <w:tcPr>
            <w:tcW w:w="358" w:type="pct"/>
            <w:noWrap/>
            <w:vAlign w:val="bottom"/>
            <w:hideMark/>
          </w:tcPr>
          <w:p w14:paraId="333E0A0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39.0</w:t>
            </w:r>
          </w:p>
        </w:tc>
        <w:tc>
          <w:tcPr>
            <w:tcW w:w="0" w:type="pct"/>
            <w:noWrap/>
            <w:vAlign w:val="bottom"/>
            <w:hideMark/>
          </w:tcPr>
          <w:p w14:paraId="6E1293AA"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40.1</w:t>
            </w:r>
          </w:p>
        </w:tc>
        <w:tc>
          <w:tcPr>
            <w:tcW w:w="0" w:type="pct"/>
            <w:noWrap/>
            <w:vAlign w:val="bottom"/>
          </w:tcPr>
          <w:p w14:paraId="59B7CFA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38.5</w:t>
            </w:r>
          </w:p>
        </w:tc>
        <w:tc>
          <w:tcPr>
            <w:tcW w:w="0" w:type="pct"/>
            <w:vAlign w:val="bottom"/>
          </w:tcPr>
          <w:p w14:paraId="7BA60CE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39.6</w:t>
            </w:r>
          </w:p>
        </w:tc>
        <w:tc>
          <w:tcPr>
            <w:tcW w:w="0" w:type="pct"/>
            <w:vAlign w:val="bottom"/>
          </w:tcPr>
          <w:p w14:paraId="2C4A3F4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38.0</w:t>
            </w:r>
          </w:p>
        </w:tc>
        <w:tc>
          <w:tcPr>
            <w:tcW w:w="0" w:type="pct"/>
            <w:noWrap/>
            <w:vAlign w:val="bottom"/>
          </w:tcPr>
          <w:p w14:paraId="376A71B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36.0</w:t>
            </w:r>
          </w:p>
        </w:tc>
        <w:tc>
          <w:tcPr>
            <w:tcW w:w="0" w:type="pct"/>
            <w:noWrap/>
            <w:vAlign w:val="bottom"/>
          </w:tcPr>
          <w:p w14:paraId="09995B0A"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37.9</w:t>
            </w:r>
          </w:p>
        </w:tc>
        <w:tc>
          <w:tcPr>
            <w:tcW w:w="0" w:type="pct"/>
            <w:noWrap/>
            <w:vAlign w:val="bottom"/>
          </w:tcPr>
          <w:p w14:paraId="5B46552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38.5</w:t>
            </w:r>
          </w:p>
        </w:tc>
        <w:tc>
          <w:tcPr>
            <w:tcW w:w="363" w:type="pct"/>
            <w:noWrap/>
            <w:vAlign w:val="bottom"/>
          </w:tcPr>
          <w:p w14:paraId="343D1CF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38.0</w:t>
            </w:r>
          </w:p>
        </w:tc>
      </w:tr>
      <w:tr w:rsidR="00AC309A" w:rsidRPr="003120A6" w14:paraId="77D15392"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14FDF9A7" w14:textId="77777777" w:rsidR="00AC309A" w:rsidRPr="00EC13A2" w:rsidRDefault="00AC309A" w:rsidP="00234B27">
            <w:pPr>
              <w:ind w:right="0"/>
              <w:rPr>
                <w:sz w:val="17"/>
                <w:szCs w:val="17"/>
              </w:rPr>
            </w:pPr>
            <w:r w:rsidRPr="00EC13A2">
              <w:rPr>
                <w:sz w:val="17"/>
                <w:szCs w:val="17"/>
              </w:rPr>
              <w:t>Fiscal balance,</w:t>
            </w:r>
            <w:r w:rsidRPr="00EC13A2">
              <w:rPr>
                <w:i/>
                <w:iCs/>
                <w:sz w:val="17"/>
                <w:szCs w:val="17"/>
              </w:rPr>
              <w:t xml:space="preserve"> % GDP</w:t>
            </w:r>
          </w:p>
        </w:tc>
        <w:tc>
          <w:tcPr>
            <w:tcW w:w="358" w:type="pct"/>
            <w:noWrap/>
            <w:vAlign w:val="bottom"/>
            <w:hideMark/>
          </w:tcPr>
          <w:p w14:paraId="6E5F3B4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-2.4</w:t>
            </w:r>
          </w:p>
        </w:tc>
        <w:tc>
          <w:tcPr>
            <w:tcW w:w="0" w:type="pct"/>
            <w:noWrap/>
            <w:vAlign w:val="bottom"/>
            <w:hideMark/>
          </w:tcPr>
          <w:p w14:paraId="56721B2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-2.1</w:t>
            </w:r>
          </w:p>
        </w:tc>
        <w:tc>
          <w:tcPr>
            <w:tcW w:w="0" w:type="pct"/>
            <w:noWrap/>
            <w:vAlign w:val="bottom"/>
          </w:tcPr>
          <w:p w14:paraId="7288E43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-1.8</w:t>
            </w:r>
          </w:p>
        </w:tc>
        <w:tc>
          <w:tcPr>
            <w:tcW w:w="0" w:type="pct"/>
            <w:noWrap/>
            <w:vAlign w:val="bottom"/>
          </w:tcPr>
          <w:p w14:paraId="08A7D02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-1.7</w:t>
            </w:r>
          </w:p>
        </w:tc>
        <w:tc>
          <w:tcPr>
            <w:tcW w:w="0" w:type="pct"/>
            <w:noWrap/>
            <w:vAlign w:val="bottom"/>
          </w:tcPr>
          <w:p w14:paraId="28E9F8D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-2.2</w:t>
            </w:r>
          </w:p>
        </w:tc>
        <w:tc>
          <w:tcPr>
            <w:tcW w:w="0" w:type="pct"/>
            <w:noWrap/>
            <w:vAlign w:val="bottom"/>
          </w:tcPr>
          <w:p w14:paraId="32FBDCD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-1.8</w:t>
            </w:r>
          </w:p>
        </w:tc>
        <w:tc>
          <w:tcPr>
            <w:tcW w:w="0" w:type="pct"/>
            <w:noWrap/>
            <w:vAlign w:val="bottom"/>
          </w:tcPr>
          <w:p w14:paraId="03541FA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-2.5</w:t>
            </w:r>
          </w:p>
        </w:tc>
        <w:tc>
          <w:tcPr>
            <w:tcW w:w="0" w:type="pct"/>
            <w:noWrap/>
            <w:vAlign w:val="bottom"/>
          </w:tcPr>
          <w:p w14:paraId="4D4F846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-3.0</w:t>
            </w:r>
          </w:p>
        </w:tc>
        <w:tc>
          <w:tcPr>
            <w:tcW w:w="363" w:type="pct"/>
            <w:noWrap/>
            <w:vAlign w:val="bottom"/>
          </w:tcPr>
          <w:p w14:paraId="7E96BCA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-2.7</w:t>
            </w:r>
          </w:p>
        </w:tc>
      </w:tr>
      <w:tr w:rsidR="00AC309A" w:rsidRPr="003120A6" w14:paraId="52DF5106"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hideMark/>
          </w:tcPr>
          <w:p w14:paraId="34800BB0" w14:textId="77777777" w:rsidR="00AC309A" w:rsidRPr="00EC13A2" w:rsidRDefault="00AC309A" w:rsidP="00234B27">
            <w:pPr>
              <w:ind w:right="0"/>
              <w:rPr>
                <w:sz w:val="17"/>
                <w:szCs w:val="17"/>
              </w:rPr>
            </w:pPr>
            <w:r w:rsidRPr="00EC13A2">
              <w:rPr>
                <w:sz w:val="17"/>
                <w:szCs w:val="17"/>
              </w:rPr>
              <w:t>Public debt and guarantees, % GDP</w:t>
            </w:r>
          </w:p>
        </w:tc>
        <w:tc>
          <w:tcPr>
            <w:tcW w:w="358" w:type="pct"/>
            <w:noWrap/>
            <w:vAlign w:val="bottom"/>
            <w:hideMark/>
          </w:tcPr>
          <w:p w14:paraId="2F4D3E5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30.4</w:t>
            </w:r>
          </w:p>
        </w:tc>
        <w:tc>
          <w:tcPr>
            <w:tcW w:w="0" w:type="pct"/>
            <w:noWrap/>
            <w:vAlign w:val="bottom"/>
            <w:hideMark/>
          </w:tcPr>
          <w:p w14:paraId="415CB265"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33.2</w:t>
            </w:r>
          </w:p>
        </w:tc>
        <w:tc>
          <w:tcPr>
            <w:tcW w:w="0" w:type="pct"/>
            <w:noWrap/>
            <w:vAlign w:val="bottom"/>
          </w:tcPr>
          <w:p w14:paraId="1C34A80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31.8</w:t>
            </w:r>
          </w:p>
        </w:tc>
        <w:tc>
          <w:tcPr>
            <w:tcW w:w="0" w:type="pct"/>
            <w:vAlign w:val="bottom"/>
          </w:tcPr>
          <w:p w14:paraId="2B1EFE7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38.2</w:t>
            </w:r>
          </w:p>
        </w:tc>
        <w:tc>
          <w:tcPr>
            <w:tcW w:w="0" w:type="pct"/>
            <w:vAlign w:val="bottom"/>
          </w:tcPr>
          <w:p w14:paraId="5F15FB7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46.5</w:t>
            </w:r>
          </w:p>
        </w:tc>
        <w:tc>
          <w:tcPr>
            <w:tcW w:w="0" w:type="pct"/>
            <w:noWrap/>
            <w:vAlign w:val="bottom"/>
          </w:tcPr>
          <w:p w14:paraId="695D004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44.2</w:t>
            </w:r>
          </w:p>
        </w:tc>
        <w:tc>
          <w:tcPr>
            <w:tcW w:w="0" w:type="pct"/>
            <w:noWrap/>
            <w:vAlign w:val="bottom"/>
          </w:tcPr>
          <w:p w14:paraId="2FE1CF1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44.7</w:t>
            </w:r>
          </w:p>
        </w:tc>
        <w:tc>
          <w:tcPr>
            <w:tcW w:w="0" w:type="pct"/>
            <w:noWrap/>
            <w:vAlign w:val="bottom"/>
          </w:tcPr>
          <w:p w14:paraId="04D33B0B"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43.8</w:t>
            </w:r>
          </w:p>
        </w:tc>
        <w:tc>
          <w:tcPr>
            <w:tcW w:w="363" w:type="pct"/>
            <w:noWrap/>
            <w:vAlign w:val="bottom"/>
          </w:tcPr>
          <w:p w14:paraId="368CCE9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42.9</w:t>
            </w:r>
          </w:p>
        </w:tc>
      </w:tr>
      <w:tr w:rsidR="00AC309A" w:rsidRPr="003120A6" w14:paraId="683060D6"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tcPr>
          <w:p w14:paraId="5C3433E9" w14:textId="77777777" w:rsidR="00AC309A" w:rsidRPr="00EC13A2" w:rsidRDefault="00AC309A" w:rsidP="00234B27">
            <w:pPr>
              <w:ind w:right="0"/>
              <w:rPr>
                <w:sz w:val="17"/>
                <w:szCs w:val="17"/>
              </w:rPr>
            </w:pPr>
          </w:p>
        </w:tc>
        <w:tc>
          <w:tcPr>
            <w:tcW w:w="358" w:type="pct"/>
            <w:noWrap/>
            <w:vAlign w:val="bottom"/>
          </w:tcPr>
          <w:p w14:paraId="59B85E97"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vAlign w:val="bottom"/>
          </w:tcPr>
          <w:p w14:paraId="1111A4B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vAlign w:val="bottom"/>
          </w:tcPr>
          <w:p w14:paraId="6CE9D75A"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vAlign w:val="bottom"/>
          </w:tcPr>
          <w:p w14:paraId="61F778BA"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vAlign w:val="bottom"/>
          </w:tcPr>
          <w:p w14:paraId="6DDF5A1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vAlign w:val="bottom"/>
          </w:tcPr>
          <w:p w14:paraId="2C906BD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vAlign w:val="bottom"/>
          </w:tcPr>
          <w:p w14:paraId="3B84F8C8"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0" w:type="pct"/>
            <w:noWrap/>
            <w:vAlign w:val="bottom"/>
          </w:tcPr>
          <w:p w14:paraId="7748F1E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c>
          <w:tcPr>
            <w:tcW w:w="363" w:type="pct"/>
            <w:noWrap/>
            <w:vAlign w:val="bottom"/>
          </w:tcPr>
          <w:p w14:paraId="44756F0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p>
        </w:tc>
      </w:tr>
      <w:tr w:rsidR="00AC309A" w:rsidRPr="003120A6" w14:paraId="323285C4"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tcPr>
          <w:p w14:paraId="22FFEC07" w14:textId="77777777" w:rsidR="00AC309A" w:rsidRPr="00EC13A2" w:rsidRDefault="00AC309A" w:rsidP="00234B27">
            <w:pPr>
              <w:ind w:right="0"/>
              <w:rPr>
                <w:sz w:val="17"/>
                <w:szCs w:val="17"/>
              </w:rPr>
            </w:pPr>
            <w:r w:rsidRPr="00EC13A2">
              <w:rPr>
                <w:sz w:val="17"/>
                <w:szCs w:val="17"/>
              </w:rPr>
              <w:t>Poverty rate ($2.5/day PPP terms)</w:t>
            </w:r>
          </w:p>
        </w:tc>
        <w:tc>
          <w:tcPr>
            <w:tcW w:w="358" w:type="pct"/>
            <w:noWrap/>
          </w:tcPr>
          <w:p w14:paraId="4F0E8CC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7.1</w:t>
            </w:r>
          </w:p>
        </w:tc>
        <w:tc>
          <w:tcPr>
            <w:tcW w:w="0" w:type="pct"/>
            <w:noWrap/>
          </w:tcPr>
          <w:p w14:paraId="7C3C808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6.0</w:t>
            </w:r>
          </w:p>
        </w:tc>
        <w:tc>
          <w:tcPr>
            <w:tcW w:w="0" w:type="pct"/>
            <w:noWrap/>
          </w:tcPr>
          <w:p w14:paraId="381B454F"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3.8</w:t>
            </w:r>
          </w:p>
        </w:tc>
        <w:tc>
          <w:tcPr>
            <w:tcW w:w="0" w:type="pct"/>
          </w:tcPr>
          <w:p w14:paraId="093EBD3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2.9</w:t>
            </w:r>
          </w:p>
        </w:tc>
        <w:tc>
          <w:tcPr>
            <w:tcW w:w="0" w:type="pct"/>
          </w:tcPr>
          <w:p w14:paraId="46ECE44E"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2.9</w:t>
            </w:r>
          </w:p>
        </w:tc>
        <w:tc>
          <w:tcPr>
            <w:tcW w:w="0" w:type="pct"/>
            <w:noWrap/>
          </w:tcPr>
          <w:p w14:paraId="08FF6692"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2.8</w:t>
            </w:r>
          </w:p>
        </w:tc>
        <w:tc>
          <w:tcPr>
            <w:tcW w:w="0" w:type="pct"/>
            <w:noWrap/>
          </w:tcPr>
          <w:p w14:paraId="490EA789"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1.9</w:t>
            </w:r>
          </w:p>
        </w:tc>
        <w:tc>
          <w:tcPr>
            <w:tcW w:w="0" w:type="pct"/>
            <w:noWrap/>
          </w:tcPr>
          <w:p w14:paraId="523E0AF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1.5</w:t>
            </w:r>
          </w:p>
        </w:tc>
        <w:tc>
          <w:tcPr>
            <w:tcW w:w="363" w:type="pct"/>
            <w:noWrap/>
          </w:tcPr>
          <w:p w14:paraId="3137513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7.1</w:t>
            </w:r>
          </w:p>
        </w:tc>
      </w:tr>
      <w:tr w:rsidR="00AC309A" w:rsidRPr="003120A6" w14:paraId="0F5737B9"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tcPr>
          <w:p w14:paraId="5742762F" w14:textId="77777777" w:rsidR="00AC309A" w:rsidRPr="00EC13A2" w:rsidRDefault="00AC309A" w:rsidP="00234B27">
            <w:pPr>
              <w:ind w:right="0"/>
              <w:rPr>
                <w:sz w:val="17"/>
                <w:szCs w:val="17"/>
              </w:rPr>
            </w:pPr>
            <w:r w:rsidRPr="00EC13A2">
              <w:rPr>
                <w:sz w:val="17"/>
                <w:szCs w:val="17"/>
              </w:rPr>
              <w:t>Poverty rate ($5/day PPP terms)</w:t>
            </w:r>
          </w:p>
        </w:tc>
        <w:tc>
          <w:tcPr>
            <w:tcW w:w="358" w:type="pct"/>
            <w:noWrap/>
            <w:vAlign w:val="bottom"/>
          </w:tcPr>
          <w:p w14:paraId="2BBCDBF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45.3</w:t>
            </w:r>
          </w:p>
        </w:tc>
        <w:tc>
          <w:tcPr>
            <w:tcW w:w="0" w:type="pct"/>
            <w:noWrap/>
            <w:vAlign w:val="bottom"/>
          </w:tcPr>
          <w:p w14:paraId="074E717D"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46.4</w:t>
            </w:r>
          </w:p>
        </w:tc>
        <w:tc>
          <w:tcPr>
            <w:tcW w:w="0" w:type="pct"/>
            <w:noWrap/>
            <w:vAlign w:val="bottom"/>
          </w:tcPr>
          <w:p w14:paraId="67648014"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39.6</w:t>
            </w:r>
          </w:p>
        </w:tc>
        <w:tc>
          <w:tcPr>
            <w:tcW w:w="0" w:type="pct"/>
            <w:vAlign w:val="bottom"/>
          </w:tcPr>
          <w:p w14:paraId="15927DE6"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40.7</w:t>
            </w:r>
          </w:p>
        </w:tc>
        <w:tc>
          <w:tcPr>
            <w:tcW w:w="0" w:type="pct"/>
            <w:vAlign w:val="bottom"/>
          </w:tcPr>
          <w:p w14:paraId="2FF492F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41.0</w:t>
            </w:r>
          </w:p>
        </w:tc>
        <w:tc>
          <w:tcPr>
            <w:tcW w:w="0" w:type="pct"/>
            <w:noWrap/>
            <w:vAlign w:val="bottom"/>
          </w:tcPr>
          <w:p w14:paraId="54B78A63"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40.4</w:t>
            </w:r>
          </w:p>
        </w:tc>
        <w:tc>
          <w:tcPr>
            <w:tcW w:w="0" w:type="pct"/>
            <w:noWrap/>
            <w:vAlign w:val="bottom"/>
          </w:tcPr>
          <w:p w14:paraId="2044E4B0"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37.1</w:t>
            </w:r>
          </w:p>
        </w:tc>
        <w:tc>
          <w:tcPr>
            <w:tcW w:w="0" w:type="pct"/>
            <w:noWrap/>
            <w:vAlign w:val="bottom"/>
          </w:tcPr>
          <w:p w14:paraId="0E05FCEC"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33.0</w:t>
            </w:r>
          </w:p>
        </w:tc>
        <w:tc>
          <w:tcPr>
            <w:tcW w:w="363" w:type="pct"/>
            <w:noWrap/>
            <w:vAlign w:val="bottom"/>
          </w:tcPr>
          <w:p w14:paraId="16C49A11" w14:textId="77777777" w:rsidR="00AC309A" w:rsidRPr="00EC13A2" w:rsidRDefault="00AC309A" w:rsidP="00234B27">
            <w:pPr>
              <w:ind w:left="-65" w:right="0"/>
              <w:cnfStyle w:val="100000000000" w:firstRow="1" w:lastRow="0" w:firstColumn="0" w:lastColumn="0" w:oddVBand="0" w:evenVBand="0" w:oddHBand="0" w:evenHBand="0" w:firstRowFirstColumn="0" w:firstRowLastColumn="0" w:lastRowFirstColumn="0" w:lastRowLastColumn="0"/>
              <w:rPr>
                <w:b w:val="0"/>
                <w:sz w:val="17"/>
                <w:szCs w:val="17"/>
              </w:rPr>
            </w:pPr>
            <w:r w:rsidRPr="00EC13A2">
              <w:rPr>
                <w:b w:val="0"/>
                <w:sz w:val="17"/>
                <w:szCs w:val="17"/>
              </w:rPr>
              <w:t>45.3</w:t>
            </w:r>
          </w:p>
        </w:tc>
      </w:tr>
      <w:tr w:rsidR="00AC309A" w:rsidRPr="003120A6" w14:paraId="79F29D1B" w14:textId="77777777" w:rsidTr="00662EC2">
        <w:trPr>
          <w:cnfStyle w:val="100000000000" w:firstRow="1" w:lastRow="0" w:firstColumn="0" w:lastColumn="0" w:oddVBand="0" w:evenVBand="0" w:oddHBand="0" w:evenHBand="0" w:firstRowFirstColumn="0" w:firstRowLastColumn="0" w:lastRowFirstColumn="0" w:lastRowLastColumn="0"/>
          <w:cantSplit/>
          <w:trHeight w:val="94"/>
          <w:tblHeader/>
        </w:trPr>
        <w:tc>
          <w:tcPr>
            <w:cnfStyle w:val="001000000000" w:firstRow="0" w:lastRow="0" w:firstColumn="1" w:lastColumn="0" w:oddVBand="0" w:evenVBand="0" w:oddHBand="0" w:evenHBand="0" w:firstRowFirstColumn="0" w:firstRowLastColumn="0" w:lastRowFirstColumn="0" w:lastRowLastColumn="0"/>
            <w:tcW w:w="1963" w:type="pct"/>
            <w:noWrap/>
          </w:tcPr>
          <w:p w14:paraId="20017ADE" w14:textId="77777777" w:rsidR="00AC309A" w:rsidRPr="003120A6" w:rsidRDefault="00AC309A" w:rsidP="00234B27">
            <w:pPr>
              <w:ind w:right="0"/>
              <w:rPr>
                <w:b w:val="0"/>
                <w:sz w:val="17"/>
                <w:szCs w:val="17"/>
              </w:rPr>
            </w:pPr>
          </w:p>
        </w:tc>
        <w:tc>
          <w:tcPr>
            <w:tcW w:w="358" w:type="pct"/>
            <w:noWrap/>
          </w:tcPr>
          <w:p w14:paraId="73D35523"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0" w:type="pct"/>
            <w:noWrap/>
          </w:tcPr>
          <w:p w14:paraId="0D760C4A"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0" w:type="pct"/>
            <w:noWrap/>
          </w:tcPr>
          <w:p w14:paraId="04C22E01"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0" w:type="pct"/>
          </w:tcPr>
          <w:p w14:paraId="286B9BE7"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0" w:type="pct"/>
          </w:tcPr>
          <w:p w14:paraId="4348C7F5"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0" w:type="pct"/>
            <w:noWrap/>
          </w:tcPr>
          <w:p w14:paraId="5A2BD014"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0" w:type="pct"/>
            <w:noWrap/>
          </w:tcPr>
          <w:p w14:paraId="5DDA7371"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0" w:type="pct"/>
            <w:noWrap/>
          </w:tcPr>
          <w:p w14:paraId="208BB0A3"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c>
          <w:tcPr>
            <w:tcW w:w="363" w:type="pct"/>
            <w:noWrap/>
          </w:tcPr>
          <w:p w14:paraId="2A0416FC" w14:textId="77777777" w:rsidR="00AC309A" w:rsidRPr="003120A6" w:rsidRDefault="00AC309A" w:rsidP="00234B27">
            <w:pPr>
              <w:ind w:left="-65" w:right="0"/>
              <w:cnfStyle w:val="100000000000" w:firstRow="1" w:lastRow="0" w:firstColumn="0" w:lastColumn="0" w:oddVBand="0" w:evenVBand="0" w:oddHBand="0" w:evenHBand="0" w:firstRowFirstColumn="0" w:firstRowLastColumn="0" w:lastRowFirstColumn="0" w:lastRowLastColumn="0"/>
              <w:rPr>
                <w:sz w:val="17"/>
                <w:szCs w:val="17"/>
              </w:rPr>
            </w:pPr>
          </w:p>
        </w:tc>
      </w:tr>
    </w:tbl>
    <w:p w14:paraId="2C37371C" w14:textId="77777777" w:rsidR="00662EC2" w:rsidRDefault="00662EC2" w:rsidP="00AB3B74">
      <w:pPr>
        <w:pStyle w:val="ListParagraph"/>
        <w:spacing w:after="100" w:afterAutospacing="1" w:line="240" w:lineRule="auto"/>
        <w:ind w:left="0" w:right="0" w:firstLine="0"/>
        <w:rPr>
          <w:b/>
          <w:sz w:val="22"/>
        </w:rPr>
      </w:pPr>
    </w:p>
    <w:p w14:paraId="78392829" w14:textId="5DA208C4" w:rsidR="00693FE9" w:rsidRPr="00BA050E" w:rsidRDefault="00513BB0" w:rsidP="00AB3B74">
      <w:pPr>
        <w:pStyle w:val="ListParagraph"/>
        <w:spacing w:after="100" w:afterAutospacing="1" w:line="240" w:lineRule="auto"/>
        <w:ind w:left="0" w:right="0" w:firstLine="0"/>
        <w:rPr>
          <w:b/>
          <w:sz w:val="22"/>
        </w:rPr>
      </w:pPr>
      <w:r w:rsidRPr="00BA050E">
        <w:rPr>
          <w:b/>
          <w:sz w:val="22"/>
        </w:rPr>
        <w:t>Moldova’s Development Strategy</w:t>
      </w:r>
    </w:p>
    <w:p w14:paraId="43C6B125" w14:textId="77777777" w:rsidR="00693FE9" w:rsidRPr="00E82710" w:rsidRDefault="00A30473" w:rsidP="000C5801">
      <w:pPr>
        <w:pStyle w:val="pdbullet"/>
        <w:numPr>
          <w:ilvl w:val="0"/>
          <w:numId w:val="1"/>
        </w:numPr>
        <w:spacing w:after="0"/>
        <w:ind w:left="0" w:firstLine="0"/>
        <w:rPr>
          <w:rFonts w:ascii="Times New Roman" w:hAnsi="Times New Roman"/>
        </w:rPr>
      </w:pPr>
      <w:r w:rsidRPr="00E82710">
        <w:rPr>
          <w:rFonts w:ascii="Times New Roman" w:hAnsi="Times New Roman"/>
          <w:b/>
        </w:rPr>
        <w:t xml:space="preserve">Moldova’s </w:t>
      </w:r>
      <w:r w:rsidR="006946BA" w:rsidRPr="00E82710">
        <w:rPr>
          <w:rFonts w:ascii="Times New Roman" w:hAnsi="Times New Roman"/>
          <w:b/>
        </w:rPr>
        <w:t>NDS</w:t>
      </w:r>
      <w:r w:rsidR="00693FE9" w:rsidRPr="00E82710">
        <w:rPr>
          <w:rFonts w:ascii="Times New Roman" w:hAnsi="Times New Roman"/>
          <w:b/>
        </w:rPr>
        <w:t xml:space="preserve"> </w:t>
      </w:r>
      <w:r w:rsidR="003B57CF" w:rsidRPr="00E82710">
        <w:rPr>
          <w:rFonts w:ascii="Times New Roman" w:hAnsi="Times New Roman"/>
          <w:b/>
        </w:rPr>
        <w:t>(</w:t>
      </w:r>
      <w:r w:rsidR="00693FE9" w:rsidRPr="00E82710">
        <w:rPr>
          <w:rFonts w:ascii="Times New Roman" w:hAnsi="Times New Roman"/>
          <w:b/>
        </w:rPr>
        <w:t>2012-20</w:t>
      </w:r>
      <w:r w:rsidR="003B57CF" w:rsidRPr="00E82710">
        <w:rPr>
          <w:rFonts w:ascii="Times New Roman" w:hAnsi="Times New Roman"/>
          <w:b/>
        </w:rPr>
        <w:t>)</w:t>
      </w:r>
      <w:r w:rsidR="00693FE9" w:rsidRPr="00E82710">
        <w:rPr>
          <w:rFonts w:ascii="Times New Roman" w:hAnsi="Times New Roman"/>
          <w:b/>
        </w:rPr>
        <w:t>, approved in 2012</w:t>
      </w:r>
      <w:r w:rsidRPr="00E82710">
        <w:rPr>
          <w:rFonts w:ascii="Times New Roman" w:hAnsi="Times New Roman"/>
          <w:b/>
        </w:rPr>
        <w:t xml:space="preserve">, </w:t>
      </w:r>
      <w:r w:rsidR="006720F3" w:rsidRPr="00E82710">
        <w:rPr>
          <w:rFonts w:ascii="Times New Roman" w:hAnsi="Times New Roman"/>
          <w:b/>
        </w:rPr>
        <w:t xml:space="preserve">describes </w:t>
      </w:r>
      <w:r w:rsidRPr="00E82710">
        <w:rPr>
          <w:rFonts w:ascii="Times New Roman" w:hAnsi="Times New Roman"/>
          <w:b/>
        </w:rPr>
        <w:t>the country’s medium-term development priorities</w:t>
      </w:r>
      <w:r w:rsidR="00693FE9" w:rsidRPr="00E82710">
        <w:rPr>
          <w:rFonts w:ascii="Times New Roman" w:hAnsi="Times New Roman"/>
          <w:b/>
        </w:rPr>
        <w:t xml:space="preserve">.  </w:t>
      </w:r>
      <w:r w:rsidR="00693FE9" w:rsidRPr="00E82710">
        <w:rPr>
          <w:rFonts w:ascii="Times New Roman" w:hAnsi="Times New Roman"/>
        </w:rPr>
        <w:t xml:space="preserve">It calls for a shift from the </w:t>
      </w:r>
      <w:r w:rsidR="00EF04CF" w:rsidRPr="00E82710">
        <w:rPr>
          <w:rFonts w:ascii="Times New Roman" w:hAnsi="Times New Roman"/>
        </w:rPr>
        <w:t xml:space="preserve">current </w:t>
      </w:r>
      <w:r w:rsidR="00693FE9" w:rsidRPr="00E82710">
        <w:rPr>
          <w:rFonts w:ascii="Times New Roman" w:hAnsi="Times New Roman"/>
        </w:rPr>
        <w:t>consumption-based paradigm</w:t>
      </w:r>
      <w:r w:rsidR="00EF04CF" w:rsidRPr="00E82710">
        <w:rPr>
          <w:rFonts w:ascii="Times New Roman" w:hAnsi="Times New Roman"/>
        </w:rPr>
        <w:t xml:space="preserve"> </w:t>
      </w:r>
      <w:r w:rsidR="00693FE9" w:rsidRPr="00E82710">
        <w:rPr>
          <w:rFonts w:ascii="Times New Roman" w:hAnsi="Times New Roman"/>
        </w:rPr>
        <w:t xml:space="preserve">towards a new growth model based on expanding investments, increasing </w:t>
      </w:r>
      <w:r w:rsidR="00EF04CF" w:rsidRPr="00E82710">
        <w:rPr>
          <w:rFonts w:ascii="Times New Roman" w:hAnsi="Times New Roman"/>
        </w:rPr>
        <w:t>competitiveness and productivity, promoting export industries, and develop</w:t>
      </w:r>
      <w:r w:rsidR="00693FE9" w:rsidRPr="00E82710">
        <w:rPr>
          <w:rFonts w:ascii="Times New Roman" w:hAnsi="Times New Roman"/>
        </w:rPr>
        <w:t xml:space="preserve">ing a knowledge-based society. </w:t>
      </w:r>
      <w:r w:rsidR="00F20D1C" w:rsidRPr="00E82710">
        <w:rPr>
          <w:rFonts w:ascii="Times New Roman" w:hAnsi="Times New Roman"/>
        </w:rPr>
        <w:t xml:space="preserve">With the objective of </w:t>
      </w:r>
      <w:r w:rsidR="00EF04CF" w:rsidRPr="00D77307">
        <w:rPr>
          <w:rFonts w:ascii="Times New Roman" w:hAnsi="Times New Roman"/>
        </w:rPr>
        <w:t>“</w:t>
      </w:r>
      <w:r w:rsidR="00B73550" w:rsidRPr="00D77307">
        <w:rPr>
          <w:rFonts w:ascii="Times New Roman" w:hAnsi="Times New Roman"/>
        </w:rPr>
        <w:t>.</w:t>
      </w:r>
      <w:r w:rsidR="007E1626" w:rsidRPr="00D77307">
        <w:rPr>
          <w:rFonts w:ascii="Times New Roman" w:hAnsi="Times New Roman"/>
        </w:rPr>
        <w:t xml:space="preserve">.. </w:t>
      </w:r>
      <w:r w:rsidR="00F20D1C" w:rsidRPr="00E82710">
        <w:rPr>
          <w:rFonts w:ascii="Times New Roman" w:hAnsi="Times New Roman"/>
        </w:rPr>
        <w:t>ensuring qualitative e</w:t>
      </w:r>
      <w:r w:rsidR="00EF04CF" w:rsidRPr="00E82710">
        <w:rPr>
          <w:rFonts w:ascii="Times New Roman" w:hAnsi="Times New Roman"/>
        </w:rPr>
        <w:t xml:space="preserve">conomic growth and </w:t>
      </w:r>
      <w:r w:rsidR="00F20D1C" w:rsidRPr="00E82710">
        <w:rPr>
          <w:rFonts w:ascii="Times New Roman" w:hAnsi="Times New Roman"/>
        </w:rPr>
        <w:t>poverty reduction</w:t>
      </w:r>
      <w:r w:rsidR="00B46EAA" w:rsidRPr="00E82710">
        <w:rPr>
          <w:rFonts w:ascii="Times New Roman" w:hAnsi="Times New Roman"/>
        </w:rPr>
        <w:t>…</w:t>
      </w:r>
      <w:r w:rsidR="00EF04CF" w:rsidRPr="00E82710">
        <w:rPr>
          <w:rFonts w:ascii="Times New Roman" w:hAnsi="Times New Roman"/>
        </w:rPr>
        <w:t>”</w:t>
      </w:r>
      <w:r w:rsidR="00F20D1C" w:rsidRPr="00E82710">
        <w:rPr>
          <w:rFonts w:ascii="Times New Roman" w:hAnsi="Times New Roman"/>
        </w:rPr>
        <w:t>, i</w:t>
      </w:r>
      <w:r w:rsidR="006E39BD" w:rsidRPr="00E82710">
        <w:rPr>
          <w:rFonts w:ascii="Times New Roman" w:hAnsi="Times New Roman"/>
        </w:rPr>
        <w:t xml:space="preserve">t lists </w:t>
      </w:r>
      <w:r w:rsidR="00693FE9" w:rsidRPr="00E82710">
        <w:rPr>
          <w:rFonts w:ascii="Times New Roman" w:hAnsi="Times New Roman"/>
        </w:rPr>
        <w:t>eigh</w:t>
      </w:r>
      <w:r w:rsidR="006E39BD" w:rsidRPr="00E82710">
        <w:rPr>
          <w:rFonts w:ascii="Times New Roman" w:hAnsi="Times New Roman"/>
        </w:rPr>
        <w:t>t national priorities</w:t>
      </w:r>
      <w:r w:rsidR="00693FE9" w:rsidRPr="00E82710">
        <w:rPr>
          <w:rFonts w:ascii="Times New Roman" w:hAnsi="Times New Roman"/>
        </w:rPr>
        <w:t>: (a)</w:t>
      </w:r>
      <w:r w:rsidR="00693FE9" w:rsidRPr="00D77307">
        <w:rPr>
          <w:rFonts w:ascii="Times New Roman" w:hAnsi="Times New Roman"/>
        </w:rPr>
        <w:t xml:space="preserve"> </w:t>
      </w:r>
      <w:r w:rsidR="00693FE9" w:rsidRPr="00E82710">
        <w:rPr>
          <w:rFonts w:ascii="Times New Roman" w:hAnsi="Times New Roman"/>
        </w:rPr>
        <w:t>aligning education</w:t>
      </w:r>
      <w:r w:rsidR="00F20D1C" w:rsidRPr="00E82710">
        <w:rPr>
          <w:rFonts w:ascii="Times New Roman" w:hAnsi="Times New Roman"/>
        </w:rPr>
        <w:t xml:space="preserve"> with</w:t>
      </w:r>
      <w:r w:rsidR="00693FE9" w:rsidRPr="00E82710">
        <w:rPr>
          <w:rFonts w:ascii="Times New Roman" w:hAnsi="Times New Roman"/>
        </w:rPr>
        <w:t xml:space="preserve"> labor market</w:t>
      </w:r>
      <w:r w:rsidR="003A100A" w:rsidRPr="00E82710">
        <w:rPr>
          <w:rFonts w:ascii="Times New Roman" w:hAnsi="Times New Roman"/>
        </w:rPr>
        <w:t>s</w:t>
      </w:r>
      <w:r w:rsidR="00693FE9" w:rsidRPr="00E82710">
        <w:rPr>
          <w:rFonts w:ascii="Times New Roman" w:hAnsi="Times New Roman"/>
        </w:rPr>
        <w:t>; (b) increasing public i</w:t>
      </w:r>
      <w:r w:rsidR="00F20D1C" w:rsidRPr="00E82710">
        <w:rPr>
          <w:rFonts w:ascii="Times New Roman" w:hAnsi="Times New Roman"/>
        </w:rPr>
        <w:t xml:space="preserve">nvestment in </w:t>
      </w:r>
      <w:r w:rsidR="00693FE9" w:rsidRPr="00E82710">
        <w:rPr>
          <w:rFonts w:ascii="Times New Roman" w:hAnsi="Times New Roman"/>
        </w:rPr>
        <w:t>road</w:t>
      </w:r>
      <w:r w:rsidR="003A100A" w:rsidRPr="00E82710">
        <w:rPr>
          <w:rFonts w:ascii="Times New Roman" w:hAnsi="Times New Roman"/>
        </w:rPr>
        <w:t>s</w:t>
      </w:r>
      <w:r w:rsidR="006E39BD" w:rsidRPr="00E82710">
        <w:rPr>
          <w:rFonts w:ascii="Times New Roman" w:hAnsi="Times New Roman"/>
        </w:rPr>
        <w:t xml:space="preserve">; (c) </w:t>
      </w:r>
      <w:r w:rsidR="007E1626" w:rsidRPr="00E82710">
        <w:rPr>
          <w:rFonts w:ascii="Times New Roman" w:hAnsi="Times New Roman"/>
        </w:rPr>
        <w:t xml:space="preserve">promoting </w:t>
      </w:r>
      <w:r w:rsidR="00F20D1C" w:rsidRPr="00E82710">
        <w:rPr>
          <w:rFonts w:ascii="Times New Roman" w:hAnsi="Times New Roman"/>
        </w:rPr>
        <w:t>financial sector</w:t>
      </w:r>
      <w:r w:rsidR="006E39BD" w:rsidRPr="00E82710">
        <w:rPr>
          <w:rFonts w:ascii="Times New Roman" w:hAnsi="Times New Roman"/>
        </w:rPr>
        <w:t xml:space="preserve"> </w:t>
      </w:r>
      <w:r w:rsidR="00693FE9" w:rsidRPr="00E82710">
        <w:rPr>
          <w:rFonts w:ascii="Times New Roman" w:hAnsi="Times New Roman"/>
        </w:rPr>
        <w:t xml:space="preserve">competition; (d) improving the business climate; (e) </w:t>
      </w:r>
      <w:r w:rsidR="007E1626" w:rsidRPr="00E82710">
        <w:rPr>
          <w:rFonts w:ascii="Times New Roman" w:hAnsi="Times New Roman"/>
        </w:rPr>
        <w:t xml:space="preserve">raising </w:t>
      </w:r>
      <w:r w:rsidR="00693FE9" w:rsidRPr="00E82710">
        <w:rPr>
          <w:rFonts w:ascii="Times New Roman" w:hAnsi="Times New Roman"/>
        </w:rPr>
        <w:t>energy efficiency</w:t>
      </w:r>
      <w:r w:rsidR="00F20D1C" w:rsidRPr="00E82710">
        <w:rPr>
          <w:rFonts w:ascii="Times New Roman" w:hAnsi="Times New Roman"/>
        </w:rPr>
        <w:t xml:space="preserve">, including </w:t>
      </w:r>
      <w:r w:rsidR="006E39BD" w:rsidRPr="00E82710">
        <w:rPr>
          <w:rFonts w:ascii="Times New Roman" w:hAnsi="Times New Roman"/>
        </w:rPr>
        <w:t xml:space="preserve">the use of </w:t>
      </w:r>
      <w:r w:rsidR="00F20D1C" w:rsidRPr="00E82710">
        <w:rPr>
          <w:rFonts w:ascii="Times New Roman" w:hAnsi="Times New Roman"/>
        </w:rPr>
        <w:t>renewables</w:t>
      </w:r>
      <w:r w:rsidR="00693FE9" w:rsidRPr="00E82710">
        <w:rPr>
          <w:rFonts w:ascii="Times New Roman" w:hAnsi="Times New Roman"/>
        </w:rPr>
        <w:t xml:space="preserve">; (f) </w:t>
      </w:r>
      <w:r w:rsidR="006E39BD" w:rsidRPr="00E82710">
        <w:rPr>
          <w:rFonts w:ascii="Times New Roman" w:hAnsi="Times New Roman"/>
        </w:rPr>
        <w:t xml:space="preserve">ensuring </w:t>
      </w:r>
      <w:r w:rsidR="00F20D1C" w:rsidRPr="00E82710">
        <w:rPr>
          <w:rFonts w:ascii="Times New Roman" w:hAnsi="Times New Roman"/>
        </w:rPr>
        <w:t xml:space="preserve">fiscal </w:t>
      </w:r>
      <w:r w:rsidR="00693FE9" w:rsidRPr="00E82710">
        <w:rPr>
          <w:rFonts w:ascii="Times New Roman" w:hAnsi="Times New Roman"/>
        </w:rPr>
        <w:t>sustainability of the pension system</w:t>
      </w:r>
      <w:r w:rsidR="00F20D1C" w:rsidRPr="00E82710">
        <w:rPr>
          <w:rFonts w:ascii="Times New Roman" w:hAnsi="Times New Roman"/>
        </w:rPr>
        <w:t xml:space="preserve">; (g) </w:t>
      </w:r>
      <w:r w:rsidR="006E39BD" w:rsidRPr="00E82710">
        <w:rPr>
          <w:rFonts w:ascii="Times New Roman" w:hAnsi="Times New Roman"/>
        </w:rPr>
        <w:t>enhanc</w:t>
      </w:r>
      <w:r w:rsidR="00693FE9" w:rsidRPr="00E82710">
        <w:rPr>
          <w:rFonts w:ascii="Times New Roman" w:hAnsi="Times New Roman"/>
        </w:rPr>
        <w:t xml:space="preserve">ing </w:t>
      </w:r>
      <w:r w:rsidR="00F20D1C" w:rsidRPr="00E82710">
        <w:rPr>
          <w:rFonts w:ascii="Times New Roman" w:hAnsi="Times New Roman"/>
        </w:rPr>
        <w:t xml:space="preserve">the </w:t>
      </w:r>
      <w:r w:rsidR="006E39BD" w:rsidRPr="00E82710">
        <w:rPr>
          <w:rFonts w:ascii="Times New Roman" w:hAnsi="Times New Roman"/>
        </w:rPr>
        <w:t xml:space="preserve">efficiency and </w:t>
      </w:r>
      <w:r w:rsidR="00693FE9" w:rsidRPr="00E82710">
        <w:rPr>
          <w:rFonts w:ascii="Times New Roman" w:hAnsi="Times New Roman"/>
        </w:rPr>
        <w:t>quality of justice</w:t>
      </w:r>
      <w:r w:rsidR="006E39BD" w:rsidRPr="00E82710">
        <w:rPr>
          <w:rFonts w:ascii="Times New Roman" w:hAnsi="Times New Roman"/>
        </w:rPr>
        <w:t>, including combatting corruption</w:t>
      </w:r>
      <w:r w:rsidR="00693FE9" w:rsidRPr="00E82710">
        <w:rPr>
          <w:rFonts w:ascii="Times New Roman" w:hAnsi="Times New Roman"/>
        </w:rPr>
        <w:t>; and (h)</w:t>
      </w:r>
      <w:r w:rsidR="007E1626" w:rsidRPr="00E82710">
        <w:rPr>
          <w:rFonts w:ascii="Times New Roman" w:hAnsi="Times New Roman"/>
        </w:rPr>
        <w:t xml:space="preserve"> fostering</w:t>
      </w:r>
      <w:r w:rsidR="00693FE9" w:rsidRPr="00E82710">
        <w:rPr>
          <w:rFonts w:ascii="Times New Roman" w:hAnsi="Times New Roman"/>
        </w:rPr>
        <w:t xml:space="preserve"> </w:t>
      </w:r>
      <w:r w:rsidR="007E1626" w:rsidRPr="00E82710">
        <w:rPr>
          <w:rFonts w:ascii="Times New Roman" w:hAnsi="Times New Roman"/>
        </w:rPr>
        <w:t xml:space="preserve">the </w:t>
      </w:r>
      <w:r w:rsidR="00693FE9" w:rsidRPr="00E82710">
        <w:rPr>
          <w:rFonts w:ascii="Times New Roman" w:hAnsi="Times New Roman"/>
        </w:rPr>
        <w:t>competitiveness of agr</w:t>
      </w:r>
      <w:r w:rsidR="00675186" w:rsidRPr="00E82710">
        <w:rPr>
          <w:rFonts w:ascii="Times New Roman" w:hAnsi="Times New Roman"/>
        </w:rPr>
        <w:t>i</w:t>
      </w:r>
      <w:r w:rsidR="00693FE9" w:rsidRPr="00E82710">
        <w:rPr>
          <w:rFonts w:ascii="Times New Roman" w:hAnsi="Times New Roman"/>
        </w:rPr>
        <w:t>-food products and sustainable rural development</w:t>
      </w:r>
      <w:r w:rsidR="007E1626" w:rsidRPr="00E82710">
        <w:rPr>
          <w:rFonts w:ascii="Times New Roman" w:hAnsi="Times New Roman"/>
        </w:rPr>
        <w:t xml:space="preserve">. </w:t>
      </w:r>
      <w:r w:rsidR="0045210F" w:rsidRPr="00E82710">
        <w:rPr>
          <w:rFonts w:ascii="Times New Roman" w:hAnsi="Times New Roman"/>
        </w:rPr>
        <w:t>This development and reform agenda is broadly consistent wi</w:t>
      </w:r>
      <w:r w:rsidR="007E1626" w:rsidRPr="00E82710">
        <w:rPr>
          <w:rFonts w:ascii="Times New Roman" w:hAnsi="Times New Roman"/>
        </w:rPr>
        <w:t xml:space="preserve">th the </w:t>
      </w:r>
      <w:r w:rsidR="00636D17" w:rsidRPr="00E82710">
        <w:rPr>
          <w:rFonts w:ascii="Times New Roman" w:hAnsi="Times New Roman"/>
        </w:rPr>
        <w:t xml:space="preserve">Sustainable Development Goals </w:t>
      </w:r>
      <w:r w:rsidR="007279F0" w:rsidRPr="00E82710">
        <w:rPr>
          <w:rFonts w:ascii="Times New Roman" w:hAnsi="Times New Roman"/>
        </w:rPr>
        <w:t xml:space="preserve">(SDGs) </w:t>
      </w:r>
      <w:r w:rsidR="00636D17" w:rsidRPr="00E82710">
        <w:rPr>
          <w:rFonts w:ascii="Times New Roman" w:hAnsi="Times New Roman"/>
        </w:rPr>
        <w:t xml:space="preserve">and the </w:t>
      </w:r>
      <w:r w:rsidR="007E1626" w:rsidRPr="00E82710">
        <w:rPr>
          <w:rFonts w:ascii="Times New Roman" w:hAnsi="Times New Roman"/>
        </w:rPr>
        <w:t>Bank Group</w:t>
      </w:r>
      <w:r w:rsidR="00F20D1C" w:rsidRPr="00E82710">
        <w:rPr>
          <w:rFonts w:ascii="Times New Roman" w:hAnsi="Times New Roman"/>
        </w:rPr>
        <w:t xml:space="preserve">’s twin </w:t>
      </w:r>
      <w:r w:rsidR="006946BA" w:rsidRPr="00E82710">
        <w:rPr>
          <w:rFonts w:ascii="Times New Roman" w:hAnsi="Times New Roman"/>
        </w:rPr>
        <w:t>goals</w:t>
      </w:r>
      <w:r w:rsidR="00636D17" w:rsidRPr="00E82710">
        <w:rPr>
          <w:rFonts w:ascii="Times New Roman" w:hAnsi="Times New Roman"/>
        </w:rPr>
        <w:t>.</w:t>
      </w:r>
    </w:p>
    <w:p w14:paraId="3886A2D9" w14:textId="77777777" w:rsidR="007E1626" w:rsidRPr="00E82710" w:rsidRDefault="007E1626" w:rsidP="007E1626">
      <w:pPr>
        <w:pStyle w:val="pdbullet"/>
        <w:numPr>
          <w:ilvl w:val="0"/>
          <w:numId w:val="0"/>
        </w:numPr>
        <w:spacing w:after="0"/>
        <w:rPr>
          <w:rFonts w:ascii="Times New Roman" w:hAnsi="Times New Roman"/>
        </w:rPr>
      </w:pPr>
    </w:p>
    <w:p w14:paraId="20222079" w14:textId="77777777" w:rsidR="00761D07" w:rsidRPr="00E82710" w:rsidRDefault="00636D17" w:rsidP="000C5801">
      <w:pPr>
        <w:pStyle w:val="pdbullet"/>
        <w:numPr>
          <w:ilvl w:val="0"/>
          <w:numId w:val="1"/>
        </w:numPr>
        <w:spacing w:after="0"/>
        <w:ind w:left="0" w:firstLine="0"/>
        <w:rPr>
          <w:rFonts w:ascii="Times New Roman" w:hAnsi="Times New Roman"/>
          <w:b/>
        </w:rPr>
      </w:pPr>
      <w:r w:rsidRPr="00E82710">
        <w:rPr>
          <w:rFonts w:ascii="Times New Roman" w:hAnsi="Times New Roman"/>
          <w:b/>
        </w:rPr>
        <w:t xml:space="preserve">As of early 2017, the </w:t>
      </w:r>
      <w:r w:rsidR="00D656A2" w:rsidRPr="00E82710">
        <w:rPr>
          <w:rFonts w:ascii="Times New Roman" w:hAnsi="Times New Roman"/>
          <w:b/>
        </w:rPr>
        <w:t>g</w:t>
      </w:r>
      <w:r w:rsidRPr="00E82710">
        <w:rPr>
          <w:rFonts w:ascii="Times New Roman" w:hAnsi="Times New Roman"/>
          <w:b/>
        </w:rPr>
        <w:t xml:space="preserve">overnment was considering revising and extending the NDS to 2030, and sharpening </w:t>
      </w:r>
      <w:r w:rsidR="00D656A2" w:rsidRPr="00E82710">
        <w:rPr>
          <w:rFonts w:ascii="Times New Roman" w:hAnsi="Times New Roman"/>
          <w:b/>
        </w:rPr>
        <w:t xml:space="preserve">its </w:t>
      </w:r>
      <w:r w:rsidRPr="00E82710">
        <w:rPr>
          <w:rFonts w:ascii="Times New Roman" w:hAnsi="Times New Roman"/>
          <w:b/>
        </w:rPr>
        <w:t>alignment with the SDGs.</w:t>
      </w:r>
      <w:r w:rsidR="00FF356E" w:rsidRPr="00E82710">
        <w:rPr>
          <w:rFonts w:ascii="Times New Roman" w:hAnsi="Times New Roman"/>
          <w:b/>
        </w:rPr>
        <w:t xml:space="preserve"> </w:t>
      </w:r>
      <w:r w:rsidR="00871081" w:rsidRPr="00E82710">
        <w:rPr>
          <w:rFonts w:ascii="Times New Roman" w:hAnsi="Times New Roman"/>
        </w:rPr>
        <w:t xml:space="preserve">Meanwhile, </w:t>
      </w:r>
      <w:r w:rsidR="00D656A2" w:rsidRPr="00E82710">
        <w:rPr>
          <w:rFonts w:ascii="Times New Roman" w:hAnsi="Times New Roman"/>
        </w:rPr>
        <w:t>it</w:t>
      </w:r>
      <w:r w:rsidR="00871081" w:rsidRPr="00E82710">
        <w:rPr>
          <w:rFonts w:ascii="Times New Roman" w:hAnsi="Times New Roman"/>
        </w:rPr>
        <w:t xml:space="preserve">s </w:t>
      </w:r>
      <w:r w:rsidR="00FB7024" w:rsidRPr="00E82710">
        <w:rPr>
          <w:rFonts w:ascii="Times New Roman" w:hAnsi="Times New Roman"/>
        </w:rPr>
        <w:t>2016-18 action program prioritizes fighting corruption, enhancing competitiveness and job creation, energy security, justice reform, and good governance.</w:t>
      </w:r>
    </w:p>
    <w:p w14:paraId="584479ED" w14:textId="77777777" w:rsidR="006946BA" w:rsidRPr="00BA050E" w:rsidRDefault="006946BA" w:rsidP="006946BA">
      <w:pPr>
        <w:pStyle w:val="pdbullet"/>
        <w:numPr>
          <w:ilvl w:val="0"/>
          <w:numId w:val="0"/>
        </w:numPr>
        <w:spacing w:after="0"/>
        <w:rPr>
          <w:rFonts w:ascii="Times New Roman" w:hAnsi="Times New Roman"/>
          <w:b/>
        </w:rPr>
      </w:pPr>
    </w:p>
    <w:p w14:paraId="56066D3C" w14:textId="77777777" w:rsidR="00AB585E" w:rsidRPr="00BA050E" w:rsidRDefault="007B6678" w:rsidP="006D2153">
      <w:pPr>
        <w:pStyle w:val="Heading1"/>
        <w:numPr>
          <w:ilvl w:val="0"/>
          <w:numId w:val="40"/>
        </w:numPr>
        <w:ind w:right="0"/>
        <w:rPr>
          <w:rFonts w:eastAsia="SimSun" w:hint="eastAsia"/>
        </w:rPr>
      </w:pPr>
      <w:bookmarkStart w:id="3" w:name="_Toc484623048"/>
      <w:r w:rsidRPr="00BA050E">
        <w:rPr>
          <w:rFonts w:eastAsia="SimSun"/>
        </w:rPr>
        <w:t>BANK GROUP COUNTRY PARTNERSHIP FRAMEWORK</w:t>
      </w:r>
      <w:bookmarkEnd w:id="3"/>
    </w:p>
    <w:p w14:paraId="4F998577" w14:textId="77777777" w:rsidR="00AB585E" w:rsidRPr="00BA050E" w:rsidRDefault="00AB585E" w:rsidP="00AB585E">
      <w:pPr>
        <w:spacing w:after="200" w:line="276" w:lineRule="auto"/>
        <w:ind w:right="0"/>
        <w:rPr>
          <w:rFonts w:eastAsia="SimSun"/>
          <w:b/>
          <w:color w:val="auto"/>
          <w:sz w:val="22"/>
        </w:rPr>
      </w:pPr>
      <w:r w:rsidRPr="00BA050E">
        <w:rPr>
          <w:rFonts w:eastAsia="SimSun"/>
          <w:b/>
          <w:color w:val="auto"/>
          <w:sz w:val="22"/>
        </w:rPr>
        <w:t>Lessons Learned</w:t>
      </w:r>
    </w:p>
    <w:p w14:paraId="4FA20AEF" w14:textId="77777777" w:rsidR="00761D07" w:rsidRPr="00BA050E" w:rsidRDefault="00AB585E" w:rsidP="007B3862">
      <w:pPr>
        <w:pStyle w:val="ListParagraph"/>
        <w:numPr>
          <w:ilvl w:val="0"/>
          <w:numId w:val="1"/>
        </w:numPr>
        <w:spacing w:after="0" w:line="240" w:lineRule="auto"/>
        <w:ind w:left="0" w:right="0" w:firstLine="0"/>
        <w:rPr>
          <w:sz w:val="22"/>
        </w:rPr>
      </w:pPr>
      <w:r w:rsidRPr="00BA050E">
        <w:rPr>
          <w:b/>
          <w:sz w:val="22"/>
        </w:rPr>
        <w:t xml:space="preserve">The main conclusion of the </w:t>
      </w:r>
      <w:r w:rsidR="003B57CF" w:rsidRPr="00BA050E">
        <w:rPr>
          <w:b/>
          <w:sz w:val="22"/>
        </w:rPr>
        <w:t>FY14-17 CPS Completion and Learning Review (</w:t>
      </w:r>
      <w:r w:rsidRPr="00BA050E">
        <w:rPr>
          <w:b/>
          <w:sz w:val="22"/>
        </w:rPr>
        <w:t>CLR</w:t>
      </w:r>
      <w:r w:rsidR="003B57CF" w:rsidRPr="00BA050E">
        <w:rPr>
          <w:b/>
          <w:sz w:val="22"/>
        </w:rPr>
        <w:t>)</w:t>
      </w:r>
      <w:r w:rsidRPr="00BA050E">
        <w:rPr>
          <w:b/>
          <w:sz w:val="22"/>
        </w:rPr>
        <w:t xml:space="preserve"> </w:t>
      </w:r>
      <w:r w:rsidR="005D507C">
        <w:rPr>
          <w:b/>
          <w:sz w:val="22"/>
        </w:rPr>
        <w:t>i</w:t>
      </w:r>
      <w:r w:rsidRPr="00BA050E">
        <w:rPr>
          <w:b/>
          <w:sz w:val="22"/>
        </w:rPr>
        <w:t xml:space="preserve">s that </w:t>
      </w:r>
      <w:r w:rsidR="00636D17" w:rsidRPr="00BA050E">
        <w:rPr>
          <w:b/>
          <w:sz w:val="22"/>
        </w:rPr>
        <w:t xml:space="preserve">the </w:t>
      </w:r>
      <w:r w:rsidR="00D656A2" w:rsidRPr="00BA050E">
        <w:rPr>
          <w:b/>
          <w:sz w:val="22"/>
        </w:rPr>
        <w:t xml:space="preserve">Bank Group </w:t>
      </w:r>
      <w:r w:rsidR="00636D17" w:rsidRPr="00BA050E">
        <w:rPr>
          <w:b/>
          <w:sz w:val="22"/>
        </w:rPr>
        <w:t xml:space="preserve">underestimated the capacity of </w:t>
      </w:r>
      <w:r w:rsidRPr="00BA050E">
        <w:rPr>
          <w:b/>
          <w:sz w:val="22"/>
        </w:rPr>
        <w:t xml:space="preserve">political instability and governance challenges </w:t>
      </w:r>
      <w:r w:rsidR="00636D17" w:rsidRPr="00BA050E">
        <w:rPr>
          <w:b/>
          <w:sz w:val="22"/>
        </w:rPr>
        <w:t xml:space="preserve">to </w:t>
      </w:r>
      <w:r w:rsidRPr="00BA050E">
        <w:rPr>
          <w:b/>
          <w:sz w:val="22"/>
        </w:rPr>
        <w:t>slow the pace of reform</w:t>
      </w:r>
      <w:r w:rsidR="00636D17" w:rsidRPr="00BA050E">
        <w:rPr>
          <w:b/>
          <w:sz w:val="22"/>
        </w:rPr>
        <w:t xml:space="preserve"> and </w:t>
      </w:r>
      <w:r w:rsidRPr="00BA050E">
        <w:rPr>
          <w:b/>
          <w:sz w:val="22"/>
        </w:rPr>
        <w:t>affect</w:t>
      </w:r>
      <w:r w:rsidR="005008C7" w:rsidRPr="00BA050E">
        <w:rPr>
          <w:b/>
          <w:sz w:val="22"/>
        </w:rPr>
        <w:t xml:space="preserve"> portfolio performance. </w:t>
      </w:r>
      <w:r w:rsidR="00D656A2" w:rsidRPr="00BA050E">
        <w:rPr>
          <w:sz w:val="22"/>
        </w:rPr>
        <w:t>At the same time, i</w:t>
      </w:r>
      <w:r w:rsidR="00636D17" w:rsidRPr="00BA050E">
        <w:rPr>
          <w:sz w:val="22"/>
        </w:rPr>
        <w:t>t</w:t>
      </w:r>
      <w:r w:rsidR="00985A6B" w:rsidRPr="00BA050E">
        <w:rPr>
          <w:sz w:val="22"/>
        </w:rPr>
        <w:t xml:space="preserve"> </w:t>
      </w:r>
      <w:r w:rsidR="005D507C" w:rsidRPr="00BA050E">
        <w:rPr>
          <w:sz w:val="22"/>
        </w:rPr>
        <w:t>cites</w:t>
      </w:r>
      <w:r w:rsidR="0093084A" w:rsidRPr="00BA050E">
        <w:rPr>
          <w:sz w:val="22"/>
        </w:rPr>
        <w:t xml:space="preserve"> </w:t>
      </w:r>
      <w:r w:rsidR="00F20D1C" w:rsidRPr="00BA050E">
        <w:rPr>
          <w:sz w:val="22"/>
        </w:rPr>
        <w:t xml:space="preserve">reasons </w:t>
      </w:r>
      <w:r w:rsidRPr="00BA050E">
        <w:rPr>
          <w:sz w:val="22"/>
        </w:rPr>
        <w:t xml:space="preserve">for </w:t>
      </w:r>
      <w:r w:rsidR="00F20D1C" w:rsidRPr="00BA050E">
        <w:rPr>
          <w:sz w:val="22"/>
        </w:rPr>
        <w:t>cautious optimism about</w:t>
      </w:r>
      <w:r w:rsidR="00985A6B" w:rsidRPr="00BA050E">
        <w:rPr>
          <w:sz w:val="22"/>
        </w:rPr>
        <w:t xml:space="preserve"> </w:t>
      </w:r>
      <w:r w:rsidRPr="00BA050E">
        <w:rPr>
          <w:sz w:val="22"/>
        </w:rPr>
        <w:t>economic, political, and social stability</w:t>
      </w:r>
      <w:r w:rsidR="00B56D88" w:rsidRPr="00BA050E">
        <w:rPr>
          <w:sz w:val="22"/>
        </w:rPr>
        <w:t xml:space="preserve"> until </w:t>
      </w:r>
      <w:r w:rsidR="00F20D1C" w:rsidRPr="00BA050E">
        <w:rPr>
          <w:sz w:val="22"/>
        </w:rPr>
        <w:t>Nove</w:t>
      </w:r>
      <w:r w:rsidR="000F7CAD" w:rsidRPr="00BA050E">
        <w:rPr>
          <w:sz w:val="22"/>
        </w:rPr>
        <w:t>m</w:t>
      </w:r>
      <w:r w:rsidR="00B56D88" w:rsidRPr="00BA050E">
        <w:rPr>
          <w:sz w:val="22"/>
        </w:rPr>
        <w:t xml:space="preserve">ber 2018, including </w:t>
      </w:r>
      <w:r w:rsidRPr="00BA050E">
        <w:rPr>
          <w:sz w:val="22"/>
        </w:rPr>
        <w:t xml:space="preserve">modest economic </w:t>
      </w:r>
      <w:r w:rsidRPr="00BA050E">
        <w:rPr>
          <w:sz w:val="22"/>
        </w:rPr>
        <w:lastRenderedPageBreak/>
        <w:t>growth</w:t>
      </w:r>
      <w:r w:rsidR="00985A6B" w:rsidRPr="00BA050E">
        <w:rPr>
          <w:sz w:val="22"/>
        </w:rPr>
        <w:t xml:space="preserve">, the </w:t>
      </w:r>
      <w:r w:rsidRPr="00BA050E">
        <w:rPr>
          <w:sz w:val="22"/>
        </w:rPr>
        <w:t>parliamenta</w:t>
      </w:r>
      <w:r w:rsidR="00985A6B" w:rsidRPr="00BA050E">
        <w:rPr>
          <w:sz w:val="22"/>
        </w:rPr>
        <w:t xml:space="preserve">ry majority, </w:t>
      </w:r>
      <w:r w:rsidR="0093084A" w:rsidRPr="00BA050E">
        <w:rPr>
          <w:sz w:val="22"/>
        </w:rPr>
        <w:t>the three-year program</w:t>
      </w:r>
      <w:r w:rsidR="00675186">
        <w:rPr>
          <w:sz w:val="22"/>
        </w:rPr>
        <w:t xml:space="preserve"> with the International Monetary Fund (IMF)</w:t>
      </w:r>
      <w:r w:rsidR="000F7CAD" w:rsidRPr="00BA050E">
        <w:rPr>
          <w:sz w:val="22"/>
        </w:rPr>
        <w:t>,</w:t>
      </w:r>
      <w:r w:rsidR="0093084A" w:rsidRPr="00BA050E">
        <w:rPr>
          <w:sz w:val="22"/>
        </w:rPr>
        <w:t xml:space="preserve"> and </w:t>
      </w:r>
      <w:r w:rsidR="00985A6B" w:rsidRPr="00BA050E">
        <w:rPr>
          <w:sz w:val="22"/>
        </w:rPr>
        <w:t xml:space="preserve">the </w:t>
      </w:r>
      <w:r w:rsidR="0093084A" w:rsidRPr="00BA050E">
        <w:rPr>
          <w:sz w:val="22"/>
        </w:rPr>
        <w:t>2</w:t>
      </w:r>
      <w:r w:rsidR="0093084A" w:rsidRPr="00BA050E">
        <w:rPr>
          <w:sz w:val="22"/>
          <w:vertAlign w:val="superscript"/>
        </w:rPr>
        <w:t>nd</w:t>
      </w:r>
      <w:r w:rsidR="00DF3DE8" w:rsidRPr="00BA050E">
        <w:rPr>
          <w:sz w:val="22"/>
        </w:rPr>
        <w:t xml:space="preserve"> Development Policy Operation (DPO</w:t>
      </w:r>
      <w:r w:rsidR="00675186">
        <w:rPr>
          <w:sz w:val="22"/>
        </w:rPr>
        <w:t>-2</w:t>
      </w:r>
      <w:r w:rsidR="00DF3DE8" w:rsidRPr="00BA050E">
        <w:rPr>
          <w:sz w:val="22"/>
        </w:rPr>
        <w:t>) approved in late 2016</w:t>
      </w:r>
      <w:r w:rsidR="009C0AE5" w:rsidRPr="00BA050E">
        <w:rPr>
          <w:sz w:val="22"/>
        </w:rPr>
        <w:t xml:space="preserve">. This </w:t>
      </w:r>
      <w:r w:rsidR="00636D17" w:rsidRPr="00BA050E">
        <w:rPr>
          <w:sz w:val="22"/>
        </w:rPr>
        <w:t>time</w:t>
      </w:r>
      <w:r w:rsidR="00FC51A3" w:rsidRPr="00BA050E">
        <w:rPr>
          <w:sz w:val="22"/>
        </w:rPr>
        <w:t xml:space="preserve">line </w:t>
      </w:r>
      <w:r w:rsidR="009C0AE5" w:rsidRPr="00BA050E">
        <w:rPr>
          <w:sz w:val="22"/>
        </w:rPr>
        <w:t xml:space="preserve">is </w:t>
      </w:r>
      <w:r w:rsidR="000F7CAD" w:rsidRPr="00BA050E">
        <w:rPr>
          <w:sz w:val="22"/>
        </w:rPr>
        <w:t>factored into the CPF’s design</w:t>
      </w:r>
      <w:r w:rsidR="009C0AE5" w:rsidRPr="00BA050E">
        <w:rPr>
          <w:sz w:val="22"/>
        </w:rPr>
        <w:t>, so that only the first half of the period (FY18-19)</w:t>
      </w:r>
      <w:r w:rsidR="009C0AE5" w:rsidRPr="00BA050E">
        <w:rPr>
          <w:i/>
          <w:sz w:val="22"/>
        </w:rPr>
        <w:t xml:space="preserve"> </w:t>
      </w:r>
      <w:r w:rsidR="009C0AE5" w:rsidRPr="00BA050E">
        <w:rPr>
          <w:sz w:val="22"/>
        </w:rPr>
        <w:t>is programmed</w:t>
      </w:r>
      <w:r w:rsidR="006B7F21" w:rsidRPr="00BA050E">
        <w:rPr>
          <w:sz w:val="22"/>
        </w:rPr>
        <w:t>.</w:t>
      </w:r>
    </w:p>
    <w:p w14:paraId="168A5176" w14:textId="77777777" w:rsidR="00761D07" w:rsidRPr="00BA050E" w:rsidRDefault="00761D07" w:rsidP="00761D07">
      <w:pPr>
        <w:pStyle w:val="ListParagraph"/>
        <w:spacing w:after="0" w:line="240" w:lineRule="auto"/>
        <w:ind w:left="0" w:right="0" w:firstLine="0"/>
        <w:rPr>
          <w:sz w:val="22"/>
        </w:rPr>
      </w:pPr>
    </w:p>
    <w:p w14:paraId="5363DF27" w14:textId="787AA512" w:rsidR="003E22AE" w:rsidRPr="00BA050E" w:rsidRDefault="00577FF5" w:rsidP="007B3862">
      <w:pPr>
        <w:pStyle w:val="ListParagraph"/>
        <w:numPr>
          <w:ilvl w:val="0"/>
          <w:numId w:val="1"/>
        </w:numPr>
        <w:spacing w:after="0" w:line="240" w:lineRule="auto"/>
        <w:ind w:left="0" w:right="0" w:firstLine="0"/>
        <w:rPr>
          <w:sz w:val="22"/>
        </w:rPr>
      </w:pPr>
      <w:r w:rsidRPr="00BA050E">
        <w:rPr>
          <w:b/>
          <w:sz w:val="22"/>
        </w:rPr>
        <w:t xml:space="preserve">Other </w:t>
      </w:r>
      <w:r w:rsidR="00AB585E" w:rsidRPr="00BA050E">
        <w:rPr>
          <w:b/>
          <w:sz w:val="22"/>
        </w:rPr>
        <w:t xml:space="preserve">lessons </w:t>
      </w:r>
      <w:r w:rsidR="000F7CAD" w:rsidRPr="00BA050E">
        <w:rPr>
          <w:b/>
          <w:sz w:val="22"/>
        </w:rPr>
        <w:t xml:space="preserve">reflected in the </w:t>
      </w:r>
      <w:r w:rsidRPr="00BA050E">
        <w:rPr>
          <w:b/>
          <w:sz w:val="22"/>
        </w:rPr>
        <w:t>CP</w:t>
      </w:r>
      <w:r w:rsidR="00FC51A3" w:rsidRPr="00BA050E">
        <w:rPr>
          <w:b/>
          <w:sz w:val="22"/>
        </w:rPr>
        <w:t>F</w:t>
      </w:r>
      <w:r w:rsidR="000F7CAD" w:rsidRPr="00BA050E">
        <w:rPr>
          <w:b/>
          <w:sz w:val="22"/>
        </w:rPr>
        <w:t>’</w:t>
      </w:r>
      <w:r w:rsidR="00FC51A3" w:rsidRPr="00BA050E">
        <w:rPr>
          <w:b/>
          <w:sz w:val="22"/>
        </w:rPr>
        <w:t>s</w:t>
      </w:r>
      <w:r w:rsidR="000F7CAD" w:rsidRPr="00BA050E">
        <w:rPr>
          <w:b/>
          <w:sz w:val="22"/>
        </w:rPr>
        <w:t xml:space="preserve"> content and design</w:t>
      </w:r>
      <w:r w:rsidRPr="00BA050E">
        <w:rPr>
          <w:b/>
          <w:sz w:val="22"/>
        </w:rPr>
        <w:t xml:space="preserve"> </w:t>
      </w:r>
      <w:r w:rsidR="00AB585E" w:rsidRPr="00BA050E">
        <w:rPr>
          <w:b/>
          <w:sz w:val="22"/>
        </w:rPr>
        <w:t>include</w:t>
      </w:r>
      <w:r w:rsidR="00AB585E" w:rsidRPr="00D77307">
        <w:rPr>
          <w:b/>
          <w:sz w:val="22"/>
        </w:rPr>
        <w:t>:</w:t>
      </w:r>
      <w:r w:rsidR="000F7CAD" w:rsidRPr="00BA050E">
        <w:rPr>
          <w:sz w:val="22"/>
        </w:rPr>
        <w:t xml:space="preserve"> (a) that</w:t>
      </w:r>
      <w:r w:rsidR="000D6A6F" w:rsidRPr="00BA050E">
        <w:rPr>
          <w:sz w:val="22"/>
        </w:rPr>
        <w:t xml:space="preserve"> politically difficult structural reforms should be</w:t>
      </w:r>
      <w:r w:rsidR="007C63D3">
        <w:rPr>
          <w:sz w:val="22"/>
        </w:rPr>
        <w:t xml:space="preserve"> support</w:t>
      </w:r>
      <w:r w:rsidR="000D6A6F" w:rsidRPr="00BA050E">
        <w:rPr>
          <w:sz w:val="22"/>
        </w:rPr>
        <w:t xml:space="preserve">ed </w:t>
      </w:r>
      <w:r w:rsidR="00761D07" w:rsidRPr="00BA050E">
        <w:rPr>
          <w:sz w:val="22"/>
        </w:rPr>
        <w:t xml:space="preserve">mainly </w:t>
      </w:r>
      <w:r w:rsidR="000D6A6F" w:rsidRPr="00BA050E">
        <w:rPr>
          <w:sz w:val="22"/>
        </w:rPr>
        <w:t>through DPOs and/or A</w:t>
      </w:r>
      <w:r w:rsidR="00B03909" w:rsidRPr="00BA050E">
        <w:rPr>
          <w:sz w:val="22"/>
        </w:rPr>
        <w:t>S</w:t>
      </w:r>
      <w:r w:rsidR="000D6A6F" w:rsidRPr="00BA050E">
        <w:rPr>
          <w:sz w:val="22"/>
        </w:rPr>
        <w:t>A</w:t>
      </w:r>
      <w:r w:rsidR="00761D07" w:rsidRPr="00BA050E">
        <w:rPr>
          <w:sz w:val="22"/>
        </w:rPr>
        <w:t xml:space="preserve">, reducing the risk of delayed </w:t>
      </w:r>
      <w:r w:rsidR="000D6A6F" w:rsidRPr="00BA050E">
        <w:rPr>
          <w:sz w:val="22"/>
        </w:rPr>
        <w:t>investment projects</w:t>
      </w:r>
      <w:r w:rsidR="00AB585E" w:rsidRPr="00BA050E">
        <w:rPr>
          <w:sz w:val="22"/>
        </w:rPr>
        <w:t>;</w:t>
      </w:r>
      <w:r w:rsidR="000F7CAD" w:rsidRPr="00BA050E">
        <w:rPr>
          <w:sz w:val="22"/>
        </w:rPr>
        <w:t xml:space="preserve"> (b) that co</w:t>
      </w:r>
      <w:r w:rsidR="00AB585E" w:rsidRPr="00BA050E">
        <w:rPr>
          <w:sz w:val="22"/>
        </w:rPr>
        <w:t>ordination among development partners provid</w:t>
      </w:r>
      <w:r w:rsidRPr="00BA050E">
        <w:rPr>
          <w:sz w:val="22"/>
        </w:rPr>
        <w:t xml:space="preserve">ing budget support is essential </w:t>
      </w:r>
      <w:r w:rsidR="00AB585E" w:rsidRPr="00BA050E">
        <w:rPr>
          <w:sz w:val="22"/>
        </w:rPr>
        <w:t xml:space="preserve">for effective leverage over key </w:t>
      </w:r>
      <w:r w:rsidR="00A948CC" w:rsidRPr="00BA050E">
        <w:rPr>
          <w:sz w:val="22"/>
        </w:rPr>
        <w:t xml:space="preserve">policy, especially </w:t>
      </w:r>
      <w:r w:rsidR="00AB585E" w:rsidRPr="00BA050E">
        <w:rPr>
          <w:sz w:val="22"/>
        </w:rPr>
        <w:t>governance</w:t>
      </w:r>
      <w:r w:rsidR="0010540B">
        <w:rPr>
          <w:sz w:val="22"/>
        </w:rPr>
        <w:t>,</w:t>
      </w:r>
      <w:r w:rsidR="00AB585E" w:rsidRPr="00BA050E">
        <w:rPr>
          <w:sz w:val="22"/>
        </w:rPr>
        <w:t xml:space="preserve"> issues;</w:t>
      </w:r>
      <w:r w:rsidR="000F7CAD" w:rsidRPr="00BA050E">
        <w:rPr>
          <w:sz w:val="22"/>
        </w:rPr>
        <w:t xml:space="preserve"> (c)</w:t>
      </w:r>
      <w:r w:rsidR="00AB585E" w:rsidRPr="00BA050E">
        <w:rPr>
          <w:sz w:val="22"/>
        </w:rPr>
        <w:t xml:space="preserve"> </w:t>
      </w:r>
      <w:r w:rsidR="000F7CAD" w:rsidRPr="00BA050E">
        <w:rPr>
          <w:sz w:val="22"/>
        </w:rPr>
        <w:t>that</w:t>
      </w:r>
      <w:r w:rsidR="00A948CC" w:rsidRPr="00BA050E">
        <w:rPr>
          <w:sz w:val="22"/>
        </w:rPr>
        <w:t xml:space="preserve"> </w:t>
      </w:r>
      <w:r w:rsidR="000F7CAD" w:rsidRPr="00BA050E">
        <w:rPr>
          <w:sz w:val="22"/>
        </w:rPr>
        <w:t xml:space="preserve">for </w:t>
      </w:r>
      <w:r w:rsidR="00A948CC" w:rsidRPr="00BA050E">
        <w:rPr>
          <w:sz w:val="22"/>
        </w:rPr>
        <w:t>maximum impact, e</w:t>
      </w:r>
      <w:r w:rsidR="00AB585E" w:rsidRPr="00BA050E">
        <w:rPr>
          <w:sz w:val="22"/>
        </w:rPr>
        <w:t>lectronic go</w:t>
      </w:r>
      <w:r w:rsidR="00A948CC" w:rsidRPr="00BA050E">
        <w:rPr>
          <w:sz w:val="22"/>
        </w:rPr>
        <w:t>ve</w:t>
      </w:r>
      <w:r w:rsidR="000F7CAD" w:rsidRPr="00BA050E">
        <w:rPr>
          <w:sz w:val="22"/>
        </w:rPr>
        <w:t xml:space="preserve">rnance projects should be </w:t>
      </w:r>
      <w:r w:rsidR="006B7F21" w:rsidRPr="00BA050E">
        <w:rPr>
          <w:sz w:val="22"/>
        </w:rPr>
        <w:t>based o</w:t>
      </w:r>
      <w:r w:rsidR="000F7CAD" w:rsidRPr="00BA050E">
        <w:rPr>
          <w:sz w:val="22"/>
        </w:rPr>
        <w:t>n a</w:t>
      </w:r>
      <w:r w:rsidR="007C63D3">
        <w:rPr>
          <w:sz w:val="22"/>
        </w:rPr>
        <w:t>n agreed institutional</w:t>
      </w:r>
      <w:r w:rsidR="00AB585E" w:rsidRPr="00BA050E">
        <w:rPr>
          <w:sz w:val="22"/>
        </w:rPr>
        <w:t xml:space="preserve"> re</w:t>
      </w:r>
      <w:r w:rsidR="00A948CC" w:rsidRPr="00BA050E">
        <w:rPr>
          <w:sz w:val="22"/>
        </w:rPr>
        <w:t>form agenda</w:t>
      </w:r>
      <w:r w:rsidR="00AB585E" w:rsidRPr="00BA050E">
        <w:rPr>
          <w:sz w:val="22"/>
        </w:rPr>
        <w:t>; an</w:t>
      </w:r>
      <w:r w:rsidR="000F7CAD" w:rsidRPr="00BA050E">
        <w:rPr>
          <w:sz w:val="22"/>
        </w:rPr>
        <w:t>d</w:t>
      </w:r>
      <w:r w:rsidR="00AB585E" w:rsidRPr="00BA050E">
        <w:rPr>
          <w:sz w:val="22"/>
        </w:rPr>
        <w:t xml:space="preserve"> </w:t>
      </w:r>
      <w:r w:rsidR="006B7F21" w:rsidRPr="00BA050E">
        <w:rPr>
          <w:sz w:val="22"/>
        </w:rPr>
        <w:t>(d) that, since Bank g</w:t>
      </w:r>
      <w:r w:rsidR="000F7CAD" w:rsidRPr="00BA050E">
        <w:rPr>
          <w:sz w:val="22"/>
        </w:rPr>
        <w:t>uidelines</w:t>
      </w:r>
      <w:r w:rsidR="00A948CC" w:rsidRPr="00BA050E">
        <w:rPr>
          <w:sz w:val="22"/>
        </w:rPr>
        <w:t xml:space="preserve"> </w:t>
      </w:r>
      <w:r w:rsidR="006B7F21" w:rsidRPr="00BA050E">
        <w:rPr>
          <w:sz w:val="22"/>
        </w:rPr>
        <w:t xml:space="preserve">for procurement </w:t>
      </w:r>
      <w:r w:rsidR="00A948CC" w:rsidRPr="00BA050E">
        <w:rPr>
          <w:sz w:val="22"/>
        </w:rPr>
        <w:t xml:space="preserve">remain </w:t>
      </w:r>
      <w:r w:rsidR="00AB585E" w:rsidRPr="00BA050E">
        <w:rPr>
          <w:sz w:val="22"/>
        </w:rPr>
        <w:t>a critic</w:t>
      </w:r>
      <w:r w:rsidR="009C0AE5" w:rsidRPr="00BA050E">
        <w:rPr>
          <w:sz w:val="22"/>
        </w:rPr>
        <w:t xml:space="preserve">al safeguard against potential </w:t>
      </w:r>
      <w:r w:rsidR="0010540B" w:rsidRPr="00BA050E">
        <w:rPr>
          <w:sz w:val="22"/>
        </w:rPr>
        <w:t>misprocurement</w:t>
      </w:r>
      <w:r w:rsidR="006B7F21" w:rsidRPr="00BA050E">
        <w:rPr>
          <w:sz w:val="22"/>
        </w:rPr>
        <w:t xml:space="preserve">, </w:t>
      </w:r>
      <w:r w:rsidR="00A948CC" w:rsidRPr="00BA050E">
        <w:rPr>
          <w:sz w:val="22"/>
        </w:rPr>
        <w:t>clients</w:t>
      </w:r>
      <w:r w:rsidR="00DF3DE8" w:rsidRPr="00BA050E">
        <w:rPr>
          <w:sz w:val="22"/>
        </w:rPr>
        <w:t xml:space="preserve"> preferring continued use</w:t>
      </w:r>
      <w:r w:rsidR="006B7F21" w:rsidRPr="00BA050E">
        <w:rPr>
          <w:sz w:val="22"/>
        </w:rPr>
        <w:t xml:space="preserve"> of its </w:t>
      </w:r>
      <w:r w:rsidR="003E22AE" w:rsidRPr="00BA050E">
        <w:rPr>
          <w:sz w:val="22"/>
        </w:rPr>
        <w:t>fiduciary controls</w:t>
      </w:r>
      <w:r w:rsidR="004220EB" w:rsidRPr="00BA050E">
        <w:rPr>
          <w:sz w:val="22"/>
        </w:rPr>
        <w:t xml:space="preserve"> should be accommodated</w:t>
      </w:r>
      <w:r w:rsidR="003E22AE" w:rsidRPr="00BA050E">
        <w:rPr>
          <w:sz w:val="22"/>
        </w:rPr>
        <w:t>.</w:t>
      </w:r>
    </w:p>
    <w:p w14:paraId="3974B95B" w14:textId="77777777" w:rsidR="004220EB" w:rsidRPr="00BA050E" w:rsidRDefault="004220EB" w:rsidP="005E4AD4">
      <w:pPr>
        <w:ind w:left="0" w:right="0" w:firstLine="0"/>
        <w:rPr>
          <w:b/>
          <w:sz w:val="22"/>
        </w:rPr>
      </w:pPr>
    </w:p>
    <w:p w14:paraId="4DF797E6" w14:textId="77777777" w:rsidR="003E22AE" w:rsidRPr="00BA050E" w:rsidRDefault="003E22AE" w:rsidP="005E4AD4">
      <w:pPr>
        <w:ind w:left="0" w:right="0" w:firstLine="0"/>
        <w:rPr>
          <w:b/>
          <w:sz w:val="22"/>
        </w:rPr>
      </w:pPr>
      <w:r w:rsidRPr="00BA050E">
        <w:rPr>
          <w:b/>
          <w:sz w:val="22"/>
        </w:rPr>
        <w:t xml:space="preserve">Country </w:t>
      </w:r>
      <w:r w:rsidR="005E4AD4" w:rsidRPr="00BA050E">
        <w:rPr>
          <w:b/>
          <w:sz w:val="22"/>
        </w:rPr>
        <w:t xml:space="preserve">Partnership </w:t>
      </w:r>
      <w:r w:rsidR="00035E43" w:rsidRPr="00BA050E">
        <w:rPr>
          <w:b/>
          <w:sz w:val="22"/>
        </w:rPr>
        <w:t>Framework</w:t>
      </w:r>
      <w:r w:rsidR="00035E43">
        <w:rPr>
          <w:b/>
          <w:sz w:val="22"/>
        </w:rPr>
        <w:t>―</w:t>
      </w:r>
      <w:r w:rsidR="00035E43" w:rsidRPr="00BA050E">
        <w:rPr>
          <w:b/>
          <w:sz w:val="22"/>
        </w:rPr>
        <w:t xml:space="preserve">Aligning </w:t>
      </w:r>
      <w:r w:rsidR="005E4AD4" w:rsidRPr="00BA050E">
        <w:rPr>
          <w:b/>
          <w:sz w:val="22"/>
        </w:rPr>
        <w:t xml:space="preserve">Moldovan and </w:t>
      </w:r>
      <w:r w:rsidR="001D7A45" w:rsidRPr="00BA050E">
        <w:rPr>
          <w:b/>
          <w:sz w:val="22"/>
        </w:rPr>
        <w:t>Bank Group</w:t>
      </w:r>
      <w:r w:rsidRPr="00BA050E">
        <w:rPr>
          <w:b/>
          <w:sz w:val="22"/>
        </w:rPr>
        <w:t xml:space="preserve"> </w:t>
      </w:r>
      <w:r w:rsidR="005E4AD4" w:rsidRPr="00BA050E">
        <w:rPr>
          <w:b/>
          <w:sz w:val="22"/>
        </w:rPr>
        <w:t xml:space="preserve">Corporate </w:t>
      </w:r>
      <w:r w:rsidRPr="00BA050E">
        <w:rPr>
          <w:b/>
          <w:sz w:val="22"/>
        </w:rPr>
        <w:t>Priorities</w:t>
      </w:r>
    </w:p>
    <w:p w14:paraId="2E8B231B" w14:textId="77777777" w:rsidR="00A948CC" w:rsidRPr="00BA050E" w:rsidRDefault="00A948CC" w:rsidP="00A948CC">
      <w:pPr>
        <w:ind w:left="0" w:firstLine="0"/>
        <w:rPr>
          <w:b/>
          <w:sz w:val="22"/>
        </w:rPr>
      </w:pPr>
    </w:p>
    <w:p w14:paraId="2ACE8067" w14:textId="5807DBDB" w:rsidR="0098355D" w:rsidRPr="00BA050E" w:rsidRDefault="00AF5CDF" w:rsidP="007B3862">
      <w:pPr>
        <w:pStyle w:val="ListParagraph"/>
        <w:numPr>
          <w:ilvl w:val="0"/>
          <w:numId w:val="1"/>
        </w:numPr>
        <w:spacing w:after="0" w:line="240" w:lineRule="auto"/>
        <w:ind w:left="14" w:right="0" w:firstLine="0"/>
        <w:rPr>
          <w:rFonts w:eastAsia="SimSun"/>
          <w:b/>
          <w:color w:val="BF8F00" w:themeColor="accent4" w:themeShade="BF"/>
          <w:sz w:val="22"/>
        </w:rPr>
      </w:pPr>
      <w:r w:rsidRPr="00BA050E">
        <w:rPr>
          <w:rFonts w:eastAsia="SimSun"/>
          <w:b/>
          <w:color w:val="auto"/>
          <w:sz w:val="22"/>
        </w:rPr>
        <w:t>T</w:t>
      </w:r>
      <w:r w:rsidR="001D7A45" w:rsidRPr="00BA050E">
        <w:rPr>
          <w:rFonts w:eastAsia="SimSun"/>
          <w:b/>
          <w:color w:val="auto"/>
          <w:sz w:val="22"/>
        </w:rPr>
        <w:t>h</w:t>
      </w:r>
      <w:r w:rsidR="00B649EA">
        <w:rPr>
          <w:rFonts w:eastAsia="SimSun"/>
          <w:b/>
          <w:color w:val="auto"/>
          <w:sz w:val="22"/>
        </w:rPr>
        <w:t xml:space="preserve">e </w:t>
      </w:r>
      <w:r w:rsidR="00364B29">
        <w:rPr>
          <w:rFonts w:eastAsia="SimSun"/>
          <w:b/>
          <w:color w:val="auto"/>
          <w:sz w:val="22"/>
        </w:rPr>
        <w:t xml:space="preserve">CPF </w:t>
      </w:r>
      <w:r w:rsidR="00B649EA">
        <w:rPr>
          <w:rFonts w:eastAsia="SimSun"/>
          <w:b/>
          <w:color w:val="auto"/>
          <w:sz w:val="22"/>
        </w:rPr>
        <w:t>program</w:t>
      </w:r>
      <w:r w:rsidR="00B46EAA" w:rsidRPr="00BA050E">
        <w:rPr>
          <w:rFonts w:eastAsia="SimSun"/>
          <w:b/>
          <w:color w:val="auto"/>
          <w:sz w:val="22"/>
        </w:rPr>
        <w:t xml:space="preserve"> </w:t>
      </w:r>
      <w:r w:rsidR="00364B29">
        <w:rPr>
          <w:b/>
          <w:sz w:val="22"/>
        </w:rPr>
        <w:t xml:space="preserve">is </w:t>
      </w:r>
      <w:r w:rsidR="007C63D3">
        <w:rPr>
          <w:b/>
          <w:sz w:val="22"/>
        </w:rPr>
        <w:t xml:space="preserve">located at the intersection </w:t>
      </w:r>
      <w:r w:rsidR="00B649EA">
        <w:rPr>
          <w:b/>
          <w:sz w:val="22"/>
        </w:rPr>
        <w:t xml:space="preserve">of </w:t>
      </w:r>
      <w:r w:rsidR="007C63D3">
        <w:rPr>
          <w:b/>
          <w:sz w:val="22"/>
        </w:rPr>
        <w:t>NDS</w:t>
      </w:r>
      <w:r w:rsidR="00364B29">
        <w:rPr>
          <w:b/>
          <w:sz w:val="22"/>
        </w:rPr>
        <w:t xml:space="preserve"> and</w:t>
      </w:r>
      <w:r w:rsidR="007C63D3">
        <w:rPr>
          <w:b/>
          <w:sz w:val="22"/>
        </w:rPr>
        <w:t xml:space="preserve"> SCD</w:t>
      </w:r>
      <w:r w:rsidR="00B649EA">
        <w:rPr>
          <w:b/>
          <w:sz w:val="22"/>
        </w:rPr>
        <w:t xml:space="preserve"> priorities and </w:t>
      </w:r>
      <w:r w:rsidR="00364B29">
        <w:rPr>
          <w:b/>
          <w:sz w:val="22"/>
        </w:rPr>
        <w:t>the Bank Group’s</w:t>
      </w:r>
      <w:r w:rsidR="00B649EA">
        <w:rPr>
          <w:b/>
          <w:sz w:val="22"/>
        </w:rPr>
        <w:t xml:space="preserve"> comparative advantage</w:t>
      </w:r>
      <w:r w:rsidRPr="00BA050E">
        <w:rPr>
          <w:b/>
          <w:sz w:val="22"/>
        </w:rPr>
        <w:t>.</w:t>
      </w:r>
      <w:r w:rsidR="004252C1" w:rsidRPr="00BA050E">
        <w:rPr>
          <w:sz w:val="22"/>
        </w:rPr>
        <w:t xml:space="preserve"> </w:t>
      </w:r>
      <w:r w:rsidR="003C610D">
        <w:rPr>
          <w:sz w:val="22"/>
        </w:rPr>
        <w:t>First</w:t>
      </w:r>
      <w:r w:rsidR="00A34E5E" w:rsidRPr="00BA050E">
        <w:rPr>
          <w:sz w:val="22"/>
        </w:rPr>
        <w:t>,</w:t>
      </w:r>
      <w:r w:rsidR="00A34E5E" w:rsidRPr="00BA050E">
        <w:rPr>
          <w:b/>
          <w:sz w:val="22"/>
        </w:rPr>
        <w:t xml:space="preserve"> </w:t>
      </w:r>
      <w:r w:rsidR="00A34E5E" w:rsidRPr="00BA050E">
        <w:rPr>
          <w:sz w:val="22"/>
        </w:rPr>
        <w:t>the SCD’s t</w:t>
      </w:r>
      <w:r w:rsidR="006B7F21" w:rsidRPr="00BA050E">
        <w:rPr>
          <w:sz w:val="22"/>
        </w:rPr>
        <w:t xml:space="preserve">op three </w:t>
      </w:r>
      <w:r w:rsidR="00A34E5E" w:rsidRPr="00BA050E">
        <w:rPr>
          <w:sz w:val="22"/>
        </w:rPr>
        <w:t>priorities</w:t>
      </w:r>
      <w:r w:rsidR="00B02F3E" w:rsidRPr="00BA050E">
        <w:rPr>
          <w:sz w:val="22"/>
        </w:rPr>
        <w:t xml:space="preserve"> </w:t>
      </w:r>
      <w:r w:rsidR="0098355D" w:rsidRPr="00BA050E">
        <w:rPr>
          <w:sz w:val="22"/>
        </w:rPr>
        <w:t>(</w:t>
      </w:r>
      <w:r w:rsidR="0098355D" w:rsidRPr="00BA050E">
        <w:rPr>
          <w:i/>
          <w:sz w:val="22"/>
        </w:rPr>
        <w:t xml:space="preserve">cf. </w:t>
      </w:r>
      <w:r w:rsidR="0098355D" w:rsidRPr="00BA050E">
        <w:rPr>
          <w:sz w:val="22"/>
        </w:rPr>
        <w:t xml:space="preserve">paras. </w:t>
      </w:r>
      <w:r w:rsidR="00364B29">
        <w:rPr>
          <w:sz w:val="22"/>
        </w:rPr>
        <w:t>2</w:t>
      </w:r>
      <w:r w:rsidR="0098355D" w:rsidRPr="00BA050E">
        <w:rPr>
          <w:sz w:val="22"/>
        </w:rPr>
        <w:t xml:space="preserve"> and 7 above) </w:t>
      </w:r>
      <w:r w:rsidR="009F42CC" w:rsidRPr="00BA050E">
        <w:rPr>
          <w:sz w:val="22"/>
        </w:rPr>
        <w:t>define</w:t>
      </w:r>
      <w:r w:rsidR="00D52167">
        <w:rPr>
          <w:sz w:val="22"/>
        </w:rPr>
        <w:t>d</w:t>
      </w:r>
      <w:r w:rsidR="009F42CC" w:rsidRPr="00BA050E">
        <w:rPr>
          <w:sz w:val="22"/>
        </w:rPr>
        <w:t xml:space="preserve"> </w:t>
      </w:r>
      <w:r w:rsidR="00546E25" w:rsidRPr="00BA050E">
        <w:rPr>
          <w:sz w:val="22"/>
        </w:rPr>
        <w:t xml:space="preserve">the </w:t>
      </w:r>
      <w:r w:rsidR="009F42CC" w:rsidRPr="00BA050E">
        <w:rPr>
          <w:sz w:val="22"/>
        </w:rPr>
        <w:t xml:space="preserve">three </w:t>
      </w:r>
      <w:r w:rsidR="00B03909" w:rsidRPr="00BA050E">
        <w:rPr>
          <w:sz w:val="22"/>
        </w:rPr>
        <w:t>focus areas</w:t>
      </w:r>
      <w:r w:rsidR="009F42CC" w:rsidRPr="00BA050E">
        <w:rPr>
          <w:sz w:val="22"/>
        </w:rPr>
        <w:t xml:space="preserve"> on w</w:t>
      </w:r>
      <w:r w:rsidR="00546E25" w:rsidRPr="00BA050E">
        <w:rPr>
          <w:sz w:val="22"/>
        </w:rPr>
        <w:t>hich the CPF is</w:t>
      </w:r>
      <w:r w:rsidR="009F42CC" w:rsidRPr="00BA050E">
        <w:rPr>
          <w:sz w:val="22"/>
        </w:rPr>
        <w:t xml:space="preserve"> built, namely: </w:t>
      </w:r>
      <w:r w:rsidR="009F42CC" w:rsidRPr="00BA050E">
        <w:rPr>
          <w:b/>
          <w:i/>
          <w:sz w:val="22"/>
        </w:rPr>
        <w:t>economic governance</w:t>
      </w:r>
      <w:r w:rsidR="009F42CC" w:rsidRPr="00BA050E">
        <w:rPr>
          <w:sz w:val="22"/>
        </w:rPr>
        <w:t xml:space="preserve">, </w:t>
      </w:r>
      <w:r w:rsidR="009F42CC" w:rsidRPr="00BA050E">
        <w:rPr>
          <w:b/>
          <w:i/>
          <w:sz w:val="22"/>
        </w:rPr>
        <w:t>service governance</w:t>
      </w:r>
      <w:r w:rsidR="009F42CC" w:rsidRPr="00BA050E">
        <w:rPr>
          <w:sz w:val="22"/>
        </w:rPr>
        <w:t xml:space="preserve">, and </w:t>
      </w:r>
      <w:r w:rsidR="009F42CC" w:rsidRPr="00BA050E">
        <w:rPr>
          <w:b/>
          <w:i/>
          <w:sz w:val="22"/>
        </w:rPr>
        <w:t>skills development</w:t>
      </w:r>
      <w:r w:rsidR="009F42CC" w:rsidRPr="00BA050E">
        <w:rPr>
          <w:sz w:val="22"/>
        </w:rPr>
        <w:t>,</w:t>
      </w:r>
      <w:r w:rsidR="00490E89" w:rsidRPr="00BA050E">
        <w:rPr>
          <w:sz w:val="22"/>
        </w:rPr>
        <w:t xml:space="preserve"> supplemented by </w:t>
      </w:r>
      <w:r w:rsidR="00490E89" w:rsidRPr="00BA050E">
        <w:rPr>
          <w:b/>
          <w:i/>
          <w:sz w:val="22"/>
        </w:rPr>
        <w:t>climate change</w:t>
      </w:r>
      <w:r w:rsidR="009F42CC" w:rsidRPr="00BA050E">
        <w:rPr>
          <w:sz w:val="22"/>
        </w:rPr>
        <w:t xml:space="preserve"> </w:t>
      </w:r>
      <w:r w:rsidR="00490E89" w:rsidRPr="00BA050E">
        <w:rPr>
          <w:sz w:val="22"/>
        </w:rPr>
        <w:t xml:space="preserve">as </w:t>
      </w:r>
      <w:r w:rsidR="009F42CC" w:rsidRPr="00BA050E">
        <w:rPr>
          <w:sz w:val="22"/>
        </w:rPr>
        <w:t>a cross-cutting</w:t>
      </w:r>
      <w:r w:rsidR="00636D17" w:rsidRPr="00BA050E">
        <w:rPr>
          <w:sz w:val="22"/>
        </w:rPr>
        <w:t xml:space="preserve"> </w:t>
      </w:r>
      <w:r w:rsidR="009F42CC" w:rsidRPr="00BA050E">
        <w:rPr>
          <w:sz w:val="22"/>
        </w:rPr>
        <w:t xml:space="preserve">theme. </w:t>
      </w:r>
      <w:r w:rsidR="003C610D">
        <w:rPr>
          <w:sz w:val="22"/>
        </w:rPr>
        <w:t>Then</w:t>
      </w:r>
      <w:r w:rsidR="00364B29">
        <w:rPr>
          <w:sz w:val="22"/>
        </w:rPr>
        <w:t>,</w:t>
      </w:r>
      <w:r w:rsidR="003C610D">
        <w:rPr>
          <w:sz w:val="22"/>
        </w:rPr>
        <w:t xml:space="preserve"> a</w:t>
      </w:r>
      <w:r w:rsidR="00345BC1">
        <w:rPr>
          <w:sz w:val="22"/>
        </w:rPr>
        <w:t xml:space="preserve">reas of concentration and activities within each </w:t>
      </w:r>
      <w:r w:rsidR="003C610D">
        <w:rPr>
          <w:sz w:val="22"/>
        </w:rPr>
        <w:t xml:space="preserve">objective </w:t>
      </w:r>
      <w:r w:rsidR="00345BC1">
        <w:rPr>
          <w:sz w:val="22"/>
        </w:rPr>
        <w:t xml:space="preserve">were prioritized </w:t>
      </w:r>
      <w:r w:rsidR="003C610D">
        <w:rPr>
          <w:sz w:val="22"/>
        </w:rPr>
        <w:t xml:space="preserve">more narrowly </w:t>
      </w:r>
      <w:r w:rsidR="005D507C">
        <w:rPr>
          <w:sz w:val="22"/>
        </w:rPr>
        <w:t xml:space="preserve">based on </w:t>
      </w:r>
      <w:r w:rsidR="00364B29">
        <w:rPr>
          <w:sz w:val="22"/>
        </w:rPr>
        <w:t>g</w:t>
      </w:r>
      <w:r w:rsidR="00345BC1">
        <w:rPr>
          <w:sz w:val="22"/>
        </w:rPr>
        <w:t xml:space="preserve">overnment priorities and </w:t>
      </w:r>
      <w:r w:rsidR="00364B29">
        <w:rPr>
          <w:sz w:val="22"/>
        </w:rPr>
        <w:t xml:space="preserve">the </w:t>
      </w:r>
      <w:r w:rsidR="0010540B">
        <w:rPr>
          <w:sz w:val="22"/>
        </w:rPr>
        <w:t xml:space="preserve">World </w:t>
      </w:r>
      <w:r w:rsidR="00364B29">
        <w:rPr>
          <w:sz w:val="22"/>
        </w:rPr>
        <w:t>Bank Group’s</w:t>
      </w:r>
      <w:r w:rsidR="00345BC1">
        <w:rPr>
          <w:sz w:val="22"/>
        </w:rPr>
        <w:t xml:space="preserve"> comparative advantage </w:t>
      </w:r>
      <w:r w:rsidR="00364B29">
        <w:rPr>
          <w:sz w:val="22"/>
        </w:rPr>
        <w:t xml:space="preserve">vis-à-vis other </w:t>
      </w:r>
      <w:r w:rsidR="00345BC1">
        <w:rPr>
          <w:sz w:val="22"/>
        </w:rPr>
        <w:t xml:space="preserve">development partners. </w:t>
      </w:r>
      <w:r w:rsidR="0098355D" w:rsidRPr="00BA050E">
        <w:rPr>
          <w:sz w:val="22"/>
        </w:rPr>
        <w:t>Th</w:t>
      </w:r>
      <w:r w:rsidR="00364B29">
        <w:rPr>
          <w:sz w:val="22"/>
        </w:rPr>
        <w:t>is</w:t>
      </w:r>
      <w:r w:rsidR="00345BC1">
        <w:rPr>
          <w:sz w:val="22"/>
        </w:rPr>
        <w:t xml:space="preserve"> prioritization logic is</w:t>
      </w:r>
      <w:r w:rsidR="0098355D" w:rsidRPr="00BA050E">
        <w:rPr>
          <w:sz w:val="22"/>
        </w:rPr>
        <w:t xml:space="preserve"> illustrated in </w:t>
      </w:r>
      <w:r w:rsidR="00267BDB" w:rsidRPr="00597C69">
        <w:rPr>
          <w:color w:val="auto"/>
          <w:sz w:val="22"/>
          <w:u w:val="single"/>
        </w:rPr>
        <w:fldChar w:fldCharType="begin"/>
      </w:r>
      <w:r w:rsidR="00267BDB" w:rsidRPr="00597C69">
        <w:rPr>
          <w:color w:val="auto"/>
          <w:sz w:val="22"/>
          <w:u w:val="single"/>
        </w:rPr>
        <w:instrText xml:space="preserve"> REF _Ref484625967 \h  \* MERGEFORMAT </w:instrText>
      </w:r>
      <w:r w:rsidR="00267BDB" w:rsidRPr="00597C69">
        <w:rPr>
          <w:color w:val="auto"/>
          <w:sz w:val="22"/>
          <w:u w:val="single"/>
        </w:rPr>
      </w:r>
      <w:r w:rsidR="00267BDB" w:rsidRPr="00597C69">
        <w:rPr>
          <w:color w:val="auto"/>
          <w:sz w:val="22"/>
          <w:u w:val="single"/>
        </w:rPr>
        <w:fldChar w:fldCharType="separate"/>
      </w:r>
      <w:r w:rsidR="00267BDB" w:rsidRPr="00597C69">
        <w:rPr>
          <w:color w:val="auto"/>
          <w:sz w:val="22"/>
        </w:rPr>
        <w:t>Table</w:t>
      </w:r>
      <w:r w:rsidR="00267BDB" w:rsidRPr="00597C69">
        <w:rPr>
          <w:color w:val="auto"/>
          <w:sz w:val="22"/>
          <w:u w:val="single"/>
        </w:rPr>
        <w:t xml:space="preserve"> </w:t>
      </w:r>
      <w:r w:rsidR="00267BDB" w:rsidRPr="00597C69">
        <w:rPr>
          <w:noProof/>
          <w:color w:val="auto"/>
          <w:sz w:val="22"/>
        </w:rPr>
        <w:t>2</w:t>
      </w:r>
      <w:r w:rsidR="00267BDB" w:rsidRPr="00597C69">
        <w:rPr>
          <w:color w:val="auto"/>
          <w:sz w:val="22"/>
          <w:u w:val="single"/>
        </w:rPr>
        <w:fldChar w:fldCharType="end"/>
      </w:r>
      <w:r w:rsidR="00364B29" w:rsidRPr="00597C69">
        <w:rPr>
          <w:color w:val="auto"/>
          <w:sz w:val="22"/>
        </w:rPr>
        <w:t xml:space="preserve"> </w:t>
      </w:r>
      <w:r w:rsidR="00364B29">
        <w:rPr>
          <w:sz w:val="22"/>
        </w:rPr>
        <w:t>below</w:t>
      </w:r>
      <w:r w:rsidR="0098355D" w:rsidRPr="00BA050E">
        <w:rPr>
          <w:sz w:val="22"/>
        </w:rPr>
        <w:t>.</w:t>
      </w:r>
    </w:p>
    <w:p w14:paraId="4F20AEBB" w14:textId="77777777" w:rsidR="0098355D" w:rsidRPr="00BA050E" w:rsidRDefault="0098355D" w:rsidP="00B46EAA">
      <w:pPr>
        <w:pStyle w:val="ListParagraph"/>
        <w:spacing w:after="0" w:line="240" w:lineRule="auto"/>
        <w:ind w:left="14" w:right="0" w:firstLine="0"/>
        <w:rPr>
          <w:rFonts w:eastAsia="SimSun"/>
          <w:b/>
          <w:color w:val="auto"/>
          <w:sz w:val="22"/>
        </w:rPr>
      </w:pPr>
    </w:p>
    <w:p w14:paraId="33DC286E" w14:textId="77777777" w:rsidR="008F4B3E" w:rsidRDefault="008F4B3E" w:rsidP="00B46EAA">
      <w:pPr>
        <w:pStyle w:val="ListParagraph"/>
        <w:spacing w:after="0" w:line="240" w:lineRule="auto"/>
        <w:ind w:left="14" w:right="0" w:firstLine="0"/>
        <w:jc w:val="center"/>
        <w:rPr>
          <w:rFonts w:eastAsia="SimSun"/>
          <w:b/>
          <w:color w:val="auto"/>
          <w:sz w:val="22"/>
        </w:rPr>
        <w:sectPr w:rsidR="008F4B3E" w:rsidSect="006F17C2">
          <w:pgSz w:w="12240" w:h="15840" w:code="1"/>
          <w:pgMar w:top="1440" w:right="1440" w:bottom="1440" w:left="1440" w:header="720" w:footer="720" w:gutter="0"/>
          <w:pgNumType w:start="0"/>
          <w:cols w:space="720"/>
          <w:docGrid w:linePitch="360"/>
        </w:sectPr>
      </w:pPr>
    </w:p>
    <w:p w14:paraId="2007DE67" w14:textId="77777777" w:rsidR="00432763" w:rsidRPr="00597C69" w:rsidRDefault="00267BDB" w:rsidP="00267BDB">
      <w:pPr>
        <w:pStyle w:val="Caption"/>
        <w:jc w:val="center"/>
        <w:rPr>
          <w:rFonts w:eastAsia="SimSun"/>
          <w:sz w:val="22"/>
        </w:rPr>
      </w:pPr>
      <w:bookmarkStart w:id="4" w:name="_Ref484625967"/>
      <w:r w:rsidRPr="00441857">
        <w:lastRenderedPageBreak/>
        <w:t xml:space="preserve">Table </w:t>
      </w:r>
      <w:r w:rsidR="00CF3258" w:rsidRPr="00441857">
        <w:fldChar w:fldCharType="begin"/>
      </w:r>
      <w:r w:rsidR="00CF3258" w:rsidRPr="000A3DB5">
        <w:instrText xml:space="preserve"> SEQ Table \* ARABIC </w:instrText>
      </w:r>
      <w:r w:rsidR="00CF3258" w:rsidRPr="00441857">
        <w:fldChar w:fldCharType="separate"/>
      </w:r>
      <w:r w:rsidR="00A226A4" w:rsidRPr="00441857">
        <w:rPr>
          <w:noProof/>
        </w:rPr>
        <w:t>2</w:t>
      </w:r>
      <w:r w:rsidR="00CF3258" w:rsidRPr="00441857">
        <w:rPr>
          <w:noProof/>
        </w:rPr>
        <w:fldChar w:fldCharType="end"/>
      </w:r>
      <w:bookmarkEnd w:id="4"/>
      <w:r w:rsidR="008F4B3E" w:rsidRPr="00597C69">
        <w:rPr>
          <w:rFonts w:eastAsia="SimSun"/>
          <w:sz w:val="22"/>
        </w:rPr>
        <w:t xml:space="preserve">: </w:t>
      </w:r>
      <w:r w:rsidR="00D33F6C" w:rsidRPr="00597C69">
        <w:rPr>
          <w:rFonts w:eastAsia="SimSun"/>
          <w:sz w:val="22"/>
        </w:rPr>
        <w:t>From SCD to CPF Activity</w:t>
      </w:r>
    </w:p>
    <w:p w14:paraId="68EBD21C" w14:textId="77777777" w:rsidR="002B2553" w:rsidRPr="008F4B3E" w:rsidRDefault="002B2553" w:rsidP="00B46EAA">
      <w:pPr>
        <w:pStyle w:val="ListParagraph"/>
        <w:spacing w:after="0" w:line="240" w:lineRule="auto"/>
        <w:ind w:left="14" w:right="0" w:firstLine="0"/>
        <w:jc w:val="center"/>
        <w:rPr>
          <w:rFonts w:eastAsia="SimSun"/>
          <w:b/>
          <w:color w:val="auto"/>
          <w:sz w:val="20"/>
          <w:szCs w:val="20"/>
        </w:rPr>
      </w:pPr>
    </w:p>
    <w:tbl>
      <w:tblPr>
        <w:tblStyle w:val="TableGrid0"/>
        <w:tblW w:w="12780" w:type="dxa"/>
        <w:tblInd w:w="-5" w:type="dxa"/>
        <w:tblLayout w:type="fixed"/>
        <w:tblLook w:val="04A0" w:firstRow="1" w:lastRow="0" w:firstColumn="1" w:lastColumn="0" w:noHBand="0" w:noVBand="1"/>
      </w:tblPr>
      <w:tblGrid>
        <w:gridCol w:w="720"/>
        <w:gridCol w:w="360"/>
        <w:gridCol w:w="1800"/>
        <w:gridCol w:w="270"/>
        <w:gridCol w:w="1440"/>
        <w:gridCol w:w="730"/>
        <w:gridCol w:w="1430"/>
        <w:gridCol w:w="1700"/>
        <w:gridCol w:w="10"/>
        <w:gridCol w:w="2070"/>
        <w:gridCol w:w="2250"/>
      </w:tblGrid>
      <w:tr w:rsidR="008F4B3E" w:rsidRPr="008F4B3E" w14:paraId="7AFE3193" w14:textId="77777777" w:rsidTr="00D77307">
        <w:trPr>
          <w:trHeight w:val="602"/>
        </w:trPr>
        <w:tc>
          <w:tcPr>
            <w:tcW w:w="1080" w:type="dxa"/>
            <w:gridSpan w:val="2"/>
            <w:shd w:val="clear" w:color="auto" w:fill="F2F2F2" w:themeFill="background1" w:themeFillShade="F2"/>
          </w:tcPr>
          <w:p w14:paraId="39E85AF5" w14:textId="77777777" w:rsidR="008F4B3E" w:rsidRPr="008F4B3E" w:rsidRDefault="008F4B3E" w:rsidP="002D0E83">
            <w:pPr>
              <w:spacing w:after="100" w:afterAutospacing="1" w:line="240" w:lineRule="auto"/>
              <w:ind w:left="0" w:right="0" w:firstLine="0"/>
              <w:jc w:val="center"/>
              <w:rPr>
                <w:b/>
                <w:sz w:val="16"/>
                <w:szCs w:val="16"/>
              </w:rPr>
            </w:pPr>
            <w:r w:rsidRPr="008F4B3E">
              <w:rPr>
                <w:b/>
                <w:sz w:val="16"/>
                <w:szCs w:val="16"/>
              </w:rPr>
              <w:t>SCD’s ‘top policy priorities’ (p79)</w:t>
            </w:r>
          </w:p>
          <w:p w14:paraId="21F63A3A" w14:textId="77777777" w:rsidR="008F4B3E" w:rsidRPr="008F4B3E" w:rsidRDefault="008F4B3E" w:rsidP="002D0E83">
            <w:pPr>
              <w:spacing w:after="100" w:afterAutospacing="1" w:line="240" w:lineRule="auto"/>
              <w:ind w:left="0" w:right="0" w:firstLine="0"/>
              <w:jc w:val="center"/>
              <w:rPr>
                <w:b/>
                <w:sz w:val="16"/>
                <w:szCs w:val="16"/>
              </w:rPr>
            </w:pPr>
            <w:r w:rsidRPr="008F4B3E">
              <w:rPr>
                <w:b/>
                <w:sz w:val="16"/>
                <w:szCs w:val="16"/>
              </w:rPr>
              <w:sym w:font="Wingdings" w:char="F0F0"/>
            </w:r>
          </w:p>
        </w:tc>
        <w:tc>
          <w:tcPr>
            <w:tcW w:w="2070" w:type="dxa"/>
            <w:gridSpan w:val="2"/>
          </w:tcPr>
          <w:p w14:paraId="7E249902" w14:textId="77777777" w:rsidR="008F4B3E" w:rsidRPr="008F4B3E" w:rsidRDefault="008F4B3E" w:rsidP="00D77307">
            <w:pPr>
              <w:spacing w:after="120" w:line="240" w:lineRule="auto"/>
              <w:ind w:left="0" w:right="0" w:firstLine="0"/>
              <w:jc w:val="left"/>
              <w:rPr>
                <w:b/>
                <w:sz w:val="16"/>
                <w:szCs w:val="16"/>
                <w:bdr w:val="single" w:sz="4" w:space="0" w:color="auto"/>
              </w:rPr>
            </w:pPr>
            <w:r w:rsidRPr="008F4B3E">
              <w:rPr>
                <w:b/>
                <w:sz w:val="16"/>
                <w:szCs w:val="16"/>
                <w:bdr w:val="single" w:sz="4" w:space="0" w:color="auto"/>
              </w:rPr>
              <w:t xml:space="preserve">A </w:t>
            </w:r>
            <w:r w:rsidRPr="008F4B3E">
              <w:rPr>
                <w:i/>
                <w:sz w:val="16"/>
                <w:szCs w:val="16"/>
              </w:rPr>
              <w:t>Strengthening rule of law and accountability in institutions:</w:t>
            </w:r>
            <w:r w:rsidRPr="008F4B3E">
              <w:rPr>
                <w:sz w:val="16"/>
                <w:szCs w:val="16"/>
              </w:rPr>
              <w:t xml:space="preserve"> </w:t>
            </w:r>
            <w:r w:rsidRPr="008F4B3E">
              <w:rPr>
                <w:i/>
                <w:sz w:val="16"/>
                <w:szCs w:val="16"/>
              </w:rPr>
              <w:t>improv</w:t>
            </w:r>
            <w:r w:rsidR="00035E43">
              <w:rPr>
                <w:i/>
                <w:sz w:val="16"/>
                <w:szCs w:val="16"/>
              </w:rPr>
              <w:t>ing</w:t>
            </w:r>
            <w:r w:rsidRPr="008F4B3E">
              <w:rPr>
                <w:i/>
                <w:sz w:val="16"/>
                <w:szCs w:val="16"/>
              </w:rPr>
              <w:t xml:space="preserve"> governance, including anti-corruption measures; secure property rights; sound justice and financial systems; and fair competitive conditions</w:t>
            </w:r>
          </w:p>
        </w:tc>
        <w:tc>
          <w:tcPr>
            <w:tcW w:w="1440" w:type="dxa"/>
          </w:tcPr>
          <w:p w14:paraId="5D0EEF0A" w14:textId="77777777" w:rsidR="008F4B3E" w:rsidRPr="008F4B3E" w:rsidRDefault="008F4B3E" w:rsidP="00D77307">
            <w:pPr>
              <w:spacing w:after="120" w:line="240" w:lineRule="auto"/>
              <w:ind w:left="0" w:right="0" w:firstLine="0"/>
              <w:jc w:val="left"/>
              <w:rPr>
                <w:b/>
                <w:sz w:val="16"/>
                <w:szCs w:val="16"/>
                <w:bdr w:val="single" w:sz="4" w:space="0" w:color="auto"/>
              </w:rPr>
            </w:pPr>
            <w:r w:rsidRPr="008F4B3E">
              <w:rPr>
                <w:b/>
                <w:sz w:val="16"/>
                <w:szCs w:val="16"/>
                <w:bdr w:val="single" w:sz="4" w:space="0" w:color="auto"/>
              </w:rPr>
              <w:t xml:space="preserve">B </w:t>
            </w:r>
            <w:r w:rsidRPr="008F4B3E">
              <w:rPr>
                <w:i/>
                <w:sz w:val="16"/>
                <w:szCs w:val="16"/>
              </w:rPr>
              <w:t>Enhancing capacity of public administration, accountability of providers, and efficiency of spending</w:t>
            </w:r>
          </w:p>
        </w:tc>
        <w:tc>
          <w:tcPr>
            <w:tcW w:w="2160" w:type="dxa"/>
            <w:gridSpan w:val="2"/>
          </w:tcPr>
          <w:p w14:paraId="20F542A7" w14:textId="77777777" w:rsidR="008F4B3E" w:rsidRPr="008F4B3E" w:rsidRDefault="008F4B3E" w:rsidP="00D77307">
            <w:pPr>
              <w:spacing w:after="120" w:line="240" w:lineRule="auto"/>
              <w:ind w:left="0" w:right="0" w:firstLine="0"/>
              <w:jc w:val="left"/>
              <w:rPr>
                <w:b/>
                <w:sz w:val="16"/>
                <w:szCs w:val="16"/>
                <w:bdr w:val="single" w:sz="4" w:space="0" w:color="auto"/>
              </w:rPr>
            </w:pPr>
            <w:r w:rsidRPr="008F4B3E">
              <w:rPr>
                <w:b/>
                <w:sz w:val="16"/>
                <w:szCs w:val="16"/>
                <w:bdr w:val="single" w:sz="4" w:space="0" w:color="auto"/>
              </w:rPr>
              <w:t xml:space="preserve">C </w:t>
            </w:r>
            <w:r w:rsidRPr="008F4B3E">
              <w:rPr>
                <w:i/>
                <w:sz w:val="16"/>
                <w:szCs w:val="16"/>
              </w:rPr>
              <w:t>Improving teacher performance thru adequate recruitment and retention system; promoting acquisition of strong generic skills thru education cycle, and aligning curricula with market demand</w:t>
            </w:r>
          </w:p>
        </w:tc>
        <w:tc>
          <w:tcPr>
            <w:tcW w:w="1710" w:type="dxa"/>
            <w:gridSpan w:val="2"/>
          </w:tcPr>
          <w:p w14:paraId="7C0AC958" w14:textId="77777777" w:rsidR="008F4B3E" w:rsidRPr="008F4B3E" w:rsidRDefault="008F4B3E" w:rsidP="00D77307">
            <w:pPr>
              <w:spacing w:after="120" w:line="240" w:lineRule="auto"/>
              <w:ind w:left="0" w:right="0" w:firstLine="0"/>
              <w:jc w:val="left"/>
              <w:rPr>
                <w:b/>
                <w:sz w:val="16"/>
                <w:szCs w:val="16"/>
                <w:bdr w:val="single" w:sz="4" w:space="0" w:color="auto"/>
              </w:rPr>
            </w:pPr>
            <w:r w:rsidRPr="008F4B3E">
              <w:rPr>
                <w:b/>
                <w:sz w:val="16"/>
                <w:szCs w:val="16"/>
                <w:bdr w:val="single" w:sz="4" w:space="0" w:color="auto"/>
              </w:rPr>
              <w:t xml:space="preserve">D </w:t>
            </w:r>
            <w:r w:rsidRPr="008F4B3E">
              <w:rPr>
                <w:i/>
                <w:sz w:val="16"/>
                <w:szCs w:val="16"/>
              </w:rPr>
              <w:t>Parametric reforms of public pension system and consolidation of categorical social assistance programs to expand poverty-targeted schemes</w:t>
            </w:r>
          </w:p>
        </w:tc>
        <w:tc>
          <w:tcPr>
            <w:tcW w:w="2070" w:type="dxa"/>
          </w:tcPr>
          <w:p w14:paraId="44DB3C84" w14:textId="77777777" w:rsidR="008F4B3E" w:rsidRPr="008F4B3E" w:rsidRDefault="008F4B3E" w:rsidP="00D77307">
            <w:pPr>
              <w:spacing w:after="120" w:line="240" w:lineRule="auto"/>
              <w:ind w:left="0" w:right="0" w:firstLine="0"/>
              <w:jc w:val="left"/>
              <w:rPr>
                <w:b/>
                <w:sz w:val="16"/>
                <w:szCs w:val="16"/>
                <w:bdr w:val="single" w:sz="4" w:space="0" w:color="auto"/>
              </w:rPr>
            </w:pPr>
            <w:r w:rsidRPr="008F4B3E">
              <w:rPr>
                <w:b/>
                <w:sz w:val="16"/>
                <w:szCs w:val="16"/>
                <w:bdr w:val="single" w:sz="4" w:space="0" w:color="auto"/>
              </w:rPr>
              <w:t xml:space="preserve">E </w:t>
            </w:r>
            <w:r w:rsidRPr="008F4B3E">
              <w:rPr>
                <w:i/>
                <w:sz w:val="16"/>
                <w:szCs w:val="16"/>
              </w:rPr>
              <w:t>Reforming business environment includes reducing compliance costs and burden of inspections</w:t>
            </w:r>
          </w:p>
        </w:tc>
        <w:tc>
          <w:tcPr>
            <w:tcW w:w="2250" w:type="dxa"/>
          </w:tcPr>
          <w:p w14:paraId="29AD5E0F" w14:textId="77777777" w:rsidR="008F4B3E" w:rsidRPr="008F4B3E" w:rsidRDefault="008F4B3E" w:rsidP="00D77307">
            <w:pPr>
              <w:spacing w:after="120" w:line="240" w:lineRule="auto"/>
              <w:ind w:left="0" w:right="0" w:firstLine="0"/>
              <w:jc w:val="left"/>
              <w:rPr>
                <w:b/>
                <w:sz w:val="16"/>
                <w:szCs w:val="16"/>
                <w:bdr w:val="single" w:sz="4" w:space="0" w:color="auto"/>
              </w:rPr>
            </w:pPr>
            <w:r w:rsidRPr="008F4B3E">
              <w:rPr>
                <w:b/>
                <w:sz w:val="16"/>
                <w:szCs w:val="16"/>
                <w:bdr w:val="single" w:sz="4" w:space="0" w:color="auto"/>
              </w:rPr>
              <w:t xml:space="preserve">F </w:t>
            </w:r>
            <w:r w:rsidRPr="008F4B3E">
              <w:rPr>
                <w:i/>
                <w:sz w:val="16"/>
                <w:szCs w:val="16"/>
              </w:rPr>
              <w:t>Ensuring sound macroeconomic and fiscal management. Addressing weaknesses in financial sector governance, and improving fiscal rule</w:t>
            </w:r>
          </w:p>
        </w:tc>
      </w:tr>
      <w:tr w:rsidR="008F4B3E" w:rsidRPr="008F4B3E" w14:paraId="61FF42DA" w14:textId="77777777" w:rsidTr="00D77307">
        <w:trPr>
          <w:trHeight w:val="602"/>
        </w:trPr>
        <w:tc>
          <w:tcPr>
            <w:tcW w:w="1080" w:type="dxa"/>
            <w:gridSpan w:val="2"/>
            <w:tcBorders>
              <w:bottom w:val="single" w:sz="4" w:space="0" w:color="auto"/>
            </w:tcBorders>
            <w:shd w:val="clear" w:color="auto" w:fill="F2F2F2" w:themeFill="background1" w:themeFillShade="F2"/>
          </w:tcPr>
          <w:p w14:paraId="04C0C33A" w14:textId="77777777" w:rsidR="008F4B3E" w:rsidRPr="008F4B3E" w:rsidRDefault="008F4B3E" w:rsidP="002D0E83">
            <w:pPr>
              <w:spacing w:after="100" w:afterAutospacing="1" w:line="240" w:lineRule="auto"/>
              <w:ind w:left="0" w:right="0" w:firstLine="0"/>
              <w:jc w:val="center"/>
              <w:rPr>
                <w:b/>
                <w:sz w:val="16"/>
                <w:szCs w:val="16"/>
              </w:rPr>
            </w:pPr>
            <w:r w:rsidRPr="008F4B3E">
              <w:rPr>
                <w:b/>
                <w:sz w:val="16"/>
                <w:szCs w:val="16"/>
              </w:rPr>
              <w:t>Carry into CPF?</w:t>
            </w:r>
          </w:p>
        </w:tc>
        <w:tc>
          <w:tcPr>
            <w:tcW w:w="2070" w:type="dxa"/>
            <w:gridSpan w:val="2"/>
            <w:tcBorders>
              <w:bottom w:val="single" w:sz="4" w:space="0" w:color="auto"/>
            </w:tcBorders>
          </w:tcPr>
          <w:p w14:paraId="720E2E0E" w14:textId="141B931C" w:rsidR="008F4B3E" w:rsidRPr="008F4B3E" w:rsidRDefault="008F4B3E" w:rsidP="00D77307">
            <w:pPr>
              <w:spacing w:after="100" w:afterAutospacing="1" w:line="240" w:lineRule="auto"/>
              <w:ind w:left="0" w:right="0" w:firstLine="0"/>
              <w:jc w:val="left"/>
              <w:rPr>
                <w:sz w:val="16"/>
                <w:szCs w:val="16"/>
              </w:rPr>
            </w:pPr>
            <w:proofErr w:type="gramStart"/>
            <w:r w:rsidRPr="008F4B3E">
              <w:rPr>
                <w:b/>
                <w:sz w:val="16"/>
                <w:szCs w:val="16"/>
                <w:bdr w:val="single" w:sz="4" w:space="0" w:color="auto"/>
              </w:rPr>
              <w:t>Yes</w:t>
            </w:r>
            <w:proofErr w:type="gramEnd"/>
            <w:r w:rsidRPr="008F4B3E">
              <w:rPr>
                <w:sz w:val="16"/>
                <w:szCs w:val="16"/>
              </w:rPr>
              <w:t xml:space="preserve"> WBG analytics, political neutrality and communication capacity allowed it to become key partner on anti-corruption and state capture. (</w:t>
            </w:r>
            <w:r w:rsidRPr="00597C69">
              <w:rPr>
                <w:b/>
                <w:sz w:val="22"/>
                <w:szCs w:val="16"/>
              </w:rPr>
              <w:sym w:font="Wingdings" w:char="F0F0"/>
            </w:r>
            <w:r w:rsidRPr="00597C69">
              <w:rPr>
                <w:sz w:val="22"/>
                <w:szCs w:val="16"/>
              </w:rPr>
              <w:sym w:font="Wingdings" w:char="F08C"/>
            </w:r>
            <w:r w:rsidRPr="008F4B3E">
              <w:rPr>
                <w:sz w:val="16"/>
                <w:szCs w:val="16"/>
              </w:rPr>
              <w:t>)</w:t>
            </w:r>
          </w:p>
        </w:tc>
        <w:tc>
          <w:tcPr>
            <w:tcW w:w="1440" w:type="dxa"/>
            <w:tcBorders>
              <w:bottom w:val="single" w:sz="4" w:space="0" w:color="auto"/>
            </w:tcBorders>
          </w:tcPr>
          <w:p w14:paraId="2509D2D0" w14:textId="77777777" w:rsidR="008F4B3E" w:rsidRPr="008F4B3E" w:rsidRDefault="008F4B3E" w:rsidP="00D77307">
            <w:pPr>
              <w:spacing w:after="100" w:afterAutospacing="1" w:line="240" w:lineRule="auto"/>
              <w:ind w:left="0" w:right="0" w:firstLine="0"/>
              <w:jc w:val="left"/>
              <w:rPr>
                <w:sz w:val="16"/>
                <w:szCs w:val="16"/>
              </w:rPr>
            </w:pPr>
            <w:proofErr w:type="gramStart"/>
            <w:r w:rsidRPr="008F4B3E">
              <w:rPr>
                <w:b/>
                <w:sz w:val="16"/>
                <w:szCs w:val="16"/>
                <w:bdr w:val="single" w:sz="4" w:space="0" w:color="auto"/>
              </w:rPr>
              <w:t>Yes</w:t>
            </w:r>
            <w:proofErr w:type="gramEnd"/>
            <w:r w:rsidRPr="008F4B3E">
              <w:rPr>
                <w:sz w:val="16"/>
                <w:szCs w:val="16"/>
              </w:rPr>
              <w:t xml:space="preserve"> WBG unique history supporting nationwide system (financial/institutional) reforms in education, energy, health and social protection. (</w:t>
            </w:r>
            <w:r w:rsidRPr="00597C69">
              <w:rPr>
                <w:b/>
                <w:sz w:val="22"/>
                <w:szCs w:val="16"/>
              </w:rPr>
              <w:sym w:font="Wingdings" w:char="F0F0"/>
            </w:r>
            <w:r w:rsidRPr="00597C69">
              <w:rPr>
                <w:sz w:val="22"/>
                <w:szCs w:val="16"/>
              </w:rPr>
              <w:sym w:font="Wingdings" w:char="F08D"/>
            </w:r>
            <w:r w:rsidRPr="008F4B3E">
              <w:rPr>
                <w:sz w:val="16"/>
                <w:szCs w:val="16"/>
              </w:rPr>
              <w:t>)</w:t>
            </w:r>
          </w:p>
        </w:tc>
        <w:tc>
          <w:tcPr>
            <w:tcW w:w="2160" w:type="dxa"/>
            <w:gridSpan w:val="2"/>
            <w:tcBorders>
              <w:bottom w:val="single" w:sz="4" w:space="0" w:color="auto"/>
            </w:tcBorders>
          </w:tcPr>
          <w:p w14:paraId="04E935A1" w14:textId="77777777" w:rsidR="008F4B3E" w:rsidRPr="008F4B3E" w:rsidRDefault="008F4B3E" w:rsidP="00D77307">
            <w:pPr>
              <w:spacing w:after="100" w:afterAutospacing="1" w:line="240" w:lineRule="auto"/>
              <w:ind w:left="0" w:right="0" w:firstLine="0"/>
              <w:jc w:val="left"/>
              <w:rPr>
                <w:sz w:val="16"/>
                <w:szCs w:val="16"/>
              </w:rPr>
            </w:pPr>
            <w:proofErr w:type="gramStart"/>
            <w:r w:rsidRPr="008F4B3E">
              <w:rPr>
                <w:b/>
                <w:sz w:val="16"/>
                <w:szCs w:val="16"/>
                <w:bdr w:val="single" w:sz="4" w:space="0" w:color="auto"/>
              </w:rPr>
              <w:t>Yes</w:t>
            </w:r>
            <w:proofErr w:type="gramEnd"/>
            <w:r w:rsidRPr="008F4B3E">
              <w:rPr>
                <w:sz w:val="16"/>
                <w:szCs w:val="16"/>
              </w:rPr>
              <w:t xml:space="preserve"> WBG only partner with history of engagement across entire education sector. (</w:t>
            </w:r>
            <w:r w:rsidRPr="00597C69">
              <w:rPr>
                <w:b/>
                <w:sz w:val="22"/>
                <w:szCs w:val="16"/>
              </w:rPr>
              <w:sym w:font="Wingdings" w:char="F0F0"/>
            </w:r>
            <w:r w:rsidRPr="00597C69">
              <w:rPr>
                <w:sz w:val="22"/>
                <w:szCs w:val="16"/>
              </w:rPr>
              <w:sym w:font="Wingdings" w:char="F08E"/>
            </w:r>
            <w:r w:rsidRPr="008F4B3E">
              <w:rPr>
                <w:sz w:val="16"/>
                <w:szCs w:val="16"/>
              </w:rPr>
              <w:t>)</w:t>
            </w:r>
          </w:p>
        </w:tc>
        <w:tc>
          <w:tcPr>
            <w:tcW w:w="1710" w:type="dxa"/>
            <w:gridSpan w:val="2"/>
            <w:tcBorders>
              <w:bottom w:val="single" w:sz="4" w:space="0" w:color="auto"/>
            </w:tcBorders>
          </w:tcPr>
          <w:p w14:paraId="01BB2095" w14:textId="35220B9C" w:rsidR="008F4B3E" w:rsidRPr="008F4B3E" w:rsidRDefault="008F4B3E" w:rsidP="00F37442">
            <w:pPr>
              <w:spacing w:after="100" w:afterAutospacing="1" w:line="240" w:lineRule="auto"/>
              <w:ind w:left="0" w:right="0" w:firstLine="0"/>
              <w:jc w:val="left"/>
              <w:rPr>
                <w:sz w:val="16"/>
                <w:szCs w:val="16"/>
              </w:rPr>
            </w:pPr>
            <w:r w:rsidRPr="008F4B3E">
              <w:rPr>
                <w:b/>
                <w:sz w:val="16"/>
                <w:szCs w:val="16"/>
                <w:bdr w:val="single" w:sz="4" w:space="0" w:color="auto"/>
              </w:rPr>
              <w:t>No</w:t>
            </w:r>
            <w:r w:rsidRPr="008F4B3E">
              <w:rPr>
                <w:sz w:val="16"/>
                <w:szCs w:val="16"/>
                <w:bdr w:val="single" w:sz="4" w:space="0" w:color="auto"/>
              </w:rPr>
              <w:t xml:space="preserve"> </w:t>
            </w:r>
            <w:r w:rsidRPr="008F4B3E">
              <w:rPr>
                <w:sz w:val="16"/>
                <w:szCs w:val="16"/>
              </w:rPr>
              <w:t>Parametric reforms of pensions enacted 2016/7.</w:t>
            </w:r>
            <w:r w:rsidR="00035E43">
              <w:rPr>
                <w:sz w:val="16"/>
                <w:szCs w:val="16"/>
              </w:rPr>
              <w:t xml:space="preserve"> </w:t>
            </w:r>
            <w:r w:rsidR="00F37442">
              <w:rPr>
                <w:sz w:val="16"/>
                <w:szCs w:val="16"/>
              </w:rPr>
              <w:t>Based on FY15-17 experience, consolidation of categorical schemes unlikely.</w:t>
            </w:r>
          </w:p>
        </w:tc>
        <w:tc>
          <w:tcPr>
            <w:tcW w:w="2070" w:type="dxa"/>
            <w:tcBorders>
              <w:bottom w:val="single" w:sz="4" w:space="0" w:color="auto"/>
            </w:tcBorders>
          </w:tcPr>
          <w:p w14:paraId="02DDA55C" w14:textId="14580691" w:rsidR="008F4B3E" w:rsidRPr="008F4B3E" w:rsidRDefault="008F4B3E" w:rsidP="00D77307">
            <w:pPr>
              <w:spacing w:after="100" w:afterAutospacing="1" w:line="240" w:lineRule="auto"/>
              <w:ind w:left="0" w:right="0" w:firstLine="0"/>
              <w:jc w:val="left"/>
              <w:rPr>
                <w:sz w:val="16"/>
                <w:szCs w:val="16"/>
              </w:rPr>
            </w:pPr>
            <w:proofErr w:type="gramStart"/>
            <w:r w:rsidRPr="008F4B3E">
              <w:rPr>
                <w:b/>
                <w:sz w:val="16"/>
                <w:szCs w:val="16"/>
                <w:bdr w:val="single" w:sz="4" w:space="0" w:color="auto"/>
              </w:rPr>
              <w:t>Yes</w:t>
            </w:r>
            <w:proofErr w:type="gramEnd"/>
            <w:r w:rsidRPr="008F4B3E">
              <w:rPr>
                <w:sz w:val="16"/>
                <w:szCs w:val="16"/>
              </w:rPr>
              <w:t xml:space="preserve"> </w:t>
            </w:r>
            <w:r w:rsidRPr="00597C69">
              <w:rPr>
                <w:sz w:val="16"/>
                <w:szCs w:val="16"/>
              </w:rPr>
              <w:t>Successful IFC/ WB track record</w:t>
            </w:r>
            <w:r w:rsidRPr="00441857">
              <w:rPr>
                <w:sz w:val="16"/>
                <w:szCs w:val="16"/>
              </w:rPr>
              <w:t>.</w:t>
            </w:r>
            <w:r w:rsidRPr="008F4B3E">
              <w:rPr>
                <w:sz w:val="16"/>
                <w:szCs w:val="16"/>
              </w:rPr>
              <w:t xml:space="preserve"> Focus on anti-corruption emphasized in SCD and during </w:t>
            </w:r>
            <w:r w:rsidR="00441857">
              <w:rPr>
                <w:sz w:val="16"/>
                <w:szCs w:val="16"/>
              </w:rPr>
              <w:t xml:space="preserve">public CPF </w:t>
            </w:r>
            <w:r w:rsidRPr="008F4B3E">
              <w:rPr>
                <w:sz w:val="16"/>
                <w:szCs w:val="16"/>
              </w:rPr>
              <w:t>consultations.  (</w:t>
            </w:r>
            <w:r w:rsidRPr="00597C69">
              <w:rPr>
                <w:b/>
                <w:sz w:val="22"/>
                <w:szCs w:val="16"/>
              </w:rPr>
              <w:sym w:font="Wingdings" w:char="F0F0"/>
            </w:r>
            <w:r w:rsidRPr="00597C69">
              <w:rPr>
                <w:sz w:val="22"/>
                <w:szCs w:val="16"/>
              </w:rPr>
              <w:sym w:font="Wingdings" w:char="F08C"/>
            </w:r>
            <w:r w:rsidRPr="008F4B3E">
              <w:rPr>
                <w:sz w:val="16"/>
                <w:szCs w:val="16"/>
              </w:rPr>
              <w:t>)</w:t>
            </w:r>
          </w:p>
        </w:tc>
        <w:tc>
          <w:tcPr>
            <w:tcW w:w="2250" w:type="dxa"/>
            <w:tcBorders>
              <w:bottom w:val="single" w:sz="4" w:space="0" w:color="auto"/>
            </w:tcBorders>
          </w:tcPr>
          <w:p w14:paraId="0C1D7ADE" w14:textId="1000B242" w:rsidR="008F4B3E" w:rsidRPr="008F4B3E" w:rsidRDefault="008F4B3E" w:rsidP="00D77307">
            <w:pPr>
              <w:spacing w:after="100" w:afterAutospacing="1" w:line="240" w:lineRule="auto"/>
              <w:ind w:left="0" w:right="0" w:firstLine="0"/>
              <w:jc w:val="left"/>
              <w:rPr>
                <w:sz w:val="16"/>
                <w:szCs w:val="16"/>
              </w:rPr>
            </w:pPr>
            <w:r w:rsidRPr="008F4B3E">
              <w:rPr>
                <w:b/>
                <w:sz w:val="16"/>
                <w:szCs w:val="16"/>
                <w:bdr w:val="single" w:sz="4" w:space="0" w:color="auto"/>
              </w:rPr>
              <w:t>Partly</w:t>
            </w:r>
            <w:r w:rsidRPr="008F4B3E">
              <w:rPr>
                <w:sz w:val="16"/>
                <w:szCs w:val="16"/>
              </w:rPr>
              <w:t xml:space="preserve"> IMF leads on macro</w:t>
            </w:r>
            <w:r w:rsidR="0098362A">
              <w:rPr>
                <w:sz w:val="16"/>
                <w:szCs w:val="16"/>
              </w:rPr>
              <w:t>-</w:t>
            </w:r>
            <w:r w:rsidRPr="008F4B3E">
              <w:rPr>
                <w:sz w:val="16"/>
                <w:szCs w:val="16"/>
              </w:rPr>
              <w:t>fiscal aggregates; WBG contribute</w:t>
            </w:r>
            <w:r w:rsidR="00035E43">
              <w:rPr>
                <w:sz w:val="16"/>
                <w:szCs w:val="16"/>
              </w:rPr>
              <w:t>s</w:t>
            </w:r>
            <w:r w:rsidRPr="008F4B3E">
              <w:rPr>
                <w:sz w:val="16"/>
                <w:szCs w:val="16"/>
              </w:rPr>
              <w:t xml:space="preserve"> on financial sector governance (</w:t>
            </w:r>
            <w:r w:rsidRPr="00597C69">
              <w:rPr>
                <w:b/>
                <w:sz w:val="22"/>
                <w:szCs w:val="16"/>
              </w:rPr>
              <w:sym w:font="Wingdings" w:char="F0F0"/>
            </w:r>
            <w:r w:rsidRPr="00597C69">
              <w:rPr>
                <w:sz w:val="22"/>
                <w:szCs w:val="16"/>
              </w:rPr>
              <w:sym w:font="Wingdings" w:char="F08C"/>
            </w:r>
            <w:r w:rsidRPr="008F4B3E">
              <w:rPr>
                <w:sz w:val="16"/>
                <w:szCs w:val="16"/>
              </w:rPr>
              <w:t>) and efficiency of spending on services. (</w:t>
            </w:r>
            <w:r w:rsidRPr="00597C69">
              <w:rPr>
                <w:b/>
                <w:sz w:val="22"/>
                <w:szCs w:val="16"/>
              </w:rPr>
              <w:sym w:font="Wingdings" w:char="F0F0"/>
            </w:r>
            <w:r w:rsidRPr="00597C69">
              <w:rPr>
                <w:sz w:val="22"/>
                <w:szCs w:val="16"/>
              </w:rPr>
              <w:sym w:font="Wingdings" w:char="F08D"/>
            </w:r>
            <w:r w:rsidRPr="008F4B3E">
              <w:rPr>
                <w:sz w:val="16"/>
                <w:szCs w:val="16"/>
              </w:rPr>
              <w:t>)</w:t>
            </w:r>
          </w:p>
        </w:tc>
      </w:tr>
      <w:tr w:rsidR="008F4B3E" w:rsidRPr="008F4B3E" w14:paraId="5F4D07F5" w14:textId="77777777" w:rsidTr="00D77307">
        <w:trPr>
          <w:trHeight w:val="233"/>
        </w:trPr>
        <w:tc>
          <w:tcPr>
            <w:tcW w:w="12780" w:type="dxa"/>
            <w:gridSpan w:val="11"/>
            <w:tcBorders>
              <w:left w:val="nil"/>
              <w:bottom w:val="nil"/>
              <w:right w:val="nil"/>
            </w:tcBorders>
          </w:tcPr>
          <w:p w14:paraId="18B47DDB" w14:textId="77777777" w:rsidR="008F4B3E" w:rsidRPr="008F4B3E" w:rsidRDefault="008F4B3E" w:rsidP="002D0E83">
            <w:pPr>
              <w:spacing w:after="100" w:afterAutospacing="1" w:line="240" w:lineRule="auto"/>
              <w:ind w:left="0" w:right="0" w:firstLine="0"/>
              <w:jc w:val="center"/>
              <w:rPr>
                <w:b/>
                <w:sz w:val="16"/>
                <w:szCs w:val="16"/>
              </w:rPr>
            </w:pPr>
          </w:p>
        </w:tc>
      </w:tr>
      <w:tr w:rsidR="008F4B3E" w:rsidRPr="008F4B3E" w14:paraId="2C764C91" w14:textId="77777777" w:rsidTr="00D77307">
        <w:trPr>
          <w:trHeight w:val="602"/>
        </w:trPr>
        <w:tc>
          <w:tcPr>
            <w:tcW w:w="720" w:type="dxa"/>
            <w:tcBorders>
              <w:top w:val="nil"/>
              <w:left w:val="nil"/>
              <w:bottom w:val="single" w:sz="4" w:space="0" w:color="auto"/>
              <w:right w:val="single" w:sz="4" w:space="0" w:color="auto"/>
            </w:tcBorders>
          </w:tcPr>
          <w:p w14:paraId="29373432" w14:textId="77777777" w:rsidR="008F4B3E" w:rsidRPr="008F4B3E" w:rsidRDefault="008F4B3E" w:rsidP="002D0E83">
            <w:pPr>
              <w:spacing w:after="100" w:afterAutospacing="1" w:line="240" w:lineRule="auto"/>
              <w:ind w:left="0" w:right="0" w:firstLine="0"/>
              <w:jc w:val="center"/>
              <w:rPr>
                <w:b/>
                <w:sz w:val="16"/>
                <w:szCs w:val="16"/>
              </w:rPr>
            </w:pPr>
          </w:p>
        </w:tc>
        <w:tc>
          <w:tcPr>
            <w:tcW w:w="2160" w:type="dxa"/>
            <w:gridSpan w:val="2"/>
            <w:tcBorders>
              <w:left w:val="single" w:sz="4" w:space="0" w:color="auto"/>
            </w:tcBorders>
            <w:shd w:val="clear" w:color="auto" w:fill="E7E6E6" w:themeFill="background2"/>
          </w:tcPr>
          <w:p w14:paraId="45DA351C" w14:textId="77777777" w:rsidR="008F4B3E" w:rsidRPr="00597C69" w:rsidRDefault="008F4B3E" w:rsidP="002D0E83">
            <w:pPr>
              <w:spacing w:after="100" w:afterAutospacing="1" w:line="240" w:lineRule="auto"/>
              <w:ind w:left="0" w:right="0" w:firstLine="0"/>
              <w:jc w:val="center"/>
              <w:rPr>
                <w:b/>
                <w:sz w:val="20"/>
                <w:szCs w:val="16"/>
              </w:rPr>
            </w:pPr>
            <w:r w:rsidRPr="00597C69">
              <w:rPr>
                <w:b/>
                <w:sz w:val="20"/>
                <w:szCs w:val="16"/>
              </w:rPr>
              <w:sym w:font="Wingdings" w:char="F0F0"/>
            </w:r>
            <w:r w:rsidRPr="00597C69">
              <w:rPr>
                <w:b/>
                <w:sz w:val="20"/>
                <w:szCs w:val="16"/>
              </w:rPr>
              <w:t>CPF objective</w:t>
            </w:r>
          </w:p>
        </w:tc>
        <w:tc>
          <w:tcPr>
            <w:tcW w:w="2440" w:type="dxa"/>
            <w:gridSpan w:val="3"/>
            <w:shd w:val="clear" w:color="auto" w:fill="E7E6E6" w:themeFill="background2"/>
          </w:tcPr>
          <w:p w14:paraId="5F344FEE" w14:textId="77777777" w:rsidR="008F4B3E" w:rsidRPr="00597C69" w:rsidRDefault="008F4B3E" w:rsidP="002D0E83">
            <w:pPr>
              <w:spacing w:after="100" w:afterAutospacing="1" w:line="240" w:lineRule="auto"/>
              <w:ind w:left="0" w:right="0" w:firstLine="0"/>
              <w:jc w:val="center"/>
              <w:rPr>
                <w:b/>
                <w:sz w:val="20"/>
                <w:szCs w:val="16"/>
              </w:rPr>
            </w:pPr>
            <w:r w:rsidRPr="00597C69">
              <w:rPr>
                <w:b/>
                <w:sz w:val="20"/>
                <w:szCs w:val="16"/>
              </w:rPr>
              <w:t xml:space="preserve"> + Government priorities</w:t>
            </w:r>
          </w:p>
        </w:tc>
        <w:tc>
          <w:tcPr>
            <w:tcW w:w="3130" w:type="dxa"/>
            <w:gridSpan w:val="2"/>
            <w:shd w:val="clear" w:color="auto" w:fill="E7E6E6" w:themeFill="background2"/>
          </w:tcPr>
          <w:p w14:paraId="74EB58B7" w14:textId="77777777" w:rsidR="008F4B3E" w:rsidRPr="00597C69" w:rsidRDefault="008F4B3E" w:rsidP="002D0E83">
            <w:pPr>
              <w:spacing w:after="100" w:afterAutospacing="1" w:line="240" w:lineRule="auto"/>
              <w:ind w:left="0" w:right="0" w:firstLine="0"/>
              <w:jc w:val="center"/>
              <w:rPr>
                <w:b/>
                <w:sz w:val="20"/>
                <w:szCs w:val="16"/>
              </w:rPr>
            </w:pPr>
            <w:r w:rsidRPr="00597C69">
              <w:rPr>
                <w:b/>
                <w:sz w:val="20"/>
                <w:szCs w:val="16"/>
              </w:rPr>
              <w:t>+ WBG position relative to other development partners</w:t>
            </w:r>
          </w:p>
        </w:tc>
        <w:tc>
          <w:tcPr>
            <w:tcW w:w="4330" w:type="dxa"/>
            <w:gridSpan w:val="3"/>
            <w:shd w:val="clear" w:color="auto" w:fill="E7E6E6" w:themeFill="background2"/>
          </w:tcPr>
          <w:p w14:paraId="03B75CF8" w14:textId="77777777" w:rsidR="008F4B3E" w:rsidRPr="00597C69" w:rsidRDefault="008F4B3E" w:rsidP="002D0E83">
            <w:pPr>
              <w:spacing w:after="100" w:afterAutospacing="1" w:line="240" w:lineRule="auto"/>
              <w:ind w:left="0" w:right="0" w:firstLine="0"/>
              <w:jc w:val="center"/>
              <w:rPr>
                <w:b/>
                <w:sz w:val="20"/>
                <w:szCs w:val="16"/>
              </w:rPr>
            </w:pPr>
            <w:r w:rsidRPr="00597C69">
              <w:rPr>
                <w:b/>
                <w:sz w:val="20"/>
                <w:szCs w:val="16"/>
              </w:rPr>
              <w:sym w:font="Wingdings" w:char="F0F0"/>
            </w:r>
            <w:r w:rsidRPr="00597C69">
              <w:rPr>
                <w:b/>
                <w:sz w:val="20"/>
                <w:szCs w:val="16"/>
              </w:rPr>
              <w:t xml:space="preserve"> Activities (lending &amp; key ASA)</w:t>
            </w:r>
          </w:p>
        </w:tc>
      </w:tr>
      <w:tr w:rsidR="008F4B3E" w:rsidRPr="008F4B3E" w14:paraId="5F8638B5" w14:textId="77777777" w:rsidTr="00D77307">
        <w:trPr>
          <w:trHeight w:val="602"/>
        </w:trPr>
        <w:tc>
          <w:tcPr>
            <w:tcW w:w="720" w:type="dxa"/>
            <w:tcBorders>
              <w:top w:val="single" w:sz="4" w:space="0" w:color="auto"/>
            </w:tcBorders>
          </w:tcPr>
          <w:p w14:paraId="5164328A" w14:textId="77777777" w:rsidR="008F4B3E" w:rsidRPr="00597C69" w:rsidRDefault="008F4B3E" w:rsidP="002D0E83">
            <w:pPr>
              <w:spacing w:after="120" w:line="240" w:lineRule="auto"/>
              <w:ind w:left="0" w:right="0" w:firstLine="0"/>
              <w:jc w:val="left"/>
              <w:rPr>
                <w:b/>
                <w:sz w:val="22"/>
                <w:szCs w:val="16"/>
                <w:bdr w:val="single" w:sz="4" w:space="0" w:color="auto"/>
              </w:rPr>
            </w:pPr>
            <w:r w:rsidRPr="00597C69">
              <w:rPr>
                <w:b/>
                <w:sz w:val="22"/>
                <w:szCs w:val="16"/>
                <w:bdr w:val="single" w:sz="4" w:space="0" w:color="auto"/>
              </w:rPr>
              <w:t>A</w:t>
            </w:r>
          </w:p>
          <w:p w14:paraId="0BF3A623" w14:textId="77777777" w:rsidR="008F4B3E" w:rsidRPr="00597C69" w:rsidRDefault="008F4B3E" w:rsidP="002D0E83">
            <w:pPr>
              <w:spacing w:after="120" w:line="240" w:lineRule="auto"/>
              <w:ind w:left="0" w:right="0" w:firstLine="0"/>
              <w:jc w:val="left"/>
              <w:rPr>
                <w:b/>
                <w:sz w:val="22"/>
                <w:szCs w:val="16"/>
                <w:bdr w:val="single" w:sz="4" w:space="0" w:color="auto"/>
              </w:rPr>
            </w:pPr>
            <w:r w:rsidRPr="00597C69">
              <w:rPr>
                <w:b/>
                <w:sz w:val="22"/>
                <w:szCs w:val="16"/>
                <w:bdr w:val="single" w:sz="4" w:space="0" w:color="auto"/>
              </w:rPr>
              <w:t>E</w:t>
            </w:r>
            <w:r w:rsidRPr="00597C69">
              <w:rPr>
                <w:b/>
                <w:sz w:val="22"/>
                <w:szCs w:val="16"/>
              </w:rPr>
              <w:sym w:font="Wingdings" w:char="F0F0"/>
            </w:r>
          </w:p>
          <w:p w14:paraId="1D394391" w14:textId="77777777" w:rsidR="008F4B3E" w:rsidRPr="00597C69" w:rsidRDefault="008F4B3E" w:rsidP="002D0E83">
            <w:pPr>
              <w:spacing w:after="120" w:line="240" w:lineRule="auto"/>
              <w:ind w:left="0" w:right="0" w:firstLine="0"/>
              <w:jc w:val="left"/>
              <w:rPr>
                <w:sz w:val="22"/>
                <w:szCs w:val="16"/>
              </w:rPr>
            </w:pPr>
            <w:r w:rsidRPr="00597C69">
              <w:rPr>
                <w:b/>
                <w:sz w:val="22"/>
                <w:szCs w:val="16"/>
                <w:bdr w:val="single" w:sz="4" w:space="0" w:color="auto"/>
              </w:rPr>
              <w:t>F</w:t>
            </w:r>
          </w:p>
        </w:tc>
        <w:tc>
          <w:tcPr>
            <w:tcW w:w="2160" w:type="dxa"/>
            <w:gridSpan w:val="2"/>
          </w:tcPr>
          <w:p w14:paraId="38E1C3A7" w14:textId="77777777" w:rsidR="008F4B3E" w:rsidRPr="008F4B3E" w:rsidRDefault="008F4B3E" w:rsidP="00D77307">
            <w:pPr>
              <w:spacing w:after="100" w:afterAutospacing="1" w:line="240" w:lineRule="auto"/>
              <w:ind w:left="0" w:right="0" w:firstLine="0"/>
              <w:jc w:val="left"/>
              <w:rPr>
                <w:sz w:val="16"/>
                <w:szCs w:val="16"/>
              </w:rPr>
            </w:pPr>
            <w:r w:rsidRPr="00597C69">
              <w:rPr>
                <w:sz w:val="22"/>
                <w:szCs w:val="16"/>
              </w:rPr>
              <w:sym w:font="Wingdings" w:char="F08C"/>
            </w:r>
            <w:r w:rsidRPr="008F4B3E">
              <w:rPr>
                <w:rFonts w:eastAsia="SimSun"/>
                <w:sz w:val="16"/>
                <w:szCs w:val="16"/>
              </w:rPr>
              <w:t>S</w:t>
            </w:r>
            <w:r w:rsidRPr="008F4B3E">
              <w:rPr>
                <w:sz w:val="16"/>
                <w:szCs w:val="16"/>
              </w:rPr>
              <w:t>trengthening rule of law and accountability in economic institutions</w:t>
            </w:r>
          </w:p>
        </w:tc>
        <w:tc>
          <w:tcPr>
            <w:tcW w:w="2440" w:type="dxa"/>
            <w:gridSpan w:val="3"/>
          </w:tcPr>
          <w:p w14:paraId="481BBD6D" w14:textId="77777777" w:rsidR="008F4B3E" w:rsidRPr="008F4B3E" w:rsidRDefault="008F4B3E" w:rsidP="00D77307">
            <w:pPr>
              <w:spacing w:after="100" w:afterAutospacing="1" w:line="240" w:lineRule="auto"/>
              <w:ind w:left="0" w:right="0" w:firstLine="0"/>
              <w:jc w:val="left"/>
              <w:rPr>
                <w:sz w:val="16"/>
                <w:szCs w:val="16"/>
              </w:rPr>
            </w:pPr>
            <w:r w:rsidRPr="008F4B3E">
              <w:rPr>
                <w:sz w:val="16"/>
                <w:szCs w:val="16"/>
              </w:rPr>
              <w:t>Improve business inspections and authorizations, state-owned enterprise governance, bank supervision, integrity of officials. Budget support. Anti-corruption a top priority in all CPF consultations.</w:t>
            </w:r>
          </w:p>
        </w:tc>
        <w:tc>
          <w:tcPr>
            <w:tcW w:w="3130" w:type="dxa"/>
            <w:gridSpan w:val="2"/>
          </w:tcPr>
          <w:p w14:paraId="6B3EDDAE" w14:textId="39FF6556" w:rsidR="008F4B3E" w:rsidRPr="008F4B3E" w:rsidRDefault="008F4B3E" w:rsidP="00D77307">
            <w:pPr>
              <w:spacing w:after="100" w:afterAutospacing="1" w:line="240" w:lineRule="auto"/>
              <w:ind w:left="0" w:right="0" w:firstLine="0"/>
              <w:jc w:val="left"/>
              <w:rPr>
                <w:sz w:val="16"/>
                <w:szCs w:val="16"/>
              </w:rPr>
            </w:pPr>
            <w:r w:rsidRPr="008F4B3E">
              <w:rPr>
                <w:sz w:val="16"/>
                <w:szCs w:val="16"/>
              </w:rPr>
              <w:t xml:space="preserve">WBG policy lending/dialogue since 2015 focused on economic governance. </w:t>
            </w:r>
            <w:r w:rsidRPr="00597C69">
              <w:rPr>
                <w:sz w:val="16"/>
                <w:szCs w:val="16"/>
              </w:rPr>
              <w:t>Synergy of IFC/</w:t>
            </w:r>
            <w:r w:rsidR="009531B4">
              <w:rPr>
                <w:sz w:val="16"/>
                <w:szCs w:val="16"/>
              </w:rPr>
              <w:t>WB investment climate advisory services</w:t>
            </w:r>
            <w:r w:rsidRPr="00597C69">
              <w:rPr>
                <w:sz w:val="16"/>
                <w:szCs w:val="16"/>
              </w:rPr>
              <w:t xml:space="preserve">. Synergy of IFC investment </w:t>
            </w:r>
            <w:r w:rsidR="00441857">
              <w:rPr>
                <w:sz w:val="16"/>
                <w:szCs w:val="16"/>
              </w:rPr>
              <w:t xml:space="preserve">and </w:t>
            </w:r>
            <w:r w:rsidRPr="00597C69">
              <w:rPr>
                <w:sz w:val="16"/>
                <w:szCs w:val="16"/>
              </w:rPr>
              <w:t>WB financial sector advisory.</w:t>
            </w:r>
            <w:r w:rsidRPr="008F4B3E">
              <w:rPr>
                <w:sz w:val="16"/>
                <w:szCs w:val="16"/>
              </w:rPr>
              <w:t xml:space="preserve"> Other partners (EU, UNDP) more qualified in judicial reform, local government, public administration</w:t>
            </w:r>
            <w:r w:rsidR="00441857">
              <w:rPr>
                <w:sz w:val="16"/>
                <w:szCs w:val="16"/>
              </w:rPr>
              <w:t>,</w:t>
            </w:r>
            <w:r w:rsidRPr="008F4B3E">
              <w:rPr>
                <w:sz w:val="16"/>
                <w:szCs w:val="16"/>
              </w:rPr>
              <w:t xml:space="preserve"> </w:t>
            </w:r>
            <w:r w:rsidR="00441857">
              <w:rPr>
                <w:sz w:val="16"/>
                <w:szCs w:val="16"/>
              </w:rPr>
              <w:t>s</w:t>
            </w:r>
            <w:r w:rsidRPr="008F4B3E">
              <w:rPr>
                <w:sz w:val="16"/>
                <w:szCs w:val="16"/>
              </w:rPr>
              <w:t>ecurity.</w:t>
            </w:r>
          </w:p>
        </w:tc>
        <w:tc>
          <w:tcPr>
            <w:tcW w:w="4330" w:type="dxa"/>
            <w:gridSpan w:val="3"/>
          </w:tcPr>
          <w:p w14:paraId="65CB494E" w14:textId="77777777" w:rsidR="008F4B3E" w:rsidRPr="008F4B3E" w:rsidRDefault="008F4B3E" w:rsidP="00D77307">
            <w:pPr>
              <w:spacing w:after="0" w:line="240" w:lineRule="auto"/>
              <w:ind w:right="0"/>
              <w:jc w:val="left"/>
              <w:rPr>
                <w:sz w:val="16"/>
                <w:szCs w:val="16"/>
              </w:rPr>
            </w:pPr>
            <w:r w:rsidRPr="008F4B3E">
              <w:rPr>
                <w:sz w:val="16"/>
                <w:szCs w:val="16"/>
              </w:rPr>
              <w:t>- Economic Governance DPO (FY18)</w:t>
            </w:r>
          </w:p>
          <w:p w14:paraId="42C82128" w14:textId="0C31D51C" w:rsidR="008F4B3E" w:rsidRPr="008F4B3E" w:rsidRDefault="008F4B3E" w:rsidP="00D77307">
            <w:pPr>
              <w:spacing w:after="0" w:line="240" w:lineRule="auto"/>
              <w:ind w:left="0" w:right="0" w:firstLine="0"/>
              <w:jc w:val="left"/>
              <w:rPr>
                <w:color w:val="auto"/>
                <w:sz w:val="16"/>
                <w:szCs w:val="16"/>
              </w:rPr>
            </w:pPr>
            <w:r w:rsidRPr="008F4B3E">
              <w:rPr>
                <w:color w:val="auto"/>
                <w:sz w:val="16"/>
                <w:szCs w:val="16"/>
              </w:rPr>
              <w:t xml:space="preserve">- </w:t>
            </w:r>
            <w:r w:rsidRPr="00597C69">
              <w:rPr>
                <w:color w:val="auto"/>
                <w:sz w:val="16"/>
                <w:szCs w:val="16"/>
              </w:rPr>
              <w:t xml:space="preserve">IFC Investment Climate Advisory &amp; WB Cost of </w:t>
            </w:r>
            <w:proofErr w:type="gramStart"/>
            <w:r w:rsidRPr="00597C69">
              <w:rPr>
                <w:color w:val="auto"/>
                <w:sz w:val="16"/>
                <w:szCs w:val="16"/>
              </w:rPr>
              <w:t xml:space="preserve">Doing </w:t>
            </w:r>
            <w:r w:rsidR="0092339C">
              <w:rPr>
                <w:color w:val="auto"/>
                <w:sz w:val="16"/>
                <w:szCs w:val="16"/>
              </w:rPr>
              <w:t xml:space="preserve"> </w:t>
            </w:r>
            <w:r w:rsidRPr="00597C69">
              <w:rPr>
                <w:color w:val="auto"/>
                <w:sz w:val="16"/>
                <w:szCs w:val="16"/>
              </w:rPr>
              <w:t>Business</w:t>
            </w:r>
            <w:proofErr w:type="gramEnd"/>
          </w:p>
          <w:p w14:paraId="12ACE3FC" w14:textId="77777777" w:rsidR="008F4B3E" w:rsidRPr="008F4B3E" w:rsidRDefault="008F4B3E" w:rsidP="00D77307">
            <w:pPr>
              <w:spacing w:after="0" w:line="240" w:lineRule="auto"/>
              <w:ind w:left="0" w:right="0" w:firstLine="0"/>
              <w:jc w:val="left"/>
              <w:rPr>
                <w:color w:val="auto"/>
                <w:sz w:val="16"/>
                <w:szCs w:val="16"/>
              </w:rPr>
            </w:pPr>
            <w:r w:rsidRPr="008F4B3E">
              <w:rPr>
                <w:color w:val="auto"/>
                <w:sz w:val="16"/>
                <w:szCs w:val="16"/>
              </w:rPr>
              <w:t>- Programmatic Financial Sector Monitoring</w:t>
            </w:r>
          </w:p>
          <w:p w14:paraId="0DB2F5F8" w14:textId="77777777" w:rsidR="008F4B3E" w:rsidRPr="008F4B3E" w:rsidRDefault="008F4B3E" w:rsidP="00D77307">
            <w:pPr>
              <w:spacing w:after="0" w:line="240" w:lineRule="auto"/>
              <w:ind w:left="0" w:right="0" w:firstLine="0"/>
              <w:jc w:val="left"/>
              <w:rPr>
                <w:color w:val="auto"/>
                <w:sz w:val="16"/>
                <w:szCs w:val="16"/>
              </w:rPr>
            </w:pPr>
            <w:r w:rsidRPr="008F4B3E">
              <w:rPr>
                <w:color w:val="auto"/>
                <w:sz w:val="16"/>
                <w:szCs w:val="16"/>
              </w:rPr>
              <w:t>- Governance Reform Scorecard</w:t>
            </w:r>
          </w:p>
          <w:p w14:paraId="2592E025" w14:textId="77777777" w:rsidR="008F4B3E" w:rsidRPr="008F4B3E" w:rsidRDefault="008F4B3E" w:rsidP="00D77307">
            <w:pPr>
              <w:spacing w:after="0" w:line="240" w:lineRule="auto"/>
              <w:ind w:left="0" w:right="0" w:firstLine="0"/>
              <w:jc w:val="left"/>
              <w:rPr>
                <w:color w:val="auto"/>
                <w:sz w:val="16"/>
                <w:szCs w:val="16"/>
              </w:rPr>
            </w:pPr>
            <w:r w:rsidRPr="008F4B3E">
              <w:rPr>
                <w:color w:val="auto"/>
                <w:sz w:val="16"/>
                <w:szCs w:val="16"/>
              </w:rPr>
              <w:t>- Economic Rule of Law (EU-funded)</w:t>
            </w:r>
          </w:p>
          <w:p w14:paraId="0EADB600" w14:textId="77777777" w:rsidR="008F4B3E" w:rsidRPr="008F4B3E" w:rsidRDefault="008F4B3E" w:rsidP="00D77307">
            <w:pPr>
              <w:spacing w:after="0" w:line="240" w:lineRule="auto"/>
              <w:ind w:left="0" w:right="0" w:firstLine="0"/>
              <w:jc w:val="left"/>
              <w:rPr>
                <w:color w:val="auto"/>
                <w:sz w:val="16"/>
                <w:szCs w:val="16"/>
              </w:rPr>
            </w:pPr>
            <w:r w:rsidRPr="008F4B3E">
              <w:rPr>
                <w:color w:val="auto"/>
                <w:sz w:val="16"/>
                <w:szCs w:val="16"/>
              </w:rPr>
              <w:t>- Economic Governance of the Energy Sector (EU-funded)</w:t>
            </w:r>
          </w:p>
          <w:p w14:paraId="03E134D4" w14:textId="77777777" w:rsidR="008F4B3E" w:rsidRDefault="008F4B3E" w:rsidP="00D77307">
            <w:pPr>
              <w:spacing w:after="0" w:line="240" w:lineRule="auto"/>
              <w:ind w:left="0" w:right="0" w:firstLine="0"/>
              <w:jc w:val="left"/>
              <w:rPr>
                <w:color w:val="auto"/>
                <w:sz w:val="16"/>
                <w:szCs w:val="16"/>
              </w:rPr>
            </w:pPr>
            <w:r w:rsidRPr="008F4B3E">
              <w:rPr>
                <w:color w:val="auto"/>
                <w:sz w:val="16"/>
                <w:szCs w:val="16"/>
              </w:rPr>
              <w:t>- State-Owned Enterprise Reform (UK-funded)</w:t>
            </w:r>
          </w:p>
          <w:p w14:paraId="392BC736" w14:textId="00B4F090" w:rsidR="009531B4" w:rsidRPr="008F4B3E" w:rsidRDefault="009531B4" w:rsidP="00D77307">
            <w:pPr>
              <w:spacing w:after="0" w:line="240" w:lineRule="auto"/>
              <w:ind w:left="0" w:right="0" w:firstLine="0"/>
              <w:jc w:val="left"/>
              <w:rPr>
                <w:color w:val="auto"/>
                <w:sz w:val="16"/>
                <w:szCs w:val="16"/>
              </w:rPr>
            </w:pPr>
            <w:r>
              <w:rPr>
                <w:color w:val="auto"/>
                <w:sz w:val="16"/>
                <w:szCs w:val="16"/>
              </w:rPr>
              <w:t>- Potential IFC investments in the financial sector.</w:t>
            </w:r>
          </w:p>
        </w:tc>
      </w:tr>
      <w:tr w:rsidR="008F4B3E" w:rsidRPr="008F4B3E" w14:paraId="62919A3B" w14:textId="77777777" w:rsidTr="00D77307">
        <w:trPr>
          <w:trHeight w:val="602"/>
        </w:trPr>
        <w:tc>
          <w:tcPr>
            <w:tcW w:w="720" w:type="dxa"/>
          </w:tcPr>
          <w:p w14:paraId="3B3A6CA5" w14:textId="77777777" w:rsidR="008F4B3E" w:rsidRPr="00597C69" w:rsidRDefault="008F4B3E" w:rsidP="002D0E83">
            <w:pPr>
              <w:spacing w:after="120" w:line="240" w:lineRule="auto"/>
              <w:ind w:left="0" w:right="0" w:firstLine="0"/>
              <w:jc w:val="left"/>
              <w:rPr>
                <w:b/>
                <w:sz w:val="22"/>
                <w:szCs w:val="16"/>
                <w:bdr w:val="single" w:sz="4" w:space="0" w:color="auto"/>
              </w:rPr>
            </w:pPr>
          </w:p>
          <w:p w14:paraId="4B66B734" w14:textId="77777777" w:rsidR="008F4B3E" w:rsidRPr="00597C69" w:rsidRDefault="008F4B3E" w:rsidP="002D0E83">
            <w:pPr>
              <w:spacing w:after="120" w:line="240" w:lineRule="auto"/>
              <w:ind w:left="0" w:right="0" w:firstLine="0"/>
              <w:jc w:val="left"/>
              <w:rPr>
                <w:b/>
                <w:sz w:val="22"/>
                <w:szCs w:val="16"/>
                <w:bdr w:val="single" w:sz="4" w:space="0" w:color="auto"/>
              </w:rPr>
            </w:pPr>
            <w:r w:rsidRPr="00597C69">
              <w:rPr>
                <w:b/>
                <w:sz w:val="22"/>
                <w:szCs w:val="16"/>
                <w:bdr w:val="single" w:sz="4" w:space="0" w:color="auto"/>
              </w:rPr>
              <w:t>B</w:t>
            </w:r>
            <w:r w:rsidRPr="00597C69">
              <w:rPr>
                <w:b/>
                <w:sz w:val="22"/>
                <w:szCs w:val="16"/>
              </w:rPr>
              <w:sym w:font="Wingdings" w:char="F0F0"/>
            </w:r>
          </w:p>
          <w:p w14:paraId="3E8F27BF" w14:textId="77777777" w:rsidR="008F4B3E" w:rsidRPr="00597C69" w:rsidRDefault="008F4B3E" w:rsidP="002D0E83">
            <w:pPr>
              <w:spacing w:after="100" w:afterAutospacing="1" w:line="240" w:lineRule="auto"/>
              <w:ind w:left="0" w:right="0" w:firstLine="0"/>
              <w:jc w:val="left"/>
              <w:rPr>
                <w:sz w:val="22"/>
                <w:szCs w:val="16"/>
              </w:rPr>
            </w:pPr>
            <w:r w:rsidRPr="00597C69">
              <w:rPr>
                <w:b/>
                <w:sz w:val="22"/>
                <w:szCs w:val="16"/>
                <w:bdr w:val="single" w:sz="4" w:space="0" w:color="auto"/>
              </w:rPr>
              <w:t>C</w:t>
            </w:r>
          </w:p>
        </w:tc>
        <w:tc>
          <w:tcPr>
            <w:tcW w:w="2160" w:type="dxa"/>
            <w:gridSpan w:val="2"/>
          </w:tcPr>
          <w:p w14:paraId="14F4ACC5" w14:textId="77777777" w:rsidR="008F4B3E" w:rsidRPr="008F4B3E" w:rsidRDefault="008F4B3E" w:rsidP="00D77307">
            <w:pPr>
              <w:spacing w:after="100" w:afterAutospacing="1" w:line="240" w:lineRule="auto"/>
              <w:ind w:left="0" w:right="0" w:firstLine="0"/>
              <w:jc w:val="left"/>
              <w:rPr>
                <w:sz w:val="16"/>
                <w:szCs w:val="16"/>
              </w:rPr>
            </w:pPr>
            <w:r w:rsidRPr="00597C69">
              <w:rPr>
                <w:sz w:val="22"/>
                <w:szCs w:val="16"/>
              </w:rPr>
              <w:sym w:font="Wingdings" w:char="F08D"/>
            </w:r>
            <w:r w:rsidRPr="008F4B3E">
              <w:rPr>
                <w:rFonts w:eastAsia="SimSun"/>
                <w:sz w:val="16"/>
                <w:szCs w:val="16"/>
              </w:rPr>
              <w:t>Improving efficiency, quality &amp; inclusive access to public services (capturing results of last CPF’s projects)</w:t>
            </w:r>
          </w:p>
        </w:tc>
        <w:tc>
          <w:tcPr>
            <w:tcW w:w="2440" w:type="dxa"/>
            <w:gridSpan w:val="3"/>
          </w:tcPr>
          <w:p w14:paraId="0994C801" w14:textId="77777777" w:rsidR="008F4B3E" w:rsidRPr="008F4B3E" w:rsidRDefault="008F4B3E" w:rsidP="00D77307">
            <w:pPr>
              <w:spacing w:after="100" w:afterAutospacing="1" w:line="240" w:lineRule="auto"/>
              <w:ind w:left="0" w:right="0" w:firstLine="0"/>
              <w:jc w:val="left"/>
              <w:rPr>
                <w:sz w:val="16"/>
                <w:szCs w:val="16"/>
              </w:rPr>
            </w:pPr>
            <w:r w:rsidRPr="008F4B3E">
              <w:rPr>
                <w:sz w:val="16"/>
                <w:szCs w:val="16"/>
              </w:rPr>
              <w:t>Completion of land registration; inventory of public sector assets; diversification of power supply &amp; implementation of European Energy Community 3</w:t>
            </w:r>
            <w:r w:rsidRPr="008F4B3E">
              <w:rPr>
                <w:sz w:val="16"/>
                <w:szCs w:val="16"/>
                <w:vertAlign w:val="superscript"/>
              </w:rPr>
              <w:t>rd</w:t>
            </w:r>
            <w:r w:rsidRPr="008F4B3E">
              <w:rPr>
                <w:sz w:val="16"/>
                <w:szCs w:val="16"/>
              </w:rPr>
              <w:t xml:space="preserve"> Energy Package. E-government scale-up.</w:t>
            </w:r>
          </w:p>
        </w:tc>
        <w:tc>
          <w:tcPr>
            <w:tcW w:w="3130" w:type="dxa"/>
            <w:gridSpan w:val="2"/>
          </w:tcPr>
          <w:p w14:paraId="2BC977F3" w14:textId="24F203D6" w:rsidR="008F4B3E" w:rsidRPr="008F4B3E" w:rsidRDefault="008F4B3E" w:rsidP="00D77307">
            <w:pPr>
              <w:spacing w:after="100" w:afterAutospacing="1" w:line="240" w:lineRule="auto"/>
              <w:ind w:left="0" w:right="0" w:firstLine="0"/>
              <w:jc w:val="left"/>
              <w:rPr>
                <w:sz w:val="16"/>
                <w:szCs w:val="16"/>
              </w:rPr>
            </w:pPr>
            <w:r w:rsidRPr="008F4B3E">
              <w:rPr>
                <w:sz w:val="16"/>
                <w:szCs w:val="16"/>
              </w:rPr>
              <w:t>WBG experience in supporting service sector</w:t>
            </w:r>
            <w:r w:rsidR="0092339C">
              <w:rPr>
                <w:sz w:val="16"/>
                <w:szCs w:val="16"/>
              </w:rPr>
              <w:t xml:space="preserve"> </w:t>
            </w:r>
            <w:r w:rsidR="009531B4">
              <w:rPr>
                <w:sz w:val="16"/>
                <w:szCs w:val="16"/>
              </w:rPr>
              <w:t xml:space="preserve">investment and </w:t>
            </w:r>
            <w:r w:rsidRPr="008F4B3E">
              <w:rPr>
                <w:sz w:val="16"/>
                <w:szCs w:val="16"/>
              </w:rPr>
              <w:t>policy reform, linked to analytics and budget support. Prior support for 1</w:t>
            </w:r>
            <w:r w:rsidRPr="008F4B3E">
              <w:rPr>
                <w:sz w:val="16"/>
                <w:szCs w:val="16"/>
                <w:vertAlign w:val="superscript"/>
              </w:rPr>
              <w:t>st</w:t>
            </w:r>
            <w:r w:rsidRPr="008F4B3E">
              <w:rPr>
                <w:sz w:val="16"/>
                <w:szCs w:val="16"/>
              </w:rPr>
              <w:t xml:space="preserve"> phase of land registration; FY15 ASA on power markets. Service Modernization Project slipped from previous CPF. Other partners (EBRD, EIB) better-resourced for large-scale investments.</w:t>
            </w:r>
          </w:p>
        </w:tc>
        <w:tc>
          <w:tcPr>
            <w:tcW w:w="4330" w:type="dxa"/>
            <w:gridSpan w:val="3"/>
          </w:tcPr>
          <w:p w14:paraId="6B0B77D9" w14:textId="77777777" w:rsidR="008F4B3E" w:rsidRPr="008F4B3E" w:rsidRDefault="008F4B3E" w:rsidP="00D77307">
            <w:pPr>
              <w:pStyle w:val="ListParagraph"/>
              <w:numPr>
                <w:ilvl w:val="0"/>
                <w:numId w:val="9"/>
              </w:numPr>
              <w:spacing w:after="0" w:line="240" w:lineRule="auto"/>
              <w:ind w:left="144" w:right="0" w:hanging="187"/>
              <w:jc w:val="left"/>
              <w:rPr>
                <w:sz w:val="16"/>
                <w:szCs w:val="16"/>
              </w:rPr>
            </w:pPr>
            <w:r w:rsidRPr="008F4B3E">
              <w:rPr>
                <w:sz w:val="16"/>
                <w:szCs w:val="16"/>
              </w:rPr>
              <w:t>Modernization of Government Services Proj.</w:t>
            </w:r>
          </w:p>
          <w:p w14:paraId="3201A01E" w14:textId="77777777" w:rsidR="008F4B3E" w:rsidRPr="008F4B3E" w:rsidRDefault="008F4B3E" w:rsidP="00D77307">
            <w:pPr>
              <w:pStyle w:val="ListParagraph"/>
              <w:numPr>
                <w:ilvl w:val="0"/>
                <w:numId w:val="9"/>
              </w:numPr>
              <w:spacing w:after="0" w:line="240" w:lineRule="auto"/>
              <w:ind w:left="144" w:right="0" w:hanging="187"/>
              <w:jc w:val="left"/>
              <w:rPr>
                <w:sz w:val="16"/>
                <w:szCs w:val="16"/>
              </w:rPr>
            </w:pPr>
            <w:r w:rsidRPr="008F4B3E">
              <w:rPr>
                <w:sz w:val="16"/>
                <w:szCs w:val="16"/>
              </w:rPr>
              <w:t>Land Administration and Local Revenue Proj.</w:t>
            </w:r>
          </w:p>
          <w:p w14:paraId="5DFDB500" w14:textId="43F4255C" w:rsidR="0092339C" w:rsidRPr="008F4B3E" w:rsidRDefault="008F4B3E" w:rsidP="00D77307">
            <w:pPr>
              <w:pStyle w:val="ListParagraph"/>
              <w:numPr>
                <w:ilvl w:val="0"/>
                <w:numId w:val="9"/>
              </w:numPr>
              <w:spacing w:after="0" w:line="240" w:lineRule="auto"/>
              <w:ind w:left="144" w:right="0" w:hanging="187"/>
              <w:jc w:val="left"/>
              <w:rPr>
                <w:sz w:val="16"/>
                <w:szCs w:val="16"/>
              </w:rPr>
            </w:pPr>
            <w:r w:rsidRPr="008F4B3E">
              <w:rPr>
                <w:sz w:val="16"/>
                <w:szCs w:val="16"/>
              </w:rPr>
              <w:t>Transparent Power Market Proj. (All FY18)</w:t>
            </w:r>
          </w:p>
          <w:p w14:paraId="4285C9C2" w14:textId="1E624FB8" w:rsidR="0092339C" w:rsidRPr="00597C69" w:rsidRDefault="008F4B3E" w:rsidP="00597C69">
            <w:pPr>
              <w:pStyle w:val="ListParagraph"/>
              <w:numPr>
                <w:ilvl w:val="0"/>
                <w:numId w:val="9"/>
              </w:numPr>
              <w:spacing w:after="0" w:line="240" w:lineRule="auto"/>
              <w:ind w:left="144" w:right="0" w:hanging="187"/>
              <w:jc w:val="left"/>
              <w:rPr>
                <w:color w:val="auto"/>
                <w:sz w:val="16"/>
                <w:szCs w:val="16"/>
              </w:rPr>
            </w:pPr>
            <w:r w:rsidRPr="00597C69">
              <w:rPr>
                <w:color w:val="auto"/>
                <w:sz w:val="16"/>
                <w:szCs w:val="16"/>
              </w:rPr>
              <w:t>Health Public Expenditure Review (Switzerland funding)</w:t>
            </w:r>
          </w:p>
          <w:p w14:paraId="677BE603" w14:textId="563C7275" w:rsidR="0092339C" w:rsidRPr="00597C69" w:rsidRDefault="008F4B3E" w:rsidP="00597C69">
            <w:pPr>
              <w:pStyle w:val="ListParagraph"/>
              <w:numPr>
                <w:ilvl w:val="0"/>
                <w:numId w:val="9"/>
              </w:numPr>
              <w:spacing w:after="0" w:line="240" w:lineRule="auto"/>
              <w:ind w:left="144" w:right="0" w:hanging="187"/>
              <w:jc w:val="left"/>
              <w:rPr>
                <w:color w:val="auto"/>
                <w:sz w:val="16"/>
                <w:szCs w:val="16"/>
              </w:rPr>
            </w:pPr>
            <w:r w:rsidRPr="00597C69">
              <w:rPr>
                <w:color w:val="auto"/>
                <w:sz w:val="16"/>
                <w:szCs w:val="16"/>
              </w:rPr>
              <w:t>Education Public Expenditure Review</w:t>
            </w:r>
          </w:p>
          <w:p w14:paraId="014BA20F" w14:textId="67FFCEE3" w:rsidR="008F4B3E" w:rsidRPr="00597C69" w:rsidRDefault="008F4B3E" w:rsidP="00597C69">
            <w:pPr>
              <w:pStyle w:val="ListParagraph"/>
              <w:numPr>
                <w:ilvl w:val="0"/>
                <w:numId w:val="9"/>
              </w:numPr>
              <w:spacing w:after="0" w:line="240" w:lineRule="auto"/>
              <w:ind w:left="144" w:right="0" w:hanging="187"/>
              <w:jc w:val="left"/>
              <w:rPr>
                <w:color w:val="auto"/>
                <w:sz w:val="16"/>
                <w:szCs w:val="16"/>
              </w:rPr>
            </w:pPr>
            <w:r w:rsidRPr="00597C69">
              <w:rPr>
                <w:color w:val="auto"/>
                <w:sz w:val="16"/>
                <w:szCs w:val="16"/>
              </w:rPr>
              <w:t>Commitment to Equity and Poverty Monitoring</w:t>
            </w:r>
          </w:p>
          <w:p w14:paraId="59ECC1EC" w14:textId="50D8AC6B" w:rsidR="008F4B3E" w:rsidRPr="009531B4" w:rsidRDefault="008F4B3E" w:rsidP="00D77307">
            <w:pPr>
              <w:pStyle w:val="ListParagraph"/>
              <w:numPr>
                <w:ilvl w:val="0"/>
                <w:numId w:val="9"/>
              </w:numPr>
              <w:spacing w:after="0" w:line="240" w:lineRule="auto"/>
              <w:ind w:left="144" w:right="0" w:hanging="187"/>
              <w:jc w:val="left"/>
              <w:rPr>
                <w:sz w:val="16"/>
                <w:szCs w:val="16"/>
              </w:rPr>
            </w:pPr>
            <w:r w:rsidRPr="008F4B3E">
              <w:rPr>
                <w:color w:val="auto"/>
                <w:sz w:val="16"/>
                <w:szCs w:val="16"/>
              </w:rPr>
              <w:t>Pension Reform Implem</w:t>
            </w:r>
            <w:r w:rsidR="009531B4">
              <w:rPr>
                <w:color w:val="auto"/>
                <w:sz w:val="16"/>
                <w:szCs w:val="16"/>
              </w:rPr>
              <w:t>entation</w:t>
            </w:r>
            <w:r w:rsidRPr="008F4B3E">
              <w:rPr>
                <w:color w:val="auto"/>
                <w:sz w:val="16"/>
                <w:szCs w:val="16"/>
              </w:rPr>
              <w:t xml:space="preserve"> and Benefit Admin</w:t>
            </w:r>
          </w:p>
          <w:p w14:paraId="4D94DA90" w14:textId="02B3B896" w:rsidR="009531B4" w:rsidRPr="008F4B3E" w:rsidRDefault="009531B4" w:rsidP="00D77307">
            <w:pPr>
              <w:pStyle w:val="ListParagraph"/>
              <w:numPr>
                <w:ilvl w:val="0"/>
                <w:numId w:val="9"/>
              </w:numPr>
              <w:spacing w:after="0" w:line="240" w:lineRule="auto"/>
              <w:ind w:left="144" w:right="0" w:hanging="187"/>
              <w:jc w:val="left"/>
              <w:rPr>
                <w:sz w:val="16"/>
                <w:szCs w:val="16"/>
              </w:rPr>
            </w:pPr>
            <w:r>
              <w:rPr>
                <w:color w:val="auto"/>
                <w:sz w:val="16"/>
                <w:szCs w:val="16"/>
              </w:rPr>
              <w:t>Potential IFC investments in infrastructure</w:t>
            </w:r>
          </w:p>
        </w:tc>
      </w:tr>
      <w:tr w:rsidR="008F4B3E" w:rsidRPr="008F4B3E" w14:paraId="3A95F93B" w14:textId="77777777" w:rsidTr="00D77307">
        <w:tc>
          <w:tcPr>
            <w:tcW w:w="720" w:type="dxa"/>
          </w:tcPr>
          <w:p w14:paraId="06D6BF86" w14:textId="77777777" w:rsidR="008F4B3E" w:rsidRPr="00597C69" w:rsidRDefault="008F4B3E" w:rsidP="002D0E83">
            <w:pPr>
              <w:spacing w:after="120" w:line="240" w:lineRule="auto"/>
              <w:ind w:left="0" w:right="0" w:firstLine="0"/>
              <w:jc w:val="left"/>
              <w:rPr>
                <w:b/>
                <w:sz w:val="22"/>
                <w:szCs w:val="16"/>
                <w:bdr w:val="single" w:sz="4" w:space="0" w:color="auto"/>
              </w:rPr>
            </w:pPr>
          </w:p>
          <w:p w14:paraId="777E3558" w14:textId="77777777" w:rsidR="008F4B3E" w:rsidRPr="00597C69" w:rsidRDefault="008F4B3E" w:rsidP="002D0E83">
            <w:pPr>
              <w:spacing w:after="120" w:line="240" w:lineRule="auto"/>
              <w:ind w:left="0" w:right="0" w:firstLine="0"/>
              <w:jc w:val="left"/>
              <w:rPr>
                <w:b/>
                <w:sz w:val="22"/>
                <w:szCs w:val="16"/>
                <w:bdr w:val="single" w:sz="4" w:space="0" w:color="auto"/>
              </w:rPr>
            </w:pPr>
            <w:r w:rsidRPr="00597C69">
              <w:rPr>
                <w:b/>
                <w:sz w:val="22"/>
                <w:szCs w:val="16"/>
                <w:bdr w:val="single" w:sz="4" w:space="0" w:color="auto"/>
              </w:rPr>
              <w:t>C</w:t>
            </w:r>
            <w:r w:rsidRPr="00597C69">
              <w:rPr>
                <w:b/>
                <w:sz w:val="22"/>
                <w:szCs w:val="16"/>
              </w:rPr>
              <w:sym w:font="Wingdings" w:char="F0F0"/>
            </w:r>
          </w:p>
          <w:p w14:paraId="3FD15D9D" w14:textId="77777777" w:rsidR="008F4B3E" w:rsidRPr="00597C69" w:rsidRDefault="008F4B3E" w:rsidP="002D0E83">
            <w:pPr>
              <w:spacing w:after="100" w:afterAutospacing="1" w:line="240" w:lineRule="auto"/>
              <w:ind w:left="0" w:right="0" w:firstLine="0"/>
              <w:jc w:val="left"/>
              <w:rPr>
                <w:i/>
                <w:sz w:val="22"/>
                <w:szCs w:val="16"/>
              </w:rPr>
            </w:pPr>
          </w:p>
        </w:tc>
        <w:tc>
          <w:tcPr>
            <w:tcW w:w="2160" w:type="dxa"/>
            <w:gridSpan w:val="2"/>
          </w:tcPr>
          <w:p w14:paraId="5E01388F" w14:textId="77777777" w:rsidR="008F4B3E" w:rsidRPr="008F4B3E" w:rsidRDefault="008F4B3E" w:rsidP="00D77307">
            <w:pPr>
              <w:spacing w:after="100" w:afterAutospacing="1" w:line="240" w:lineRule="auto"/>
              <w:ind w:left="0" w:right="0" w:firstLine="0"/>
              <w:jc w:val="left"/>
              <w:rPr>
                <w:sz w:val="16"/>
                <w:szCs w:val="16"/>
              </w:rPr>
            </w:pPr>
            <w:r w:rsidRPr="00597C69">
              <w:rPr>
                <w:sz w:val="22"/>
                <w:szCs w:val="16"/>
              </w:rPr>
              <w:sym w:font="Wingdings" w:char="F08E"/>
            </w:r>
            <w:r w:rsidRPr="008F4B3E">
              <w:rPr>
                <w:rFonts w:eastAsia="SimSun"/>
                <w:sz w:val="16"/>
                <w:szCs w:val="16"/>
              </w:rPr>
              <w:t>Enhancing quality &amp; relevance of education &amp; training institutions to enable acquisition of job-related skills.</w:t>
            </w:r>
          </w:p>
        </w:tc>
        <w:tc>
          <w:tcPr>
            <w:tcW w:w="2440" w:type="dxa"/>
            <w:gridSpan w:val="3"/>
          </w:tcPr>
          <w:p w14:paraId="6FE3AEB2" w14:textId="5BB0D93E" w:rsidR="008F4B3E" w:rsidRPr="008F4B3E" w:rsidRDefault="008F4B3E" w:rsidP="00D77307">
            <w:pPr>
              <w:spacing w:after="100" w:afterAutospacing="1" w:line="240" w:lineRule="auto"/>
              <w:ind w:left="0" w:right="0" w:firstLine="0"/>
              <w:jc w:val="left"/>
              <w:rPr>
                <w:sz w:val="16"/>
                <w:szCs w:val="16"/>
              </w:rPr>
            </w:pPr>
            <w:r w:rsidRPr="008F4B3E">
              <w:rPr>
                <w:sz w:val="16"/>
                <w:szCs w:val="16"/>
              </w:rPr>
              <w:t>Teacher performance identified by ERP as priority for future.  Skills identified by private sector &amp; public consultations as second priority (after anti-corruption).</w:t>
            </w:r>
          </w:p>
        </w:tc>
        <w:tc>
          <w:tcPr>
            <w:tcW w:w="3130" w:type="dxa"/>
            <w:gridSpan w:val="2"/>
          </w:tcPr>
          <w:p w14:paraId="0CB1E053" w14:textId="2A8B0640" w:rsidR="008F4B3E" w:rsidRPr="008F4B3E" w:rsidRDefault="008F4B3E" w:rsidP="00D77307">
            <w:pPr>
              <w:spacing w:after="100" w:afterAutospacing="1" w:line="240" w:lineRule="auto"/>
              <w:ind w:left="0" w:right="0" w:firstLine="0"/>
              <w:jc w:val="left"/>
              <w:rPr>
                <w:sz w:val="16"/>
                <w:szCs w:val="16"/>
              </w:rPr>
            </w:pPr>
            <w:r w:rsidRPr="008F4B3E">
              <w:rPr>
                <w:sz w:val="16"/>
                <w:szCs w:val="16"/>
              </w:rPr>
              <w:t xml:space="preserve">WBG engagement in education reform, thru Education Reform (ongoing) and Skills for Jobs ASA (FY17). WBG will not support vocational education, where 4 </w:t>
            </w:r>
            <w:proofErr w:type="spellStart"/>
            <w:r w:rsidRPr="008F4B3E">
              <w:rPr>
                <w:sz w:val="16"/>
                <w:szCs w:val="16"/>
              </w:rPr>
              <w:t>bilaterals</w:t>
            </w:r>
            <w:proofErr w:type="spellEnd"/>
            <w:r w:rsidRPr="008F4B3E">
              <w:rPr>
                <w:sz w:val="16"/>
                <w:szCs w:val="16"/>
              </w:rPr>
              <w:t xml:space="preserve"> are active and more qualified. </w:t>
            </w:r>
          </w:p>
        </w:tc>
        <w:tc>
          <w:tcPr>
            <w:tcW w:w="4330" w:type="dxa"/>
            <w:gridSpan w:val="3"/>
          </w:tcPr>
          <w:p w14:paraId="1EF774CB" w14:textId="327BA037" w:rsidR="008F4B3E" w:rsidRPr="008F4B3E" w:rsidRDefault="0092339C" w:rsidP="00D77307">
            <w:pPr>
              <w:spacing w:after="0" w:line="240" w:lineRule="auto"/>
              <w:ind w:left="0" w:right="0" w:firstLine="0"/>
              <w:jc w:val="left"/>
              <w:rPr>
                <w:sz w:val="16"/>
                <w:szCs w:val="16"/>
              </w:rPr>
            </w:pPr>
            <w:r>
              <w:rPr>
                <w:sz w:val="16"/>
                <w:szCs w:val="16"/>
              </w:rPr>
              <w:t xml:space="preserve">-  </w:t>
            </w:r>
            <w:r w:rsidR="008F4B3E" w:rsidRPr="008F4B3E">
              <w:rPr>
                <w:sz w:val="16"/>
                <w:szCs w:val="16"/>
              </w:rPr>
              <w:t>Education Reform (FY18)</w:t>
            </w:r>
            <w:r>
              <w:rPr>
                <w:sz w:val="16"/>
                <w:szCs w:val="16"/>
              </w:rPr>
              <w:t>,</w:t>
            </w:r>
            <w:r w:rsidR="008F4B3E" w:rsidRPr="008F4B3E">
              <w:rPr>
                <w:sz w:val="16"/>
                <w:szCs w:val="16"/>
              </w:rPr>
              <w:t xml:space="preserve"> Skills for Jobs Project (FY19) </w:t>
            </w:r>
          </w:p>
          <w:p w14:paraId="164862C5" w14:textId="4BBE2516" w:rsidR="008F4B3E" w:rsidRPr="008F4B3E" w:rsidRDefault="008F4B3E" w:rsidP="00D77307">
            <w:pPr>
              <w:spacing w:after="0" w:line="240" w:lineRule="auto"/>
              <w:ind w:left="0" w:right="0" w:firstLine="0"/>
              <w:jc w:val="left"/>
              <w:rPr>
                <w:color w:val="auto"/>
                <w:sz w:val="16"/>
                <w:szCs w:val="16"/>
              </w:rPr>
            </w:pPr>
            <w:r w:rsidRPr="008F4B3E">
              <w:rPr>
                <w:color w:val="auto"/>
                <w:sz w:val="16"/>
                <w:szCs w:val="16"/>
              </w:rPr>
              <w:t>- Tackling gender inequality in labor market          </w:t>
            </w:r>
          </w:p>
          <w:p w14:paraId="7201DCEE" w14:textId="58A1A54B" w:rsidR="008F4B3E" w:rsidRPr="008F4B3E" w:rsidRDefault="008F4B3E" w:rsidP="00D77307">
            <w:pPr>
              <w:spacing w:after="0" w:line="240" w:lineRule="auto"/>
              <w:ind w:left="0" w:right="0" w:firstLine="0"/>
              <w:jc w:val="left"/>
              <w:rPr>
                <w:color w:val="auto"/>
                <w:sz w:val="16"/>
                <w:szCs w:val="16"/>
              </w:rPr>
            </w:pPr>
            <w:r w:rsidRPr="008F4B3E">
              <w:rPr>
                <w:color w:val="auto"/>
                <w:sz w:val="16"/>
                <w:szCs w:val="16"/>
              </w:rPr>
              <w:t xml:space="preserve">- Private Sector Skill Demand </w:t>
            </w:r>
            <w:r w:rsidR="0092339C">
              <w:rPr>
                <w:color w:val="auto"/>
                <w:sz w:val="16"/>
                <w:szCs w:val="16"/>
              </w:rPr>
              <w:t xml:space="preserve">&amp; </w:t>
            </w:r>
            <w:r w:rsidRPr="008F4B3E">
              <w:rPr>
                <w:color w:val="auto"/>
                <w:sz w:val="16"/>
                <w:szCs w:val="16"/>
              </w:rPr>
              <w:t xml:space="preserve">Mitigation of Skill Constraints </w:t>
            </w:r>
          </w:p>
          <w:p w14:paraId="4C858D99" w14:textId="77777777" w:rsidR="008F4B3E" w:rsidRPr="008F4B3E" w:rsidRDefault="008F4B3E" w:rsidP="00D77307">
            <w:pPr>
              <w:spacing w:after="100" w:afterAutospacing="1" w:line="240" w:lineRule="auto"/>
              <w:ind w:left="0" w:right="0" w:firstLine="0"/>
              <w:jc w:val="left"/>
              <w:rPr>
                <w:sz w:val="16"/>
                <w:szCs w:val="16"/>
              </w:rPr>
            </w:pPr>
            <w:r w:rsidRPr="008F4B3E">
              <w:rPr>
                <w:color w:val="auto"/>
                <w:sz w:val="16"/>
                <w:szCs w:val="16"/>
              </w:rPr>
              <w:t>- Education Sector Decentralization Analysis      </w:t>
            </w:r>
          </w:p>
        </w:tc>
      </w:tr>
    </w:tbl>
    <w:p w14:paraId="26870D53" w14:textId="77777777" w:rsidR="008F4B3E" w:rsidRDefault="008F4B3E" w:rsidP="000A0714">
      <w:pPr>
        <w:spacing w:after="0" w:line="240" w:lineRule="auto"/>
        <w:ind w:left="0" w:right="0" w:firstLine="0"/>
        <w:rPr>
          <w:rFonts w:eastAsia="SimSun"/>
          <w:b/>
          <w:color w:val="auto"/>
          <w:sz w:val="22"/>
        </w:rPr>
        <w:sectPr w:rsidR="008F4B3E" w:rsidSect="008F4B3E">
          <w:pgSz w:w="15840" w:h="12240" w:orient="landscape" w:code="1"/>
          <w:pgMar w:top="1440" w:right="1440" w:bottom="1440" w:left="1440" w:header="720" w:footer="720" w:gutter="0"/>
          <w:cols w:space="720"/>
          <w:docGrid w:linePitch="360"/>
        </w:sectPr>
      </w:pPr>
    </w:p>
    <w:p w14:paraId="2616E82B" w14:textId="77777777" w:rsidR="0098355D" w:rsidRPr="00BA050E" w:rsidRDefault="0098355D" w:rsidP="000A0714">
      <w:pPr>
        <w:spacing w:after="0" w:line="240" w:lineRule="auto"/>
        <w:ind w:left="0" w:right="0" w:firstLine="0"/>
        <w:rPr>
          <w:rFonts w:eastAsia="SimSun"/>
          <w:b/>
          <w:color w:val="auto"/>
          <w:sz w:val="22"/>
        </w:rPr>
      </w:pPr>
    </w:p>
    <w:p w14:paraId="57D58A3E" w14:textId="2F930CDB" w:rsidR="00162608" w:rsidRPr="00597C69" w:rsidRDefault="003C55C3" w:rsidP="007B3862">
      <w:pPr>
        <w:pStyle w:val="ListParagraph"/>
        <w:numPr>
          <w:ilvl w:val="0"/>
          <w:numId w:val="1"/>
        </w:numPr>
        <w:spacing w:after="0" w:line="240" w:lineRule="auto"/>
        <w:ind w:left="14" w:right="0" w:firstLine="0"/>
        <w:rPr>
          <w:rFonts w:eastAsia="SimSun"/>
          <w:b/>
          <w:color w:val="auto"/>
          <w:sz w:val="22"/>
        </w:rPr>
      </w:pPr>
      <w:r w:rsidRPr="00BA050E">
        <w:rPr>
          <w:b/>
          <w:color w:val="auto"/>
          <w:sz w:val="22"/>
        </w:rPr>
        <w:t xml:space="preserve">Compared to the last </w:t>
      </w:r>
      <w:r w:rsidR="00ED5CDB" w:rsidRPr="00BA050E">
        <w:rPr>
          <w:b/>
          <w:color w:val="auto"/>
          <w:sz w:val="22"/>
        </w:rPr>
        <w:t xml:space="preserve">CPS, </w:t>
      </w:r>
      <w:r w:rsidR="00ED5CDB" w:rsidRPr="00BA050E">
        <w:rPr>
          <w:b/>
          <w:i/>
          <w:color w:val="auto"/>
          <w:sz w:val="22"/>
        </w:rPr>
        <w:t>gove</w:t>
      </w:r>
      <w:r w:rsidR="001D7A45" w:rsidRPr="00BA050E">
        <w:rPr>
          <w:b/>
          <w:i/>
          <w:color w:val="auto"/>
          <w:sz w:val="22"/>
        </w:rPr>
        <w:t>rnance</w:t>
      </w:r>
      <w:r w:rsidR="001D7A45" w:rsidRPr="00BA050E">
        <w:rPr>
          <w:b/>
          <w:color w:val="auto"/>
          <w:sz w:val="22"/>
        </w:rPr>
        <w:t xml:space="preserve">, </w:t>
      </w:r>
      <w:r w:rsidR="00B02F3E" w:rsidRPr="00BA050E">
        <w:rPr>
          <w:b/>
          <w:color w:val="auto"/>
          <w:sz w:val="22"/>
        </w:rPr>
        <w:t xml:space="preserve">formerly </w:t>
      </w:r>
      <w:r w:rsidR="00ED5CDB" w:rsidRPr="00BA050E">
        <w:rPr>
          <w:b/>
          <w:color w:val="auto"/>
          <w:sz w:val="22"/>
        </w:rPr>
        <w:t xml:space="preserve">a cross-cutting theme, </w:t>
      </w:r>
      <w:r w:rsidR="0094204E" w:rsidRPr="00BA050E">
        <w:rPr>
          <w:b/>
          <w:color w:val="auto"/>
          <w:sz w:val="22"/>
        </w:rPr>
        <w:t xml:space="preserve">shapes </w:t>
      </w:r>
      <w:r w:rsidR="00B02F3E" w:rsidRPr="00BA050E">
        <w:rPr>
          <w:b/>
          <w:color w:val="auto"/>
          <w:sz w:val="22"/>
        </w:rPr>
        <w:t xml:space="preserve">the CPF’s </w:t>
      </w:r>
      <w:r w:rsidR="001D7A45" w:rsidRPr="00BA050E">
        <w:rPr>
          <w:b/>
          <w:color w:val="auto"/>
          <w:sz w:val="22"/>
        </w:rPr>
        <w:t xml:space="preserve">first two </w:t>
      </w:r>
      <w:r w:rsidR="00CC558E" w:rsidRPr="00BA050E">
        <w:rPr>
          <w:b/>
          <w:color w:val="auto"/>
          <w:sz w:val="22"/>
        </w:rPr>
        <w:t>focus areas</w:t>
      </w:r>
      <w:r w:rsidR="009600A8" w:rsidRPr="00BA050E">
        <w:rPr>
          <w:b/>
          <w:color w:val="auto"/>
          <w:sz w:val="22"/>
        </w:rPr>
        <w:t>.</w:t>
      </w:r>
      <w:r w:rsidR="009600A8" w:rsidRPr="00BA050E">
        <w:rPr>
          <w:color w:val="auto"/>
          <w:sz w:val="22"/>
        </w:rPr>
        <w:t xml:space="preserve"> T</w:t>
      </w:r>
      <w:r w:rsidRPr="00BA050E">
        <w:rPr>
          <w:color w:val="auto"/>
          <w:sz w:val="22"/>
        </w:rPr>
        <w:t xml:space="preserve">he focus of </w:t>
      </w:r>
      <w:r w:rsidR="00A34E5E" w:rsidRPr="00BA050E">
        <w:rPr>
          <w:i/>
          <w:color w:val="auto"/>
          <w:sz w:val="22"/>
        </w:rPr>
        <w:t>education</w:t>
      </w:r>
      <w:r w:rsidR="00B02F3E" w:rsidRPr="00BA050E">
        <w:rPr>
          <w:color w:val="auto"/>
          <w:sz w:val="22"/>
        </w:rPr>
        <w:t xml:space="preserve"> </w:t>
      </w:r>
      <w:r w:rsidR="0094204E" w:rsidRPr="00BA050E">
        <w:rPr>
          <w:color w:val="auto"/>
          <w:sz w:val="22"/>
        </w:rPr>
        <w:t xml:space="preserve">transitions from the </w:t>
      </w:r>
      <w:r w:rsidR="00B02F3E" w:rsidRPr="00BA050E">
        <w:rPr>
          <w:color w:val="auto"/>
          <w:sz w:val="22"/>
        </w:rPr>
        <w:t xml:space="preserve">human capital </w:t>
      </w:r>
      <w:r w:rsidR="0094204E" w:rsidRPr="00BA050E">
        <w:rPr>
          <w:color w:val="auto"/>
          <w:sz w:val="22"/>
        </w:rPr>
        <w:t>pillar of the last CPS to a separate</w:t>
      </w:r>
      <w:r w:rsidR="004252C1" w:rsidRPr="00BA050E">
        <w:rPr>
          <w:color w:val="auto"/>
          <w:sz w:val="22"/>
        </w:rPr>
        <w:t xml:space="preserve"> </w:t>
      </w:r>
      <w:r w:rsidR="004252C1" w:rsidRPr="00BA050E">
        <w:rPr>
          <w:i/>
          <w:color w:val="auto"/>
          <w:sz w:val="22"/>
        </w:rPr>
        <w:t>skills development</w:t>
      </w:r>
      <w:r w:rsidR="004252C1" w:rsidRPr="00BA050E">
        <w:rPr>
          <w:color w:val="auto"/>
          <w:sz w:val="22"/>
        </w:rPr>
        <w:t xml:space="preserve"> </w:t>
      </w:r>
      <w:r w:rsidR="00CC558E" w:rsidRPr="00BA050E">
        <w:rPr>
          <w:color w:val="auto"/>
          <w:sz w:val="22"/>
        </w:rPr>
        <w:t>area</w:t>
      </w:r>
      <w:r w:rsidR="006B7F21" w:rsidRPr="00BA050E">
        <w:rPr>
          <w:color w:val="auto"/>
          <w:sz w:val="22"/>
        </w:rPr>
        <w:t xml:space="preserve"> in </w:t>
      </w:r>
      <w:r w:rsidR="0094204E" w:rsidRPr="00BA050E">
        <w:rPr>
          <w:color w:val="auto"/>
          <w:sz w:val="22"/>
        </w:rPr>
        <w:t>this CPF</w:t>
      </w:r>
      <w:r w:rsidR="004252C1" w:rsidRPr="00BA050E">
        <w:rPr>
          <w:color w:val="auto"/>
          <w:sz w:val="22"/>
        </w:rPr>
        <w:t>; and</w:t>
      </w:r>
      <w:r w:rsidR="0094204E" w:rsidRPr="00BA050E">
        <w:rPr>
          <w:color w:val="auto"/>
          <w:sz w:val="22"/>
        </w:rPr>
        <w:t>,</w:t>
      </w:r>
      <w:r w:rsidR="00162608" w:rsidRPr="00BA050E">
        <w:rPr>
          <w:color w:val="auto"/>
          <w:sz w:val="22"/>
        </w:rPr>
        <w:t xml:space="preserve"> </w:t>
      </w:r>
      <w:r w:rsidR="00B02F3E" w:rsidRPr="00BA050E">
        <w:rPr>
          <w:color w:val="auto"/>
          <w:sz w:val="22"/>
        </w:rPr>
        <w:t xml:space="preserve">the </w:t>
      </w:r>
      <w:r w:rsidRPr="00BA050E">
        <w:rPr>
          <w:color w:val="auto"/>
          <w:sz w:val="22"/>
        </w:rPr>
        <w:t xml:space="preserve">scope of the </w:t>
      </w:r>
      <w:r w:rsidR="003A5F44" w:rsidRPr="00BA050E">
        <w:rPr>
          <w:color w:val="auto"/>
          <w:sz w:val="22"/>
        </w:rPr>
        <w:t>erstwhile</w:t>
      </w:r>
      <w:r w:rsidR="00B02F3E" w:rsidRPr="00BA050E">
        <w:rPr>
          <w:color w:val="auto"/>
          <w:sz w:val="22"/>
        </w:rPr>
        <w:t xml:space="preserve"> </w:t>
      </w:r>
      <w:r w:rsidRPr="00BA050E">
        <w:rPr>
          <w:color w:val="auto"/>
          <w:sz w:val="22"/>
        </w:rPr>
        <w:t xml:space="preserve">clean, green and resilient </w:t>
      </w:r>
      <w:r w:rsidR="00B02F3E" w:rsidRPr="00BA050E">
        <w:rPr>
          <w:color w:val="auto"/>
          <w:sz w:val="22"/>
        </w:rPr>
        <w:t>environment</w:t>
      </w:r>
      <w:r w:rsidR="00162608" w:rsidRPr="00BA050E">
        <w:rPr>
          <w:color w:val="auto"/>
          <w:sz w:val="22"/>
        </w:rPr>
        <w:t xml:space="preserve"> pillar </w:t>
      </w:r>
      <w:r w:rsidR="00FC4485" w:rsidRPr="00BA050E">
        <w:rPr>
          <w:color w:val="auto"/>
          <w:sz w:val="22"/>
        </w:rPr>
        <w:t>becomes</w:t>
      </w:r>
      <w:r w:rsidRPr="00BA050E">
        <w:rPr>
          <w:color w:val="auto"/>
          <w:sz w:val="22"/>
        </w:rPr>
        <w:t xml:space="preserve"> </w:t>
      </w:r>
      <w:r w:rsidRPr="00BA050E">
        <w:rPr>
          <w:i/>
          <w:color w:val="auto"/>
          <w:sz w:val="22"/>
        </w:rPr>
        <w:t>climate change</w:t>
      </w:r>
      <w:r w:rsidRPr="00BA050E">
        <w:rPr>
          <w:color w:val="auto"/>
          <w:sz w:val="22"/>
        </w:rPr>
        <w:t xml:space="preserve"> as a cross-cutting theme.</w:t>
      </w:r>
      <w:r w:rsidR="00A34E5E" w:rsidRPr="00BA050E">
        <w:rPr>
          <w:color w:val="auto"/>
          <w:sz w:val="22"/>
        </w:rPr>
        <w:t xml:space="preserve"> </w:t>
      </w:r>
      <w:r w:rsidR="00162608" w:rsidRPr="00BA050E">
        <w:rPr>
          <w:color w:val="auto"/>
          <w:sz w:val="22"/>
        </w:rPr>
        <w:t xml:space="preserve">In short, the </w:t>
      </w:r>
      <w:r w:rsidR="003A5F44" w:rsidRPr="00BA050E">
        <w:rPr>
          <w:color w:val="auto"/>
          <w:sz w:val="22"/>
        </w:rPr>
        <w:t>old CPS and the new CPF display a high degree of continuity</w:t>
      </w:r>
      <w:r w:rsidR="00162608" w:rsidRPr="00BA050E">
        <w:rPr>
          <w:color w:val="auto"/>
          <w:sz w:val="22"/>
        </w:rPr>
        <w:t xml:space="preserve">, </w:t>
      </w:r>
      <w:r w:rsidR="003A5F44" w:rsidRPr="00BA050E">
        <w:rPr>
          <w:color w:val="auto"/>
          <w:sz w:val="22"/>
        </w:rPr>
        <w:t xml:space="preserve">with a </w:t>
      </w:r>
      <w:r w:rsidR="00162608" w:rsidRPr="00BA050E">
        <w:rPr>
          <w:color w:val="auto"/>
          <w:sz w:val="22"/>
        </w:rPr>
        <w:t>tighter focus on governance</w:t>
      </w:r>
      <w:r w:rsidR="003A5F44" w:rsidRPr="00BA050E">
        <w:rPr>
          <w:color w:val="auto"/>
          <w:sz w:val="22"/>
        </w:rPr>
        <w:t xml:space="preserve"> and job-relevant skills development in the latter</w:t>
      </w:r>
      <w:r w:rsidR="00162608" w:rsidRPr="00BA050E">
        <w:rPr>
          <w:color w:val="auto"/>
          <w:sz w:val="22"/>
        </w:rPr>
        <w:t xml:space="preserve">. </w:t>
      </w:r>
      <w:r w:rsidR="0004793F">
        <w:rPr>
          <w:color w:val="auto"/>
          <w:sz w:val="22"/>
        </w:rPr>
        <w:t>The accent on governance maintains the shift in emphasis begun during the FY16 PLR.</w:t>
      </w:r>
    </w:p>
    <w:p w14:paraId="57E86872" w14:textId="77777777" w:rsidR="00D446DD" w:rsidRPr="00597C69" w:rsidRDefault="00D446DD" w:rsidP="00597C69">
      <w:pPr>
        <w:pStyle w:val="ListParagraph"/>
        <w:spacing w:after="0" w:line="240" w:lineRule="auto"/>
        <w:ind w:left="14" w:right="0" w:firstLine="0"/>
        <w:rPr>
          <w:rFonts w:eastAsia="SimSun"/>
          <w:b/>
          <w:color w:val="auto"/>
          <w:sz w:val="22"/>
        </w:rPr>
      </w:pPr>
    </w:p>
    <w:p w14:paraId="32314BA9" w14:textId="207A6A6B" w:rsidR="00D446DD" w:rsidRPr="00597C69" w:rsidRDefault="0094204E" w:rsidP="00597C69">
      <w:pPr>
        <w:pStyle w:val="ListParagraph"/>
        <w:numPr>
          <w:ilvl w:val="0"/>
          <w:numId w:val="1"/>
        </w:numPr>
        <w:spacing w:after="0" w:line="240" w:lineRule="auto"/>
        <w:ind w:left="14" w:right="0" w:firstLine="0"/>
        <w:rPr>
          <w:sz w:val="22"/>
        </w:rPr>
      </w:pPr>
      <w:r w:rsidRPr="00597C69">
        <w:rPr>
          <w:sz w:val="22"/>
        </w:rPr>
        <w:t>T</w:t>
      </w:r>
      <w:r w:rsidR="003A5F44" w:rsidRPr="00597C69">
        <w:rPr>
          <w:sz w:val="22"/>
        </w:rPr>
        <w:t xml:space="preserve">he </w:t>
      </w:r>
      <w:r w:rsidR="00162608" w:rsidRPr="00597C69">
        <w:rPr>
          <w:sz w:val="22"/>
        </w:rPr>
        <w:t xml:space="preserve">content of the </w:t>
      </w:r>
      <w:r w:rsidR="003A5F44" w:rsidRPr="00597C69">
        <w:rPr>
          <w:sz w:val="22"/>
        </w:rPr>
        <w:t>CPF program and</w:t>
      </w:r>
      <w:r w:rsidR="00162608" w:rsidRPr="00597C69">
        <w:rPr>
          <w:sz w:val="22"/>
        </w:rPr>
        <w:t xml:space="preserve"> </w:t>
      </w:r>
      <w:r w:rsidR="00870DE0" w:rsidRPr="00597C69">
        <w:rPr>
          <w:sz w:val="22"/>
        </w:rPr>
        <w:t xml:space="preserve">planned </w:t>
      </w:r>
      <w:r w:rsidR="00162608" w:rsidRPr="00597C69">
        <w:rPr>
          <w:sz w:val="22"/>
        </w:rPr>
        <w:t>Bank Group support</w:t>
      </w:r>
      <w:r w:rsidR="00870DE0" w:rsidRPr="00597C69">
        <w:rPr>
          <w:sz w:val="22"/>
        </w:rPr>
        <w:t xml:space="preserve"> </w:t>
      </w:r>
      <w:r w:rsidR="00162608" w:rsidRPr="00597C69">
        <w:rPr>
          <w:sz w:val="22"/>
        </w:rPr>
        <w:t>are summari</w:t>
      </w:r>
      <w:r w:rsidR="00870DE0" w:rsidRPr="00597C69">
        <w:rPr>
          <w:sz w:val="22"/>
        </w:rPr>
        <w:t xml:space="preserve">zed in </w:t>
      </w:r>
      <w:r w:rsidR="006B7F21" w:rsidRPr="00597C69">
        <w:rPr>
          <w:sz w:val="22"/>
        </w:rPr>
        <w:t xml:space="preserve">paras. </w:t>
      </w:r>
      <w:r w:rsidR="009600A8" w:rsidRPr="00597C69">
        <w:rPr>
          <w:sz w:val="22"/>
        </w:rPr>
        <w:t>20</w:t>
      </w:r>
      <w:r w:rsidR="00C00B71" w:rsidRPr="00597C69">
        <w:rPr>
          <w:sz w:val="22"/>
        </w:rPr>
        <w:t>-2</w:t>
      </w:r>
      <w:r w:rsidR="00C41E17" w:rsidRPr="00597C69">
        <w:rPr>
          <w:sz w:val="22"/>
        </w:rPr>
        <w:t>8</w:t>
      </w:r>
      <w:r w:rsidR="00162608" w:rsidRPr="00597C69">
        <w:rPr>
          <w:sz w:val="22"/>
        </w:rPr>
        <w:t xml:space="preserve"> and</w:t>
      </w:r>
      <w:r w:rsidR="00162608" w:rsidRPr="00597C69">
        <w:rPr>
          <w:color w:val="auto"/>
          <w:sz w:val="22"/>
        </w:rPr>
        <w:t xml:space="preserve"> </w:t>
      </w:r>
      <w:r w:rsidR="00AE7486" w:rsidRPr="00597C69">
        <w:rPr>
          <w:color w:val="auto"/>
          <w:sz w:val="22"/>
        </w:rPr>
        <w:fldChar w:fldCharType="begin"/>
      </w:r>
      <w:r w:rsidR="00AE7486" w:rsidRPr="00597C69">
        <w:rPr>
          <w:color w:val="auto"/>
          <w:sz w:val="22"/>
        </w:rPr>
        <w:instrText xml:space="preserve"> REF _Ref484626106 \h  \* MERGEFORMAT </w:instrText>
      </w:r>
      <w:r w:rsidR="00AE7486" w:rsidRPr="00597C69">
        <w:rPr>
          <w:color w:val="auto"/>
          <w:sz w:val="22"/>
        </w:rPr>
      </w:r>
      <w:r w:rsidR="00AE7486" w:rsidRPr="00597C69">
        <w:rPr>
          <w:color w:val="auto"/>
          <w:sz w:val="22"/>
        </w:rPr>
        <w:fldChar w:fldCharType="separate"/>
      </w:r>
      <w:r w:rsidR="00AE7486" w:rsidRPr="00597C69">
        <w:rPr>
          <w:color w:val="auto"/>
          <w:sz w:val="22"/>
        </w:rPr>
        <w:t xml:space="preserve">Table </w:t>
      </w:r>
      <w:r w:rsidR="00AE7486" w:rsidRPr="00597C69">
        <w:rPr>
          <w:noProof/>
          <w:color w:val="auto"/>
          <w:sz w:val="22"/>
        </w:rPr>
        <w:t>3</w:t>
      </w:r>
      <w:r w:rsidR="00AE7486" w:rsidRPr="00597C69">
        <w:rPr>
          <w:color w:val="auto"/>
          <w:sz w:val="22"/>
        </w:rPr>
        <w:fldChar w:fldCharType="end"/>
      </w:r>
      <w:r w:rsidR="00870DE0" w:rsidRPr="00597C69">
        <w:rPr>
          <w:sz w:val="22"/>
        </w:rPr>
        <w:t xml:space="preserve"> below. </w:t>
      </w:r>
      <w:r w:rsidRPr="00597C69">
        <w:rPr>
          <w:sz w:val="22"/>
        </w:rPr>
        <w:t>They reflect</w:t>
      </w:r>
      <w:r w:rsidR="003A5F44" w:rsidRPr="00597C69">
        <w:rPr>
          <w:sz w:val="22"/>
        </w:rPr>
        <w:t xml:space="preserve">: </w:t>
      </w:r>
      <w:r w:rsidR="00870DE0" w:rsidRPr="00597C69">
        <w:rPr>
          <w:sz w:val="22"/>
        </w:rPr>
        <w:t xml:space="preserve">(a) </w:t>
      </w:r>
      <w:r w:rsidR="009F42CC" w:rsidRPr="00597C69">
        <w:rPr>
          <w:sz w:val="22"/>
        </w:rPr>
        <w:t xml:space="preserve">ongoing </w:t>
      </w:r>
      <w:r w:rsidR="00675186" w:rsidRPr="00597C69">
        <w:rPr>
          <w:sz w:val="22"/>
        </w:rPr>
        <w:t>Bank Group</w:t>
      </w:r>
      <w:r w:rsidR="00D52167" w:rsidRPr="00597C69">
        <w:rPr>
          <w:sz w:val="22"/>
        </w:rPr>
        <w:t xml:space="preserve"> </w:t>
      </w:r>
      <w:r w:rsidR="00560ADD" w:rsidRPr="00597C69">
        <w:rPr>
          <w:sz w:val="22"/>
        </w:rPr>
        <w:t>activ</w:t>
      </w:r>
      <w:r w:rsidR="00490E89" w:rsidRPr="00597C69">
        <w:rPr>
          <w:sz w:val="22"/>
        </w:rPr>
        <w:t>ities and operations</w:t>
      </w:r>
      <w:r w:rsidR="009F42CC" w:rsidRPr="00597C69">
        <w:rPr>
          <w:sz w:val="22"/>
        </w:rPr>
        <w:t>, as well as those of other development partners</w:t>
      </w:r>
      <w:r w:rsidR="00870DE0" w:rsidRPr="00597C69">
        <w:rPr>
          <w:sz w:val="22"/>
        </w:rPr>
        <w:t>, especially of the EU</w:t>
      </w:r>
      <w:r w:rsidR="003A5F44" w:rsidRPr="00597C69">
        <w:rPr>
          <w:sz w:val="22"/>
        </w:rPr>
        <w:t xml:space="preserve">; </w:t>
      </w:r>
      <w:r w:rsidR="00870DE0" w:rsidRPr="00597C69">
        <w:rPr>
          <w:sz w:val="22"/>
        </w:rPr>
        <w:t xml:space="preserve">(b) </w:t>
      </w:r>
      <w:r w:rsidR="00577FF5" w:rsidRPr="00597C69">
        <w:rPr>
          <w:sz w:val="22"/>
        </w:rPr>
        <w:t xml:space="preserve">the </w:t>
      </w:r>
      <w:r w:rsidR="00056B9A" w:rsidRPr="00597C69">
        <w:rPr>
          <w:sz w:val="22"/>
        </w:rPr>
        <w:t>resources</w:t>
      </w:r>
      <w:r w:rsidR="00577FF5" w:rsidRPr="00597C69">
        <w:rPr>
          <w:sz w:val="22"/>
        </w:rPr>
        <w:t xml:space="preserve"> </w:t>
      </w:r>
      <w:r w:rsidR="00560ADD" w:rsidRPr="00597C69">
        <w:rPr>
          <w:sz w:val="22"/>
        </w:rPr>
        <w:t xml:space="preserve">expected </w:t>
      </w:r>
      <w:r w:rsidR="00056B9A" w:rsidRPr="00597C69">
        <w:rPr>
          <w:sz w:val="22"/>
        </w:rPr>
        <w:t>from</w:t>
      </w:r>
      <w:r w:rsidR="00870DE0" w:rsidRPr="00597C69">
        <w:rPr>
          <w:sz w:val="22"/>
        </w:rPr>
        <w:t xml:space="preserve"> IDA18</w:t>
      </w:r>
      <w:r w:rsidR="00056B9A" w:rsidRPr="00597C69">
        <w:rPr>
          <w:sz w:val="22"/>
        </w:rPr>
        <w:t xml:space="preserve"> and IBRD</w:t>
      </w:r>
      <w:r w:rsidR="00577FF5" w:rsidRPr="00597C69">
        <w:rPr>
          <w:sz w:val="22"/>
        </w:rPr>
        <w:t>;</w:t>
      </w:r>
      <w:r w:rsidR="00560ADD" w:rsidRPr="00597C69">
        <w:rPr>
          <w:sz w:val="22"/>
        </w:rPr>
        <w:t xml:space="preserve"> and </w:t>
      </w:r>
      <w:r w:rsidRPr="00597C69">
        <w:rPr>
          <w:sz w:val="22"/>
        </w:rPr>
        <w:t xml:space="preserve">(c) a balanced </w:t>
      </w:r>
      <w:r w:rsidR="00870DE0" w:rsidRPr="00597C69">
        <w:rPr>
          <w:sz w:val="22"/>
        </w:rPr>
        <w:t>mix of</w:t>
      </w:r>
      <w:r w:rsidR="00706C1D" w:rsidRPr="00597C69">
        <w:rPr>
          <w:sz w:val="22"/>
        </w:rPr>
        <w:t xml:space="preserve"> </w:t>
      </w:r>
      <w:r w:rsidR="00870DE0" w:rsidRPr="00597C69">
        <w:rPr>
          <w:sz w:val="22"/>
        </w:rPr>
        <w:t xml:space="preserve">Bank Group </w:t>
      </w:r>
      <w:r w:rsidR="00EA45DA" w:rsidRPr="00597C69">
        <w:rPr>
          <w:sz w:val="22"/>
        </w:rPr>
        <w:t>instruments</w:t>
      </w:r>
      <w:r w:rsidRPr="00597C69">
        <w:rPr>
          <w:sz w:val="22"/>
        </w:rPr>
        <w:t xml:space="preserve">. </w:t>
      </w:r>
      <w:r w:rsidR="00FC4485" w:rsidRPr="00597C69">
        <w:rPr>
          <w:sz w:val="22"/>
        </w:rPr>
        <w:t>F</w:t>
      </w:r>
      <w:r w:rsidRPr="00597C69">
        <w:rPr>
          <w:sz w:val="22"/>
        </w:rPr>
        <w:t>or the reasons cited above (para.</w:t>
      </w:r>
      <w:r w:rsidR="006B7F21" w:rsidRPr="00597C69">
        <w:rPr>
          <w:sz w:val="22"/>
        </w:rPr>
        <w:t xml:space="preserve"> 1</w:t>
      </w:r>
      <w:r w:rsidR="009600A8" w:rsidRPr="00597C69">
        <w:rPr>
          <w:sz w:val="22"/>
        </w:rPr>
        <w:t>6</w:t>
      </w:r>
      <w:r w:rsidRPr="00597C69">
        <w:rPr>
          <w:sz w:val="22"/>
        </w:rPr>
        <w:t xml:space="preserve">), </w:t>
      </w:r>
      <w:r w:rsidR="000D6A6F" w:rsidRPr="00597C69">
        <w:rPr>
          <w:sz w:val="22"/>
        </w:rPr>
        <w:t>support for politically difficult reforms will be addressed through DPOs and/or A</w:t>
      </w:r>
      <w:r w:rsidR="00B03909" w:rsidRPr="00597C69">
        <w:rPr>
          <w:sz w:val="22"/>
        </w:rPr>
        <w:t>S</w:t>
      </w:r>
      <w:r w:rsidR="000D6A6F" w:rsidRPr="00597C69">
        <w:rPr>
          <w:sz w:val="22"/>
        </w:rPr>
        <w:t>A</w:t>
      </w:r>
      <w:r w:rsidR="00FC4485" w:rsidRPr="00597C69">
        <w:rPr>
          <w:sz w:val="22"/>
        </w:rPr>
        <w:t>, not</w:t>
      </w:r>
      <w:r w:rsidR="000D6A6F" w:rsidRPr="00597C69">
        <w:rPr>
          <w:sz w:val="22"/>
        </w:rPr>
        <w:t xml:space="preserve"> investment project loans</w:t>
      </w:r>
      <w:r w:rsidRPr="00597C69">
        <w:rPr>
          <w:sz w:val="22"/>
        </w:rPr>
        <w:t xml:space="preserve">; and </w:t>
      </w:r>
      <w:r w:rsidR="00870DE0" w:rsidRPr="00597C69">
        <w:rPr>
          <w:sz w:val="22"/>
        </w:rPr>
        <w:t xml:space="preserve">only the first </w:t>
      </w:r>
      <w:r w:rsidR="00FF29C1" w:rsidRPr="00597C69">
        <w:rPr>
          <w:sz w:val="22"/>
        </w:rPr>
        <w:t>half of the CPF period (FY18-19)</w:t>
      </w:r>
      <w:r w:rsidR="00FF29C1" w:rsidRPr="00597C69">
        <w:rPr>
          <w:i/>
          <w:sz w:val="22"/>
        </w:rPr>
        <w:t xml:space="preserve"> </w:t>
      </w:r>
      <w:r w:rsidRPr="00597C69">
        <w:rPr>
          <w:sz w:val="22"/>
        </w:rPr>
        <w:t>is programmed, with</w:t>
      </w:r>
      <w:r w:rsidR="00FF29C1" w:rsidRPr="00597C69">
        <w:rPr>
          <w:i/>
          <w:sz w:val="22"/>
        </w:rPr>
        <w:t xml:space="preserve"> </w:t>
      </w:r>
      <w:r w:rsidR="006B7F21" w:rsidRPr="00597C69">
        <w:rPr>
          <w:sz w:val="22"/>
        </w:rPr>
        <w:t xml:space="preserve">no </w:t>
      </w:r>
      <w:r w:rsidRPr="00597C69">
        <w:rPr>
          <w:sz w:val="22"/>
        </w:rPr>
        <w:t xml:space="preserve">policy lending foreseen </w:t>
      </w:r>
      <w:r w:rsidR="00252A7F">
        <w:rPr>
          <w:sz w:val="22"/>
        </w:rPr>
        <w:t>between mid-2018 and mid-2019</w:t>
      </w:r>
      <w:r w:rsidR="00FF29C1" w:rsidRPr="00597C69">
        <w:rPr>
          <w:sz w:val="22"/>
        </w:rPr>
        <w:t>.</w:t>
      </w:r>
      <w:r w:rsidR="00500210" w:rsidRPr="00597C69">
        <w:rPr>
          <w:sz w:val="22"/>
        </w:rPr>
        <w:t xml:space="preserve"> </w:t>
      </w:r>
      <w:r w:rsidR="00D446DD" w:rsidRPr="00597C69">
        <w:rPr>
          <w:sz w:val="22"/>
        </w:rPr>
        <w:t>At the same time, Bank/IFC collaboration will be strengthened, particularly through the cross-cutting Finance and Markets and Trade and Competitiveness global practices and will focus especially on activities designed to improve Moldova’s business enabling environment and investment climate, deepen financial infrastructure, and strengthen the private sector’s capacity to access new markets.</w:t>
      </w:r>
    </w:p>
    <w:p w14:paraId="7B1D2B87" w14:textId="6BABE19E" w:rsidR="009A6D91" w:rsidRDefault="009A6D91" w:rsidP="00597C69">
      <w:pPr>
        <w:spacing w:after="0" w:line="240" w:lineRule="auto"/>
        <w:ind w:left="14" w:right="0" w:firstLine="0"/>
        <w:rPr>
          <w:sz w:val="22"/>
        </w:rPr>
      </w:pPr>
    </w:p>
    <w:p w14:paraId="185D3D4F" w14:textId="77777777" w:rsidR="009A6D91" w:rsidRPr="007B3862" w:rsidRDefault="009A6D91" w:rsidP="00597C69">
      <w:pPr>
        <w:pBdr>
          <w:top w:val="single" w:sz="4" w:space="1" w:color="auto"/>
          <w:left w:val="single" w:sz="4" w:space="4" w:color="auto"/>
          <w:right w:val="single" w:sz="4" w:space="4" w:color="auto"/>
        </w:pBdr>
        <w:spacing w:after="0" w:line="240" w:lineRule="auto"/>
        <w:ind w:right="0"/>
        <w:rPr>
          <w:b/>
          <w:sz w:val="22"/>
        </w:rPr>
      </w:pPr>
      <w:r w:rsidRPr="007B3862">
        <w:rPr>
          <w:rFonts w:eastAsia="SimSun"/>
          <w:b/>
          <w:color w:val="auto"/>
          <w:sz w:val="22"/>
        </w:rPr>
        <w:t>Fo</w:t>
      </w:r>
      <w:r>
        <w:rPr>
          <w:rFonts w:eastAsia="SimSun"/>
          <w:b/>
          <w:color w:val="auto"/>
          <w:sz w:val="22"/>
        </w:rPr>
        <w:t xml:space="preserve">cus Area 1: ECONOMIC GOVERNANCE – </w:t>
      </w:r>
      <w:r w:rsidRPr="007B3862">
        <w:rPr>
          <w:b/>
          <w:sz w:val="22"/>
        </w:rPr>
        <w:t xml:space="preserve">strengthening the rule of law and accountability </w:t>
      </w:r>
      <w:r>
        <w:rPr>
          <w:b/>
          <w:sz w:val="22"/>
        </w:rPr>
        <w:t>in</w:t>
      </w:r>
      <w:r w:rsidRPr="007B3862">
        <w:rPr>
          <w:b/>
          <w:sz w:val="22"/>
        </w:rPr>
        <w:t xml:space="preserve"> economic institutions</w:t>
      </w:r>
    </w:p>
    <w:p w14:paraId="4C05CD40" w14:textId="77777777" w:rsidR="009A6D91" w:rsidRPr="007B3862" w:rsidRDefault="009A6D91" w:rsidP="00597C69">
      <w:pPr>
        <w:pStyle w:val="ListParagraph"/>
        <w:numPr>
          <w:ilvl w:val="0"/>
          <w:numId w:val="7"/>
        </w:numPr>
        <w:pBdr>
          <w:left w:val="single" w:sz="4" w:space="4" w:color="auto"/>
          <w:bottom w:val="single" w:sz="4" w:space="1" w:color="auto"/>
          <w:right w:val="single" w:sz="4" w:space="4" w:color="auto"/>
        </w:pBdr>
        <w:spacing w:after="0" w:line="240" w:lineRule="auto"/>
        <w:ind w:right="0"/>
        <w:rPr>
          <w:rFonts w:eastAsia="SimSun"/>
          <w:b/>
          <w:color w:val="auto"/>
          <w:sz w:val="22"/>
        </w:rPr>
      </w:pPr>
      <w:r w:rsidRPr="007B3862">
        <w:rPr>
          <w:b/>
          <w:sz w:val="22"/>
        </w:rPr>
        <w:t xml:space="preserve">Objective 1A: </w:t>
      </w:r>
      <w:r w:rsidRPr="00CA6138">
        <w:rPr>
          <w:b/>
          <w:sz w:val="22"/>
        </w:rPr>
        <w:t>Enhanced quality and implementation of investment climate regulation</w:t>
      </w:r>
      <w:r w:rsidRPr="007B3862" w:rsidDel="00B03909">
        <w:rPr>
          <w:b/>
          <w:sz w:val="22"/>
        </w:rPr>
        <w:t xml:space="preserve"> </w:t>
      </w:r>
    </w:p>
    <w:p w14:paraId="159FEA04" w14:textId="77777777" w:rsidR="009A6D91" w:rsidRPr="007B3862" w:rsidRDefault="009A6D91" w:rsidP="00597C69">
      <w:pPr>
        <w:pStyle w:val="ListParagraph"/>
        <w:numPr>
          <w:ilvl w:val="0"/>
          <w:numId w:val="7"/>
        </w:numPr>
        <w:pBdr>
          <w:left w:val="single" w:sz="4" w:space="4" w:color="auto"/>
          <w:bottom w:val="single" w:sz="4" w:space="1" w:color="auto"/>
          <w:right w:val="single" w:sz="4" w:space="4" w:color="auto"/>
        </w:pBdr>
        <w:spacing w:after="0" w:line="240" w:lineRule="auto"/>
        <w:ind w:right="0"/>
        <w:rPr>
          <w:rFonts w:eastAsia="SimSun"/>
          <w:b/>
          <w:color w:val="auto"/>
          <w:sz w:val="22"/>
        </w:rPr>
      </w:pPr>
      <w:r w:rsidRPr="007B3862">
        <w:rPr>
          <w:b/>
          <w:sz w:val="22"/>
        </w:rPr>
        <w:t xml:space="preserve">Objective 1B: </w:t>
      </w:r>
      <w:r w:rsidRPr="00CA6138">
        <w:rPr>
          <w:b/>
          <w:sz w:val="22"/>
        </w:rPr>
        <w:t>Strengthened management of public sector assets</w:t>
      </w:r>
    </w:p>
    <w:p w14:paraId="32E16628" w14:textId="77777777" w:rsidR="009A6D91" w:rsidRPr="007B3862" w:rsidRDefault="009A6D91" w:rsidP="00597C69">
      <w:pPr>
        <w:pStyle w:val="ListParagraph"/>
        <w:numPr>
          <w:ilvl w:val="0"/>
          <w:numId w:val="7"/>
        </w:numPr>
        <w:pBdr>
          <w:left w:val="single" w:sz="4" w:space="4" w:color="auto"/>
          <w:bottom w:val="single" w:sz="4" w:space="1" w:color="auto"/>
          <w:right w:val="single" w:sz="4" w:space="4" w:color="auto"/>
        </w:pBdr>
        <w:spacing w:after="0" w:line="240" w:lineRule="auto"/>
        <w:ind w:right="0"/>
        <w:rPr>
          <w:rFonts w:eastAsia="SimSun"/>
          <w:b/>
          <w:color w:val="auto"/>
          <w:sz w:val="22"/>
        </w:rPr>
      </w:pPr>
      <w:r w:rsidRPr="007B3862">
        <w:rPr>
          <w:rFonts w:eastAsia="SimSun"/>
          <w:b/>
          <w:color w:val="auto"/>
          <w:sz w:val="22"/>
        </w:rPr>
        <w:t>Objective 1C: Enhanced</w:t>
      </w:r>
      <w:r w:rsidRPr="007B3862">
        <w:rPr>
          <w:b/>
          <w:sz w:val="22"/>
        </w:rPr>
        <w:t xml:space="preserve"> financial sector governance and stability</w:t>
      </w:r>
    </w:p>
    <w:p w14:paraId="3BFB6A9A" w14:textId="77777777" w:rsidR="009A6D91" w:rsidRPr="00597C69" w:rsidRDefault="009A6D91" w:rsidP="00597C69">
      <w:pPr>
        <w:spacing w:after="0" w:line="240" w:lineRule="auto"/>
        <w:ind w:left="14" w:right="0" w:firstLine="0"/>
        <w:rPr>
          <w:rFonts w:eastAsia="SimSun"/>
        </w:rPr>
      </w:pPr>
    </w:p>
    <w:p w14:paraId="6524C3F6" w14:textId="63003725" w:rsidR="00EA6270" w:rsidRDefault="00EA6270" w:rsidP="00CA6138">
      <w:pPr>
        <w:pStyle w:val="ListParagraph"/>
        <w:numPr>
          <w:ilvl w:val="0"/>
          <w:numId w:val="1"/>
        </w:numPr>
        <w:spacing w:after="100" w:afterAutospacing="1" w:line="240" w:lineRule="auto"/>
        <w:ind w:left="0" w:right="0" w:firstLine="0"/>
        <w:rPr>
          <w:sz w:val="22"/>
        </w:rPr>
      </w:pPr>
      <w:r w:rsidRPr="00D77307">
        <w:rPr>
          <w:b/>
          <w:sz w:val="22"/>
        </w:rPr>
        <w:t>In Moldova, improving economic governance, or strengthening the rule of law</w:t>
      </w:r>
      <w:r w:rsidR="007B3862" w:rsidRPr="00D77307">
        <w:rPr>
          <w:b/>
          <w:sz w:val="22"/>
        </w:rPr>
        <w:t xml:space="preserve"> </w:t>
      </w:r>
      <w:r w:rsidR="00B56D88" w:rsidRPr="00D77307">
        <w:rPr>
          <w:b/>
          <w:sz w:val="22"/>
        </w:rPr>
        <w:t xml:space="preserve">and accountability </w:t>
      </w:r>
      <w:r w:rsidR="00094662" w:rsidRPr="00D77307">
        <w:rPr>
          <w:b/>
          <w:sz w:val="22"/>
        </w:rPr>
        <w:t>in</w:t>
      </w:r>
      <w:r w:rsidR="00B56D88" w:rsidRPr="00D77307">
        <w:rPr>
          <w:b/>
          <w:sz w:val="22"/>
        </w:rPr>
        <w:t xml:space="preserve"> economic institutions</w:t>
      </w:r>
      <w:r w:rsidR="0092339C">
        <w:rPr>
          <w:b/>
          <w:sz w:val="22"/>
        </w:rPr>
        <w:t>,</w:t>
      </w:r>
      <w:r w:rsidR="00B56D88" w:rsidRPr="00D77307">
        <w:rPr>
          <w:b/>
          <w:sz w:val="22"/>
        </w:rPr>
        <w:t xml:space="preserve"> </w:t>
      </w:r>
      <w:r w:rsidR="00F05CF1">
        <w:rPr>
          <w:b/>
          <w:sz w:val="22"/>
        </w:rPr>
        <w:t>is the key pathway to de-risking private sector investment for job-creation</w:t>
      </w:r>
      <w:r w:rsidRPr="00D77307">
        <w:rPr>
          <w:sz w:val="22"/>
        </w:rPr>
        <w:t xml:space="preserve">. </w:t>
      </w:r>
      <w:r w:rsidR="00B56D88" w:rsidRPr="00D77307">
        <w:rPr>
          <w:sz w:val="22"/>
        </w:rPr>
        <w:t xml:space="preserve">It </w:t>
      </w:r>
      <w:r w:rsidRPr="00D77307">
        <w:rPr>
          <w:sz w:val="22"/>
        </w:rPr>
        <w:t>include</w:t>
      </w:r>
      <w:r w:rsidR="00B56D88" w:rsidRPr="00D77307">
        <w:rPr>
          <w:sz w:val="22"/>
        </w:rPr>
        <w:t>s</w:t>
      </w:r>
      <w:r w:rsidRPr="00D77307">
        <w:rPr>
          <w:sz w:val="22"/>
        </w:rPr>
        <w:t xml:space="preserve"> measures to combat corruption, </w:t>
      </w:r>
      <w:r w:rsidR="0004793F" w:rsidRPr="00D77307">
        <w:rPr>
          <w:sz w:val="22"/>
        </w:rPr>
        <w:t xml:space="preserve">enhance transparency, </w:t>
      </w:r>
      <w:r w:rsidRPr="00D77307">
        <w:rPr>
          <w:sz w:val="22"/>
        </w:rPr>
        <w:t xml:space="preserve">secure property rights, and develop stable financial and legal institutions. </w:t>
      </w:r>
      <w:r w:rsidRPr="00675186">
        <w:rPr>
          <w:sz w:val="22"/>
        </w:rPr>
        <w:t xml:space="preserve">Three priority areas selected for </w:t>
      </w:r>
      <w:r w:rsidR="00F05CF1">
        <w:rPr>
          <w:sz w:val="22"/>
        </w:rPr>
        <w:t xml:space="preserve">WBG institutions to combine </w:t>
      </w:r>
      <w:r w:rsidRPr="00675186">
        <w:rPr>
          <w:sz w:val="22"/>
        </w:rPr>
        <w:t xml:space="preserve">support under this </w:t>
      </w:r>
      <w:r w:rsidR="00CC558E" w:rsidRPr="00675186">
        <w:rPr>
          <w:sz w:val="22"/>
        </w:rPr>
        <w:t>focus area</w:t>
      </w:r>
      <w:r w:rsidRPr="00675186">
        <w:rPr>
          <w:sz w:val="22"/>
        </w:rPr>
        <w:t xml:space="preserve"> are: (a) business-friendly policies to foster private sector development and job creation;</w:t>
      </w:r>
      <w:r w:rsidRPr="00675186">
        <w:rPr>
          <w:rFonts w:eastAsia="SimSun"/>
          <w:sz w:val="22"/>
        </w:rPr>
        <w:t xml:space="preserve"> (b) better </w:t>
      </w:r>
      <w:r w:rsidRPr="00675186">
        <w:rPr>
          <w:sz w:val="22"/>
        </w:rPr>
        <w:t>a</w:t>
      </w:r>
      <w:r w:rsidR="00B56D88" w:rsidRPr="00675186">
        <w:rPr>
          <w:sz w:val="22"/>
        </w:rPr>
        <w:t xml:space="preserve">ccountability </w:t>
      </w:r>
      <w:r w:rsidR="00094662" w:rsidRPr="00675186">
        <w:rPr>
          <w:sz w:val="22"/>
        </w:rPr>
        <w:t>in</w:t>
      </w:r>
      <w:r w:rsidR="00B56D88" w:rsidRPr="00D77307">
        <w:rPr>
          <w:sz w:val="22"/>
        </w:rPr>
        <w:t xml:space="preserve"> </w:t>
      </w:r>
      <w:r w:rsidR="00B56D88" w:rsidRPr="00675186">
        <w:rPr>
          <w:sz w:val="22"/>
        </w:rPr>
        <w:t>selected economic</w:t>
      </w:r>
      <w:r w:rsidRPr="00675186">
        <w:rPr>
          <w:sz w:val="22"/>
        </w:rPr>
        <w:t xml:space="preserve"> institutions, </w:t>
      </w:r>
      <w:r w:rsidRPr="00675186">
        <w:rPr>
          <w:i/>
          <w:sz w:val="22"/>
        </w:rPr>
        <w:t>i.e.,</w:t>
      </w:r>
      <w:r w:rsidRPr="00675186">
        <w:rPr>
          <w:sz w:val="22"/>
        </w:rPr>
        <w:t xml:space="preserve"> government agencies and ministries and state-owned enterprises (SOEs); and (c) improved governance of financial institutions.</w:t>
      </w:r>
    </w:p>
    <w:p w14:paraId="1D52FF61" w14:textId="77777777" w:rsidR="00AB505C" w:rsidRPr="00597C69" w:rsidRDefault="00AB505C" w:rsidP="00597C69">
      <w:pPr>
        <w:pStyle w:val="ListParagraph"/>
        <w:rPr>
          <w:sz w:val="22"/>
        </w:rPr>
      </w:pPr>
    </w:p>
    <w:p w14:paraId="6D71FBC1" w14:textId="5D8F8B3F" w:rsidR="00EA6270" w:rsidRPr="006850F4" w:rsidRDefault="00C844FC" w:rsidP="00597C69">
      <w:pPr>
        <w:pStyle w:val="ListParagraph"/>
        <w:numPr>
          <w:ilvl w:val="0"/>
          <w:numId w:val="1"/>
        </w:numPr>
        <w:spacing w:after="100" w:afterAutospacing="1" w:line="240" w:lineRule="auto"/>
        <w:ind w:left="0" w:right="0" w:firstLine="0"/>
        <w:rPr>
          <w:color w:val="auto"/>
          <w:sz w:val="22"/>
        </w:rPr>
      </w:pPr>
      <w:r w:rsidRPr="00C844FC">
        <w:rPr>
          <w:b/>
          <w:sz w:val="22"/>
        </w:rPr>
        <w:t xml:space="preserve">IFC and IBRD activities will combine to support the de-risking of private sector investment, </w:t>
      </w:r>
      <w:r>
        <w:rPr>
          <w:b/>
          <w:sz w:val="22"/>
        </w:rPr>
        <w:t xml:space="preserve">through improved economic governance, </w:t>
      </w:r>
      <w:r w:rsidRPr="00C844FC">
        <w:rPr>
          <w:b/>
          <w:sz w:val="22"/>
        </w:rPr>
        <w:t>thus supporting job-creation.</w:t>
      </w:r>
      <w:r>
        <w:rPr>
          <w:sz w:val="22"/>
        </w:rPr>
        <w:t xml:space="preserve"> </w:t>
      </w:r>
      <w:r w:rsidR="00C00364" w:rsidRPr="00C844FC">
        <w:rPr>
          <w:sz w:val="22"/>
        </w:rPr>
        <w:t xml:space="preserve">IFC’s </w:t>
      </w:r>
      <w:r w:rsidR="00C00364" w:rsidRPr="00C844FC">
        <w:rPr>
          <w:i/>
          <w:sz w:val="22"/>
        </w:rPr>
        <w:t>Investment Climate Reform</w:t>
      </w:r>
      <w:r w:rsidR="00C00364" w:rsidRPr="00C844FC">
        <w:rPr>
          <w:sz w:val="22"/>
        </w:rPr>
        <w:t xml:space="preserve"> project will continue support for regulatory reforms to </w:t>
      </w:r>
      <w:r w:rsidR="00F05CF1" w:rsidRPr="00C844FC">
        <w:rPr>
          <w:sz w:val="22"/>
        </w:rPr>
        <w:t>de-risk investment by reducing</w:t>
      </w:r>
      <w:r w:rsidR="00C00364" w:rsidRPr="00C844FC">
        <w:rPr>
          <w:sz w:val="22"/>
        </w:rPr>
        <w:t xml:space="preserve"> the administrative burden of inspections, licenses, and permits on private businesses.</w:t>
      </w:r>
      <w:r w:rsidR="00C00364" w:rsidRPr="00597C69">
        <w:rPr>
          <w:sz w:val="22"/>
        </w:rPr>
        <w:t xml:space="preserve"> It will also help improve trade logistics and policies for attracting foreign direct investment, as well as enhance the private sector’s capacity to export to the EU, together with the Bank’s </w:t>
      </w:r>
      <w:r w:rsidR="00C00364" w:rsidRPr="00597C69">
        <w:rPr>
          <w:i/>
          <w:sz w:val="22"/>
        </w:rPr>
        <w:t>2</w:t>
      </w:r>
      <w:r w:rsidR="00C00364" w:rsidRPr="00597C69">
        <w:rPr>
          <w:i/>
          <w:sz w:val="22"/>
          <w:vertAlign w:val="superscript"/>
        </w:rPr>
        <w:t>nd</w:t>
      </w:r>
      <w:r w:rsidR="00C00364" w:rsidRPr="00597C69">
        <w:rPr>
          <w:i/>
          <w:sz w:val="22"/>
        </w:rPr>
        <w:t xml:space="preserve"> Competitiveness Enhancement</w:t>
      </w:r>
      <w:r w:rsidR="00C00364" w:rsidRPr="00597C69">
        <w:rPr>
          <w:sz w:val="22"/>
        </w:rPr>
        <w:t xml:space="preserve"> and </w:t>
      </w:r>
      <w:r w:rsidR="00C00364" w:rsidRPr="00597C69">
        <w:rPr>
          <w:i/>
          <w:sz w:val="22"/>
        </w:rPr>
        <w:t>Agricultural Competitiveness</w:t>
      </w:r>
      <w:r w:rsidR="00C00364" w:rsidRPr="00597C69">
        <w:rPr>
          <w:sz w:val="22"/>
        </w:rPr>
        <w:t xml:space="preserve"> projects.  Besides, two new activities </w:t>
      </w:r>
      <w:r w:rsidR="00C00364" w:rsidRPr="00597C69">
        <w:rPr>
          <w:color w:val="auto"/>
          <w:sz w:val="22"/>
        </w:rPr>
        <w:t>will also help</w:t>
      </w:r>
      <w:r w:rsidR="00C00364" w:rsidRPr="00597C69">
        <w:rPr>
          <w:color w:val="666666"/>
          <w:sz w:val="22"/>
        </w:rPr>
        <w:t>:</w:t>
      </w:r>
      <w:r w:rsidR="00C00364" w:rsidRPr="00597C69">
        <w:rPr>
          <w:sz w:val="22"/>
        </w:rPr>
        <w:t xml:space="preserve"> </w:t>
      </w:r>
      <w:proofErr w:type="gramStart"/>
      <w:r w:rsidR="00AB505C">
        <w:rPr>
          <w:sz w:val="22"/>
        </w:rPr>
        <w:t>an</w:t>
      </w:r>
      <w:proofErr w:type="gramEnd"/>
      <w:r w:rsidR="00AB505C">
        <w:rPr>
          <w:sz w:val="22"/>
        </w:rPr>
        <w:t xml:space="preserve"> </w:t>
      </w:r>
      <w:r w:rsidR="00C00364" w:rsidRPr="00597C69">
        <w:rPr>
          <w:i/>
          <w:color w:val="auto"/>
          <w:sz w:val="22"/>
        </w:rPr>
        <w:t xml:space="preserve">Economic Rule of Law </w:t>
      </w:r>
      <w:r w:rsidR="00C00364" w:rsidRPr="00597C69">
        <w:rPr>
          <w:color w:val="auto"/>
          <w:sz w:val="22"/>
        </w:rPr>
        <w:t xml:space="preserve">project, to be financed by the EU, and an </w:t>
      </w:r>
      <w:r w:rsidR="00C00364" w:rsidRPr="00597C69">
        <w:rPr>
          <w:i/>
          <w:color w:val="auto"/>
          <w:sz w:val="22"/>
        </w:rPr>
        <w:t>Economic Governance Development Policy Operation (EGDPO)</w:t>
      </w:r>
      <w:r w:rsidR="00C00364" w:rsidRPr="00597C69">
        <w:rPr>
          <w:color w:val="auto"/>
          <w:sz w:val="22"/>
        </w:rPr>
        <w:t xml:space="preserve">. The former will provide advisory and technical assistance (TA) in seven areas including: the business environment, justice reform, SOE governance, state asset management, and regulatory transparency. Expected outcomes include: a more transparent, less burdensome business regulatory framework; a more efficient state budget allocation process creating fiscal space for increased public investment; more effective energy sector regulation; improved SOE financial management and governance principles compliant with international standards and practices; </w:t>
      </w:r>
      <w:r w:rsidR="004460AC">
        <w:rPr>
          <w:color w:val="auto"/>
          <w:sz w:val="22"/>
        </w:rPr>
        <w:t xml:space="preserve">systematic asset reporting by public officials; </w:t>
      </w:r>
      <w:r w:rsidR="00C00364" w:rsidRPr="00597C69">
        <w:rPr>
          <w:color w:val="auto"/>
          <w:sz w:val="22"/>
        </w:rPr>
        <w:t xml:space="preserve">and, in the financial sector, a strengthened stolen asset recovery regime, a new insurance law and regulations (including through the FIRST TA), and a revised insolvency law. </w:t>
      </w:r>
      <w:r w:rsidR="00AB505C" w:rsidRPr="00597C69">
        <w:rPr>
          <w:sz w:val="22"/>
        </w:rPr>
        <w:t xml:space="preserve">Meanwhile, subject to concerted government action to </w:t>
      </w:r>
      <w:r w:rsidR="00AB505C" w:rsidRPr="00597C69">
        <w:rPr>
          <w:sz w:val="22"/>
        </w:rPr>
        <w:lastRenderedPageBreak/>
        <w:t>improve ownership transparency and financial regulation, IFC will continue to assess the potential for partnerships with strategic investors to strengthen the governance and financial condition of key banking institutions, complementing Bank-financed technical assistance. In addition, depending on the need for finance, IFC will explore potential collaboration with international bank subsidiaries to support continued growth of micro- small- and medium-sized enterprises through improved access to credit</w:t>
      </w:r>
      <w:r w:rsidR="0042561E">
        <w:rPr>
          <w:sz w:val="22"/>
        </w:rPr>
        <w:t>. IFC will also consider</w:t>
      </w:r>
      <w:r w:rsidR="00A24BB8" w:rsidRPr="00597C69">
        <w:rPr>
          <w:sz w:val="22"/>
        </w:rPr>
        <w:t xml:space="preserve"> financing for eligible companies in manufacturing and services, particularly in export oriented sectors, to enhance job creation through SME participation in global value chains. </w:t>
      </w:r>
      <w:r w:rsidR="00AB505C" w:rsidRPr="00597C69">
        <w:rPr>
          <w:color w:val="auto"/>
          <w:sz w:val="22"/>
        </w:rPr>
        <w:t>This focus area will also benefit from TA under the Strengthening of Auditing and Reporting in Eastern Partnership Countries (STAREP) program supported by the Austrian Government and the EU.</w:t>
      </w:r>
      <w:r w:rsidR="00AB505C" w:rsidRPr="00597C69">
        <w:rPr>
          <w:rFonts w:eastAsia="SimSun"/>
          <w:color w:val="auto"/>
          <w:sz w:val="22"/>
        </w:rPr>
        <w:t xml:space="preserve"> </w:t>
      </w:r>
    </w:p>
    <w:p w14:paraId="142D99E2" w14:textId="53A2AF33" w:rsidR="00F767BE" w:rsidRDefault="00F767BE" w:rsidP="00597C69">
      <w:pPr>
        <w:pStyle w:val="ListParagraph"/>
        <w:spacing w:after="0" w:line="240" w:lineRule="auto"/>
        <w:ind w:left="14" w:right="0" w:firstLine="0"/>
        <w:rPr>
          <w:b/>
          <w:sz w:val="22"/>
        </w:rPr>
      </w:pPr>
    </w:p>
    <w:p w14:paraId="154D9D64" w14:textId="42872EC0" w:rsidR="00F767BE" w:rsidRPr="00B17246" w:rsidRDefault="00F767BE" w:rsidP="00597C69">
      <w:pPr>
        <w:pBdr>
          <w:top w:val="single" w:sz="4" w:space="1" w:color="auto"/>
          <w:left w:val="single" w:sz="4" w:space="4" w:color="auto"/>
          <w:right w:val="single" w:sz="4" w:space="4" w:color="auto"/>
        </w:pBdr>
        <w:spacing w:after="0" w:line="240" w:lineRule="auto"/>
        <w:ind w:right="0"/>
        <w:rPr>
          <w:b/>
          <w:color w:val="FF0000"/>
          <w:sz w:val="22"/>
        </w:rPr>
      </w:pPr>
      <w:r>
        <w:rPr>
          <w:rFonts w:eastAsia="SimSun"/>
          <w:b/>
          <w:color w:val="auto"/>
          <w:sz w:val="22"/>
        </w:rPr>
        <w:t xml:space="preserve">Focus Area 2: SERVICE GOVERNANCE – </w:t>
      </w:r>
      <w:r>
        <w:rPr>
          <w:b/>
          <w:sz w:val="22"/>
        </w:rPr>
        <w:t>improving efficiency, quality and inclusive access to public services.</w:t>
      </w:r>
    </w:p>
    <w:p w14:paraId="5D9BC34B" w14:textId="77777777" w:rsidR="00F767BE" w:rsidRDefault="00F767BE" w:rsidP="00597C69">
      <w:pPr>
        <w:pStyle w:val="ListParagraph"/>
        <w:numPr>
          <w:ilvl w:val="0"/>
          <w:numId w:val="43"/>
        </w:numPr>
        <w:pBdr>
          <w:left w:val="single" w:sz="4" w:space="4" w:color="auto"/>
          <w:bottom w:val="single" w:sz="4" w:space="1" w:color="auto"/>
          <w:right w:val="single" w:sz="4" w:space="4" w:color="auto"/>
        </w:pBdr>
        <w:spacing w:after="0" w:line="240" w:lineRule="auto"/>
        <w:ind w:right="0"/>
        <w:rPr>
          <w:rFonts w:eastAsia="SimSun"/>
          <w:b/>
          <w:color w:val="auto"/>
          <w:sz w:val="22"/>
        </w:rPr>
      </w:pPr>
      <w:r>
        <w:rPr>
          <w:b/>
          <w:sz w:val="22"/>
        </w:rPr>
        <w:t>Objective 2A: Increased efficiency and quality of selected public services</w:t>
      </w:r>
    </w:p>
    <w:p w14:paraId="3B9FF667" w14:textId="77777777" w:rsidR="00F767BE" w:rsidRPr="00974A63" w:rsidRDefault="00F767BE" w:rsidP="00597C69">
      <w:pPr>
        <w:pStyle w:val="ListParagraph"/>
        <w:numPr>
          <w:ilvl w:val="0"/>
          <w:numId w:val="43"/>
        </w:numPr>
        <w:pBdr>
          <w:left w:val="single" w:sz="4" w:space="4" w:color="auto"/>
          <w:bottom w:val="single" w:sz="4" w:space="1" w:color="auto"/>
          <w:right w:val="single" w:sz="4" w:space="4" w:color="auto"/>
        </w:pBdr>
        <w:spacing w:after="0" w:line="240" w:lineRule="auto"/>
        <w:ind w:right="0"/>
        <w:rPr>
          <w:b/>
          <w:sz w:val="22"/>
        </w:rPr>
      </w:pPr>
      <w:r w:rsidRPr="00974A63">
        <w:rPr>
          <w:b/>
          <w:sz w:val="22"/>
        </w:rPr>
        <w:t>Objective 2B: Increased inclusive access to selected public services</w:t>
      </w:r>
    </w:p>
    <w:p w14:paraId="48D3FBC5" w14:textId="77777777" w:rsidR="009600A8" w:rsidRPr="00BA050E" w:rsidRDefault="009600A8" w:rsidP="00360DAA">
      <w:pPr>
        <w:ind w:left="0" w:firstLine="0"/>
        <w:rPr>
          <w:rFonts w:eastAsia="SimSun"/>
          <w:color w:val="auto"/>
          <w:sz w:val="22"/>
        </w:rPr>
      </w:pPr>
    </w:p>
    <w:p w14:paraId="3931683F" w14:textId="48924B7F" w:rsidR="003E7CF2" w:rsidRPr="00597C69" w:rsidRDefault="00925AE3" w:rsidP="00597C69">
      <w:pPr>
        <w:pStyle w:val="ListParagraph"/>
        <w:numPr>
          <w:ilvl w:val="0"/>
          <w:numId w:val="1"/>
        </w:numPr>
        <w:spacing w:after="0" w:line="240" w:lineRule="auto"/>
        <w:ind w:left="14" w:right="0" w:firstLine="0"/>
        <w:rPr>
          <w:bCs/>
          <w:color w:val="auto"/>
          <w:sz w:val="22"/>
        </w:rPr>
      </w:pPr>
      <w:r w:rsidRPr="006850F4">
        <w:rPr>
          <w:b/>
          <w:color w:val="auto"/>
          <w:sz w:val="22"/>
        </w:rPr>
        <w:t xml:space="preserve">Efficient, equitable, and transparent public services, such as education, energy, health, transport, and water, are essential if the productivity of firms and human capital is to be increased. </w:t>
      </w:r>
      <w:r w:rsidRPr="006850F4">
        <w:rPr>
          <w:color w:val="auto"/>
          <w:sz w:val="22"/>
        </w:rPr>
        <w:t xml:space="preserve">Limited access, inefficiency, and poor quality of services have contributed to social exclusion, persistent poverty and vulnerability to shocks, especially in rural areas. Thus, besides expanding access to, and improving the efficiency and quality of selected public services―supported by the ongoing </w:t>
      </w:r>
      <w:r w:rsidRPr="006850F4">
        <w:rPr>
          <w:i/>
          <w:color w:val="auto"/>
          <w:sz w:val="22"/>
        </w:rPr>
        <w:t>Health Transformation</w:t>
      </w:r>
      <w:r w:rsidRPr="006850F4">
        <w:rPr>
          <w:color w:val="auto"/>
          <w:sz w:val="22"/>
        </w:rPr>
        <w:t xml:space="preserve">, </w:t>
      </w:r>
      <w:r w:rsidRPr="006850F4">
        <w:rPr>
          <w:i/>
          <w:color w:val="auto"/>
          <w:sz w:val="22"/>
        </w:rPr>
        <w:t>District Heating Efficiency Improvement</w:t>
      </w:r>
      <w:r w:rsidRPr="006850F4">
        <w:rPr>
          <w:color w:val="auto"/>
          <w:sz w:val="22"/>
        </w:rPr>
        <w:t xml:space="preserve">, </w:t>
      </w:r>
      <w:r w:rsidRPr="006850F4">
        <w:rPr>
          <w:i/>
          <w:color w:val="auto"/>
          <w:sz w:val="22"/>
        </w:rPr>
        <w:t>Local Roads Improvement</w:t>
      </w:r>
      <w:r w:rsidRPr="006850F4">
        <w:rPr>
          <w:color w:val="auto"/>
          <w:sz w:val="22"/>
        </w:rPr>
        <w:t xml:space="preserve">, and </w:t>
      </w:r>
      <w:r w:rsidRPr="006850F4">
        <w:rPr>
          <w:i/>
          <w:color w:val="auto"/>
          <w:sz w:val="22"/>
        </w:rPr>
        <w:t>Tax Administration Modernization</w:t>
      </w:r>
      <w:r w:rsidRPr="006850F4">
        <w:rPr>
          <w:color w:val="auto"/>
          <w:sz w:val="22"/>
        </w:rPr>
        <w:t xml:space="preserve"> projects―three new operations will address two related priorities: </w:t>
      </w:r>
      <w:r w:rsidRPr="006850F4">
        <w:rPr>
          <w:bCs/>
          <w:color w:val="auto"/>
          <w:sz w:val="22"/>
        </w:rPr>
        <w:t xml:space="preserve">upgrading administrative services and improving the efficiency of public finance and assets. </w:t>
      </w:r>
      <w:r w:rsidR="00ED5FD0" w:rsidRPr="00597C69">
        <w:rPr>
          <w:sz w:val="22"/>
        </w:rPr>
        <w:t>IFC and the Bank will explore possibilities for supporting private participation in infrastructure—</w:t>
      </w:r>
      <w:r w:rsidR="00ED5FD0" w:rsidRPr="00597C69">
        <w:rPr>
          <w:i/>
          <w:sz w:val="22"/>
        </w:rPr>
        <w:t xml:space="preserve">e.g. </w:t>
      </w:r>
      <w:r w:rsidR="00ED5FD0" w:rsidRPr="00597C69">
        <w:rPr>
          <w:sz w:val="22"/>
        </w:rPr>
        <w:t>in energy, the social sectors, telecommunications, and transport—through investments and transaction advice to facilitate public-private partnerships and potential privatizations, subject to government commitment to transparent tenders. IFC will also continue investment engagement supporting private participation in electricity distribution and consider continued support for the rehabilitation of Chisinau’s water supply, sewerage, and transport infrastructure.</w:t>
      </w:r>
    </w:p>
    <w:p w14:paraId="69A00215" w14:textId="77777777" w:rsidR="00ED5FD0" w:rsidRPr="006850F4" w:rsidRDefault="00ED5FD0" w:rsidP="00597C69">
      <w:pPr>
        <w:pStyle w:val="ListParagraph"/>
        <w:spacing w:after="0" w:line="240" w:lineRule="auto"/>
        <w:ind w:left="14" w:right="0" w:firstLine="0"/>
        <w:rPr>
          <w:bCs/>
          <w:color w:val="auto"/>
          <w:sz w:val="22"/>
        </w:rPr>
      </w:pPr>
    </w:p>
    <w:p w14:paraId="3778FA9A" w14:textId="05305773" w:rsidR="00C55D9D" w:rsidRDefault="0098362A" w:rsidP="007B3862">
      <w:pPr>
        <w:pStyle w:val="ListParagraph"/>
        <w:numPr>
          <w:ilvl w:val="0"/>
          <w:numId w:val="1"/>
        </w:numPr>
        <w:spacing w:after="0" w:line="240" w:lineRule="auto"/>
        <w:ind w:left="14" w:right="0" w:firstLine="0"/>
        <w:rPr>
          <w:color w:val="auto"/>
          <w:sz w:val="22"/>
        </w:rPr>
      </w:pPr>
      <w:r w:rsidRPr="00BA050E">
        <w:rPr>
          <w:rFonts w:eastAsia="SimSun"/>
          <w:b/>
          <w:noProof/>
          <w:color w:val="auto"/>
          <w:sz w:val="22"/>
        </w:rPr>
        <mc:AlternateContent>
          <mc:Choice Requires="wps">
            <w:drawing>
              <wp:anchor distT="45720" distB="45720" distL="114300" distR="114300" simplePos="0" relativeHeight="251700736" behindDoc="0" locked="0" layoutInCell="1" allowOverlap="1" wp14:anchorId="06549068" wp14:editId="4A09E6BC">
                <wp:simplePos x="0" y="0"/>
                <wp:positionH relativeFrom="margin">
                  <wp:posOffset>6350</wp:posOffset>
                </wp:positionH>
                <wp:positionV relativeFrom="paragraph">
                  <wp:posOffset>2393950</wp:posOffset>
                </wp:positionV>
                <wp:extent cx="592455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39ADFCC4" w14:textId="77777777" w:rsidR="00932FF1" w:rsidRPr="006E73EE" w:rsidRDefault="00932FF1" w:rsidP="0029626E">
                            <w:pPr>
                              <w:spacing w:after="0" w:line="240" w:lineRule="auto"/>
                              <w:ind w:right="0"/>
                              <w:rPr>
                                <w:b/>
                                <w:sz w:val="22"/>
                              </w:rPr>
                            </w:pPr>
                            <w:r w:rsidRPr="006E73EE">
                              <w:rPr>
                                <w:b/>
                                <w:sz w:val="22"/>
                              </w:rPr>
                              <w:t>Focus Area 3: SKILLS DEVELOPMENT – enhancing the quality and relevance of education and training to enable the acquisition of job-related skills</w:t>
                            </w:r>
                          </w:p>
                          <w:p w14:paraId="62C6CDE2" w14:textId="68D739FC" w:rsidR="00932FF1" w:rsidRPr="00D77307" w:rsidRDefault="00932FF1">
                            <w:pPr>
                              <w:pStyle w:val="ListParagraph"/>
                              <w:numPr>
                                <w:ilvl w:val="0"/>
                                <w:numId w:val="6"/>
                              </w:numPr>
                              <w:spacing w:after="0" w:line="240" w:lineRule="auto"/>
                              <w:ind w:right="0"/>
                              <w:rPr>
                                <w:b/>
                                <w:sz w:val="22"/>
                              </w:rPr>
                            </w:pPr>
                            <w:r w:rsidRPr="006E73EE">
                              <w:rPr>
                                <w:b/>
                                <w:sz w:val="22"/>
                              </w:rPr>
                              <w:t xml:space="preserve">Objective 3A: Enhanced efficiency and quality of </w:t>
                            </w:r>
                            <w:r>
                              <w:rPr>
                                <w:b/>
                                <w:sz w:val="22"/>
                              </w:rPr>
                              <w:t xml:space="preserve">primary and secondary </w:t>
                            </w:r>
                            <w:r w:rsidRPr="006E73EE">
                              <w:rPr>
                                <w:b/>
                                <w:sz w:val="22"/>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49068" id="_x0000_t202" coordsize="21600,21600" o:spt="202" path="m,l,21600r21600,l21600,xe">
                <v:stroke joinstyle="miter"/>
                <v:path gradientshapeok="t" o:connecttype="rect"/>
              </v:shapetype>
              <v:shape id="Text Box 2" o:spid="_x0000_s1026" type="#_x0000_t202" style="position:absolute;left:0;text-align:left;margin-left:.5pt;margin-top:188.5pt;width:466.5pt;height:46.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HIQIAAEYEAAAOAAAAZHJzL2Uyb0RvYy54bWysU9tu2zAMfR+wfxD0vtgx4r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">
                <v:textbox>
                  <w:txbxContent>
                    <w:p w14:paraId="39ADFCC4" w14:textId="77777777" w:rsidR="00932FF1" w:rsidRPr="006E73EE" w:rsidRDefault="00932FF1" w:rsidP="0029626E">
                      <w:pPr>
                        <w:spacing w:after="0" w:line="240" w:lineRule="auto"/>
                        <w:ind w:right="0"/>
                        <w:rPr>
                          <w:b/>
                          <w:sz w:val="22"/>
                        </w:rPr>
                      </w:pPr>
                      <w:r w:rsidRPr="006E73EE">
                        <w:rPr>
                          <w:b/>
                          <w:sz w:val="22"/>
                        </w:rPr>
                        <w:t>Focus Area 3: SKILLS DEVELOPMENT – enhancing the quality and relevance of education and training to enable the acquisition of job-related skills</w:t>
                      </w:r>
                    </w:p>
                    <w:p w14:paraId="62C6CDE2" w14:textId="68D739FC" w:rsidR="00932FF1" w:rsidRPr="00D77307" w:rsidRDefault="00932FF1">
                      <w:pPr>
                        <w:pStyle w:val="ListParagraph"/>
                        <w:numPr>
                          <w:ilvl w:val="0"/>
                          <w:numId w:val="6"/>
                        </w:numPr>
                        <w:spacing w:after="0" w:line="240" w:lineRule="auto"/>
                        <w:ind w:right="0"/>
                        <w:rPr>
                          <w:b/>
                          <w:sz w:val="22"/>
                        </w:rPr>
                      </w:pPr>
                      <w:r w:rsidRPr="006E73EE">
                        <w:rPr>
                          <w:b/>
                          <w:sz w:val="22"/>
                        </w:rPr>
                        <w:t xml:space="preserve">Objective 3A: Enhanced efficiency and quality of </w:t>
                      </w:r>
                      <w:r>
                        <w:rPr>
                          <w:b/>
                          <w:sz w:val="22"/>
                        </w:rPr>
                        <w:t xml:space="preserve">primary and secondary </w:t>
                      </w:r>
                      <w:r w:rsidRPr="006E73EE">
                        <w:rPr>
                          <w:b/>
                          <w:sz w:val="22"/>
                        </w:rPr>
                        <w:t>education</w:t>
                      </w:r>
                    </w:p>
                  </w:txbxContent>
                </v:textbox>
                <w10:wrap type="square" anchorx="margin"/>
              </v:shape>
            </w:pict>
          </mc:Fallback>
        </mc:AlternateContent>
      </w:r>
      <w:r w:rsidR="003E7CF2" w:rsidRPr="00BA050E">
        <w:rPr>
          <w:b/>
          <w:sz w:val="22"/>
        </w:rPr>
        <w:t xml:space="preserve">The </w:t>
      </w:r>
      <w:r w:rsidR="003E7CF2" w:rsidRPr="00BA050E">
        <w:rPr>
          <w:b/>
          <w:i/>
          <w:sz w:val="22"/>
        </w:rPr>
        <w:t>Modernization of Government Services</w:t>
      </w:r>
      <w:r w:rsidR="003E7CF2" w:rsidRPr="00BA050E">
        <w:rPr>
          <w:b/>
          <w:sz w:val="22"/>
        </w:rPr>
        <w:t xml:space="preserve"> project aims to improve access to, and the efficiency and quality of selected public services. </w:t>
      </w:r>
      <w:r w:rsidR="003E7CF2" w:rsidRPr="00BA050E">
        <w:rPr>
          <w:sz w:val="22"/>
        </w:rPr>
        <w:t>It includes actions: (a) to reduce bureaucratic</w:t>
      </w:r>
      <w:r w:rsidR="00D66946" w:rsidRPr="00BA050E">
        <w:rPr>
          <w:sz w:val="22"/>
        </w:rPr>
        <w:t xml:space="preserve"> </w:t>
      </w:r>
      <w:r w:rsidR="003E7CF2" w:rsidRPr="00BA050E">
        <w:rPr>
          <w:sz w:val="22"/>
        </w:rPr>
        <w:t xml:space="preserve">obstacles hindering access; (b) to </w:t>
      </w:r>
      <w:r w:rsidR="00D66946" w:rsidRPr="00BA050E">
        <w:rPr>
          <w:sz w:val="22"/>
        </w:rPr>
        <w:t xml:space="preserve">re-engineer and </w:t>
      </w:r>
      <w:r w:rsidR="003E7CF2" w:rsidRPr="00BA050E">
        <w:rPr>
          <w:sz w:val="22"/>
        </w:rPr>
        <w:t xml:space="preserve">digitize selected services; and (c) to align staff capabilities in key agencies with the new citizen-centric, digital service model. The </w:t>
      </w:r>
      <w:r w:rsidR="003E7CF2" w:rsidRPr="00BA050E">
        <w:rPr>
          <w:i/>
          <w:sz w:val="22"/>
        </w:rPr>
        <w:t>Land Registration, Valuation and Local Taxation</w:t>
      </w:r>
      <w:r w:rsidR="003E7CF2" w:rsidRPr="00BA050E">
        <w:rPr>
          <w:sz w:val="22"/>
        </w:rPr>
        <w:t xml:space="preserve"> project</w:t>
      </w:r>
      <w:r w:rsidR="00D66946" w:rsidRPr="00BA050E">
        <w:rPr>
          <w:sz w:val="22"/>
        </w:rPr>
        <w:t xml:space="preserve"> will </w:t>
      </w:r>
      <w:r w:rsidR="003E7CF2" w:rsidRPr="00BA050E">
        <w:rPr>
          <w:sz w:val="22"/>
        </w:rPr>
        <w:t xml:space="preserve">complement the ongoing </w:t>
      </w:r>
      <w:r w:rsidR="003E7CF2" w:rsidRPr="00BA050E">
        <w:rPr>
          <w:i/>
          <w:sz w:val="22"/>
        </w:rPr>
        <w:t xml:space="preserve">Tax Administration </w:t>
      </w:r>
      <w:r w:rsidR="00781CA1" w:rsidRPr="00BA050E">
        <w:rPr>
          <w:i/>
          <w:sz w:val="22"/>
        </w:rPr>
        <w:t xml:space="preserve">Modernization </w:t>
      </w:r>
      <w:r w:rsidR="003E7CF2" w:rsidRPr="00BA050E">
        <w:rPr>
          <w:sz w:val="22"/>
        </w:rPr>
        <w:t>project</w:t>
      </w:r>
      <w:r w:rsidR="00D66946" w:rsidRPr="00BA050E">
        <w:rPr>
          <w:sz w:val="22"/>
        </w:rPr>
        <w:t>.</w:t>
      </w:r>
      <w:r w:rsidR="003E7CF2" w:rsidRPr="00BA050E">
        <w:rPr>
          <w:sz w:val="22"/>
        </w:rPr>
        <w:t xml:space="preserve"> The purpose of the proposed </w:t>
      </w:r>
      <w:r w:rsidR="003E7CF2" w:rsidRPr="00BA050E">
        <w:rPr>
          <w:i/>
          <w:sz w:val="22"/>
        </w:rPr>
        <w:t>Transparent Power Market</w:t>
      </w:r>
      <w:r w:rsidR="003E7CF2" w:rsidRPr="00BA050E">
        <w:rPr>
          <w:sz w:val="22"/>
        </w:rPr>
        <w:t xml:space="preserve"> project, diversifying Moldova’s energy sources through the interconnection with Romania, is to provide cheaper, more secure power supplies, while at the same time reducing the scope for corruption in power trade.</w:t>
      </w:r>
      <w:r w:rsidR="0022612C" w:rsidRPr="00BA050E">
        <w:rPr>
          <w:sz w:val="22"/>
        </w:rPr>
        <w:t xml:space="preserve"> </w:t>
      </w:r>
      <w:r w:rsidR="003E7CF2" w:rsidRPr="00BA050E">
        <w:rPr>
          <w:rFonts w:eastAsia="SimSun"/>
          <w:color w:val="auto"/>
          <w:sz w:val="22"/>
        </w:rPr>
        <w:t xml:space="preserve">Expected </w:t>
      </w:r>
      <w:r w:rsidR="00D6624A" w:rsidRPr="00BA050E">
        <w:rPr>
          <w:rFonts w:eastAsia="SimSun"/>
          <w:color w:val="auto"/>
          <w:sz w:val="22"/>
        </w:rPr>
        <w:t xml:space="preserve">outcomes </w:t>
      </w:r>
      <w:r w:rsidR="00D6624A" w:rsidRPr="00BA050E">
        <w:rPr>
          <w:sz w:val="22"/>
        </w:rPr>
        <w:t xml:space="preserve">under this </w:t>
      </w:r>
      <w:r w:rsidR="00CC558E" w:rsidRPr="00BA050E">
        <w:rPr>
          <w:sz w:val="22"/>
        </w:rPr>
        <w:t>focus area</w:t>
      </w:r>
      <w:r w:rsidR="00D6624A" w:rsidRPr="00BA050E">
        <w:rPr>
          <w:sz w:val="22"/>
        </w:rPr>
        <w:t xml:space="preserve"> include: better access by citizens and businesses to an increased number of e-government services; increased tax compliance and collection</w:t>
      </w:r>
      <w:r w:rsidR="00647FFC" w:rsidRPr="00BA050E">
        <w:rPr>
          <w:sz w:val="22"/>
        </w:rPr>
        <w:t xml:space="preserve"> and thus higher public revenues</w:t>
      </w:r>
      <w:r w:rsidR="00D6624A" w:rsidRPr="00BA050E">
        <w:rPr>
          <w:sz w:val="22"/>
        </w:rPr>
        <w:t xml:space="preserve">; a more efficient public hospital system; improved </w:t>
      </w:r>
      <w:r w:rsidR="00D66946" w:rsidRPr="00BA050E">
        <w:rPr>
          <w:sz w:val="22"/>
        </w:rPr>
        <w:t xml:space="preserve">road </w:t>
      </w:r>
      <w:r w:rsidR="00D6624A" w:rsidRPr="00BA050E">
        <w:rPr>
          <w:sz w:val="22"/>
        </w:rPr>
        <w:t xml:space="preserve">access to </w:t>
      </w:r>
      <w:r w:rsidR="00647FFC" w:rsidRPr="00BA050E">
        <w:rPr>
          <w:sz w:val="22"/>
        </w:rPr>
        <w:t xml:space="preserve">consolidated </w:t>
      </w:r>
      <w:r w:rsidR="00D6624A" w:rsidRPr="00BA050E">
        <w:rPr>
          <w:sz w:val="22"/>
        </w:rPr>
        <w:t xml:space="preserve">rural education and health services; a more efficient and transparent </w:t>
      </w:r>
      <w:r w:rsidR="00D6624A" w:rsidRPr="00BA050E">
        <w:rPr>
          <w:color w:val="auto"/>
          <w:sz w:val="22"/>
        </w:rPr>
        <w:t>land registration and valuation system; and reduced vulnerability to electric power shortages</w:t>
      </w:r>
      <w:r w:rsidR="00A4208A" w:rsidRPr="00BA050E">
        <w:rPr>
          <w:color w:val="auto"/>
          <w:sz w:val="22"/>
        </w:rPr>
        <w:t>.</w:t>
      </w:r>
      <w:r w:rsidR="00CD1199">
        <w:rPr>
          <w:color w:val="auto"/>
          <w:sz w:val="22"/>
        </w:rPr>
        <w:t xml:space="preserve"> A greater emphasis on the provision of local services was considered but excluded due to continued uncertainty about the restructuring of local government. </w:t>
      </w:r>
    </w:p>
    <w:p w14:paraId="2A97962B" w14:textId="77777777" w:rsidR="00CD1199" w:rsidRDefault="00CD1199" w:rsidP="00CD1199">
      <w:pPr>
        <w:pStyle w:val="ListParagraph"/>
        <w:spacing w:after="0" w:line="240" w:lineRule="auto"/>
        <w:ind w:left="14" w:right="0" w:firstLine="0"/>
        <w:rPr>
          <w:color w:val="auto"/>
          <w:sz w:val="22"/>
        </w:rPr>
      </w:pPr>
    </w:p>
    <w:p w14:paraId="3732A4E3" w14:textId="77777777" w:rsidR="0092075F" w:rsidRPr="00BA050E" w:rsidRDefault="0092075F" w:rsidP="007B3862">
      <w:pPr>
        <w:pStyle w:val="ListParagraph"/>
        <w:numPr>
          <w:ilvl w:val="0"/>
          <w:numId w:val="1"/>
        </w:numPr>
        <w:spacing w:after="0" w:line="240" w:lineRule="auto"/>
        <w:ind w:left="14" w:right="0" w:firstLine="0"/>
        <w:rPr>
          <w:color w:val="auto"/>
          <w:sz w:val="22"/>
        </w:rPr>
      </w:pPr>
      <w:r w:rsidRPr="00BA050E">
        <w:rPr>
          <w:b/>
          <w:color w:val="auto"/>
          <w:sz w:val="22"/>
        </w:rPr>
        <w:lastRenderedPageBreak/>
        <w:t xml:space="preserve">Moldova’s education and training system is insufficiently geared to </w:t>
      </w:r>
      <w:r w:rsidR="009F34E5">
        <w:rPr>
          <w:b/>
          <w:color w:val="auto"/>
          <w:sz w:val="22"/>
        </w:rPr>
        <w:t>labor market demand</w:t>
      </w:r>
      <w:r w:rsidR="00360DAA" w:rsidRPr="00BA050E">
        <w:rPr>
          <w:b/>
          <w:color w:val="auto"/>
          <w:sz w:val="22"/>
        </w:rPr>
        <w:t xml:space="preserve">. </w:t>
      </w:r>
      <w:r w:rsidRPr="00BA050E">
        <w:rPr>
          <w:color w:val="auto"/>
          <w:sz w:val="22"/>
        </w:rPr>
        <w:t>Besides weaknesses in early childhood, basic, and secondary education, with low transition from lower- to upper-secondary schools, technical and vocational education and training suffer from a weak strategic framework, poor service delivery, and ine</w:t>
      </w:r>
      <w:r w:rsidR="00CD0C10" w:rsidRPr="00BA050E">
        <w:rPr>
          <w:color w:val="auto"/>
          <w:sz w:val="22"/>
        </w:rPr>
        <w:t>ffective oversight. V</w:t>
      </w:r>
      <w:r w:rsidRPr="00BA050E">
        <w:rPr>
          <w:color w:val="auto"/>
          <w:sz w:val="22"/>
        </w:rPr>
        <w:t xml:space="preserve">ocational education graduates report significant mismatches between </w:t>
      </w:r>
      <w:r w:rsidR="005C6906" w:rsidRPr="00BA050E">
        <w:rPr>
          <w:color w:val="auto"/>
          <w:sz w:val="22"/>
        </w:rPr>
        <w:t>their training and the jobs available</w:t>
      </w:r>
      <w:r w:rsidRPr="00BA050E">
        <w:rPr>
          <w:color w:val="auto"/>
          <w:sz w:val="22"/>
        </w:rPr>
        <w:t>. There</w:t>
      </w:r>
      <w:r w:rsidR="005C6906" w:rsidRPr="00BA050E">
        <w:rPr>
          <w:color w:val="auto"/>
          <w:sz w:val="22"/>
        </w:rPr>
        <w:t xml:space="preserve"> is also evidence of </w:t>
      </w:r>
      <w:r w:rsidRPr="00BA050E">
        <w:rPr>
          <w:color w:val="auto"/>
          <w:sz w:val="22"/>
        </w:rPr>
        <w:t>education-job mismatch</w:t>
      </w:r>
      <w:r w:rsidR="005C6906" w:rsidRPr="00BA050E">
        <w:rPr>
          <w:color w:val="auto"/>
          <w:sz w:val="22"/>
        </w:rPr>
        <w:t>es</w:t>
      </w:r>
      <w:r w:rsidRPr="00BA050E">
        <w:rPr>
          <w:color w:val="auto"/>
          <w:sz w:val="22"/>
        </w:rPr>
        <w:t xml:space="preserve"> among workers with higher education, with many employed in areas unr</w:t>
      </w:r>
      <w:r w:rsidR="0022612C" w:rsidRPr="00BA050E">
        <w:rPr>
          <w:color w:val="auto"/>
          <w:sz w:val="22"/>
        </w:rPr>
        <w:t xml:space="preserve">elated to their fields of study. </w:t>
      </w:r>
      <w:r w:rsidRPr="00BA050E">
        <w:rPr>
          <w:color w:val="auto"/>
          <w:sz w:val="22"/>
        </w:rPr>
        <w:t xml:space="preserve">While policies to better align the supply of skills with the demands of the labor market are being adjusted, more efforts are needed to enhance the quality and relevance of education and training at all levels. For example, the government has taken steps to upgrade resource allocation by adopting </w:t>
      </w:r>
      <w:r w:rsidRPr="00BA050E">
        <w:rPr>
          <w:i/>
          <w:color w:val="auto"/>
          <w:sz w:val="22"/>
        </w:rPr>
        <w:t>per capita</w:t>
      </w:r>
      <w:r w:rsidRPr="00BA050E">
        <w:rPr>
          <w:color w:val="auto"/>
          <w:sz w:val="22"/>
        </w:rPr>
        <w:t xml:space="preserve"> financing and an enabling legislative framework for general education; a technical and vocational education and training reform program is underway; and the Ministries of Education and of Labor, Social Protection, and the Family are considering establishing a quality control mechanism for continuing vocational educati</w:t>
      </w:r>
      <w:r w:rsidR="00360DAA" w:rsidRPr="00BA050E">
        <w:rPr>
          <w:color w:val="auto"/>
          <w:sz w:val="22"/>
        </w:rPr>
        <w:t>on and training.</w:t>
      </w:r>
    </w:p>
    <w:p w14:paraId="2CEC621F" w14:textId="77777777" w:rsidR="0022612C" w:rsidRPr="00BA050E" w:rsidRDefault="0022612C" w:rsidP="0022612C">
      <w:pPr>
        <w:pStyle w:val="ListParagraph"/>
        <w:spacing w:after="0" w:line="240" w:lineRule="auto"/>
        <w:ind w:left="14" w:right="0" w:firstLine="0"/>
        <w:rPr>
          <w:color w:val="auto"/>
          <w:sz w:val="22"/>
        </w:rPr>
      </w:pPr>
    </w:p>
    <w:p w14:paraId="037D07F2" w14:textId="13AD3CE7" w:rsidR="0022612C" w:rsidRDefault="0022612C" w:rsidP="007B3862">
      <w:pPr>
        <w:pStyle w:val="ListParagraph"/>
        <w:numPr>
          <w:ilvl w:val="0"/>
          <w:numId w:val="1"/>
        </w:numPr>
        <w:spacing w:after="0" w:line="240" w:lineRule="auto"/>
        <w:ind w:left="14" w:right="0" w:firstLine="0"/>
        <w:rPr>
          <w:sz w:val="22"/>
        </w:rPr>
      </w:pPr>
      <w:r w:rsidRPr="00BA050E">
        <w:rPr>
          <w:b/>
          <w:sz w:val="22"/>
        </w:rPr>
        <w:t xml:space="preserve">The ongoing </w:t>
      </w:r>
      <w:r w:rsidRPr="00BA050E">
        <w:rPr>
          <w:b/>
          <w:i/>
          <w:sz w:val="22"/>
        </w:rPr>
        <w:t>Education Reform</w:t>
      </w:r>
      <w:r w:rsidR="005C6906" w:rsidRPr="00BA050E">
        <w:rPr>
          <w:b/>
          <w:sz w:val="22"/>
        </w:rPr>
        <w:t xml:space="preserve"> project, for which </w:t>
      </w:r>
      <w:r w:rsidR="005C6906" w:rsidRPr="00BA050E">
        <w:rPr>
          <w:b/>
          <w:i/>
          <w:sz w:val="22"/>
        </w:rPr>
        <w:t>Additional Financing</w:t>
      </w:r>
      <w:r w:rsidR="00244789" w:rsidRPr="00BA050E">
        <w:rPr>
          <w:b/>
          <w:i/>
          <w:sz w:val="22"/>
        </w:rPr>
        <w:t xml:space="preserve"> (AF)</w:t>
      </w:r>
      <w:r w:rsidR="005C6906" w:rsidRPr="00BA050E">
        <w:rPr>
          <w:b/>
          <w:sz w:val="22"/>
        </w:rPr>
        <w:t xml:space="preserve"> is under consideration</w:t>
      </w:r>
      <w:r w:rsidRPr="00BA050E">
        <w:rPr>
          <w:b/>
          <w:sz w:val="22"/>
        </w:rPr>
        <w:t>, will be supplemented by</w:t>
      </w:r>
      <w:r w:rsidR="005C6906" w:rsidRPr="00BA050E">
        <w:rPr>
          <w:b/>
          <w:sz w:val="22"/>
        </w:rPr>
        <w:t xml:space="preserve"> a planned</w:t>
      </w:r>
      <w:r w:rsidRPr="00BA050E">
        <w:rPr>
          <w:b/>
          <w:sz w:val="22"/>
        </w:rPr>
        <w:t xml:space="preserve"> </w:t>
      </w:r>
      <w:r w:rsidRPr="00BA050E">
        <w:rPr>
          <w:b/>
          <w:i/>
          <w:sz w:val="22"/>
        </w:rPr>
        <w:t>Skills for Jobs</w:t>
      </w:r>
      <w:r w:rsidRPr="00BA050E">
        <w:rPr>
          <w:b/>
          <w:sz w:val="22"/>
        </w:rPr>
        <w:t xml:space="preserve"> proje</w:t>
      </w:r>
      <w:r w:rsidR="005C6906" w:rsidRPr="00BA050E">
        <w:rPr>
          <w:b/>
          <w:sz w:val="22"/>
        </w:rPr>
        <w:t xml:space="preserve">ct designed to address </w:t>
      </w:r>
      <w:r w:rsidRPr="00BA050E">
        <w:rPr>
          <w:b/>
          <w:sz w:val="22"/>
        </w:rPr>
        <w:t>the education and training-labor market mismatch</w:t>
      </w:r>
      <w:r w:rsidR="005C6906" w:rsidRPr="00BA050E">
        <w:rPr>
          <w:b/>
          <w:sz w:val="22"/>
        </w:rPr>
        <w:t xml:space="preserve"> directly</w:t>
      </w:r>
      <w:r w:rsidRPr="00BA050E">
        <w:rPr>
          <w:b/>
          <w:sz w:val="22"/>
        </w:rPr>
        <w:t>.</w:t>
      </w:r>
      <w:r w:rsidRPr="00BA050E">
        <w:rPr>
          <w:sz w:val="22"/>
        </w:rPr>
        <w:t xml:space="preserve"> It </w:t>
      </w:r>
      <w:r w:rsidR="0084725F">
        <w:rPr>
          <w:sz w:val="22"/>
        </w:rPr>
        <w:t>is</w:t>
      </w:r>
      <w:r w:rsidRPr="00BA050E">
        <w:rPr>
          <w:sz w:val="22"/>
        </w:rPr>
        <w:t xml:space="preserve"> preceded by analytical work, including an education public expenditure review and notes on labor demand and supply, informality and self-employment, and private sector skill demand. </w:t>
      </w:r>
      <w:r w:rsidR="00932FF1">
        <w:rPr>
          <w:sz w:val="22"/>
        </w:rPr>
        <w:t xml:space="preserve">IFC and IBRD will seek donor </w:t>
      </w:r>
      <w:r w:rsidR="001164F4">
        <w:rPr>
          <w:sz w:val="22"/>
        </w:rPr>
        <w:t xml:space="preserve">funding to support private sector-led skills initiatives. </w:t>
      </w:r>
      <w:r w:rsidRPr="00BA050E">
        <w:rPr>
          <w:sz w:val="22"/>
        </w:rPr>
        <w:t xml:space="preserve">Planned outcomes under this </w:t>
      </w:r>
      <w:r w:rsidR="00CC558E" w:rsidRPr="00BA050E">
        <w:rPr>
          <w:sz w:val="22"/>
        </w:rPr>
        <w:t>focus area</w:t>
      </w:r>
      <w:r w:rsidRPr="00BA050E">
        <w:rPr>
          <w:sz w:val="22"/>
        </w:rPr>
        <w:t xml:space="preserve"> include</w:t>
      </w:r>
      <w:r w:rsidRPr="00D77307">
        <w:rPr>
          <w:sz w:val="22"/>
        </w:rPr>
        <w:t xml:space="preserve">: </w:t>
      </w:r>
      <w:r w:rsidRPr="00BA050E">
        <w:rPr>
          <w:sz w:val="22"/>
        </w:rPr>
        <w:t>increased efficiency and quality of the primary and secondary system overall, measured by the number of school</w:t>
      </w:r>
      <w:r w:rsidR="00925AE3">
        <w:rPr>
          <w:sz w:val="22"/>
        </w:rPr>
        <w:t>s</w:t>
      </w:r>
      <w:r w:rsidRPr="00BA050E">
        <w:rPr>
          <w:sz w:val="22"/>
        </w:rPr>
        <w:t xml:space="preserve"> achieving minimum education standards, better teacher/student ratios, </w:t>
      </w:r>
      <w:r w:rsidR="008A28BC" w:rsidRPr="00BA050E">
        <w:rPr>
          <w:sz w:val="22"/>
        </w:rPr>
        <w:t xml:space="preserve">and </w:t>
      </w:r>
      <w:r w:rsidRPr="00BA050E">
        <w:rPr>
          <w:sz w:val="22"/>
        </w:rPr>
        <w:t>increased occupancy; and more and better quality data on the demand for, and supply of skills</w:t>
      </w:r>
      <w:r w:rsidR="005C6906" w:rsidRPr="00BA050E">
        <w:rPr>
          <w:sz w:val="22"/>
        </w:rPr>
        <w:t>. Th</w:t>
      </w:r>
      <w:r w:rsidR="00462CF2">
        <w:rPr>
          <w:sz w:val="22"/>
        </w:rPr>
        <w:t xml:space="preserve">ese data </w:t>
      </w:r>
      <w:r w:rsidR="003310C8" w:rsidRPr="00BA050E">
        <w:rPr>
          <w:sz w:val="22"/>
        </w:rPr>
        <w:t>will</w:t>
      </w:r>
      <w:r w:rsidR="005C6906" w:rsidRPr="00BA050E">
        <w:rPr>
          <w:sz w:val="22"/>
        </w:rPr>
        <w:t xml:space="preserve"> provide </w:t>
      </w:r>
      <w:r w:rsidRPr="00BA050E">
        <w:rPr>
          <w:sz w:val="22"/>
        </w:rPr>
        <w:t xml:space="preserve">background </w:t>
      </w:r>
      <w:r w:rsidR="005C6906" w:rsidRPr="00BA050E">
        <w:rPr>
          <w:sz w:val="22"/>
        </w:rPr>
        <w:t xml:space="preserve">context </w:t>
      </w:r>
      <w:r w:rsidRPr="00BA050E">
        <w:rPr>
          <w:sz w:val="22"/>
        </w:rPr>
        <w:t xml:space="preserve">and a baseline for the </w:t>
      </w:r>
      <w:r w:rsidRPr="00BA050E">
        <w:rPr>
          <w:i/>
          <w:sz w:val="22"/>
        </w:rPr>
        <w:t>Skills for Jobs</w:t>
      </w:r>
      <w:r w:rsidR="0011690E" w:rsidRPr="00BA050E">
        <w:rPr>
          <w:sz w:val="22"/>
        </w:rPr>
        <w:t xml:space="preserve"> project</w:t>
      </w:r>
      <w:r w:rsidR="00534C59">
        <w:rPr>
          <w:sz w:val="22"/>
        </w:rPr>
        <w:t xml:space="preserve"> later in the CPF cycle</w:t>
      </w:r>
      <w:r w:rsidR="0011690E" w:rsidRPr="00BA050E">
        <w:rPr>
          <w:sz w:val="22"/>
        </w:rPr>
        <w:t>.</w:t>
      </w:r>
    </w:p>
    <w:p w14:paraId="51DA0961" w14:textId="77777777" w:rsidR="00F767BE" w:rsidRPr="00597C69" w:rsidRDefault="00F767BE" w:rsidP="00597C69">
      <w:pPr>
        <w:pStyle w:val="ListParagraph"/>
        <w:rPr>
          <w:sz w:val="22"/>
        </w:rPr>
      </w:pPr>
    </w:p>
    <w:p w14:paraId="57E545EA" w14:textId="77777777" w:rsidR="00F767BE" w:rsidRPr="006E73EE" w:rsidRDefault="00F767BE" w:rsidP="00597C69">
      <w:pPr>
        <w:pBdr>
          <w:top w:val="single" w:sz="4" w:space="1" w:color="auto"/>
          <w:left w:val="single" w:sz="4" w:space="4" w:color="auto"/>
          <w:bottom w:val="single" w:sz="4" w:space="1" w:color="auto"/>
          <w:right w:val="single" w:sz="4" w:space="4" w:color="auto"/>
          <w:between w:val="single" w:sz="4" w:space="1" w:color="auto"/>
          <w:bar w:val="single" w:sz="4" w:color="auto"/>
        </w:pBdr>
        <w:spacing w:line="247" w:lineRule="auto"/>
        <w:ind w:left="-14" w:right="0" w:firstLine="0"/>
        <w:rPr>
          <w:b/>
          <w:sz w:val="22"/>
        </w:rPr>
      </w:pPr>
      <w:r w:rsidRPr="006E73EE">
        <w:rPr>
          <w:b/>
          <w:sz w:val="22"/>
        </w:rPr>
        <w:t>CLIMATE CROSS-CUTTING THEME</w:t>
      </w:r>
      <w:r>
        <w:rPr>
          <w:b/>
          <w:sz w:val="22"/>
        </w:rPr>
        <w:t xml:space="preserve"> </w:t>
      </w:r>
      <w:r w:rsidRPr="006E73EE">
        <w:rPr>
          <w:b/>
          <w:sz w:val="22"/>
        </w:rPr>
        <w:t>Objective 4A: Greater adaptation, resilience and response to climate change</w:t>
      </w:r>
    </w:p>
    <w:p w14:paraId="14FDCC98" w14:textId="77777777" w:rsidR="00F767BE" w:rsidRDefault="00F767BE" w:rsidP="00597C69">
      <w:pPr>
        <w:pStyle w:val="ListParagraph"/>
        <w:spacing w:after="0" w:line="240" w:lineRule="auto"/>
        <w:ind w:left="14" w:right="0" w:firstLine="0"/>
        <w:rPr>
          <w:sz w:val="22"/>
        </w:rPr>
      </w:pPr>
    </w:p>
    <w:p w14:paraId="05FEBB54" w14:textId="61FB6765" w:rsidR="00BD3543" w:rsidRPr="00597C69" w:rsidRDefault="00832901" w:rsidP="00597C69">
      <w:pPr>
        <w:pStyle w:val="ListParagraph"/>
        <w:numPr>
          <w:ilvl w:val="0"/>
          <w:numId w:val="1"/>
        </w:numPr>
        <w:spacing w:line="247" w:lineRule="auto"/>
        <w:ind w:left="14" w:right="0" w:firstLine="0"/>
      </w:pPr>
      <w:r w:rsidRPr="00597C69">
        <w:rPr>
          <w:b/>
          <w:sz w:val="22"/>
        </w:rPr>
        <w:t>Moldova’s vulnerability to climate-related shocks is substantial with significant and frequent adverse impacts on the economy.</w:t>
      </w:r>
      <w:r w:rsidRPr="00597C69">
        <w:rPr>
          <w:sz w:val="22"/>
        </w:rPr>
        <w:t xml:space="preserve"> The 2015 summer drought, for example, affected agricultural and overall GDP and household consumption. Moldova ranks as the most climate vulnerable country in Europe based on a range of economic and social indicators, including low adaptation capacity. The FY17 </w:t>
      </w:r>
      <w:r w:rsidRPr="00597C69">
        <w:rPr>
          <w:i/>
          <w:sz w:val="22"/>
        </w:rPr>
        <w:t>Climate Adaptation Project</w:t>
      </w:r>
      <w:r w:rsidRPr="00597C69">
        <w:rPr>
          <w:sz w:val="22"/>
        </w:rPr>
        <w:t xml:space="preserve"> supports climate resilient practices in agriculture, forestry and pasture management in targeted landscapes and, in addition, strengthens the country’s national disaster management system. It fulfills Moldova’s commitment under IDA17 to support a climate adaptation investment program.</w:t>
      </w:r>
      <w:r w:rsidR="003541EB" w:rsidRPr="00597C69">
        <w:rPr>
          <w:color w:val="auto"/>
          <w:sz w:val="22"/>
        </w:rPr>
        <w:t xml:space="preserve"> </w:t>
      </w:r>
      <w:r w:rsidR="003541EB" w:rsidRPr="00597C69">
        <w:rPr>
          <w:sz w:val="22"/>
        </w:rPr>
        <w:t>IFC will assess opportunities to engage with select companies to strengthen efficiency, productivity standards, and the development of sustain</w:t>
      </w:r>
      <w:r w:rsidR="00154219">
        <w:rPr>
          <w:sz w:val="22"/>
        </w:rPr>
        <w:t>able agribusiness value chains</w:t>
      </w:r>
      <w:r w:rsidR="003541EB" w:rsidRPr="00597C69">
        <w:rPr>
          <w:sz w:val="22"/>
        </w:rPr>
        <w:t xml:space="preserve">, thus increasing downstream value-added and reducing </w:t>
      </w:r>
      <w:r w:rsidR="001164F4">
        <w:rPr>
          <w:sz w:val="22"/>
        </w:rPr>
        <w:t xml:space="preserve">commercial </w:t>
      </w:r>
      <w:r w:rsidR="003541EB" w:rsidRPr="00597C69">
        <w:rPr>
          <w:sz w:val="22"/>
        </w:rPr>
        <w:t xml:space="preserve">vulnerability to climate events. </w:t>
      </w:r>
      <w:r w:rsidRPr="000A3DB5">
        <w:rPr>
          <w:sz w:val="22"/>
        </w:rPr>
        <w:t>Meanwhile, opportunities for incorporating climate resilient activities in other sectors such as energy, health, transport and water will be pursued, subject to available resources and the authorities’ interest.</w:t>
      </w:r>
    </w:p>
    <w:p w14:paraId="18654AAD" w14:textId="77777777" w:rsidR="000D2040" w:rsidRDefault="000D2040" w:rsidP="00CA6138">
      <w:pPr>
        <w:spacing w:after="0" w:line="240" w:lineRule="auto"/>
        <w:ind w:right="0"/>
        <w:rPr>
          <w:sz w:val="22"/>
        </w:rPr>
      </w:pPr>
    </w:p>
    <w:p w14:paraId="00EE9B6E" w14:textId="77777777" w:rsidR="008E2722" w:rsidRPr="00BA050E" w:rsidRDefault="004D62E8" w:rsidP="00DE527F">
      <w:pPr>
        <w:spacing w:after="0" w:line="240" w:lineRule="auto"/>
        <w:ind w:left="0" w:right="0" w:firstLine="0"/>
        <w:rPr>
          <w:rFonts w:eastAsia="SimSun"/>
          <w:b/>
          <w:color w:val="auto"/>
          <w:sz w:val="22"/>
        </w:rPr>
      </w:pPr>
      <w:r>
        <w:rPr>
          <w:rFonts w:eastAsia="SimSun"/>
          <w:b/>
          <w:color w:val="auto"/>
          <w:sz w:val="22"/>
        </w:rPr>
        <w:t>World Bank Group</w:t>
      </w:r>
      <w:r w:rsidR="00832901">
        <w:rPr>
          <w:rFonts w:eastAsia="SimSun"/>
          <w:b/>
          <w:color w:val="auto"/>
          <w:sz w:val="22"/>
        </w:rPr>
        <w:t xml:space="preserve"> </w:t>
      </w:r>
      <w:r w:rsidR="008A1B20" w:rsidRPr="00BA050E">
        <w:rPr>
          <w:rFonts w:eastAsia="SimSun"/>
          <w:b/>
          <w:color w:val="auto"/>
          <w:sz w:val="22"/>
        </w:rPr>
        <w:t>Resources</w:t>
      </w:r>
    </w:p>
    <w:p w14:paraId="5CCD7080" w14:textId="77777777" w:rsidR="008A1B20" w:rsidRPr="00BA050E" w:rsidRDefault="008A1B20" w:rsidP="008A1B20">
      <w:pPr>
        <w:spacing w:after="0" w:line="240" w:lineRule="auto"/>
        <w:ind w:right="0"/>
        <w:rPr>
          <w:rFonts w:eastAsia="SimSun"/>
          <w:b/>
          <w:color w:val="auto"/>
          <w:sz w:val="22"/>
        </w:rPr>
      </w:pPr>
    </w:p>
    <w:p w14:paraId="5061B86A" w14:textId="598219FE" w:rsidR="008E2722" w:rsidRPr="004D62E8" w:rsidRDefault="0004793F" w:rsidP="007B3862">
      <w:pPr>
        <w:pStyle w:val="ListParagraph"/>
        <w:numPr>
          <w:ilvl w:val="0"/>
          <w:numId w:val="1"/>
        </w:numPr>
        <w:spacing w:after="0" w:line="240" w:lineRule="auto"/>
        <w:ind w:left="14" w:right="0" w:firstLine="0"/>
        <w:rPr>
          <w:rFonts w:eastAsia="SimSun"/>
          <w:b/>
          <w:color w:val="auto"/>
          <w:sz w:val="22"/>
        </w:rPr>
      </w:pPr>
      <w:r w:rsidRPr="00FB2E87">
        <w:rPr>
          <w:b/>
          <w:sz w:val="22"/>
        </w:rPr>
        <w:t>While Moldova is an IBRD/IDA blend country, it is unclear whether it will remain IDA-eligible in FY21 and beyond</w:t>
      </w:r>
      <w:r w:rsidRPr="00D77307">
        <w:rPr>
          <w:b/>
          <w:sz w:val="22"/>
        </w:rPr>
        <w:t>.</w:t>
      </w:r>
      <w:r w:rsidRPr="00FB2E87">
        <w:rPr>
          <w:sz w:val="22"/>
        </w:rPr>
        <w:t xml:space="preserve">  Moreover, its potential to borrow on IBRD terms will depend on several factors, including IBRD’s overall lending capacity, the demand from other borrowing countries, and Moldova’s creditworthiness and performance. Given these uncertainties, lending during the first half of the CPF will be </w:t>
      </w:r>
      <w:r w:rsidR="00AE26E9">
        <w:rPr>
          <w:sz w:val="22"/>
        </w:rPr>
        <w:t>almost entirely on</w:t>
      </w:r>
      <w:r w:rsidRPr="00FB2E87">
        <w:rPr>
          <w:sz w:val="22"/>
        </w:rPr>
        <w:t xml:space="preserve"> IDA terms. In this connection, Moldova’s indicative allocation under IDA18 is US$210 million</w:t>
      </w:r>
      <w:r>
        <w:rPr>
          <w:sz w:val="22"/>
        </w:rPr>
        <w:t xml:space="preserve">—subject to change based on possible GNI </w:t>
      </w:r>
      <w:r>
        <w:rPr>
          <w:i/>
          <w:sz w:val="22"/>
        </w:rPr>
        <w:t>per capita</w:t>
      </w:r>
      <w:r>
        <w:rPr>
          <w:sz w:val="22"/>
        </w:rPr>
        <w:t xml:space="preserve"> and population revisions as well </w:t>
      </w:r>
      <w:r>
        <w:rPr>
          <w:sz w:val="22"/>
        </w:rPr>
        <w:lastRenderedPageBreak/>
        <w:t>as country and portfolio performance—</w:t>
      </w:r>
      <w:r w:rsidRPr="00FB2E87">
        <w:rPr>
          <w:sz w:val="22"/>
        </w:rPr>
        <w:t>of which about 80 percent is programmed for commitment during FY18-19</w:t>
      </w:r>
      <w:r w:rsidR="00EE7D70" w:rsidRPr="00BA050E">
        <w:rPr>
          <w:sz w:val="22"/>
        </w:rPr>
        <w:t>.</w:t>
      </w:r>
    </w:p>
    <w:p w14:paraId="4FEC9E9D" w14:textId="77777777" w:rsidR="004D62E8" w:rsidRPr="004D62E8" w:rsidRDefault="004D62E8" w:rsidP="004D62E8">
      <w:pPr>
        <w:pStyle w:val="ListParagraph"/>
        <w:spacing w:after="0" w:line="240" w:lineRule="auto"/>
        <w:ind w:left="369" w:right="0" w:firstLine="0"/>
        <w:rPr>
          <w:rFonts w:eastAsia="SimSun"/>
          <w:b/>
          <w:color w:val="auto"/>
          <w:sz w:val="22"/>
          <w:highlight w:val="green"/>
        </w:rPr>
      </w:pPr>
    </w:p>
    <w:p w14:paraId="2F3066C6" w14:textId="416B0BE3" w:rsidR="004D62E8" w:rsidRDefault="00503681" w:rsidP="00503681">
      <w:pPr>
        <w:pStyle w:val="ListParagraph"/>
        <w:numPr>
          <w:ilvl w:val="0"/>
          <w:numId w:val="1"/>
        </w:numPr>
        <w:spacing w:after="0" w:line="240" w:lineRule="auto"/>
        <w:ind w:left="0" w:right="0" w:firstLine="0"/>
      </w:pPr>
      <w:r w:rsidRPr="003E49DD">
        <w:rPr>
          <w:b/>
          <w:bCs/>
          <w:sz w:val="22"/>
        </w:rPr>
        <w:t>IFC’s ability to expand investments is constrained by the small size of the private sector, financial sector instability, the challenging business climate, persisting governance issues, and political uncertainty</w:t>
      </w:r>
      <w:r w:rsidRPr="003E49DD">
        <w:rPr>
          <w:sz w:val="22"/>
        </w:rPr>
        <w:t>. IFC is committed to continue assess investment projects with eligible companies and across sectors in order to enhance further the contribution of the private sector to Moldova’s economic growth.</w:t>
      </w:r>
    </w:p>
    <w:p w14:paraId="3354F806" w14:textId="77777777" w:rsidR="00503681" w:rsidRPr="00CA6138" w:rsidRDefault="00503681" w:rsidP="004D62E8">
      <w:pPr>
        <w:pStyle w:val="ListParagraph"/>
        <w:spacing w:after="0" w:line="240" w:lineRule="auto"/>
        <w:ind w:left="14" w:right="0" w:firstLine="0"/>
        <w:rPr>
          <w:rFonts w:eastAsia="SimSun"/>
          <w:b/>
          <w:color w:val="auto"/>
          <w:sz w:val="22"/>
        </w:rPr>
      </w:pPr>
    </w:p>
    <w:p w14:paraId="6EE3951D" w14:textId="42BD6588" w:rsidR="004D62E8" w:rsidRPr="00597C69" w:rsidRDefault="004D62E8" w:rsidP="004D62E8">
      <w:pPr>
        <w:pStyle w:val="ListParagraph"/>
        <w:numPr>
          <w:ilvl w:val="0"/>
          <w:numId w:val="1"/>
        </w:numPr>
        <w:spacing w:after="0" w:line="240" w:lineRule="auto"/>
        <w:ind w:left="14" w:right="0" w:firstLine="0"/>
        <w:rPr>
          <w:bCs/>
          <w:color w:val="auto"/>
          <w:sz w:val="22"/>
        </w:rPr>
      </w:pPr>
      <w:r w:rsidRPr="006850F4">
        <w:rPr>
          <w:rFonts w:eastAsiaTheme="minorHAnsi"/>
          <w:b/>
          <w:noProof/>
          <w:color w:val="auto"/>
          <w:sz w:val="22"/>
        </w:rPr>
        <w:t xml:space="preserve">MIGA faces similar operational challenges </w:t>
      </w:r>
      <w:r w:rsidRPr="00597C69">
        <w:rPr>
          <w:rFonts w:eastAsiaTheme="minorHAnsi"/>
          <w:b/>
          <w:noProof/>
          <w:color w:val="auto"/>
          <w:sz w:val="22"/>
        </w:rPr>
        <w:t>to those of IFC</w:t>
      </w:r>
      <w:r w:rsidRPr="006850F4">
        <w:rPr>
          <w:rFonts w:eastAsiaTheme="minorHAnsi"/>
          <w:noProof/>
          <w:color w:val="auto"/>
          <w:sz w:val="22"/>
        </w:rPr>
        <w:t xml:space="preserve">, </w:t>
      </w:r>
      <w:r w:rsidRPr="006850F4">
        <w:rPr>
          <w:rFonts w:eastAsiaTheme="minorHAnsi"/>
          <w:b/>
          <w:noProof/>
          <w:color w:val="auto"/>
          <w:sz w:val="22"/>
        </w:rPr>
        <w:t>but</w:t>
      </w:r>
      <w:r w:rsidRPr="006850F4">
        <w:rPr>
          <w:rFonts w:eastAsiaTheme="minorHAnsi"/>
          <w:b/>
          <w:color w:val="auto"/>
          <w:sz w:val="22"/>
        </w:rPr>
        <w:t xml:space="preserve"> currently has three ongoing operations in support of Moldova’s fragile financial system</w:t>
      </w:r>
      <w:r w:rsidRPr="006850F4">
        <w:rPr>
          <w:rFonts w:eastAsiaTheme="minorHAnsi"/>
          <w:b/>
          <w:noProof/>
          <w:color w:val="auto"/>
          <w:sz w:val="22"/>
        </w:rPr>
        <w:t>.</w:t>
      </w:r>
      <w:r w:rsidRPr="006850F4">
        <w:rPr>
          <w:rFonts w:eastAsiaTheme="minorHAnsi"/>
          <w:noProof/>
          <w:color w:val="auto"/>
          <w:sz w:val="22"/>
        </w:rPr>
        <w:t xml:space="preserve"> While not able to identify potential guarantees</w:t>
      </w:r>
      <w:r w:rsidR="003541EB">
        <w:rPr>
          <w:rFonts w:eastAsiaTheme="minorHAnsi"/>
          <w:noProof/>
          <w:color w:val="auto"/>
          <w:sz w:val="22"/>
        </w:rPr>
        <w:t xml:space="preserve"> </w:t>
      </w:r>
      <w:r w:rsidR="003541EB" w:rsidRPr="00DF390E">
        <w:rPr>
          <w:rFonts w:eastAsiaTheme="minorHAnsi"/>
          <w:i/>
          <w:noProof/>
          <w:color w:val="auto"/>
          <w:sz w:val="22"/>
        </w:rPr>
        <w:t>ex ante</w:t>
      </w:r>
      <w:r w:rsidRPr="006850F4">
        <w:rPr>
          <w:rFonts w:eastAsiaTheme="minorHAnsi"/>
          <w:noProof/>
          <w:color w:val="auto"/>
          <w:sz w:val="22"/>
        </w:rPr>
        <w:t xml:space="preserve">, it will continue seeking opportunities to support CPF objectives </w:t>
      </w:r>
      <w:r w:rsidRPr="00597C69">
        <w:rPr>
          <w:rFonts w:eastAsiaTheme="minorHAnsi"/>
          <w:noProof/>
          <w:color w:val="auto"/>
          <w:sz w:val="22"/>
        </w:rPr>
        <w:t>in partnership with IBRD/IDA or IFC.</w:t>
      </w:r>
    </w:p>
    <w:p w14:paraId="448A7595" w14:textId="77777777" w:rsidR="00832901" w:rsidRDefault="00832901" w:rsidP="00597C69">
      <w:pPr>
        <w:spacing w:after="0" w:line="240" w:lineRule="auto"/>
        <w:ind w:left="0" w:right="0" w:firstLine="0"/>
        <w:rPr>
          <w:rFonts w:eastAsia="SimSun"/>
          <w:b/>
          <w:color w:val="auto"/>
          <w:sz w:val="22"/>
        </w:rPr>
      </w:pPr>
    </w:p>
    <w:p w14:paraId="0ECDAA1A" w14:textId="0E917C81" w:rsidR="00832901" w:rsidRPr="00597C69" w:rsidRDefault="00AE7486" w:rsidP="00AE7486">
      <w:pPr>
        <w:pStyle w:val="Caption"/>
        <w:jc w:val="center"/>
        <w:rPr>
          <w:sz w:val="22"/>
          <w:szCs w:val="22"/>
        </w:rPr>
      </w:pPr>
      <w:bookmarkStart w:id="5" w:name="_Ref484626106"/>
      <w:r w:rsidRPr="00597C69">
        <w:rPr>
          <w:sz w:val="22"/>
          <w:szCs w:val="22"/>
        </w:rPr>
        <w:t xml:space="preserve">Table </w:t>
      </w:r>
      <w:r w:rsidR="00D91CFB" w:rsidRPr="00597C69">
        <w:rPr>
          <w:sz w:val="22"/>
          <w:szCs w:val="22"/>
        </w:rPr>
        <w:fldChar w:fldCharType="begin"/>
      </w:r>
      <w:r w:rsidR="00D91CFB" w:rsidRPr="00597C69">
        <w:rPr>
          <w:sz w:val="22"/>
          <w:szCs w:val="22"/>
        </w:rPr>
        <w:instrText xml:space="preserve"> SEQ Table \* ARABIC </w:instrText>
      </w:r>
      <w:r w:rsidR="00D91CFB" w:rsidRPr="00597C69">
        <w:rPr>
          <w:sz w:val="22"/>
          <w:szCs w:val="22"/>
        </w:rPr>
        <w:fldChar w:fldCharType="separate"/>
      </w:r>
      <w:r w:rsidR="00A226A4" w:rsidRPr="00597C69">
        <w:rPr>
          <w:noProof/>
          <w:sz w:val="22"/>
          <w:szCs w:val="22"/>
        </w:rPr>
        <w:t>3</w:t>
      </w:r>
      <w:r w:rsidR="00D91CFB" w:rsidRPr="00597C69">
        <w:rPr>
          <w:noProof/>
          <w:sz w:val="22"/>
          <w:szCs w:val="22"/>
        </w:rPr>
        <w:fldChar w:fldCharType="end"/>
      </w:r>
      <w:bookmarkEnd w:id="5"/>
      <w:r w:rsidR="00832901" w:rsidRPr="00597C69">
        <w:rPr>
          <w:sz w:val="22"/>
          <w:szCs w:val="22"/>
        </w:rPr>
        <w:t xml:space="preserve">: Ongoing and Planned </w:t>
      </w:r>
      <w:r w:rsidR="00154219">
        <w:rPr>
          <w:sz w:val="22"/>
          <w:szCs w:val="22"/>
        </w:rPr>
        <w:t xml:space="preserve">Lending </w:t>
      </w:r>
      <w:r w:rsidR="00832901" w:rsidRPr="00597C69">
        <w:rPr>
          <w:sz w:val="22"/>
          <w:szCs w:val="22"/>
        </w:rPr>
        <w:t>Operations, FY14-19</w:t>
      </w:r>
      <w:r w:rsidR="00832901" w:rsidRPr="00597C69">
        <w:rPr>
          <w:rStyle w:val="FootnoteReference"/>
          <w:sz w:val="22"/>
          <w:szCs w:val="22"/>
        </w:rPr>
        <w:footnoteReference w:id="4"/>
      </w:r>
    </w:p>
    <w:tbl>
      <w:tblPr>
        <w:tblStyle w:val="TableGrid0"/>
        <w:tblpPr w:leftFromText="180" w:rightFromText="180" w:vertAnchor="text" w:horzAnchor="margin" w:tblpXSpec="center" w:tblpY="114"/>
        <w:tblW w:w="0" w:type="auto"/>
        <w:tblLook w:val="04A0" w:firstRow="1" w:lastRow="0" w:firstColumn="1" w:lastColumn="0" w:noHBand="0" w:noVBand="1"/>
      </w:tblPr>
      <w:tblGrid>
        <w:gridCol w:w="2695"/>
        <w:gridCol w:w="6655"/>
      </w:tblGrid>
      <w:tr w:rsidR="00832901" w:rsidRPr="00BA050E" w14:paraId="4116D0DC" w14:textId="77777777" w:rsidTr="00234B27">
        <w:trPr>
          <w:trHeight w:val="710"/>
        </w:trPr>
        <w:tc>
          <w:tcPr>
            <w:tcW w:w="2695" w:type="dxa"/>
          </w:tcPr>
          <w:p w14:paraId="03035A2D" w14:textId="77777777" w:rsidR="00832901" w:rsidRPr="00BA050E" w:rsidRDefault="00832901" w:rsidP="00234B27">
            <w:pPr>
              <w:spacing w:after="0" w:line="240" w:lineRule="auto"/>
              <w:ind w:left="0" w:right="0" w:firstLine="0"/>
              <w:rPr>
                <w:b/>
                <w:sz w:val="20"/>
              </w:rPr>
            </w:pPr>
          </w:p>
          <w:p w14:paraId="32A722B3" w14:textId="77777777" w:rsidR="00832901" w:rsidRPr="00BA050E" w:rsidRDefault="00832901" w:rsidP="00234B27">
            <w:pPr>
              <w:spacing w:after="0" w:line="240" w:lineRule="auto"/>
              <w:ind w:left="0" w:right="0" w:firstLine="0"/>
              <w:rPr>
                <w:b/>
                <w:sz w:val="20"/>
              </w:rPr>
            </w:pPr>
            <w:r w:rsidRPr="00BA050E">
              <w:rPr>
                <w:b/>
                <w:sz w:val="20"/>
              </w:rPr>
              <w:t>Economic Governance</w:t>
            </w:r>
          </w:p>
        </w:tc>
        <w:tc>
          <w:tcPr>
            <w:tcW w:w="6655" w:type="dxa"/>
          </w:tcPr>
          <w:p w14:paraId="50EB0944" w14:textId="77777777" w:rsidR="00832901" w:rsidRPr="00BA050E" w:rsidRDefault="00832901" w:rsidP="00234B27">
            <w:pPr>
              <w:spacing w:after="0" w:line="240" w:lineRule="auto"/>
              <w:ind w:left="0" w:right="0" w:firstLine="0"/>
              <w:rPr>
                <w:sz w:val="20"/>
              </w:rPr>
            </w:pPr>
            <w:r w:rsidRPr="00BA050E">
              <w:rPr>
                <w:sz w:val="20"/>
              </w:rPr>
              <w:t>FY14:  2</w:t>
            </w:r>
            <w:r w:rsidRPr="00BA050E">
              <w:rPr>
                <w:sz w:val="20"/>
                <w:vertAlign w:val="superscript"/>
              </w:rPr>
              <w:t>nd</w:t>
            </w:r>
            <w:r w:rsidRPr="00BA050E">
              <w:rPr>
                <w:sz w:val="20"/>
              </w:rPr>
              <w:t xml:space="preserve"> Competitiveness Enhancement</w:t>
            </w:r>
          </w:p>
          <w:p w14:paraId="63CF572F" w14:textId="77777777" w:rsidR="00832901" w:rsidRPr="00BA050E" w:rsidRDefault="00832901" w:rsidP="00234B27">
            <w:pPr>
              <w:spacing w:after="0" w:line="240" w:lineRule="auto"/>
              <w:ind w:left="0" w:right="0" w:firstLine="0"/>
              <w:rPr>
                <w:b/>
                <w:sz w:val="20"/>
              </w:rPr>
            </w:pPr>
            <w:r w:rsidRPr="00BA050E">
              <w:rPr>
                <w:b/>
                <w:sz w:val="20"/>
              </w:rPr>
              <w:t>FY18:  Economic Governance (DPO)</w:t>
            </w:r>
          </w:p>
          <w:p w14:paraId="24508BFB" w14:textId="77777777" w:rsidR="00832901" w:rsidRPr="00BA050E" w:rsidRDefault="00832901" w:rsidP="00234B27">
            <w:pPr>
              <w:spacing w:after="0" w:line="240" w:lineRule="auto"/>
              <w:ind w:left="0" w:right="0" w:firstLine="0"/>
              <w:rPr>
                <w:sz w:val="20"/>
              </w:rPr>
            </w:pPr>
            <w:r w:rsidRPr="00BA050E">
              <w:rPr>
                <w:b/>
                <w:sz w:val="20"/>
              </w:rPr>
              <w:t>FY18:  Economic Rule of Law (EU-financed TA</w:t>
            </w:r>
            <w:r w:rsidRPr="00BA050E">
              <w:rPr>
                <w:sz w:val="20"/>
              </w:rPr>
              <w:t>)</w:t>
            </w:r>
          </w:p>
        </w:tc>
      </w:tr>
      <w:tr w:rsidR="00832901" w:rsidRPr="00BA050E" w14:paraId="4AFE4409" w14:textId="77777777" w:rsidTr="00234B27">
        <w:trPr>
          <w:trHeight w:val="890"/>
        </w:trPr>
        <w:tc>
          <w:tcPr>
            <w:tcW w:w="2695" w:type="dxa"/>
          </w:tcPr>
          <w:p w14:paraId="23575600" w14:textId="77777777" w:rsidR="00832901" w:rsidRPr="00BA050E" w:rsidRDefault="00832901" w:rsidP="00234B27">
            <w:pPr>
              <w:spacing w:after="0" w:line="240" w:lineRule="auto"/>
              <w:ind w:left="0" w:right="0" w:firstLine="0"/>
              <w:rPr>
                <w:b/>
                <w:sz w:val="20"/>
              </w:rPr>
            </w:pPr>
          </w:p>
          <w:p w14:paraId="688AFBD0" w14:textId="77777777" w:rsidR="00832901" w:rsidRPr="00BA050E" w:rsidRDefault="00832901" w:rsidP="00234B27">
            <w:pPr>
              <w:spacing w:after="0" w:line="240" w:lineRule="auto"/>
              <w:ind w:left="0" w:right="0" w:firstLine="0"/>
              <w:rPr>
                <w:b/>
                <w:sz w:val="20"/>
              </w:rPr>
            </w:pPr>
          </w:p>
          <w:p w14:paraId="36EB5525" w14:textId="77777777" w:rsidR="00832901" w:rsidRPr="00BA050E" w:rsidRDefault="00832901" w:rsidP="00234B27">
            <w:pPr>
              <w:spacing w:after="0" w:line="240" w:lineRule="auto"/>
              <w:ind w:left="0" w:right="0" w:firstLine="0"/>
              <w:rPr>
                <w:b/>
                <w:sz w:val="20"/>
              </w:rPr>
            </w:pPr>
            <w:r w:rsidRPr="00BA050E">
              <w:rPr>
                <w:b/>
                <w:sz w:val="20"/>
              </w:rPr>
              <w:t>Service Governance</w:t>
            </w:r>
          </w:p>
        </w:tc>
        <w:tc>
          <w:tcPr>
            <w:tcW w:w="6655" w:type="dxa"/>
          </w:tcPr>
          <w:p w14:paraId="7D2E4C92" w14:textId="77777777" w:rsidR="00832901" w:rsidRPr="00BA050E" w:rsidRDefault="00832901" w:rsidP="00234B27">
            <w:pPr>
              <w:spacing w:after="0" w:line="240" w:lineRule="auto"/>
              <w:ind w:left="0" w:right="0" w:firstLine="0"/>
              <w:rPr>
                <w:sz w:val="20"/>
              </w:rPr>
            </w:pPr>
            <w:r w:rsidRPr="00BA050E">
              <w:rPr>
                <w:sz w:val="20"/>
              </w:rPr>
              <w:t>FY 14:  Health Transformation</w:t>
            </w:r>
          </w:p>
          <w:p w14:paraId="743C7EF6" w14:textId="77777777" w:rsidR="00832901" w:rsidRPr="00BA050E" w:rsidRDefault="00832901" w:rsidP="00234B27">
            <w:pPr>
              <w:spacing w:after="0" w:line="240" w:lineRule="auto"/>
              <w:ind w:left="0" w:right="0" w:firstLine="0"/>
              <w:rPr>
                <w:sz w:val="20"/>
              </w:rPr>
            </w:pPr>
            <w:r w:rsidRPr="00BA050E">
              <w:rPr>
                <w:sz w:val="20"/>
              </w:rPr>
              <w:t>FY 15:  District Heating Efficiency Improvement</w:t>
            </w:r>
          </w:p>
          <w:p w14:paraId="4FDFA25F" w14:textId="77777777" w:rsidR="00832901" w:rsidRPr="00BA050E" w:rsidRDefault="00832901" w:rsidP="00234B27">
            <w:pPr>
              <w:spacing w:after="0" w:line="240" w:lineRule="auto"/>
              <w:ind w:left="0" w:right="0" w:firstLine="0"/>
              <w:rPr>
                <w:sz w:val="20"/>
              </w:rPr>
            </w:pPr>
            <w:r w:rsidRPr="00BA050E">
              <w:rPr>
                <w:sz w:val="20"/>
              </w:rPr>
              <w:t>FY 16:  Local Roads Improvement</w:t>
            </w:r>
          </w:p>
          <w:p w14:paraId="5164EBDB" w14:textId="77777777" w:rsidR="00832901" w:rsidRPr="00BA050E" w:rsidRDefault="00832901" w:rsidP="00234B27">
            <w:pPr>
              <w:spacing w:after="0" w:line="240" w:lineRule="auto"/>
              <w:ind w:left="0" w:right="0" w:firstLine="0"/>
              <w:rPr>
                <w:sz w:val="20"/>
              </w:rPr>
            </w:pPr>
            <w:r w:rsidRPr="00BA050E">
              <w:rPr>
                <w:sz w:val="20"/>
              </w:rPr>
              <w:t>FY 16:  Tax Administration Modernization</w:t>
            </w:r>
          </w:p>
          <w:p w14:paraId="27B90621" w14:textId="7DDAB457" w:rsidR="00832901" w:rsidRPr="00BA050E" w:rsidRDefault="00832901" w:rsidP="00234B27">
            <w:pPr>
              <w:spacing w:after="0" w:line="240" w:lineRule="auto"/>
              <w:ind w:left="0" w:right="0" w:firstLine="0"/>
              <w:rPr>
                <w:sz w:val="20"/>
              </w:rPr>
            </w:pPr>
            <w:r w:rsidRPr="00BA050E">
              <w:rPr>
                <w:sz w:val="20"/>
              </w:rPr>
              <w:t>FY 1</w:t>
            </w:r>
            <w:r w:rsidR="00F767BE">
              <w:rPr>
                <w:sz w:val="20"/>
              </w:rPr>
              <w:t>8</w:t>
            </w:r>
            <w:r w:rsidRPr="00BA050E">
              <w:rPr>
                <w:sz w:val="20"/>
              </w:rPr>
              <w:t>:  Modernization of Government Services</w:t>
            </w:r>
          </w:p>
          <w:p w14:paraId="002CE41A" w14:textId="77777777" w:rsidR="00832901" w:rsidRPr="00BA050E" w:rsidRDefault="00832901" w:rsidP="00234B27">
            <w:pPr>
              <w:spacing w:after="0" w:line="240" w:lineRule="auto"/>
              <w:ind w:left="0" w:right="0" w:firstLine="0"/>
              <w:rPr>
                <w:b/>
                <w:sz w:val="20"/>
              </w:rPr>
            </w:pPr>
            <w:r w:rsidRPr="00BA050E">
              <w:rPr>
                <w:b/>
                <w:sz w:val="20"/>
              </w:rPr>
              <w:t>FY 18:  Land Registration, Valuation &amp; Local Taxation</w:t>
            </w:r>
          </w:p>
          <w:p w14:paraId="55377131" w14:textId="77777777" w:rsidR="00832901" w:rsidRPr="00BA050E" w:rsidRDefault="00832901" w:rsidP="00234B27">
            <w:pPr>
              <w:spacing w:after="0" w:line="240" w:lineRule="auto"/>
              <w:ind w:left="0" w:right="0" w:firstLine="0"/>
              <w:rPr>
                <w:sz w:val="20"/>
              </w:rPr>
            </w:pPr>
            <w:r w:rsidRPr="00BA050E">
              <w:rPr>
                <w:b/>
                <w:sz w:val="20"/>
              </w:rPr>
              <w:t>FY 18:  Transparent Power Market</w:t>
            </w:r>
          </w:p>
        </w:tc>
      </w:tr>
      <w:tr w:rsidR="00832901" w:rsidRPr="00BA050E" w14:paraId="37489F6C" w14:textId="77777777" w:rsidTr="00234B27">
        <w:trPr>
          <w:trHeight w:val="635"/>
        </w:trPr>
        <w:tc>
          <w:tcPr>
            <w:tcW w:w="2695" w:type="dxa"/>
          </w:tcPr>
          <w:p w14:paraId="1784F054" w14:textId="77777777" w:rsidR="00832901" w:rsidRPr="00BA050E" w:rsidRDefault="00832901" w:rsidP="00234B27">
            <w:pPr>
              <w:spacing w:after="0" w:line="240" w:lineRule="auto"/>
              <w:ind w:left="0" w:right="0" w:firstLine="0"/>
              <w:rPr>
                <w:b/>
                <w:sz w:val="20"/>
              </w:rPr>
            </w:pPr>
          </w:p>
          <w:p w14:paraId="62047EEF" w14:textId="77777777" w:rsidR="00832901" w:rsidRPr="00BA050E" w:rsidRDefault="00832901" w:rsidP="00234B27">
            <w:pPr>
              <w:spacing w:after="0" w:line="240" w:lineRule="auto"/>
              <w:ind w:left="0" w:right="0" w:firstLine="0"/>
              <w:rPr>
                <w:b/>
                <w:sz w:val="20"/>
              </w:rPr>
            </w:pPr>
            <w:r w:rsidRPr="00BA050E">
              <w:rPr>
                <w:b/>
                <w:sz w:val="20"/>
              </w:rPr>
              <w:t>Skills Development</w:t>
            </w:r>
          </w:p>
        </w:tc>
        <w:tc>
          <w:tcPr>
            <w:tcW w:w="6655" w:type="dxa"/>
          </w:tcPr>
          <w:p w14:paraId="61868E68" w14:textId="77777777" w:rsidR="00832901" w:rsidRPr="00BA050E" w:rsidRDefault="00832901" w:rsidP="00234B27">
            <w:pPr>
              <w:spacing w:after="0" w:line="240" w:lineRule="auto"/>
              <w:ind w:left="0" w:right="0" w:firstLine="0"/>
              <w:rPr>
                <w:sz w:val="20"/>
              </w:rPr>
            </w:pPr>
            <w:r w:rsidRPr="00BA050E">
              <w:rPr>
                <w:sz w:val="20"/>
              </w:rPr>
              <w:t>FY 13:  Education Reform</w:t>
            </w:r>
          </w:p>
          <w:p w14:paraId="02122817" w14:textId="77777777" w:rsidR="00832901" w:rsidRPr="00BA050E" w:rsidRDefault="00832901" w:rsidP="00234B27">
            <w:pPr>
              <w:spacing w:after="0" w:line="240" w:lineRule="auto"/>
              <w:ind w:left="0" w:right="0" w:firstLine="0"/>
              <w:rPr>
                <w:b/>
                <w:sz w:val="20"/>
              </w:rPr>
            </w:pPr>
            <w:r w:rsidRPr="00BA050E">
              <w:rPr>
                <w:b/>
                <w:sz w:val="20"/>
              </w:rPr>
              <w:t>FY 18:  Education Reform – Additional Financing</w:t>
            </w:r>
          </w:p>
          <w:p w14:paraId="0D98BAF2" w14:textId="77777777" w:rsidR="00832901" w:rsidRPr="00BA050E" w:rsidRDefault="00832901" w:rsidP="00234B27">
            <w:pPr>
              <w:spacing w:after="0" w:line="240" w:lineRule="auto"/>
              <w:ind w:left="0" w:right="0" w:firstLine="0"/>
              <w:rPr>
                <w:b/>
                <w:sz w:val="20"/>
              </w:rPr>
            </w:pPr>
            <w:r w:rsidRPr="00BA050E">
              <w:rPr>
                <w:b/>
                <w:sz w:val="20"/>
              </w:rPr>
              <w:t>FY 19:  Skills for Jobs</w:t>
            </w:r>
          </w:p>
        </w:tc>
      </w:tr>
      <w:tr w:rsidR="00832901" w:rsidRPr="00BA050E" w14:paraId="0B6F22C1" w14:textId="77777777" w:rsidTr="00234B27">
        <w:trPr>
          <w:trHeight w:val="272"/>
        </w:trPr>
        <w:tc>
          <w:tcPr>
            <w:tcW w:w="2695" w:type="dxa"/>
          </w:tcPr>
          <w:p w14:paraId="7818C3FA" w14:textId="77777777" w:rsidR="00832901" w:rsidRPr="00BA050E" w:rsidRDefault="00832901" w:rsidP="00234B27">
            <w:pPr>
              <w:spacing w:after="0" w:line="240" w:lineRule="auto"/>
              <w:ind w:left="0" w:right="0" w:firstLine="0"/>
              <w:rPr>
                <w:b/>
                <w:sz w:val="20"/>
              </w:rPr>
            </w:pPr>
            <w:r w:rsidRPr="00BA050E">
              <w:rPr>
                <w:b/>
                <w:sz w:val="20"/>
              </w:rPr>
              <w:t>Climate Adaptation</w:t>
            </w:r>
          </w:p>
        </w:tc>
        <w:tc>
          <w:tcPr>
            <w:tcW w:w="6655" w:type="dxa"/>
          </w:tcPr>
          <w:p w14:paraId="6923548A" w14:textId="77777777" w:rsidR="00832901" w:rsidRPr="00BA050E" w:rsidRDefault="00832901" w:rsidP="00234B27">
            <w:pPr>
              <w:spacing w:after="0" w:line="240" w:lineRule="auto"/>
              <w:ind w:left="0" w:right="0" w:firstLine="0"/>
              <w:rPr>
                <w:sz w:val="20"/>
              </w:rPr>
            </w:pPr>
            <w:r w:rsidRPr="00BA050E">
              <w:rPr>
                <w:sz w:val="20"/>
              </w:rPr>
              <w:t>FY 17:  Climate Adaptation</w:t>
            </w:r>
          </w:p>
        </w:tc>
      </w:tr>
    </w:tbl>
    <w:p w14:paraId="0B408725" w14:textId="77777777" w:rsidR="00EE7D70" w:rsidRPr="00BA050E" w:rsidRDefault="00EE7D70" w:rsidP="00EE7D70">
      <w:pPr>
        <w:spacing w:after="0" w:line="240" w:lineRule="auto"/>
        <w:ind w:left="0" w:right="0" w:firstLine="0"/>
        <w:rPr>
          <w:rFonts w:eastAsia="SimSun"/>
          <w:color w:val="auto"/>
          <w:sz w:val="22"/>
        </w:rPr>
      </w:pPr>
    </w:p>
    <w:p w14:paraId="458D3D1B" w14:textId="295B2F85" w:rsidR="00C22F55" w:rsidRPr="00BA050E" w:rsidRDefault="00154219" w:rsidP="00490E89">
      <w:pPr>
        <w:spacing w:after="0" w:line="240" w:lineRule="auto"/>
        <w:ind w:left="0" w:right="0" w:firstLine="0"/>
        <w:rPr>
          <w:rFonts w:eastAsia="SimSun"/>
          <w:b/>
          <w:color w:val="auto"/>
          <w:sz w:val="22"/>
        </w:rPr>
      </w:pPr>
      <w:r>
        <w:rPr>
          <w:rFonts w:eastAsia="SimSun"/>
          <w:b/>
          <w:color w:val="auto"/>
          <w:sz w:val="22"/>
        </w:rPr>
        <w:t xml:space="preserve">World </w:t>
      </w:r>
      <w:r w:rsidR="000654BE" w:rsidRPr="00BA050E">
        <w:rPr>
          <w:rFonts w:eastAsia="SimSun"/>
          <w:b/>
          <w:color w:val="auto"/>
          <w:sz w:val="22"/>
        </w:rPr>
        <w:t>Bank Group Corporate Priorities</w:t>
      </w:r>
    </w:p>
    <w:p w14:paraId="566E0428" w14:textId="77777777" w:rsidR="000654BE" w:rsidRPr="00BA050E" w:rsidRDefault="000654BE" w:rsidP="00490E89">
      <w:pPr>
        <w:spacing w:after="0" w:line="240" w:lineRule="auto"/>
        <w:ind w:left="0" w:right="0" w:firstLine="0"/>
        <w:rPr>
          <w:rFonts w:eastAsia="SimSun"/>
          <w:b/>
          <w:color w:val="auto"/>
          <w:sz w:val="22"/>
        </w:rPr>
      </w:pPr>
    </w:p>
    <w:p w14:paraId="55A25A15" w14:textId="77777777" w:rsidR="000654BE" w:rsidRPr="00E82710" w:rsidRDefault="00F757C6" w:rsidP="007B3862">
      <w:pPr>
        <w:pStyle w:val="ListParagraph"/>
        <w:numPr>
          <w:ilvl w:val="0"/>
          <w:numId w:val="1"/>
        </w:numPr>
        <w:spacing w:after="0" w:line="240" w:lineRule="auto"/>
        <w:ind w:left="14" w:right="0" w:firstLine="0"/>
        <w:rPr>
          <w:rFonts w:eastAsia="SimSun"/>
          <w:b/>
          <w:color w:val="auto"/>
          <w:sz w:val="22"/>
        </w:rPr>
      </w:pPr>
      <w:r w:rsidRPr="00E82710">
        <w:rPr>
          <w:rFonts w:eastAsia="SimSun"/>
          <w:b/>
          <w:color w:val="auto"/>
          <w:sz w:val="22"/>
        </w:rPr>
        <w:t xml:space="preserve">The CPF’s overall purpose―to support Moldova’s transition towards </w:t>
      </w:r>
      <w:r w:rsidRPr="00E82710">
        <w:rPr>
          <w:b/>
          <w:sz w:val="22"/>
        </w:rPr>
        <w:t>a new, more sustainable and inclusive growth model―i</w:t>
      </w:r>
      <w:r w:rsidRPr="00E82710">
        <w:rPr>
          <w:rFonts w:eastAsia="SimSun"/>
          <w:b/>
          <w:color w:val="auto"/>
          <w:sz w:val="22"/>
        </w:rPr>
        <w:t xml:space="preserve">s fully consistent with Bank Group priorities to end extreme poverty and boost shared prosperity in a sustainable manner. </w:t>
      </w:r>
      <w:r w:rsidRPr="00E82710">
        <w:rPr>
          <w:rFonts w:eastAsia="SimSun"/>
          <w:color w:val="auto"/>
          <w:sz w:val="22"/>
        </w:rPr>
        <w:t>Indeed, it is the future sustainability of Moldova’s poverty reduction and income inequality achievements to date that are at the heart of the CPF program</w:t>
      </w:r>
      <w:r w:rsidR="001A6D93" w:rsidRPr="00E82710">
        <w:rPr>
          <w:rFonts w:eastAsia="SimSun"/>
          <w:color w:val="auto"/>
          <w:sz w:val="22"/>
        </w:rPr>
        <w:t xml:space="preserve">. </w:t>
      </w:r>
    </w:p>
    <w:p w14:paraId="5066B284" w14:textId="77777777" w:rsidR="00CC558E" w:rsidRPr="00E82710" w:rsidRDefault="00CC558E" w:rsidP="0011690E">
      <w:pPr>
        <w:pStyle w:val="ListParagraph"/>
        <w:spacing w:after="0" w:line="240" w:lineRule="auto"/>
        <w:ind w:left="14" w:right="0" w:firstLine="0"/>
        <w:rPr>
          <w:rFonts w:eastAsia="SimSun"/>
          <w:b/>
          <w:color w:val="auto"/>
          <w:sz w:val="22"/>
        </w:rPr>
      </w:pPr>
    </w:p>
    <w:p w14:paraId="0EDB5875" w14:textId="77777777" w:rsidR="001F1367" w:rsidRPr="00E82710" w:rsidRDefault="00F757C6" w:rsidP="00CA6138">
      <w:pPr>
        <w:pStyle w:val="ListParagraph"/>
        <w:numPr>
          <w:ilvl w:val="0"/>
          <w:numId w:val="1"/>
        </w:numPr>
        <w:spacing w:after="0" w:line="240" w:lineRule="auto"/>
        <w:ind w:left="14" w:right="0" w:firstLine="0"/>
        <w:rPr>
          <w:rFonts w:eastAsia="SimSun"/>
          <w:b/>
          <w:color w:val="auto"/>
          <w:sz w:val="22"/>
        </w:rPr>
      </w:pPr>
      <w:r w:rsidRPr="0076596B">
        <w:rPr>
          <w:b/>
          <w:iCs/>
          <w:sz w:val="22"/>
        </w:rPr>
        <w:t>The CPF program also translates IDA priorities into monitorable commitments.</w:t>
      </w:r>
      <w:r w:rsidRPr="0076596B">
        <w:rPr>
          <w:iCs/>
          <w:sz w:val="22"/>
        </w:rPr>
        <w:t xml:space="preserve"> Focus areas 1 and 2, and their associated results targets, concentrate on economic and service governance respectively. A Citizen Engagement Action Plan (Annex 2) includes </w:t>
      </w:r>
      <w:r w:rsidRPr="0076596B">
        <w:rPr>
          <w:i/>
          <w:iCs/>
          <w:sz w:val="22"/>
        </w:rPr>
        <w:t>inter alia</w:t>
      </w:r>
      <w:r w:rsidRPr="0076596B">
        <w:rPr>
          <w:iCs/>
          <w:sz w:val="22"/>
        </w:rPr>
        <w:t xml:space="preserve"> a commitment that three named projects will provide platforms for enhanced beneficiary participation. A Country Gender Action Plan (Annex 9)</w:t>
      </w:r>
      <w:r w:rsidRPr="00E82710">
        <w:rPr>
          <w:iCs/>
          <w:sz w:val="22"/>
        </w:rPr>
        <w:t xml:space="preserve"> specifies activities to tackle inequalities in the job market, gender-based violence, and non-communicable disease incidence, while the results framework identifies three investment project financings (IPFs)—</w:t>
      </w:r>
      <w:r w:rsidRPr="00E82710">
        <w:rPr>
          <w:i/>
          <w:iCs/>
          <w:sz w:val="22"/>
        </w:rPr>
        <w:t>Education Reform, Local Roads Improvement, and Modernization of Government Services—</w:t>
      </w:r>
      <w:r w:rsidRPr="00E82710">
        <w:rPr>
          <w:iCs/>
          <w:sz w:val="22"/>
        </w:rPr>
        <w:t xml:space="preserve">which aim to reduce gender disparities. Finally, a </w:t>
      </w:r>
      <w:r w:rsidRPr="00E82710">
        <w:rPr>
          <w:i/>
          <w:iCs/>
          <w:sz w:val="22"/>
        </w:rPr>
        <w:t xml:space="preserve">Climate Adaptation Project </w:t>
      </w:r>
      <w:r w:rsidRPr="00E82710">
        <w:rPr>
          <w:iCs/>
          <w:sz w:val="22"/>
        </w:rPr>
        <w:t>will support the resilience of rural communities and ASA will analyze the take-up of adaptive agricultural techniques</w:t>
      </w:r>
      <w:r w:rsidR="00F62612" w:rsidRPr="00E82710">
        <w:rPr>
          <w:iCs/>
          <w:sz w:val="22"/>
        </w:rPr>
        <w:t>.</w:t>
      </w:r>
    </w:p>
    <w:p w14:paraId="0FDD4691" w14:textId="77777777" w:rsidR="009E29B1" w:rsidRPr="00BA050E" w:rsidRDefault="00A47629" w:rsidP="006D2153">
      <w:pPr>
        <w:pStyle w:val="Heading1"/>
        <w:numPr>
          <w:ilvl w:val="0"/>
          <w:numId w:val="41"/>
        </w:numPr>
        <w:ind w:right="0"/>
        <w:rPr>
          <w:rFonts w:eastAsia="SimSun" w:hint="eastAsia"/>
        </w:rPr>
      </w:pPr>
      <w:bookmarkStart w:id="6" w:name="_Toc484623049"/>
      <w:r w:rsidRPr="00BA050E">
        <w:rPr>
          <w:rFonts w:eastAsia="SimSun"/>
        </w:rPr>
        <w:lastRenderedPageBreak/>
        <w:t>RISKS</w:t>
      </w:r>
      <w:bookmarkEnd w:id="6"/>
    </w:p>
    <w:p w14:paraId="36E8D5C9" w14:textId="62BDE4F3" w:rsidR="002B0593" w:rsidRPr="00E82710" w:rsidRDefault="00F757C6" w:rsidP="00CA6138">
      <w:pPr>
        <w:pStyle w:val="ListParagraph"/>
        <w:numPr>
          <w:ilvl w:val="0"/>
          <w:numId w:val="1"/>
        </w:numPr>
        <w:spacing w:after="100" w:afterAutospacing="1" w:line="240" w:lineRule="auto"/>
        <w:ind w:left="0" w:right="0" w:firstLine="0"/>
        <w:rPr>
          <w:sz w:val="22"/>
        </w:rPr>
      </w:pPr>
      <w:r w:rsidRPr="00E82710">
        <w:rPr>
          <w:b/>
          <w:sz w:val="22"/>
        </w:rPr>
        <w:t xml:space="preserve">The main risks to program implementation are political and governance, rated </w:t>
      </w:r>
      <w:r w:rsidRPr="00E82710">
        <w:rPr>
          <w:b/>
          <w:i/>
          <w:sz w:val="22"/>
        </w:rPr>
        <w:t>high</w:t>
      </w:r>
      <w:r w:rsidRPr="00E82710">
        <w:rPr>
          <w:b/>
          <w:sz w:val="22"/>
        </w:rPr>
        <w:t xml:space="preserve">, as well as macroeconomic, institutional capacity, and fiduciary, rated </w:t>
      </w:r>
      <w:r w:rsidRPr="00E82710">
        <w:rPr>
          <w:b/>
          <w:i/>
          <w:sz w:val="22"/>
        </w:rPr>
        <w:t>substantial</w:t>
      </w:r>
      <w:r w:rsidRPr="00E82710">
        <w:rPr>
          <w:b/>
          <w:sz w:val="22"/>
        </w:rPr>
        <w:t xml:space="preserve"> (</w:t>
      </w:r>
      <w:r w:rsidR="00484665" w:rsidRPr="00597C69">
        <w:rPr>
          <w:color w:val="auto"/>
          <w:sz w:val="22"/>
        </w:rPr>
        <w:fldChar w:fldCharType="begin"/>
      </w:r>
      <w:r w:rsidR="00484665" w:rsidRPr="00597C69">
        <w:rPr>
          <w:color w:val="auto"/>
          <w:sz w:val="22"/>
        </w:rPr>
        <w:instrText xml:space="preserve"> REF _Ref484626258 \h  \* MERGEFORMAT </w:instrText>
      </w:r>
      <w:r w:rsidR="00484665" w:rsidRPr="00597C69">
        <w:rPr>
          <w:color w:val="auto"/>
          <w:sz w:val="22"/>
        </w:rPr>
      </w:r>
      <w:r w:rsidR="00484665" w:rsidRPr="00597C69">
        <w:rPr>
          <w:color w:val="auto"/>
          <w:sz w:val="22"/>
        </w:rPr>
        <w:fldChar w:fldCharType="separate"/>
      </w:r>
      <w:r w:rsidR="00484665" w:rsidRPr="00597C69">
        <w:rPr>
          <w:color w:val="auto"/>
          <w:sz w:val="22"/>
        </w:rPr>
        <w:t xml:space="preserve">Table </w:t>
      </w:r>
      <w:r w:rsidR="00484665" w:rsidRPr="00597C69">
        <w:rPr>
          <w:noProof/>
          <w:color w:val="auto"/>
          <w:sz w:val="22"/>
        </w:rPr>
        <w:t>4</w:t>
      </w:r>
      <w:r w:rsidR="00484665" w:rsidRPr="00597C69">
        <w:rPr>
          <w:color w:val="auto"/>
          <w:sz w:val="22"/>
        </w:rPr>
        <w:fldChar w:fldCharType="end"/>
      </w:r>
      <w:r w:rsidRPr="00E82710">
        <w:rPr>
          <w:b/>
          <w:sz w:val="22"/>
        </w:rPr>
        <w:t>)</w:t>
      </w:r>
      <w:r w:rsidRPr="00D77307">
        <w:rPr>
          <w:b/>
          <w:sz w:val="22"/>
        </w:rPr>
        <w:t>.</w:t>
      </w:r>
      <w:r w:rsidRPr="00E82710">
        <w:rPr>
          <w:sz w:val="22"/>
        </w:rPr>
        <w:t xml:space="preserve"> The nature of these risks and the measures proposed to manage or mitigate them are summarized below</w:t>
      </w:r>
      <w:r w:rsidR="009B5962" w:rsidRPr="00E82710">
        <w:rPr>
          <w:sz w:val="22"/>
        </w:rPr>
        <w:t>.</w:t>
      </w:r>
    </w:p>
    <w:p w14:paraId="1D5E40D6" w14:textId="77777777" w:rsidR="00773B8B" w:rsidRPr="00E82710" w:rsidRDefault="00773B8B" w:rsidP="002B0593">
      <w:pPr>
        <w:pStyle w:val="ListParagraph"/>
        <w:spacing w:after="100" w:afterAutospacing="1" w:line="247" w:lineRule="auto"/>
        <w:ind w:left="0" w:right="0" w:firstLine="0"/>
        <w:jc w:val="center"/>
        <w:rPr>
          <w:b/>
          <w:sz w:val="22"/>
        </w:rPr>
      </w:pPr>
    </w:p>
    <w:p w14:paraId="43EA09CA" w14:textId="6F5381AB" w:rsidR="001714BB" w:rsidRPr="00E82710" w:rsidRDefault="00F13564" w:rsidP="005A49AB">
      <w:pPr>
        <w:pStyle w:val="ListParagraph"/>
        <w:numPr>
          <w:ilvl w:val="0"/>
          <w:numId w:val="1"/>
        </w:numPr>
        <w:spacing w:after="100" w:afterAutospacing="1" w:line="240" w:lineRule="auto"/>
        <w:ind w:left="14" w:right="0" w:firstLine="0"/>
        <w:rPr>
          <w:sz w:val="22"/>
        </w:rPr>
      </w:pPr>
      <w:r w:rsidRPr="00E82710">
        <w:rPr>
          <w:b/>
          <w:sz w:val="22"/>
        </w:rPr>
        <w:t>P</w:t>
      </w:r>
      <w:r w:rsidR="009B5962" w:rsidRPr="00E82710">
        <w:rPr>
          <w:b/>
          <w:sz w:val="22"/>
        </w:rPr>
        <w:t>olitical and governance risks relate to the uncertain</w:t>
      </w:r>
      <w:r w:rsidR="00254A7B" w:rsidRPr="00E82710">
        <w:rPr>
          <w:b/>
          <w:sz w:val="22"/>
        </w:rPr>
        <w:t xml:space="preserve"> </w:t>
      </w:r>
      <w:r w:rsidR="002B0593" w:rsidRPr="00E82710">
        <w:rPr>
          <w:b/>
          <w:sz w:val="22"/>
        </w:rPr>
        <w:t>policy environment</w:t>
      </w:r>
      <w:r w:rsidR="00205CF8" w:rsidRPr="00E82710">
        <w:rPr>
          <w:b/>
          <w:sz w:val="22"/>
        </w:rPr>
        <w:t>, especially</w:t>
      </w:r>
      <w:r w:rsidR="009B5962" w:rsidRPr="00E82710">
        <w:rPr>
          <w:b/>
          <w:sz w:val="22"/>
        </w:rPr>
        <w:t xml:space="preserve"> </w:t>
      </w:r>
      <w:r w:rsidR="00E0733E" w:rsidRPr="00E82710">
        <w:rPr>
          <w:b/>
          <w:sz w:val="22"/>
        </w:rPr>
        <w:t xml:space="preserve">beyond </w:t>
      </w:r>
      <w:r w:rsidR="009B5962" w:rsidRPr="00E82710">
        <w:rPr>
          <w:b/>
          <w:sz w:val="22"/>
        </w:rPr>
        <w:t>November 2018</w:t>
      </w:r>
      <w:r w:rsidRPr="00E82710">
        <w:rPr>
          <w:b/>
          <w:sz w:val="22"/>
        </w:rPr>
        <w:t>.</w:t>
      </w:r>
      <w:r w:rsidRPr="00E82710">
        <w:rPr>
          <w:sz w:val="22"/>
        </w:rPr>
        <w:t xml:space="preserve"> </w:t>
      </w:r>
      <w:r w:rsidR="001F1367" w:rsidRPr="00E82710">
        <w:rPr>
          <w:sz w:val="22"/>
        </w:rPr>
        <w:t>T</w:t>
      </w:r>
      <w:r w:rsidRPr="00E82710">
        <w:rPr>
          <w:sz w:val="22"/>
        </w:rPr>
        <w:t>o mitigate these risks</w:t>
      </w:r>
      <w:r w:rsidR="009B5962" w:rsidRPr="00E82710">
        <w:rPr>
          <w:sz w:val="22"/>
        </w:rPr>
        <w:t>, only the first half of the CPF</w:t>
      </w:r>
      <w:r w:rsidRPr="00E82710">
        <w:rPr>
          <w:sz w:val="22"/>
        </w:rPr>
        <w:t xml:space="preserve"> period (</w:t>
      </w:r>
      <w:r w:rsidR="009B5962" w:rsidRPr="00E82710">
        <w:rPr>
          <w:sz w:val="22"/>
        </w:rPr>
        <w:t>FY18-19</w:t>
      </w:r>
      <w:r w:rsidRPr="00E82710">
        <w:rPr>
          <w:sz w:val="22"/>
        </w:rPr>
        <w:t>)</w:t>
      </w:r>
      <w:r w:rsidR="009B5962" w:rsidRPr="00E82710">
        <w:rPr>
          <w:i/>
          <w:sz w:val="22"/>
        </w:rPr>
        <w:t xml:space="preserve"> </w:t>
      </w:r>
      <w:r w:rsidR="009B5962" w:rsidRPr="00E82710">
        <w:rPr>
          <w:sz w:val="22"/>
        </w:rPr>
        <w:t xml:space="preserve">is programmed and no policy lending is planned </w:t>
      </w:r>
      <w:r w:rsidR="00E46A41">
        <w:rPr>
          <w:sz w:val="22"/>
        </w:rPr>
        <w:t>from mid-2018 to mid-2019</w:t>
      </w:r>
      <w:r w:rsidR="009B5962" w:rsidRPr="00E82710">
        <w:rPr>
          <w:sz w:val="22"/>
        </w:rPr>
        <w:t>. Activ</w:t>
      </w:r>
      <w:r w:rsidR="001714BB" w:rsidRPr="00E82710">
        <w:rPr>
          <w:sz w:val="22"/>
        </w:rPr>
        <w:t>ities for</w:t>
      </w:r>
      <w:r w:rsidRPr="00E82710">
        <w:rPr>
          <w:sz w:val="22"/>
        </w:rPr>
        <w:t xml:space="preserve"> </w:t>
      </w:r>
      <w:r w:rsidR="001714BB" w:rsidRPr="00E82710">
        <w:rPr>
          <w:sz w:val="22"/>
        </w:rPr>
        <w:t>FY20-21</w:t>
      </w:r>
      <w:r w:rsidR="009B5962" w:rsidRPr="00E82710">
        <w:rPr>
          <w:sz w:val="22"/>
        </w:rPr>
        <w:t xml:space="preserve"> will be defined </w:t>
      </w:r>
      <w:r w:rsidRPr="00E82710">
        <w:rPr>
          <w:sz w:val="22"/>
        </w:rPr>
        <w:t xml:space="preserve">in </w:t>
      </w:r>
      <w:r w:rsidR="00773B8B" w:rsidRPr="00E82710">
        <w:rPr>
          <w:sz w:val="22"/>
        </w:rPr>
        <w:t xml:space="preserve">early </w:t>
      </w:r>
      <w:r w:rsidR="009B5962" w:rsidRPr="00E82710">
        <w:rPr>
          <w:sz w:val="22"/>
        </w:rPr>
        <w:t xml:space="preserve">FY19 </w:t>
      </w:r>
      <w:r w:rsidRPr="00E82710">
        <w:rPr>
          <w:sz w:val="22"/>
        </w:rPr>
        <w:t>during</w:t>
      </w:r>
      <w:r w:rsidR="001714BB" w:rsidRPr="00E82710">
        <w:rPr>
          <w:sz w:val="22"/>
        </w:rPr>
        <w:t xml:space="preserve"> </w:t>
      </w:r>
      <w:r w:rsidR="009B5962" w:rsidRPr="00E82710">
        <w:rPr>
          <w:sz w:val="22"/>
        </w:rPr>
        <w:t xml:space="preserve">the </w:t>
      </w:r>
      <w:r w:rsidR="001F1367" w:rsidRPr="00E82710">
        <w:rPr>
          <w:sz w:val="22"/>
        </w:rPr>
        <w:t>PLR</w:t>
      </w:r>
      <w:r w:rsidR="001714BB" w:rsidRPr="00E82710">
        <w:rPr>
          <w:sz w:val="22"/>
        </w:rPr>
        <w:t xml:space="preserve">. </w:t>
      </w:r>
      <w:r w:rsidR="00205CF8" w:rsidRPr="00E82710">
        <w:rPr>
          <w:sz w:val="22"/>
        </w:rPr>
        <w:t>Given</w:t>
      </w:r>
      <w:r w:rsidRPr="00E82710">
        <w:rPr>
          <w:sz w:val="22"/>
        </w:rPr>
        <w:t xml:space="preserve"> </w:t>
      </w:r>
      <w:r w:rsidR="001714BB" w:rsidRPr="00E82710">
        <w:rPr>
          <w:sz w:val="22"/>
        </w:rPr>
        <w:t xml:space="preserve">uncertainty about IBRD/IDA </w:t>
      </w:r>
      <w:r w:rsidR="00B976E2" w:rsidRPr="00E82710">
        <w:rPr>
          <w:sz w:val="22"/>
        </w:rPr>
        <w:t xml:space="preserve">resources post-2020, IBRD resources will be used </w:t>
      </w:r>
      <w:r w:rsidR="004C4629">
        <w:rPr>
          <w:sz w:val="22"/>
        </w:rPr>
        <w:t xml:space="preserve">more </w:t>
      </w:r>
      <w:r w:rsidR="00B976E2" w:rsidRPr="00E82710">
        <w:rPr>
          <w:sz w:val="22"/>
        </w:rPr>
        <w:t>sparingly</w:t>
      </w:r>
      <w:r w:rsidR="004C4629">
        <w:rPr>
          <w:sz w:val="22"/>
        </w:rPr>
        <w:t xml:space="preserve"> in order</w:t>
      </w:r>
      <w:r w:rsidR="00B976E2" w:rsidRPr="00E82710">
        <w:rPr>
          <w:sz w:val="22"/>
        </w:rPr>
        <w:t xml:space="preserve"> to minimize </w:t>
      </w:r>
      <w:r w:rsidR="001714BB" w:rsidRPr="00E82710">
        <w:rPr>
          <w:sz w:val="22"/>
        </w:rPr>
        <w:t xml:space="preserve">the </w:t>
      </w:r>
      <w:r w:rsidR="00EA5759" w:rsidRPr="00E82710">
        <w:rPr>
          <w:sz w:val="22"/>
        </w:rPr>
        <w:t xml:space="preserve">potential </w:t>
      </w:r>
      <w:r w:rsidR="001714BB" w:rsidRPr="00E82710">
        <w:rPr>
          <w:sz w:val="22"/>
        </w:rPr>
        <w:t>impact of Moldova’</w:t>
      </w:r>
      <w:r w:rsidR="00EA5759" w:rsidRPr="00E82710">
        <w:rPr>
          <w:sz w:val="22"/>
        </w:rPr>
        <w:t xml:space="preserve">s possible </w:t>
      </w:r>
      <w:r w:rsidR="001714BB" w:rsidRPr="00E82710">
        <w:rPr>
          <w:sz w:val="22"/>
        </w:rPr>
        <w:t>graduation from IDA</w:t>
      </w:r>
      <w:r w:rsidR="00F757C6" w:rsidRPr="00E82710">
        <w:rPr>
          <w:sz w:val="22"/>
        </w:rPr>
        <w:t xml:space="preserve"> in FY21</w:t>
      </w:r>
      <w:r w:rsidR="001714BB" w:rsidRPr="00E82710">
        <w:rPr>
          <w:sz w:val="22"/>
        </w:rPr>
        <w:t>.</w:t>
      </w:r>
    </w:p>
    <w:p w14:paraId="04865F21" w14:textId="77777777" w:rsidR="001714BB" w:rsidRPr="00E82710" w:rsidRDefault="001714BB" w:rsidP="001714BB">
      <w:pPr>
        <w:pStyle w:val="ListParagraph"/>
        <w:spacing w:after="100" w:afterAutospacing="1" w:line="240" w:lineRule="auto"/>
        <w:ind w:left="14" w:right="0" w:firstLine="0"/>
        <w:rPr>
          <w:sz w:val="22"/>
        </w:rPr>
      </w:pPr>
    </w:p>
    <w:p w14:paraId="31FC392D" w14:textId="77777777" w:rsidR="00205CF8" w:rsidRPr="00E82710" w:rsidRDefault="00F757C6" w:rsidP="005A49AB">
      <w:pPr>
        <w:pStyle w:val="ListParagraph"/>
        <w:numPr>
          <w:ilvl w:val="0"/>
          <w:numId w:val="1"/>
        </w:numPr>
        <w:spacing w:after="100" w:afterAutospacing="1" w:line="240" w:lineRule="auto"/>
        <w:ind w:left="14" w:right="0" w:firstLine="0"/>
        <w:rPr>
          <w:sz w:val="22"/>
        </w:rPr>
      </w:pPr>
      <w:r w:rsidRPr="00D77307">
        <w:rPr>
          <w:b/>
          <w:sz w:val="22"/>
        </w:rPr>
        <w:t xml:space="preserve">The </w:t>
      </w:r>
      <w:r w:rsidRPr="00D77307">
        <w:rPr>
          <w:b/>
          <w:i/>
          <w:sz w:val="22"/>
        </w:rPr>
        <w:t>substantial</w:t>
      </w:r>
      <w:r w:rsidRPr="00D77307">
        <w:rPr>
          <w:b/>
          <w:sz w:val="22"/>
        </w:rPr>
        <w:t xml:space="preserve"> macroeconomic, institutional capacity, and fiduciary risks, which are related, include the possible opposition of vested interests to reforms, especially those involving governance, compounded by weak institutional capacity.</w:t>
      </w:r>
      <w:r w:rsidRPr="00D77307">
        <w:rPr>
          <w:sz w:val="22"/>
        </w:rPr>
        <w:t xml:space="preserve"> The vulnerability of the financial system, in particular its opaque ownership, is also a clear threat to macro-financial stability. As recommended in the CLR, measures to mitigate these risks include: minimizing investment project lending’s reliance on policy reforms which may not materialize; and using DPOs and/or ASA to support key policy reforms</w:t>
      </w:r>
      <w:r w:rsidR="00205CF8" w:rsidRPr="00E82710">
        <w:rPr>
          <w:sz w:val="22"/>
        </w:rPr>
        <w:t>.</w:t>
      </w:r>
    </w:p>
    <w:p w14:paraId="342A3210" w14:textId="77777777" w:rsidR="00205CF8" w:rsidRPr="00E82710" w:rsidRDefault="00205CF8" w:rsidP="0011690E">
      <w:pPr>
        <w:pStyle w:val="ListParagraph"/>
        <w:rPr>
          <w:sz w:val="22"/>
        </w:rPr>
      </w:pPr>
    </w:p>
    <w:p w14:paraId="51CF6AED" w14:textId="49A26CB5" w:rsidR="00205CF8" w:rsidRPr="00E82710" w:rsidRDefault="00FD0F28" w:rsidP="005A49AB">
      <w:pPr>
        <w:pStyle w:val="ListParagraph"/>
        <w:numPr>
          <w:ilvl w:val="0"/>
          <w:numId w:val="1"/>
        </w:numPr>
        <w:spacing w:after="0" w:line="240" w:lineRule="auto"/>
        <w:ind w:left="14" w:right="0" w:firstLine="0"/>
        <w:rPr>
          <w:rFonts w:eastAsia="SimSun"/>
          <w:b/>
          <w:color w:val="auto"/>
          <w:sz w:val="22"/>
        </w:rPr>
      </w:pPr>
      <w:r w:rsidRPr="00E82710">
        <w:rPr>
          <w:rFonts w:eastAsia="SimSun"/>
          <w:b/>
          <w:color w:val="auto"/>
          <w:sz w:val="22"/>
        </w:rPr>
        <w:t xml:space="preserve">World </w:t>
      </w:r>
      <w:r w:rsidR="00205CF8" w:rsidRPr="00E82710">
        <w:rPr>
          <w:rFonts w:eastAsia="SimSun"/>
          <w:b/>
          <w:color w:val="auto"/>
          <w:sz w:val="22"/>
        </w:rPr>
        <w:t xml:space="preserve">Bank ‘prior reviews’ are an important protection for implementing agencies from interference and accusations of corruption. </w:t>
      </w:r>
      <w:r w:rsidR="00205CF8" w:rsidRPr="00E82710">
        <w:rPr>
          <w:rFonts w:eastAsia="SimSun"/>
          <w:color w:val="auto"/>
          <w:sz w:val="22"/>
        </w:rPr>
        <w:t>While continuing public procurement capacity building, therefore,</w:t>
      </w:r>
      <w:r w:rsidR="00F62612" w:rsidRPr="00E82710">
        <w:rPr>
          <w:rFonts w:eastAsia="SimSun"/>
          <w:color w:val="auto"/>
          <w:sz w:val="22"/>
        </w:rPr>
        <w:t xml:space="preserve"> </w:t>
      </w:r>
      <w:r w:rsidR="00E46A41">
        <w:rPr>
          <w:rFonts w:eastAsia="SimSun"/>
          <w:color w:val="auto"/>
          <w:sz w:val="22"/>
        </w:rPr>
        <w:t xml:space="preserve">World </w:t>
      </w:r>
      <w:r w:rsidR="00F62612" w:rsidRPr="00E82710">
        <w:rPr>
          <w:rFonts w:eastAsia="SimSun"/>
          <w:color w:val="auto"/>
          <w:sz w:val="22"/>
        </w:rPr>
        <w:t>B</w:t>
      </w:r>
      <w:r w:rsidRPr="00E82710">
        <w:rPr>
          <w:rFonts w:eastAsia="SimSun"/>
          <w:color w:val="auto"/>
          <w:sz w:val="22"/>
        </w:rPr>
        <w:t>ank</w:t>
      </w:r>
      <w:r w:rsidR="00F62612" w:rsidRPr="00E82710">
        <w:rPr>
          <w:rFonts w:eastAsia="SimSun"/>
          <w:color w:val="auto"/>
          <w:sz w:val="22"/>
        </w:rPr>
        <w:t xml:space="preserve"> </w:t>
      </w:r>
      <w:r w:rsidR="00205CF8" w:rsidRPr="00E82710">
        <w:rPr>
          <w:rFonts w:eastAsia="SimSun"/>
          <w:color w:val="auto"/>
          <w:sz w:val="22"/>
        </w:rPr>
        <w:t>prior review thresholds will remain at a level that balances efficiency with integrity.</w:t>
      </w:r>
    </w:p>
    <w:p w14:paraId="1D45DB25" w14:textId="77777777" w:rsidR="005A49AB" w:rsidRDefault="005A49AB" w:rsidP="008F06F0">
      <w:pPr>
        <w:spacing w:after="100" w:afterAutospacing="1" w:line="240" w:lineRule="auto"/>
        <w:ind w:right="0"/>
        <w:rPr>
          <w:sz w:val="22"/>
        </w:rPr>
        <w:sectPr w:rsidR="005A49AB" w:rsidSect="008F4B3E">
          <w:pgSz w:w="12240" w:h="15840" w:code="1"/>
          <w:pgMar w:top="1440" w:right="1440" w:bottom="1440" w:left="1440" w:header="720" w:footer="720" w:gutter="0"/>
          <w:cols w:space="720"/>
          <w:docGrid w:linePitch="360"/>
        </w:sectPr>
      </w:pPr>
    </w:p>
    <w:p w14:paraId="1BF4D424" w14:textId="471E688E" w:rsidR="007A74E8" w:rsidRDefault="007A74E8" w:rsidP="00F757C6">
      <w:pPr>
        <w:pStyle w:val="ListParagraph"/>
        <w:spacing w:after="100" w:afterAutospacing="1" w:line="247" w:lineRule="auto"/>
        <w:ind w:left="0" w:right="0" w:firstLine="0"/>
        <w:jc w:val="center"/>
        <w:rPr>
          <w:b/>
          <w:sz w:val="22"/>
        </w:rPr>
      </w:pPr>
    </w:p>
    <w:p w14:paraId="1A7B1750" w14:textId="77777777" w:rsidR="00F757C6" w:rsidRDefault="00A226A4" w:rsidP="00A226A4">
      <w:pPr>
        <w:pStyle w:val="Caption"/>
        <w:jc w:val="center"/>
        <w:rPr>
          <w:b w:val="0"/>
          <w:sz w:val="22"/>
        </w:rPr>
      </w:pPr>
      <w:bookmarkStart w:id="7" w:name="_Ref484626258"/>
      <w:r>
        <w:t xml:space="preserve">Table </w:t>
      </w:r>
      <w:fldSimple w:instr=" SEQ Table \* ARABIC ">
        <w:r>
          <w:rPr>
            <w:noProof/>
          </w:rPr>
          <w:t>4</w:t>
        </w:r>
      </w:fldSimple>
      <w:bookmarkEnd w:id="7"/>
      <w:r w:rsidR="00F757C6" w:rsidRPr="00BA050E">
        <w:rPr>
          <w:b w:val="0"/>
          <w:sz w:val="22"/>
        </w:rPr>
        <w:t>: Summary Risks to Bank Group Program</w:t>
      </w:r>
    </w:p>
    <w:p w14:paraId="7F3A0E4F" w14:textId="77777777" w:rsidR="00A226A4" w:rsidRPr="00A226A4" w:rsidRDefault="00A226A4" w:rsidP="00A226A4"/>
    <w:tbl>
      <w:tblPr>
        <w:tblStyle w:val="TableGrid0"/>
        <w:tblW w:w="0" w:type="auto"/>
        <w:jc w:val="center"/>
        <w:tblLook w:val="04A0" w:firstRow="1" w:lastRow="0" w:firstColumn="1" w:lastColumn="0" w:noHBand="0" w:noVBand="1"/>
      </w:tblPr>
      <w:tblGrid>
        <w:gridCol w:w="4477"/>
        <w:gridCol w:w="1800"/>
      </w:tblGrid>
      <w:tr w:rsidR="00F757C6" w:rsidRPr="00BA050E" w14:paraId="201BBCBF" w14:textId="77777777" w:rsidTr="00A226A4">
        <w:trPr>
          <w:jc w:val="center"/>
        </w:trPr>
        <w:tc>
          <w:tcPr>
            <w:tcW w:w="4477" w:type="dxa"/>
          </w:tcPr>
          <w:p w14:paraId="7143DA04" w14:textId="77777777" w:rsidR="00F757C6" w:rsidRPr="00BA050E" w:rsidRDefault="00F757C6" w:rsidP="00234B27">
            <w:pPr>
              <w:spacing w:after="0" w:line="240" w:lineRule="auto"/>
              <w:ind w:left="0" w:right="0" w:firstLine="0"/>
              <w:jc w:val="center"/>
              <w:rPr>
                <w:b/>
                <w:sz w:val="20"/>
              </w:rPr>
            </w:pPr>
            <w:r w:rsidRPr="00BA050E">
              <w:rPr>
                <w:b/>
                <w:sz w:val="20"/>
              </w:rPr>
              <w:t>Risk Categories</w:t>
            </w:r>
          </w:p>
        </w:tc>
        <w:tc>
          <w:tcPr>
            <w:tcW w:w="1800" w:type="dxa"/>
          </w:tcPr>
          <w:p w14:paraId="530FCC41" w14:textId="77777777" w:rsidR="00F757C6" w:rsidRPr="00BA050E" w:rsidRDefault="00F757C6" w:rsidP="00234B27">
            <w:pPr>
              <w:spacing w:after="0" w:line="240" w:lineRule="auto"/>
              <w:ind w:left="0" w:right="0" w:firstLine="0"/>
              <w:jc w:val="center"/>
              <w:rPr>
                <w:b/>
                <w:sz w:val="20"/>
              </w:rPr>
            </w:pPr>
            <w:r w:rsidRPr="00BA050E">
              <w:rPr>
                <w:b/>
                <w:sz w:val="20"/>
              </w:rPr>
              <w:t>Rating</w:t>
            </w:r>
          </w:p>
        </w:tc>
      </w:tr>
      <w:tr w:rsidR="00F757C6" w:rsidRPr="00BA050E" w14:paraId="0C7D3603" w14:textId="77777777" w:rsidTr="00A226A4">
        <w:trPr>
          <w:jc w:val="center"/>
        </w:trPr>
        <w:tc>
          <w:tcPr>
            <w:tcW w:w="4477" w:type="dxa"/>
          </w:tcPr>
          <w:p w14:paraId="6324AAC6"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Political and governance</w:t>
            </w:r>
          </w:p>
        </w:tc>
        <w:tc>
          <w:tcPr>
            <w:tcW w:w="1800" w:type="dxa"/>
          </w:tcPr>
          <w:p w14:paraId="10B86166" w14:textId="77777777" w:rsidR="00F757C6" w:rsidRPr="00BA050E" w:rsidRDefault="00F757C6" w:rsidP="00234B27">
            <w:pPr>
              <w:spacing w:after="0" w:line="240" w:lineRule="auto"/>
              <w:ind w:left="0" w:right="0" w:firstLine="0"/>
              <w:jc w:val="center"/>
              <w:rPr>
                <w:sz w:val="20"/>
              </w:rPr>
            </w:pPr>
            <w:r w:rsidRPr="00BA050E">
              <w:rPr>
                <w:sz w:val="20"/>
              </w:rPr>
              <w:t>High</w:t>
            </w:r>
          </w:p>
        </w:tc>
      </w:tr>
      <w:tr w:rsidR="00F757C6" w:rsidRPr="00BA050E" w14:paraId="19A6E1BB" w14:textId="77777777" w:rsidTr="00A226A4">
        <w:trPr>
          <w:jc w:val="center"/>
        </w:trPr>
        <w:tc>
          <w:tcPr>
            <w:tcW w:w="4477" w:type="dxa"/>
          </w:tcPr>
          <w:p w14:paraId="3A8DCE28"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Macroeconomic</w:t>
            </w:r>
          </w:p>
        </w:tc>
        <w:tc>
          <w:tcPr>
            <w:tcW w:w="1800" w:type="dxa"/>
          </w:tcPr>
          <w:p w14:paraId="6D2AAFCB" w14:textId="77777777" w:rsidR="00F757C6" w:rsidRPr="00BA050E" w:rsidRDefault="00F757C6" w:rsidP="00234B27">
            <w:pPr>
              <w:spacing w:after="0" w:line="240" w:lineRule="auto"/>
              <w:ind w:left="0" w:right="0" w:firstLine="0"/>
              <w:jc w:val="center"/>
              <w:rPr>
                <w:sz w:val="20"/>
              </w:rPr>
            </w:pPr>
            <w:r w:rsidRPr="00BA050E">
              <w:rPr>
                <w:sz w:val="20"/>
              </w:rPr>
              <w:t>Substantial</w:t>
            </w:r>
          </w:p>
        </w:tc>
      </w:tr>
      <w:tr w:rsidR="00F757C6" w:rsidRPr="00BA050E" w14:paraId="3BEB4929" w14:textId="77777777" w:rsidTr="00A226A4">
        <w:trPr>
          <w:jc w:val="center"/>
        </w:trPr>
        <w:tc>
          <w:tcPr>
            <w:tcW w:w="4477" w:type="dxa"/>
          </w:tcPr>
          <w:p w14:paraId="322E7476"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 xml:space="preserve">Sector strategies and policies </w:t>
            </w:r>
          </w:p>
        </w:tc>
        <w:tc>
          <w:tcPr>
            <w:tcW w:w="1800" w:type="dxa"/>
          </w:tcPr>
          <w:p w14:paraId="3B36AF2E" w14:textId="77777777" w:rsidR="00F757C6" w:rsidRPr="00BA050E" w:rsidRDefault="00F757C6" w:rsidP="00234B27">
            <w:pPr>
              <w:spacing w:after="0" w:line="240" w:lineRule="auto"/>
              <w:ind w:left="0" w:right="0" w:firstLine="0"/>
              <w:jc w:val="center"/>
              <w:rPr>
                <w:sz w:val="20"/>
              </w:rPr>
            </w:pPr>
            <w:r w:rsidRPr="00BA050E">
              <w:rPr>
                <w:sz w:val="20"/>
              </w:rPr>
              <w:t>Moderate</w:t>
            </w:r>
          </w:p>
        </w:tc>
      </w:tr>
      <w:tr w:rsidR="00F757C6" w:rsidRPr="00BA050E" w14:paraId="3B4FE4A5" w14:textId="77777777" w:rsidTr="00A226A4">
        <w:trPr>
          <w:jc w:val="center"/>
        </w:trPr>
        <w:tc>
          <w:tcPr>
            <w:tcW w:w="4477" w:type="dxa"/>
          </w:tcPr>
          <w:p w14:paraId="4C626E61"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 xml:space="preserve">Technical design of project or program </w:t>
            </w:r>
          </w:p>
        </w:tc>
        <w:tc>
          <w:tcPr>
            <w:tcW w:w="1800" w:type="dxa"/>
          </w:tcPr>
          <w:p w14:paraId="773159D3" w14:textId="77777777" w:rsidR="00F757C6" w:rsidRPr="00BA050E" w:rsidRDefault="00F757C6" w:rsidP="00234B27">
            <w:pPr>
              <w:spacing w:after="0" w:line="240" w:lineRule="auto"/>
              <w:ind w:left="0" w:right="0" w:firstLine="0"/>
              <w:jc w:val="center"/>
              <w:rPr>
                <w:sz w:val="20"/>
              </w:rPr>
            </w:pPr>
            <w:r w:rsidRPr="00BA050E">
              <w:rPr>
                <w:sz w:val="20"/>
              </w:rPr>
              <w:t>Moderate</w:t>
            </w:r>
          </w:p>
        </w:tc>
      </w:tr>
      <w:tr w:rsidR="00F757C6" w:rsidRPr="00BA050E" w14:paraId="193D7DB9" w14:textId="77777777" w:rsidTr="00A226A4">
        <w:trPr>
          <w:jc w:val="center"/>
        </w:trPr>
        <w:tc>
          <w:tcPr>
            <w:tcW w:w="4477" w:type="dxa"/>
          </w:tcPr>
          <w:p w14:paraId="0303647D"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Institutional capacity for implementation</w:t>
            </w:r>
          </w:p>
        </w:tc>
        <w:tc>
          <w:tcPr>
            <w:tcW w:w="1800" w:type="dxa"/>
          </w:tcPr>
          <w:p w14:paraId="3432BB05" w14:textId="77777777" w:rsidR="00F757C6" w:rsidRPr="00BA050E" w:rsidRDefault="00F757C6" w:rsidP="00234B27">
            <w:pPr>
              <w:spacing w:after="0" w:line="240" w:lineRule="auto"/>
              <w:ind w:left="0" w:right="0" w:firstLine="0"/>
              <w:jc w:val="center"/>
              <w:rPr>
                <w:sz w:val="20"/>
              </w:rPr>
            </w:pPr>
            <w:r w:rsidRPr="00BA050E">
              <w:rPr>
                <w:sz w:val="20"/>
              </w:rPr>
              <w:t>Substantial</w:t>
            </w:r>
          </w:p>
        </w:tc>
      </w:tr>
      <w:tr w:rsidR="00F757C6" w:rsidRPr="00BA050E" w14:paraId="468765B6" w14:textId="77777777" w:rsidTr="00A226A4">
        <w:trPr>
          <w:jc w:val="center"/>
        </w:trPr>
        <w:tc>
          <w:tcPr>
            <w:tcW w:w="4477" w:type="dxa"/>
          </w:tcPr>
          <w:p w14:paraId="670CD096"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 xml:space="preserve">Fiduciary </w:t>
            </w:r>
          </w:p>
        </w:tc>
        <w:tc>
          <w:tcPr>
            <w:tcW w:w="1800" w:type="dxa"/>
          </w:tcPr>
          <w:p w14:paraId="71AAF50A" w14:textId="77777777" w:rsidR="00F757C6" w:rsidRPr="00BA050E" w:rsidRDefault="00F757C6" w:rsidP="00234B27">
            <w:pPr>
              <w:spacing w:after="0" w:line="240" w:lineRule="auto"/>
              <w:ind w:left="0" w:right="0" w:firstLine="0"/>
              <w:jc w:val="center"/>
              <w:rPr>
                <w:sz w:val="20"/>
              </w:rPr>
            </w:pPr>
            <w:r w:rsidRPr="00BA050E">
              <w:rPr>
                <w:sz w:val="20"/>
              </w:rPr>
              <w:t>Substantial</w:t>
            </w:r>
          </w:p>
        </w:tc>
      </w:tr>
      <w:tr w:rsidR="00F757C6" w:rsidRPr="00BA050E" w14:paraId="1038F046" w14:textId="77777777" w:rsidTr="00A226A4">
        <w:trPr>
          <w:jc w:val="center"/>
        </w:trPr>
        <w:tc>
          <w:tcPr>
            <w:tcW w:w="4477" w:type="dxa"/>
          </w:tcPr>
          <w:p w14:paraId="5355D24E"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 xml:space="preserve">Environment and social </w:t>
            </w:r>
          </w:p>
        </w:tc>
        <w:tc>
          <w:tcPr>
            <w:tcW w:w="1800" w:type="dxa"/>
          </w:tcPr>
          <w:p w14:paraId="1E71D65A" w14:textId="77777777" w:rsidR="00F757C6" w:rsidRPr="00BA050E" w:rsidRDefault="00F757C6" w:rsidP="00234B27">
            <w:pPr>
              <w:spacing w:after="0" w:line="240" w:lineRule="auto"/>
              <w:ind w:left="0" w:right="0" w:firstLine="0"/>
              <w:jc w:val="center"/>
              <w:rPr>
                <w:sz w:val="20"/>
              </w:rPr>
            </w:pPr>
            <w:r w:rsidRPr="00BA050E">
              <w:rPr>
                <w:sz w:val="20"/>
              </w:rPr>
              <w:t>Moderate</w:t>
            </w:r>
          </w:p>
        </w:tc>
      </w:tr>
      <w:tr w:rsidR="00F757C6" w:rsidRPr="00BA050E" w14:paraId="5BF90836" w14:textId="77777777" w:rsidTr="00A226A4">
        <w:trPr>
          <w:jc w:val="center"/>
        </w:trPr>
        <w:tc>
          <w:tcPr>
            <w:tcW w:w="4477" w:type="dxa"/>
          </w:tcPr>
          <w:p w14:paraId="73665C08"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sz w:val="20"/>
              </w:rPr>
              <w:t xml:space="preserve">Stakeholders </w:t>
            </w:r>
          </w:p>
        </w:tc>
        <w:tc>
          <w:tcPr>
            <w:tcW w:w="1800" w:type="dxa"/>
          </w:tcPr>
          <w:p w14:paraId="38E59E5C" w14:textId="77777777" w:rsidR="00F757C6" w:rsidRPr="00BA050E" w:rsidRDefault="00F757C6" w:rsidP="00234B27">
            <w:pPr>
              <w:spacing w:after="0" w:line="240" w:lineRule="auto"/>
              <w:ind w:left="0" w:right="0" w:firstLine="0"/>
              <w:jc w:val="center"/>
              <w:rPr>
                <w:sz w:val="20"/>
              </w:rPr>
            </w:pPr>
            <w:r w:rsidRPr="00BA050E">
              <w:rPr>
                <w:sz w:val="20"/>
              </w:rPr>
              <w:t>Moderate</w:t>
            </w:r>
          </w:p>
        </w:tc>
      </w:tr>
      <w:tr w:rsidR="00F757C6" w:rsidRPr="00BA050E" w14:paraId="49535F25" w14:textId="77777777" w:rsidTr="00A226A4">
        <w:trPr>
          <w:jc w:val="center"/>
        </w:trPr>
        <w:tc>
          <w:tcPr>
            <w:tcW w:w="4477" w:type="dxa"/>
          </w:tcPr>
          <w:p w14:paraId="7BBCE2D2" w14:textId="77777777" w:rsidR="00F757C6" w:rsidRPr="00BA050E" w:rsidRDefault="00F757C6" w:rsidP="00234B27">
            <w:pPr>
              <w:pStyle w:val="ListParagraph"/>
              <w:numPr>
                <w:ilvl w:val="0"/>
                <w:numId w:val="5"/>
              </w:numPr>
              <w:spacing w:after="0" w:line="240" w:lineRule="auto"/>
              <w:ind w:left="0" w:right="0" w:firstLine="0"/>
              <w:contextualSpacing w:val="0"/>
              <w:jc w:val="left"/>
              <w:rPr>
                <w:sz w:val="20"/>
              </w:rPr>
            </w:pPr>
            <w:r w:rsidRPr="00BA050E">
              <w:rPr>
                <w:b/>
                <w:sz w:val="20"/>
              </w:rPr>
              <w:t>Overall</w:t>
            </w:r>
          </w:p>
        </w:tc>
        <w:tc>
          <w:tcPr>
            <w:tcW w:w="1800" w:type="dxa"/>
          </w:tcPr>
          <w:p w14:paraId="18567F03" w14:textId="77777777" w:rsidR="00F757C6" w:rsidRPr="00BA050E" w:rsidRDefault="00F757C6" w:rsidP="00234B27">
            <w:pPr>
              <w:spacing w:after="0" w:line="240" w:lineRule="auto"/>
              <w:ind w:left="0" w:right="0" w:firstLine="0"/>
              <w:jc w:val="center"/>
              <w:rPr>
                <w:sz w:val="20"/>
              </w:rPr>
            </w:pPr>
            <w:r w:rsidRPr="00BA050E">
              <w:rPr>
                <w:b/>
                <w:sz w:val="20"/>
              </w:rPr>
              <w:t>Substantial</w:t>
            </w:r>
          </w:p>
        </w:tc>
      </w:tr>
    </w:tbl>
    <w:p w14:paraId="1E75EC1B" w14:textId="77777777" w:rsidR="008F06F0" w:rsidRDefault="008F06F0">
      <w:pPr>
        <w:spacing w:after="100" w:afterAutospacing="1" w:line="240" w:lineRule="auto"/>
        <w:ind w:right="0"/>
        <w:rPr>
          <w:sz w:val="22"/>
        </w:rPr>
      </w:pPr>
    </w:p>
    <w:p w14:paraId="2CEF7D3C" w14:textId="77777777" w:rsidR="00F757C6" w:rsidRPr="00BA050E" w:rsidRDefault="00F757C6" w:rsidP="008F06F0">
      <w:pPr>
        <w:spacing w:after="100" w:afterAutospacing="1" w:line="240" w:lineRule="auto"/>
        <w:ind w:right="0"/>
        <w:rPr>
          <w:sz w:val="22"/>
        </w:rPr>
      </w:pPr>
    </w:p>
    <w:p w14:paraId="7AA42DD3" w14:textId="77777777" w:rsidR="00F757C6" w:rsidRDefault="00F757C6" w:rsidP="005A49AB">
      <w:pPr>
        <w:spacing w:after="100" w:afterAutospacing="1" w:line="240" w:lineRule="auto"/>
        <w:ind w:right="0"/>
        <w:rPr>
          <w:sz w:val="22"/>
        </w:rPr>
        <w:sectPr w:rsidR="00F757C6" w:rsidSect="00D77307">
          <w:type w:val="continuous"/>
          <w:pgSz w:w="12240" w:h="15840" w:code="1"/>
          <w:pgMar w:top="1440" w:right="1440" w:bottom="1440" w:left="1440" w:header="720" w:footer="720" w:gutter="0"/>
          <w:pgNumType w:fmt="lowerRoman" w:start="1"/>
          <w:cols w:space="720"/>
          <w:docGrid w:linePitch="360"/>
        </w:sectPr>
      </w:pPr>
    </w:p>
    <w:p w14:paraId="077EFF5A" w14:textId="77777777" w:rsidR="008F06F0" w:rsidRPr="00BA050E" w:rsidRDefault="008F06F0" w:rsidP="005A49AB">
      <w:pPr>
        <w:spacing w:after="100" w:afterAutospacing="1" w:line="240" w:lineRule="auto"/>
        <w:ind w:right="0"/>
        <w:rPr>
          <w:sz w:val="22"/>
        </w:rPr>
      </w:pPr>
    </w:p>
    <w:p w14:paraId="2E16D160" w14:textId="77777777" w:rsidR="0064569C" w:rsidRPr="00BA050E" w:rsidRDefault="0064569C" w:rsidP="008F06F0">
      <w:pPr>
        <w:spacing w:after="100" w:afterAutospacing="1" w:line="240" w:lineRule="auto"/>
        <w:ind w:right="0"/>
        <w:rPr>
          <w:sz w:val="22"/>
        </w:rPr>
      </w:pPr>
    </w:p>
    <w:p w14:paraId="3C6B13C3" w14:textId="77777777" w:rsidR="0064569C" w:rsidRPr="00BA050E" w:rsidRDefault="0064569C">
      <w:pPr>
        <w:spacing w:after="0" w:line="240" w:lineRule="auto"/>
        <w:ind w:left="0" w:firstLine="0"/>
        <w:sectPr w:rsidR="0064569C" w:rsidRPr="00BA050E" w:rsidSect="00046633">
          <w:type w:val="continuous"/>
          <w:pgSz w:w="12240" w:h="15840" w:code="1"/>
          <w:pgMar w:top="1440" w:right="1440" w:bottom="1440" w:left="1440" w:header="720" w:footer="720" w:gutter="0"/>
          <w:pgNumType w:fmt="lowerRoman" w:start="1"/>
          <w:cols w:num="2" w:space="720"/>
          <w:docGrid w:linePitch="360"/>
        </w:sectPr>
      </w:pPr>
    </w:p>
    <w:p w14:paraId="72E1E90B" w14:textId="77777777" w:rsidR="00867831" w:rsidRPr="00BA050E" w:rsidRDefault="00867831" w:rsidP="00867831">
      <w:pPr>
        <w:pStyle w:val="Heading1"/>
        <w:ind w:right="0"/>
        <w:rPr>
          <w:rFonts w:eastAsia="Calibri"/>
        </w:rPr>
      </w:pPr>
      <w:bookmarkStart w:id="8" w:name="_Toc484623050"/>
      <w:r w:rsidRPr="00BA050E">
        <w:rPr>
          <w:rFonts w:eastAsia="Calibri"/>
        </w:rPr>
        <w:lastRenderedPageBreak/>
        <w:t>Annex 1. FY18-21 CPF Results Framework</w:t>
      </w:r>
      <w:bookmarkEnd w:id="8"/>
    </w:p>
    <w:tbl>
      <w:tblPr>
        <w:tblStyle w:val="TableGrid1"/>
        <w:tblW w:w="12955" w:type="dxa"/>
        <w:tblCellMar>
          <w:left w:w="115" w:type="dxa"/>
          <w:right w:w="115" w:type="dxa"/>
        </w:tblCellMar>
        <w:tblLook w:val="04A0" w:firstRow="1" w:lastRow="0" w:firstColumn="1" w:lastColumn="0" w:noHBand="0" w:noVBand="1"/>
      </w:tblPr>
      <w:tblGrid>
        <w:gridCol w:w="4668"/>
        <w:gridCol w:w="4579"/>
        <w:gridCol w:w="3708"/>
      </w:tblGrid>
      <w:tr w:rsidR="00867831" w:rsidRPr="00BA050E" w14:paraId="6C5938C3" w14:textId="77777777" w:rsidTr="00867831">
        <w:trPr>
          <w:trHeight w:val="368"/>
        </w:trPr>
        <w:tc>
          <w:tcPr>
            <w:tcW w:w="12955" w:type="dxa"/>
            <w:gridSpan w:val="3"/>
            <w:shd w:val="clear" w:color="auto" w:fill="FFF2CC"/>
          </w:tcPr>
          <w:p w14:paraId="5FB63697" w14:textId="77777777" w:rsidR="00867831" w:rsidRPr="00BA050E" w:rsidRDefault="00867831" w:rsidP="00867831">
            <w:pPr>
              <w:spacing w:before="80" w:after="80" w:line="240" w:lineRule="auto"/>
              <w:ind w:left="0" w:right="0" w:firstLine="0"/>
              <w:jc w:val="center"/>
              <w:rPr>
                <w:rFonts w:eastAsia="Calibri"/>
                <w:b/>
                <w:color w:val="auto"/>
                <w:sz w:val="20"/>
                <w:szCs w:val="20"/>
              </w:rPr>
            </w:pPr>
            <w:r w:rsidRPr="00BA050E">
              <w:rPr>
                <w:rFonts w:eastAsia="SimSun"/>
                <w:b/>
                <w:color w:val="auto"/>
                <w:sz w:val="20"/>
                <w:szCs w:val="20"/>
              </w:rPr>
              <w:t xml:space="preserve">FOCUS AREA 1: ECONOMIC GOVERNANCE – </w:t>
            </w:r>
            <w:r w:rsidRPr="00BA050E">
              <w:rPr>
                <w:rFonts w:eastAsia="Calibri"/>
                <w:b/>
                <w:color w:val="auto"/>
                <w:sz w:val="20"/>
                <w:szCs w:val="20"/>
              </w:rPr>
              <w:t xml:space="preserve">STRENGTHENING RULE </w:t>
            </w:r>
            <w:r w:rsidRPr="00BA050E">
              <w:rPr>
                <w:rFonts w:eastAsia="SimSun"/>
                <w:b/>
                <w:color w:val="auto"/>
                <w:sz w:val="20"/>
                <w:szCs w:val="20"/>
              </w:rPr>
              <w:t>OF</w:t>
            </w:r>
            <w:r w:rsidRPr="00BA050E">
              <w:rPr>
                <w:rFonts w:eastAsia="Calibri"/>
                <w:b/>
                <w:color w:val="auto"/>
                <w:sz w:val="20"/>
                <w:szCs w:val="20"/>
              </w:rPr>
              <w:t xml:space="preserve"> LAW &amp; ACCOUNTABILITY </w:t>
            </w:r>
            <w:r w:rsidR="00094662">
              <w:rPr>
                <w:rFonts w:eastAsia="Calibri"/>
                <w:b/>
                <w:color w:val="auto"/>
                <w:sz w:val="20"/>
                <w:szCs w:val="20"/>
              </w:rPr>
              <w:t>IN</w:t>
            </w:r>
            <w:r w:rsidRPr="00BA050E">
              <w:rPr>
                <w:rFonts w:eastAsia="Calibri"/>
                <w:b/>
                <w:color w:val="auto"/>
                <w:sz w:val="20"/>
                <w:szCs w:val="20"/>
              </w:rPr>
              <w:t xml:space="preserve"> ECONOMIC INSTITUTIONS</w:t>
            </w:r>
          </w:p>
        </w:tc>
      </w:tr>
      <w:tr w:rsidR="00867831" w:rsidRPr="00BA050E" w14:paraId="738B63FC" w14:textId="77777777" w:rsidTr="00867831">
        <w:tc>
          <w:tcPr>
            <w:tcW w:w="12955" w:type="dxa"/>
            <w:gridSpan w:val="3"/>
            <w:shd w:val="clear" w:color="auto" w:fill="E2EFD9"/>
          </w:tcPr>
          <w:p w14:paraId="35E37EFC" w14:textId="77777777" w:rsidR="00867831" w:rsidRPr="00BA050E" w:rsidRDefault="00867831" w:rsidP="00867831">
            <w:pPr>
              <w:spacing w:before="60" w:after="60" w:line="240" w:lineRule="auto"/>
              <w:ind w:left="0" w:right="0" w:firstLine="0"/>
              <w:jc w:val="center"/>
              <w:rPr>
                <w:rFonts w:eastAsia="Calibri"/>
                <w:b/>
                <w:color w:val="auto"/>
                <w:sz w:val="20"/>
                <w:szCs w:val="20"/>
              </w:rPr>
            </w:pPr>
            <w:r w:rsidRPr="00BA050E">
              <w:rPr>
                <w:rFonts w:eastAsia="Calibri"/>
                <w:b/>
                <w:color w:val="auto"/>
                <w:sz w:val="20"/>
                <w:szCs w:val="20"/>
              </w:rPr>
              <w:t>CPF OBJECTIVE 1A: Enhanced quality and implementation of investment climate regulation</w:t>
            </w:r>
          </w:p>
        </w:tc>
      </w:tr>
      <w:tr w:rsidR="00F2717B" w:rsidRPr="00BA050E" w14:paraId="7EB5FBE0" w14:textId="77777777" w:rsidTr="00FA25C5">
        <w:tc>
          <w:tcPr>
            <w:tcW w:w="12955" w:type="dxa"/>
            <w:gridSpan w:val="3"/>
          </w:tcPr>
          <w:p w14:paraId="45879D9A" w14:textId="68AED151" w:rsidR="00F2717B" w:rsidRPr="00BA050E" w:rsidRDefault="00F2717B" w:rsidP="00F767BE">
            <w:pPr>
              <w:spacing w:after="60" w:line="240" w:lineRule="auto"/>
              <w:ind w:left="0" w:right="0" w:firstLine="0"/>
              <w:rPr>
                <w:rFonts w:eastAsia="Calibri"/>
                <w:b/>
                <w:color w:val="auto"/>
                <w:sz w:val="20"/>
                <w:szCs w:val="20"/>
              </w:rPr>
            </w:pPr>
            <w:r w:rsidRPr="00903B8B">
              <w:rPr>
                <w:rFonts w:eastAsia="Calibri"/>
                <w:b/>
                <w:color w:val="auto"/>
                <w:sz w:val="20"/>
                <w:szCs w:val="20"/>
              </w:rPr>
              <w:t>Intervention logic</w:t>
            </w:r>
            <w:r w:rsidR="009919D8">
              <w:rPr>
                <w:rFonts w:eastAsia="Calibri"/>
                <w:b/>
                <w:color w:val="auto"/>
                <w:sz w:val="20"/>
                <w:szCs w:val="20"/>
              </w:rPr>
              <w:t>:</w:t>
            </w:r>
            <w:r w:rsidRPr="00903B8B">
              <w:rPr>
                <w:rFonts w:eastAsia="Calibri"/>
                <w:color w:val="auto"/>
                <w:sz w:val="20"/>
                <w:szCs w:val="20"/>
              </w:rPr>
              <w:t xml:space="preserve"> </w:t>
            </w:r>
            <w:r w:rsidR="00B23723">
              <w:rPr>
                <w:rFonts w:eastAsia="Calibri"/>
                <w:color w:val="auto"/>
                <w:sz w:val="20"/>
                <w:szCs w:val="20"/>
              </w:rPr>
              <w:t>The SCD’s</w:t>
            </w:r>
            <w:r w:rsidR="00B23723">
              <w:rPr>
                <w:rFonts w:eastAsia="Calibri"/>
                <w:b/>
                <w:color w:val="auto"/>
                <w:sz w:val="20"/>
                <w:szCs w:val="20"/>
              </w:rPr>
              <w:t xml:space="preserve"> </w:t>
            </w:r>
            <w:r w:rsidR="00B23723">
              <w:rPr>
                <w:rFonts w:eastAsia="Calibri"/>
                <w:color w:val="auto"/>
                <w:sz w:val="20"/>
                <w:szCs w:val="20"/>
              </w:rPr>
              <w:t>poverty analytics and Moldova</w:t>
            </w:r>
            <w:r w:rsidR="00B8120B">
              <w:rPr>
                <w:rFonts w:eastAsia="Calibri"/>
                <w:color w:val="auto"/>
                <w:sz w:val="20"/>
                <w:szCs w:val="20"/>
              </w:rPr>
              <w:t>’s</w:t>
            </w:r>
            <w:r w:rsidR="00B23723">
              <w:rPr>
                <w:rFonts w:eastAsia="Calibri"/>
                <w:color w:val="auto"/>
                <w:sz w:val="20"/>
                <w:szCs w:val="20"/>
              </w:rPr>
              <w:t xml:space="preserve"> 2020 vision statement emphasize the need for Moldova’s poverty</w:t>
            </w:r>
            <w:r w:rsidR="00CB2A24">
              <w:rPr>
                <w:rFonts w:eastAsia="Calibri"/>
                <w:color w:val="auto"/>
                <w:sz w:val="20"/>
                <w:szCs w:val="20"/>
              </w:rPr>
              <w:t xml:space="preserve"> </w:t>
            </w:r>
            <w:r w:rsidR="00B23723">
              <w:rPr>
                <w:rFonts w:eastAsia="Calibri"/>
                <w:color w:val="auto"/>
                <w:sz w:val="20"/>
                <w:szCs w:val="20"/>
              </w:rPr>
              <w:t>reduction to shift from a growth model based on remittances and pension</w:t>
            </w:r>
            <w:r w:rsidR="00F767BE">
              <w:rPr>
                <w:rFonts w:eastAsia="Calibri"/>
                <w:color w:val="auto"/>
                <w:sz w:val="20"/>
                <w:szCs w:val="20"/>
              </w:rPr>
              <w:t>s</w:t>
            </w:r>
            <w:r w:rsidR="00B23723">
              <w:rPr>
                <w:rFonts w:eastAsia="Calibri"/>
                <w:color w:val="auto"/>
                <w:sz w:val="20"/>
                <w:szCs w:val="20"/>
              </w:rPr>
              <w:t xml:space="preserve"> to one based on private</w:t>
            </w:r>
            <w:r w:rsidR="00F767BE">
              <w:rPr>
                <w:rFonts w:eastAsia="Calibri"/>
                <w:color w:val="auto"/>
                <w:sz w:val="20"/>
                <w:szCs w:val="20"/>
              </w:rPr>
              <w:t xml:space="preserve"> sector</w:t>
            </w:r>
            <w:r w:rsidR="00B23723">
              <w:rPr>
                <w:rFonts w:eastAsia="Calibri"/>
                <w:color w:val="auto"/>
                <w:sz w:val="20"/>
                <w:szCs w:val="20"/>
              </w:rPr>
              <w:t xml:space="preserve"> </w:t>
            </w:r>
            <w:r w:rsidR="00E12810">
              <w:rPr>
                <w:rFonts w:eastAsia="Calibri"/>
                <w:color w:val="auto"/>
                <w:sz w:val="20"/>
                <w:szCs w:val="20"/>
              </w:rPr>
              <w:t>job-creation</w:t>
            </w:r>
            <w:r w:rsidR="00F767BE">
              <w:rPr>
                <w:rFonts w:eastAsia="Calibri"/>
                <w:color w:val="auto"/>
                <w:sz w:val="20"/>
                <w:szCs w:val="20"/>
              </w:rPr>
              <w:t>.</w:t>
            </w:r>
            <w:r w:rsidR="00B23723">
              <w:rPr>
                <w:rFonts w:eastAsia="Calibri"/>
                <w:color w:val="auto"/>
                <w:sz w:val="20"/>
                <w:szCs w:val="20"/>
              </w:rPr>
              <w:t xml:space="preserve"> However, business survey data (BEEPS, Cost of Doing Business) show that growth in private employment is constrained by the corrupt and unequal treatment of businesses by state institutions. </w:t>
            </w:r>
            <w:r w:rsidR="009F624E">
              <w:rPr>
                <w:rFonts w:eastAsia="Calibri"/>
                <w:color w:val="auto"/>
                <w:sz w:val="20"/>
                <w:szCs w:val="20"/>
              </w:rPr>
              <w:t xml:space="preserve">Several </w:t>
            </w:r>
            <w:r w:rsidR="00B23723">
              <w:rPr>
                <w:rFonts w:eastAsia="Calibri"/>
                <w:color w:val="auto"/>
                <w:sz w:val="20"/>
                <w:szCs w:val="20"/>
              </w:rPr>
              <w:t>Bank Group interventions will therefore seek to reduce the scope for corruption by supporting the development and implementation of a simplified regulatory framework for business, and by measuring the performance of supervisory institutions. The Competitiveness Enhancement Project II will support a One-Stop Shop and the measurement of institutional perfor</w:t>
            </w:r>
            <w:r w:rsidR="009919D8">
              <w:rPr>
                <w:rFonts w:eastAsia="Calibri"/>
                <w:color w:val="auto"/>
                <w:sz w:val="20"/>
                <w:szCs w:val="20"/>
              </w:rPr>
              <w:t xml:space="preserve">mance and compliance costs. </w:t>
            </w:r>
            <w:r w:rsidR="00B23723">
              <w:rPr>
                <w:rFonts w:eastAsia="Calibri"/>
                <w:color w:val="auto"/>
                <w:sz w:val="20"/>
                <w:szCs w:val="20"/>
              </w:rPr>
              <w:t xml:space="preserve">IFC will </w:t>
            </w:r>
            <w:r w:rsidR="00E12810">
              <w:rPr>
                <w:rFonts w:eastAsia="Calibri"/>
                <w:color w:val="auto"/>
                <w:sz w:val="20"/>
                <w:szCs w:val="20"/>
              </w:rPr>
              <w:t xml:space="preserve">continue to </w:t>
            </w:r>
            <w:r w:rsidR="00B23723">
              <w:rPr>
                <w:rFonts w:eastAsia="Calibri"/>
                <w:color w:val="auto"/>
                <w:sz w:val="20"/>
                <w:szCs w:val="20"/>
              </w:rPr>
              <w:t xml:space="preserve">advise on regulatory simplification under the Investment Climate Reform Project and the investment climate component of the Economic Rule of Law Project. The latter will also support alternative dispute resolution mechanisms and the enforcement of commercial court decisions. An Economic Governance DPO will support a reduction in the number of trade authorizations and the automatic </w:t>
            </w:r>
            <w:r w:rsidR="00B23723" w:rsidRPr="000F7303">
              <w:rPr>
                <w:rFonts w:eastAsia="Calibri"/>
                <w:color w:val="auto"/>
                <w:sz w:val="20"/>
                <w:szCs w:val="20"/>
              </w:rPr>
              <w:t>registration of farm inputs which are in the EU catalogue. Expected outcomes during the next 2-3 years include a less burdensome business regulatory framework</w:t>
            </w:r>
            <w:r w:rsidR="00B23723">
              <w:rPr>
                <w:rFonts w:eastAsia="Calibri"/>
                <w:color w:val="auto"/>
                <w:sz w:val="20"/>
                <w:szCs w:val="20"/>
              </w:rPr>
              <w:t>,</w:t>
            </w:r>
            <w:r w:rsidR="00B23723" w:rsidRPr="00DF742E">
              <w:rPr>
                <w:color w:val="auto"/>
                <w:sz w:val="20"/>
                <w:szCs w:val="20"/>
              </w:rPr>
              <w:t xml:space="preserve"> in particular regarding licenses, permits and inspections, processes and procedures around trade logistics</w:t>
            </w:r>
            <w:r w:rsidR="009F624E">
              <w:rPr>
                <w:color w:val="auto"/>
                <w:sz w:val="20"/>
                <w:szCs w:val="20"/>
              </w:rPr>
              <w:t>,</w:t>
            </w:r>
            <w:r w:rsidR="00B23723" w:rsidRPr="00DF742E">
              <w:rPr>
                <w:color w:val="auto"/>
                <w:sz w:val="20"/>
                <w:szCs w:val="20"/>
              </w:rPr>
              <w:t xml:space="preserve"> and policies towards Foreign Direct Investments</w:t>
            </w:r>
            <w:r w:rsidRPr="00903B8B">
              <w:rPr>
                <w:rFonts w:eastAsia="Calibri"/>
                <w:color w:val="auto"/>
                <w:sz w:val="20"/>
                <w:szCs w:val="20"/>
              </w:rPr>
              <w:t>.</w:t>
            </w:r>
          </w:p>
        </w:tc>
      </w:tr>
      <w:tr w:rsidR="00867831" w:rsidRPr="00BA050E" w14:paraId="7E13B0AB" w14:textId="77777777" w:rsidTr="00F2717B">
        <w:tc>
          <w:tcPr>
            <w:tcW w:w="4668" w:type="dxa"/>
          </w:tcPr>
          <w:p w14:paraId="268CC5E6" w14:textId="77777777" w:rsidR="00867831" w:rsidRPr="00BA050E" w:rsidRDefault="00867831" w:rsidP="00867831">
            <w:pPr>
              <w:spacing w:after="0" w:line="240" w:lineRule="auto"/>
              <w:ind w:left="0" w:right="0" w:firstLine="0"/>
              <w:jc w:val="center"/>
              <w:rPr>
                <w:rFonts w:eastAsia="Calibri"/>
                <w:b/>
                <w:color w:val="auto"/>
                <w:sz w:val="20"/>
                <w:szCs w:val="20"/>
              </w:rPr>
            </w:pPr>
            <w:r w:rsidRPr="00BA050E">
              <w:rPr>
                <w:rFonts w:eastAsia="Calibri"/>
                <w:b/>
                <w:color w:val="auto"/>
                <w:sz w:val="20"/>
                <w:szCs w:val="20"/>
              </w:rPr>
              <w:t>CPF Objective Indicators</w:t>
            </w:r>
          </w:p>
        </w:tc>
        <w:tc>
          <w:tcPr>
            <w:tcW w:w="4579" w:type="dxa"/>
          </w:tcPr>
          <w:p w14:paraId="0190D669" w14:textId="77777777" w:rsidR="00867831" w:rsidRPr="00BA050E" w:rsidRDefault="00867831" w:rsidP="00867831">
            <w:pPr>
              <w:spacing w:after="60" w:line="240" w:lineRule="auto"/>
              <w:ind w:left="0" w:right="0" w:firstLine="0"/>
              <w:jc w:val="center"/>
              <w:rPr>
                <w:rFonts w:eastAsia="Calibri"/>
                <w:b/>
                <w:color w:val="auto"/>
                <w:sz w:val="20"/>
                <w:szCs w:val="20"/>
              </w:rPr>
            </w:pPr>
            <w:r w:rsidRPr="00BA050E">
              <w:rPr>
                <w:rFonts w:eastAsia="Calibri"/>
                <w:b/>
                <w:color w:val="auto"/>
                <w:sz w:val="20"/>
                <w:szCs w:val="20"/>
              </w:rPr>
              <w:t>Supplementary Progress Indicators (SPIs)</w:t>
            </w:r>
          </w:p>
        </w:tc>
        <w:tc>
          <w:tcPr>
            <w:tcW w:w="3708" w:type="dxa"/>
          </w:tcPr>
          <w:p w14:paraId="2C7E230F" w14:textId="77777777" w:rsidR="00867831" w:rsidRPr="00BA050E" w:rsidRDefault="00867831" w:rsidP="00867831">
            <w:pPr>
              <w:spacing w:after="0" w:line="240" w:lineRule="auto"/>
              <w:ind w:left="0" w:right="0" w:firstLine="0"/>
              <w:jc w:val="center"/>
              <w:rPr>
                <w:rFonts w:eastAsia="Calibri"/>
                <w:b/>
                <w:color w:val="auto"/>
                <w:sz w:val="20"/>
                <w:szCs w:val="20"/>
              </w:rPr>
            </w:pPr>
            <w:r w:rsidRPr="00BA050E">
              <w:rPr>
                <w:rFonts w:eastAsia="Calibri"/>
                <w:b/>
                <w:color w:val="auto"/>
                <w:sz w:val="20"/>
                <w:szCs w:val="20"/>
              </w:rPr>
              <w:t>Bank Group Program</w:t>
            </w:r>
          </w:p>
        </w:tc>
      </w:tr>
      <w:tr w:rsidR="00867831" w:rsidRPr="00BA050E" w14:paraId="54F88605" w14:textId="77777777" w:rsidTr="00F2717B">
        <w:tc>
          <w:tcPr>
            <w:tcW w:w="4668" w:type="dxa"/>
          </w:tcPr>
          <w:p w14:paraId="546D7AA1" w14:textId="77777777" w:rsidR="00867831" w:rsidRPr="00BA050E" w:rsidRDefault="00867831" w:rsidP="00867831">
            <w:pPr>
              <w:spacing w:after="0" w:line="240" w:lineRule="auto"/>
              <w:ind w:left="0" w:right="0" w:firstLine="0"/>
              <w:jc w:val="left"/>
              <w:rPr>
                <w:rFonts w:eastAsia="Calibri"/>
                <w:i/>
                <w:color w:val="auto"/>
                <w:sz w:val="20"/>
                <w:szCs w:val="20"/>
              </w:rPr>
            </w:pPr>
            <w:r w:rsidRPr="00BA050E">
              <w:rPr>
                <w:rFonts w:eastAsia="Calibri"/>
                <w:b/>
                <w:color w:val="auto"/>
                <w:sz w:val="20"/>
                <w:szCs w:val="20"/>
              </w:rPr>
              <w:t xml:space="preserve">Indicator </w:t>
            </w:r>
            <w:r w:rsidR="004D0FC9">
              <w:rPr>
                <w:rFonts w:eastAsia="Calibri"/>
                <w:b/>
                <w:color w:val="auto"/>
                <w:sz w:val="20"/>
                <w:szCs w:val="20"/>
              </w:rPr>
              <w:t>1</w:t>
            </w:r>
            <w:r w:rsidRPr="00BA050E">
              <w:rPr>
                <w:rFonts w:eastAsia="Calibri"/>
                <w:b/>
                <w:color w:val="auto"/>
                <w:sz w:val="20"/>
                <w:szCs w:val="20"/>
              </w:rPr>
              <w:t>:</w:t>
            </w:r>
            <w:r w:rsidRPr="00BA050E">
              <w:rPr>
                <w:rFonts w:eastAsia="Calibri"/>
                <w:color w:val="auto"/>
                <w:sz w:val="20"/>
                <w:szCs w:val="20"/>
              </w:rPr>
              <w:t xml:space="preserve"> Cost savings from reduced regulatory burden on businesses (annual measurement using compliance cost saving methodology of T&amp;C GP)</w:t>
            </w:r>
          </w:p>
          <w:p w14:paraId="0706674E"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Baseline: 0 (FY17)</w:t>
            </w:r>
          </w:p>
          <w:p w14:paraId="1BB5D5A2"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Target:</w:t>
            </w:r>
            <w:r w:rsidRPr="00BA050E">
              <w:rPr>
                <w:rFonts w:eastAsia="Calibri"/>
                <w:i/>
                <w:color w:val="auto"/>
                <w:sz w:val="20"/>
                <w:szCs w:val="20"/>
              </w:rPr>
              <w:t xml:space="preserve">    </w:t>
            </w:r>
            <w:r w:rsidRPr="00BA050E">
              <w:rPr>
                <w:rFonts w:eastAsia="Calibri"/>
                <w:color w:val="auto"/>
                <w:sz w:val="20"/>
                <w:szCs w:val="20"/>
              </w:rPr>
              <w:t>US$9,00</w:t>
            </w:r>
            <w:r w:rsidR="004D0FC9">
              <w:rPr>
                <w:rFonts w:eastAsia="Calibri"/>
                <w:color w:val="auto"/>
                <w:sz w:val="20"/>
                <w:szCs w:val="20"/>
              </w:rPr>
              <w:t>0</w:t>
            </w:r>
            <w:r w:rsidRPr="00BA050E">
              <w:rPr>
                <w:rFonts w:eastAsia="Calibri"/>
                <w:color w:val="auto"/>
                <w:sz w:val="20"/>
                <w:szCs w:val="20"/>
              </w:rPr>
              <w:t>,</w:t>
            </w:r>
            <w:r w:rsidR="004D0FC9">
              <w:rPr>
                <w:rFonts w:eastAsia="Calibri"/>
                <w:color w:val="auto"/>
                <w:sz w:val="20"/>
                <w:szCs w:val="20"/>
              </w:rPr>
              <w:t>000</w:t>
            </w:r>
            <w:r w:rsidRPr="00BA050E">
              <w:rPr>
                <w:rFonts w:eastAsia="Calibri"/>
                <w:color w:val="auto"/>
                <w:sz w:val="20"/>
                <w:szCs w:val="20"/>
              </w:rPr>
              <w:t xml:space="preserve"> (FY20)</w:t>
            </w:r>
          </w:p>
          <w:p w14:paraId="29D16778" w14:textId="77777777" w:rsidR="00867831" w:rsidRPr="00BA050E" w:rsidRDefault="00867831" w:rsidP="00867831">
            <w:pPr>
              <w:spacing w:after="0" w:line="240" w:lineRule="auto"/>
              <w:ind w:left="0" w:right="0" w:firstLine="0"/>
              <w:jc w:val="left"/>
              <w:rPr>
                <w:rFonts w:eastAsia="Calibri"/>
                <w:color w:val="auto"/>
                <w:sz w:val="20"/>
                <w:szCs w:val="20"/>
              </w:rPr>
            </w:pPr>
          </w:p>
          <w:p w14:paraId="617B223C" w14:textId="77777777" w:rsidR="00867831" w:rsidRPr="00BA050E" w:rsidRDefault="00867831" w:rsidP="00867831">
            <w:pPr>
              <w:spacing w:after="0" w:line="240" w:lineRule="auto"/>
              <w:ind w:left="0" w:right="0" w:firstLine="0"/>
              <w:jc w:val="left"/>
              <w:rPr>
                <w:rFonts w:eastAsia="Calibri"/>
                <w:b/>
                <w:bCs/>
                <w:sz w:val="20"/>
                <w:szCs w:val="20"/>
              </w:rPr>
            </w:pPr>
          </w:p>
          <w:p w14:paraId="4BDD481D" w14:textId="77777777" w:rsidR="00867831" w:rsidRPr="00BA050E" w:rsidRDefault="00867831" w:rsidP="00867831">
            <w:pPr>
              <w:spacing w:after="0" w:line="240" w:lineRule="auto"/>
              <w:ind w:left="0" w:right="0" w:firstLine="0"/>
              <w:jc w:val="left"/>
              <w:rPr>
                <w:rFonts w:eastAsia="Calibri"/>
                <w:b/>
                <w:bCs/>
                <w:sz w:val="20"/>
                <w:szCs w:val="20"/>
              </w:rPr>
            </w:pPr>
          </w:p>
          <w:p w14:paraId="03246518" w14:textId="77777777" w:rsidR="00867831" w:rsidRPr="00BA050E" w:rsidRDefault="00867831" w:rsidP="00867831">
            <w:pPr>
              <w:spacing w:after="0" w:line="240" w:lineRule="auto"/>
              <w:ind w:left="0" w:right="0" w:firstLine="0"/>
              <w:jc w:val="left"/>
              <w:rPr>
                <w:rFonts w:eastAsia="Calibri"/>
                <w:color w:val="auto"/>
                <w:sz w:val="20"/>
                <w:szCs w:val="20"/>
              </w:rPr>
            </w:pPr>
          </w:p>
        </w:tc>
        <w:tc>
          <w:tcPr>
            <w:tcW w:w="4579" w:type="dxa"/>
          </w:tcPr>
          <w:p w14:paraId="2646F40E" w14:textId="77777777" w:rsidR="004D0FC9" w:rsidRPr="00F64D3B" w:rsidRDefault="004D0FC9" w:rsidP="004D0FC9">
            <w:pPr>
              <w:spacing w:after="0" w:line="240" w:lineRule="auto"/>
              <w:ind w:left="0" w:right="0" w:firstLine="0"/>
              <w:jc w:val="left"/>
              <w:rPr>
                <w:rFonts w:eastAsia="Calibri"/>
                <w:iCs/>
                <w:color w:val="auto"/>
                <w:sz w:val="20"/>
                <w:szCs w:val="20"/>
              </w:rPr>
            </w:pPr>
            <w:r w:rsidRPr="00D77307">
              <w:rPr>
                <w:rFonts w:eastAsia="Calibri"/>
                <w:color w:val="auto"/>
                <w:sz w:val="20"/>
                <w:szCs w:val="20"/>
              </w:rPr>
              <w:t xml:space="preserve">SPI </w:t>
            </w:r>
            <w:r w:rsidR="00604A58" w:rsidRPr="00F64D3B">
              <w:rPr>
                <w:rFonts w:eastAsia="Calibri"/>
                <w:color w:val="auto"/>
                <w:sz w:val="20"/>
                <w:szCs w:val="20"/>
              </w:rPr>
              <w:t>1</w:t>
            </w:r>
            <w:r w:rsidRPr="00D77307">
              <w:rPr>
                <w:rFonts w:eastAsia="Calibri"/>
                <w:color w:val="auto"/>
                <w:sz w:val="20"/>
                <w:szCs w:val="20"/>
              </w:rPr>
              <w:t>:</w:t>
            </w:r>
            <w:r w:rsidRPr="00F64D3B">
              <w:rPr>
                <w:rFonts w:eastAsia="Calibri"/>
                <w:color w:val="auto"/>
                <w:sz w:val="20"/>
                <w:szCs w:val="20"/>
              </w:rPr>
              <w:t xml:space="preserve"> Increased accountability of regulatory authorities and effectiveness of regulations (</w:t>
            </w:r>
            <w:r w:rsidRPr="00F64D3B">
              <w:rPr>
                <w:rFonts w:eastAsia="Calibri"/>
                <w:iCs/>
                <w:color w:val="auto"/>
                <w:sz w:val="20"/>
                <w:szCs w:val="20"/>
              </w:rPr>
              <w:t>WGI Regulatory Quality</w:t>
            </w:r>
            <w:r w:rsidR="000B561C" w:rsidRPr="00F64D3B">
              <w:rPr>
                <w:rFonts w:eastAsia="Calibri"/>
                <w:iCs/>
                <w:color w:val="auto"/>
                <w:sz w:val="20"/>
                <w:szCs w:val="20"/>
              </w:rPr>
              <w:t xml:space="preserve"> </w:t>
            </w:r>
            <w:r w:rsidR="00F64D3B" w:rsidRPr="00D77307">
              <w:rPr>
                <w:rFonts w:eastAsia="Calibri"/>
                <w:iCs/>
                <w:color w:val="auto"/>
                <w:sz w:val="20"/>
                <w:szCs w:val="20"/>
              </w:rPr>
              <w:t>[</w:t>
            </w:r>
            <w:r w:rsidR="00A72420">
              <w:rPr>
                <w:rFonts w:eastAsia="Calibri"/>
                <w:iCs/>
                <w:color w:val="auto"/>
                <w:sz w:val="20"/>
                <w:szCs w:val="20"/>
              </w:rPr>
              <w:t>for definition see</w:t>
            </w:r>
            <w:r w:rsidR="00F64D3B">
              <w:rPr>
                <w:rFonts w:eastAsia="Calibri"/>
                <w:iCs/>
                <w:color w:val="auto"/>
                <w:sz w:val="20"/>
                <w:szCs w:val="20"/>
              </w:rPr>
              <w:t xml:space="preserve"> </w:t>
            </w:r>
            <w:r w:rsidR="00F64D3B" w:rsidRPr="00F64D3B">
              <w:rPr>
                <w:rFonts w:eastAsia="Calibri"/>
                <w:iCs/>
                <w:color w:val="auto"/>
                <w:sz w:val="20"/>
                <w:szCs w:val="20"/>
              </w:rPr>
              <w:t>http://info.worldbank.org/governance/wgi/pdf/rq.pdf</w:t>
            </w:r>
            <w:r w:rsidR="000B561C" w:rsidRPr="00F64D3B">
              <w:rPr>
                <w:rFonts w:eastAsia="Calibri"/>
                <w:iCs/>
                <w:color w:val="auto"/>
                <w:sz w:val="20"/>
                <w:szCs w:val="20"/>
              </w:rPr>
              <w:t>]</w:t>
            </w:r>
            <w:r w:rsidRPr="00F64D3B">
              <w:rPr>
                <w:rFonts w:eastAsia="Calibri"/>
                <w:iCs/>
                <w:color w:val="auto"/>
                <w:sz w:val="20"/>
                <w:szCs w:val="20"/>
              </w:rPr>
              <w:t xml:space="preserve">) </w:t>
            </w:r>
          </w:p>
          <w:p w14:paraId="0B0D889F" w14:textId="77777777" w:rsidR="004D0FC9" w:rsidRPr="00F64D3B" w:rsidRDefault="004D0FC9" w:rsidP="004D0FC9">
            <w:pPr>
              <w:spacing w:after="0" w:line="240" w:lineRule="auto"/>
              <w:ind w:left="0" w:right="0" w:firstLine="0"/>
              <w:jc w:val="left"/>
              <w:rPr>
                <w:rFonts w:eastAsia="Calibri"/>
                <w:iCs/>
                <w:color w:val="auto"/>
                <w:sz w:val="20"/>
                <w:szCs w:val="20"/>
              </w:rPr>
            </w:pPr>
            <w:r w:rsidRPr="00F64D3B">
              <w:rPr>
                <w:rFonts w:eastAsia="Calibri"/>
                <w:iCs/>
                <w:color w:val="auto"/>
                <w:sz w:val="20"/>
                <w:szCs w:val="20"/>
              </w:rPr>
              <w:t>Baseline: -0.05 (2015)</w:t>
            </w:r>
          </w:p>
          <w:p w14:paraId="213EE37A" w14:textId="77777777" w:rsidR="004D0FC9" w:rsidRDefault="004D0FC9" w:rsidP="004D0FC9">
            <w:pPr>
              <w:spacing w:after="0" w:line="240" w:lineRule="auto"/>
              <w:ind w:left="0" w:right="0" w:firstLine="0"/>
              <w:jc w:val="left"/>
              <w:rPr>
                <w:rFonts w:eastAsia="Calibri"/>
                <w:iCs/>
                <w:color w:val="auto"/>
                <w:sz w:val="20"/>
                <w:szCs w:val="20"/>
              </w:rPr>
            </w:pPr>
            <w:r w:rsidRPr="00F64D3B">
              <w:rPr>
                <w:rFonts w:eastAsia="Calibri"/>
                <w:iCs/>
                <w:color w:val="auto"/>
                <w:sz w:val="20"/>
                <w:szCs w:val="20"/>
              </w:rPr>
              <w:t>Target:    0.3 (2020)</w:t>
            </w:r>
          </w:p>
          <w:p w14:paraId="04A97D24" w14:textId="77777777" w:rsidR="00604A58" w:rsidRDefault="00604A58" w:rsidP="004D0FC9">
            <w:pPr>
              <w:spacing w:after="0" w:line="240" w:lineRule="auto"/>
              <w:ind w:left="0" w:right="0" w:firstLine="0"/>
              <w:jc w:val="left"/>
              <w:rPr>
                <w:rFonts w:eastAsia="Calibri"/>
                <w:iCs/>
                <w:color w:val="auto"/>
                <w:sz w:val="20"/>
                <w:szCs w:val="20"/>
              </w:rPr>
            </w:pPr>
          </w:p>
          <w:p w14:paraId="75327BEE" w14:textId="77777777" w:rsidR="00604A58" w:rsidRPr="00BA050E" w:rsidRDefault="00604A58" w:rsidP="00604A58">
            <w:pPr>
              <w:spacing w:after="0" w:line="240" w:lineRule="auto"/>
              <w:ind w:left="0" w:right="0" w:firstLine="0"/>
              <w:jc w:val="left"/>
              <w:rPr>
                <w:rFonts w:eastAsia="Calibri"/>
                <w:color w:val="auto"/>
                <w:sz w:val="20"/>
                <w:szCs w:val="20"/>
              </w:rPr>
            </w:pPr>
            <w:r>
              <w:rPr>
                <w:rFonts w:eastAsia="Calibri"/>
                <w:iCs/>
                <w:color w:val="auto"/>
                <w:sz w:val="20"/>
                <w:szCs w:val="20"/>
              </w:rPr>
              <w:t>SPI 2</w:t>
            </w:r>
            <w:r w:rsidRPr="00BA050E">
              <w:rPr>
                <w:rFonts w:eastAsia="Calibri"/>
                <w:iCs/>
                <w:color w:val="auto"/>
                <w:sz w:val="20"/>
                <w:szCs w:val="20"/>
              </w:rPr>
              <w:t>: Enhanced p</w:t>
            </w:r>
            <w:r w:rsidRPr="00BA050E">
              <w:rPr>
                <w:rFonts w:eastAsia="Calibri"/>
                <w:color w:val="auto"/>
                <w:sz w:val="20"/>
                <w:szCs w:val="20"/>
              </w:rPr>
              <w:t>erformance-based indicators for authorities with business regulatory functions (monitored under CEP-II) – annual indicator compared to 2015 baseline</w:t>
            </w:r>
          </w:p>
          <w:p w14:paraId="2CC95FF5" w14:textId="77777777" w:rsidR="00867831" w:rsidRPr="00BA050E" w:rsidRDefault="00867831" w:rsidP="00867831">
            <w:pPr>
              <w:spacing w:after="0" w:line="240" w:lineRule="auto"/>
              <w:ind w:left="0" w:right="0" w:firstLine="0"/>
              <w:jc w:val="left"/>
              <w:rPr>
                <w:rFonts w:eastAsia="Calibri"/>
                <w:color w:val="auto"/>
                <w:sz w:val="20"/>
                <w:szCs w:val="20"/>
              </w:rPr>
            </w:pPr>
          </w:p>
          <w:p w14:paraId="447315A4"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iCs/>
                <w:color w:val="auto"/>
                <w:sz w:val="20"/>
                <w:szCs w:val="20"/>
              </w:rPr>
              <w:t xml:space="preserve">SPI </w:t>
            </w:r>
            <w:r w:rsidR="00604A58">
              <w:rPr>
                <w:rFonts w:eastAsia="Calibri"/>
                <w:iCs/>
                <w:color w:val="auto"/>
                <w:sz w:val="20"/>
                <w:szCs w:val="20"/>
              </w:rPr>
              <w:t>3</w:t>
            </w:r>
            <w:r w:rsidRPr="00BA050E">
              <w:rPr>
                <w:rFonts w:eastAsia="Calibri"/>
                <w:iCs/>
                <w:color w:val="auto"/>
                <w:sz w:val="20"/>
                <w:szCs w:val="20"/>
              </w:rPr>
              <w:t xml:space="preserve">: </w:t>
            </w:r>
            <w:r w:rsidRPr="00BA050E">
              <w:rPr>
                <w:rFonts w:eastAsia="Calibri"/>
                <w:color w:val="auto"/>
                <w:sz w:val="20"/>
                <w:szCs w:val="20"/>
              </w:rPr>
              <w:t>Percentage of management time spent dealing with regulatory authorities remains under 8% (CODB survey under CEP-II), i.e. maintaining reduction from 10.7% in 2013 to 7.9% in 2016</w:t>
            </w:r>
          </w:p>
          <w:p w14:paraId="0E12140A" w14:textId="77777777" w:rsidR="00867831" w:rsidRPr="00BA050E" w:rsidRDefault="00867831" w:rsidP="00867831">
            <w:pPr>
              <w:spacing w:after="0" w:line="240" w:lineRule="auto"/>
              <w:ind w:left="0" w:right="0" w:firstLine="0"/>
              <w:jc w:val="left"/>
              <w:rPr>
                <w:rFonts w:eastAsia="Calibri"/>
                <w:color w:val="auto"/>
                <w:sz w:val="20"/>
                <w:szCs w:val="20"/>
              </w:rPr>
            </w:pPr>
          </w:p>
          <w:p w14:paraId="669786D7"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 xml:space="preserve">SPI </w:t>
            </w:r>
            <w:r w:rsidR="00604A58">
              <w:rPr>
                <w:rFonts w:eastAsia="Calibri"/>
                <w:color w:val="auto"/>
                <w:sz w:val="20"/>
                <w:szCs w:val="20"/>
              </w:rPr>
              <w:t>4</w:t>
            </w:r>
            <w:r w:rsidRPr="00BA050E">
              <w:rPr>
                <w:rFonts w:eastAsia="Calibri"/>
                <w:color w:val="auto"/>
                <w:sz w:val="20"/>
                <w:szCs w:val="20"/>
              </w:rPr>
              <w:t>: Most burdensome 80 business permits incorporated into One Stop Shop</w:t>
            </w:r>
          </w:p>
          <w:p w14:paraId="5E1CE3AF"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Baseline: 0 (FY17)</w:t>
            </w:r>
          </w:p>
          <w:p w14:paraId="15579AE7"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Target:    80 (FY19)</w:t>
            </w:r>
          </w:p>
        </w:tc>
        <w:tc>
          <w:tcPr>
            <w:tcW w:w="3708" w:type="dxa"/>
          </w:tcPr>
          <w:p w14:paraId="5CDE39BA" w14:textId="77777777" w:rsidR="00867831" w:rsidRPr="00BA050E" w:rsidRDefault="00867831" w:rsidP="00867831">
            <w:pPr>
              <w:spacing w:after="0" w:line="240" w:lineRule="auto"/>
              <w:ind w:left="0" w:right="0" w:firstLine="0"/>
              <w:jc w:val="left"/>
              <w:rPr>
                <w:rFonts w:eastAsia="Calibri"/>
                <w:b/>
                <w:color w:val="auto"/>
                <w:sz w:val="20"/>
                <w:szCs w:val="20"/>
              </w:rPr>
            </w:pPr>
            <w:r w:rsidRPr="00BA050E">
              <w:rPr>
                <w:rFonts w:eastAsia="Calibri"/>
                <w:b/>
                <w:color w:val="auto"/>
                <w:sz w:val="20"/>
                <w:szCs w:val="20"/>
              </w:rPr>
              <w:t>WBG Lending:</w:t>
            </w:r>
          </w:p>
          <w:p w14:paraId="54597C0C" w14:textId="77777777" w:rsidR="008D5F69" w:rsidRDefault="00867831" w:rsidP="00D77307">
            <w:pPr>
              <w:numPr>
                <w:ilvl w:val="0"/>
                <w:numId w:val="12"/>
              </w:numPr>
              <w:spacing w:after="0" w:line="240" w:lineRule="auto"/>
              <w:ind w:right="0"/>
              <w:contextualSpacing/>
              <w:jc w:val="left"/>
              <w:rPr>
                <w:rFonts w:eastAsia="Calibri"/>
                <w:color w:val="auto"/>
                <w:sz w:val="20"/>
                <w:szCs w:val="20"/>
              </w:rPr>
            </w:pPr>
            <w:r w:rsidRPr="00BA050E">
              <w:rPr>
                <w:rFonts w:eastAsia="Calibri"/>
                <w:color w:val="auto"/>
                <w:sz w:val="20"/>
                <w:szCs w:val="20"/>
              </w:rPr>
              <w:t>Competitiveness Enhancement II Project (ongoing)</w:t>
            </w:r>
          </w:p>
          <w:p w14:paraId="07F8AC48" w14:textId="77777777" w:rsidR="007A7258" w:rsidRPr="008D5F69" w:rsidRDefault="007A7258">
            <w:pPr>
              <w:numPr>
                <w:ilvl w:val="0"/>
                <w:numId w:val="12"/>
              </w:numPr>
              <w:spacing w:after="0" w:line="240" w:lineRule="auto"/>
              <w:ind w:right="0"/>
              <w:contextualSpacing/>
              <w:jc w:val="left"/>
              <w:rPr>
                <w:rFonts w:eastAsia="Calibri"/>
                <w:color w:val="auto"/>
                <w:sz w:val="20"/>
                <w:szCs w:val="20"/>
              </w:rPr>
            </w:pPr>
            <w:r w:rsidRPr="00D77307">
              <w:rPr>
                <w:rFonts w:eastAsia="Calibri"/>
                <w:color w:val="auto"/>
                <w:sz w:val="20"/>
                <w:szCs w:val="20"/>
                <w:u w:val="single"/>
              </w:rPr>
              <w:t>MIGA</w:t>
            </w:r>
            <w:r w:rsidR="008D5F69" w:rsidRPr="00D77307">
              <w:rPr>
                <w:rFonts w:eastAsia="Calibri"/>
                <w:color w:val="auto"/>
                <w:sz w:val="20"/>
                <w:szCs w:val="20"/>
                <w:u w:val="single"/>
              </w:rPr>
              <w:t>:</w:t>
            </w:r>
            <w:r w:rsidR="008D5F69" w:rsidRPr="008D5F69">
              <w:rPr>
                <w:rFonts w:eastAsia="Calibri"/>
                <w:color w:val="auto"/>
                <w:sz w:val="20"/>
                <w:szCs w:val="20"/>
              </w:rPr>
              <w:t xml:space="preserve"> ProCredit Holding </w:t>
            </w:r>
            <w:proofErr w:type="spellStart"/>
            <w:r w:rsidR="008D5F69" w:rsidRPr="008D5F69">
              <w:rPr>
                <w:rFonts w:eastAsia="Calibri"/>
                <w:color w:val="auto"/>
                <w:sz w:val="20"/>
                <w:szCs w:val="20"/>
              </w:rPr>
              <w:t>AG&amp;Co</w:t>
            </w:r>
            <w:proofErr w:type="spellEnd"/>
            <w:r w:rsidR="008D5F69">
              <w:rPr>
                <w:rFonts w:eastAsia="Calibri"/>
                <w:color w:val="auto"/>
                <w:sz w:val="20"/>
                <w:szCs w:val="20"/>
              </w:rPr>
              <w:t>,</w:t>
            </w:r>
            <w:r w:rsidR="008D5F69" w:rsidRPr="008D5F69">
              <w:rPr>
                <w:rFonts w:eastAsia="Calibri"/>
                <w:color w:val="auto"/>
                <w:sz w:val="20"/>
                <w:szCs w:val="20"/>
              </w:rPr>
              <w:t xml:space="preserve"> </w:t>
            </w:r>
            <w:proofErr w:type="spellStart"/>
            <w:r w:rsidR="008D5F69" w:rsidRPr="008D5F69">
              <w:rPr>
                <w:rFonts w:eastAsia="Calibri"/>
                <w:color w:val="auto"/>
                <w:sz w:val="20"/>
                <w:szCs w:val="20"/>
              </w:rPr>
              <w:t>KGaA</w:t>
            </w:r>
            <w:proofErr w:type="spellEnd"/>
            <w:r w:rsidR="008D5F69" w:rsidRPr="008D5F69">
              <w:rPr>
                <w:rFonts w:eastAsia="Calibri"/>
                <w:color w:val="auto"/>
                <w:sz w:val="20"/>
                <w:szCs w:val="20"/>
              </w:rPr>
              <w:t>, Raiffeisen Bank SA</w:t>
            </w:r>
          </w:p>
          <w:p w14:paraId="69F60A6A" w14:textId="77777777" w:rsidR="006F0C19" w:rsidRDefault="006F0C19" w:rsidP="00867831">
            <w:pPr>
              <w:spacing w:after="0" w:line="240" w:lineRule="auto"/>
              <w:ind w:left="0" w:right="0" w:firstLine="0"/>
              <w:jc w:val="left"/>
              <w:rPr>
                <w:rFonts w:eastAsia="Calibri"/>
                <w:b/>
                <w:color w:val="auto"/>
                <w:sz w:val="20"/>
                <w:szCs w:val="20"/>
              </w:rPr>
            </w:pPr>
          </w:p>
          <w:p w14:paraId="1EFA708F" w14:textId="77777777" w:rsidR="00867831" w:rsidRPr="00BA050E" w:rsidRDefault="00867831" w:rsidP="00867831">
            <w:pPr>
              <w:spacing w:after="0" w:line="240" w:lineRule="auto"/>
              <w:ind w:left="0" w:right="0" w:firstLine="0"/>
              <w:jc w:val="left"/>
              <w:rPr>
                <w:rFonts w:eastAsia="Calibri"/>
                <w:b/>
                <w:color w:val="auto"/>
                <w:sz w:val="20"/>
                <w:szCs w:val="20"/>
              </w:rPr>
            </w:pPr>
            <w:r w:rsidRPr="00BA050E">
              <w:rPr>
                <w:rFonts w:eastAsia="Calibri"/>
                <w:b/>
                <w:color w:val="auto"/>
                <w:sz w:val="20"/>
                <w:szCs w:val="20"/>
              </w:rPr>
              <w:t>ASA:</w:t>
            </w:r>
          </w:p>
          <w:p w14:paraId="08BCCE95" w14:textId="1949602D" w:rsidR="00867831" w:rsidRPr="00BA050E" w:rsidRDefault="002C3819" w:rsidP="006D2153">
            <w:pPr>
              <w:numPr>
                <w:ilvl w:val="0"/>
                <w:numId w:val="12"/>
              </w:numPr>
              <w:spacing w:after="0" w:line="240" w:lineRule="auto"/>
              <w:ind w:right="0"/>
              <w:contextualSpacing/>
              <w:jc w:val="left"/>
              <w:rPr>
                <w:rFonts w:eastAsia="Calibri"/>
                <w:color w:val="auto"/>
                <w:sz w:val="20"/>
                <w:szCs w:val="20"/>
              </w:rPr>
            </w:pPr>
            <w:r>
              <w:rPr>
                <w:rFonts w:eastAsia="Calibri"/>
                <w:color w:val="auto"/>
                <w:sz w:val="20"/>
                <w:szCs w:val="20"/>
              </w:rPr>
              <w:t xml:space="preserve">IFC </w:t>
            </w:r>
            <w:r w:rsidR="00867831" w:rsidRPr="00BA050E">
              <w:rPr>
                <w:rFonts w:eastAsia="Calibri"/>
                <w:color w:val="auto"/>
                <w:sz w:val="20"/>
                <w:szCs w:val="20"/>
              </w:rPr>
              <w:t>Investment Climate Reform (ICR) Advisory Project</w:t>
            </w:r>
          </w:p>
          <w:p w14:paraId="4E4DD92F" w14:textId="77777777" w:rsidR="00867831" w:rsidRPr="00BA050E" w:rsidRDefault="00867831" w:rsidP="00867831">
            <w:pPr>
              <w:spacing w:after="0" w:line="240" w:lineRule="auto"/>
              <w:ind w:left="0" w:right="0" w:firstLine="0"/>
              <w:jc w:val="left"/>
              <w:rPr>
                <w:rFonts w:eastAsia="Calibri"/>
                <w:color w:val="auto"/>
                <w:sz w:val="20"/>
                <w:szCs w:val="20"/>
              </w:rPr>
            </w:pPr>
          </w:p>
          <w:p w14:paraId="1B91BC9D" w14:textId="77777777" w:rsidR="00867831" w:rsidRPr="00BA050E" w:rsidRDefault="00867831" w:rsidP="00867831">
            <w:pPr>
              <w:spacing w:after="0" w:line="240" w:lineRule="auto"/>
              <w:ind w:left="0" w:right="0" w:firstLine="0"/>
              <w:jc w:val="left"/>
              <w:rPr>
                <w:rFonts w:eastAsia="Calibri"/>
                <w:b/>
                <w:color w:val="auto"/>
                <w:sz w:val="20"/>
                <w:szCs w:val="20"/>
              </w:rPr>
            </w:pPr>
            <w:r w:rsidRPr="00BA050E">
              <w:rPr>
                <w:rFonts w:eastAsia="Calibri"/>
                <w:b/>
                <w:color w:val="auto"/>
                <w:sz w:val="20"/>
                <w:szCs w:val="20"/>
              </w:rPr>
              <w:t>Partnerships:</w:t>
            </w:r>
          </w:p>
          <w:p w14:paraId="40FD9306" w14:textId="77777777" w:rsidR="00867831" w:rsidRDefault="00867831" w:rsidP="006D2153">
            <w:pPr>
              <w:numPr>
                <w:ilvl w:val="0"/>
                <w:numId w:val="12"/>
              </w:numPr>
              <w:spacing w:after="0" w:line="240" w:lineRule="auto"/>
              <w:ind w:right="0"/>
              <w:contextualSpacing/>
              <w:jc w:val="left"/>
              <w:rPr>
                <w:rFonts w:eastAsia="Calibri"/>
                <w:color w:val="auto"/>
                <w:sz w:val="20"/>
                <w:szCs w:val="20"/>
              </w:rPr>
            </w:pPr>
            <w:r w:rsidRPr="00BA050E">
              <w:rPr>
                <w:rFonts w:eastAsia="Calibri"/>
                <w:color w:val="auto"/>
                <w:sz w:val="20"/>
                <w:szCs w:val="20"/>
              </w:rPr>
              <w:t>Economic Rule of Law Project (EU TF)</w:t>
            </w:r>
          </w:p>
          <w:p w14:paraId="5AFE2BAA" w14:textId="77777777" w:rsidR="000A330F" w:rsidRPr="00BA050E" w:rsidRDefault="000A330F" w:rsidP="006D2153">
            <w:pPr>
              <w:numPr>
                <w:ilvl w:val="0"/>
                <w:numId w:val="12"/>
              </w:numPr>
              <w:spacing w:after="0" w:line="240" w:lineRule="auto"/>
              <w:ind w:right="0"/>
              <w:contextualSpacing/>
              <w:jc w:val="left"/>
              <w:rPr>
                <w:rFonts w:eastAsia="Calibri"/>
                <w:color w:val="auto"/>
                <w:sz w:val="20"/>
                <w:szCs w:val="20"/>
              </w:rPr>
            </w:pPr>
            <w:r>
              <w:rPr>
                <w:rFonts w:eastAsia="Calibri"/>
                <w:color w:val="auto"/>
                <w:sz w:val="20"/>
                <w:szCs w:val="20"/>
              </w:rPr>
              <w:t>STAREP</w:t>
            </w:r>
          </w:p>
          <w:p w14:paraId="63DDF478" w14:textId="77777777" w:rsidR="00867831" w:rsidRPr="00BA050E" w:rsidRDefault="00867831" w:rsidP="00744A94">
            <w:pPr>
              <w:spacing w:after="0" w:line="240" w:lineRule="auto"/>
              <w:ind w:left="720" w:right="0" w:firstLine="0"/>
              <w:contextualSpacing/>
              <w:jc w:val="left"/>
              <w:rPr>
                <w:rFonts w:eastAsia="Calibri"/>
                <w:color w:val="auto"/>
                <w:sz w:val="20"/>
                <w:szCs w:val="20"/>
              </w:rPr>
            </w:pPr>
          </w:p>
        </w:tc>
      </w:tr>
      <w:tr w:rsidR="00867831" w:rsidRPr="00BA050E" w14:paraId="219955A9" w14:textId="77777777" w:rsidTr="00867831">
        <w:tc>
          <w:tcPr>
            <w:tcW w:w="12955" w:type="dxa"/>
            <w:gridSpan w:val="3"/>
            <w:shd w:val="clear" w:color="auto" w:fill="E2EFD9"/>
          </w:tcPr>
          <w:p w14:paraId="5D3A5345" w14:textId="77777777" w:rsidR="00867831" w:rsidRPr="00BA050E" w:rsidRDefault="00867831" w:rsidP="00867831">
            <w:pPr>
              <w:spacing w:before="60" w:after="60" w:line="240" w:lineRule="auto"/>
              <w:ind w:left="0" w:right="0" w:firstLine="0"/>
              <w:jc w:val="center"/>
              <w:rPr>
                <w:rFonts w:eastAsia="Calibri"/>
                <w:b/>
                <w:color w:val="auto"/>
                <w:sz w:val="20"/>
                <w:szCs w:val="20"/>
              </w:rPr>
            </w:pPr>
            <w:r w:rsidRPr="00BA050E">
              <w:rPr>
                <w:rFonts w:eastAsia="Calibri"/>
                <w:b/>
                <w:color w:val="auto"/>
                <w:sz w:val="20"/>
                <w:szCs w:val="20"/>
              </w:rPr>
              <w:lastRenderedPageBreak/>
              <w:t>CPF OBJECTIVE 1B: Strengthened management of public sector assets</w:t>
            </w:r>
          </w:p>
        </w:tc>
      </w:tr>
      <w:tr w:rsidR="009F4080" w:rsidRPr="00BA050E" w14:paraId="1EF87150" w14:textId="77777777" w:rsidTr="00FA25C5">
        <w:trPr>
          <w:trHeight w:val="1430"/>
        </w:trPr>
        <w:tc>
          <w:tcPr>
            <w:tcW w:w="12955" w:type="dxa"/>
            <w:gridSpan w:val="3"/>
          </w:tcPr>
          <w:p w14:paraId="1277F4D6" w14:textId="5947FF0D" w:rsidR="009F4080" w:rsidRPr="00BA050E" w:rsidRDefault="009F4080" w:rsidP="00DD7BE2">
            <w:pPr>
              <w:spacing w:after="60" w:line="240" w:lineRule="auto"/>
              <w:ind w:left="0" w:right="0" w:firstLine="0"/>
              <w:rPr>
                <w:rFonts w:eastAsia="Calibri"/>
                <w:b/>
                <w:color w:val="auto"/>
                <w:sz w:val="20"/>
                <w:szCs w:val="20"/>
              </w:rPr>
            </w:pPr>
            <w:r>
              <w:rPr>
                <w:rFonts w:eastAsia="Calibri"/>
                <w:b/>
                <w:color w:val="auto"/>
                <w:sz w:val="20"/>
                <w:szCs w:val="20"/>
              </w:rPr>
              <w:t xml:space="preserve">Intervention logic: </w:t>
            </w:r>
            <w:r w:rsidR="009919D8">
              <w:rPr>
                <w:rFonts w:eastAsia="Calibri"/>
                <w:color w:val="auto"/>
                <w:sz w:val="20"/>
                <w:szCs w:val="20"/>
              </w:rPr>
              <w:t>The SCD highlights the need to raise the efficiency of public spending, notably through improved accountability and transparency. Within this broad objective</w:t>
            </w:r>
            <w:r w:rsidR="009F624E">
              <w:rPr>
                <w:rFonts w:eastAsia="Calibri"/>
                <w:color w:val="auto"/>
                <w:sz w:val="20"/>
                <w:szCs w:val="20"/>
              </w:rPr>
              <w:t>,</w:t>
            </w:r>
            <w:r w:rsidR="009919D8">
              <w:rPr>
                <w:rFonts w:eastAsia="Calibri"/>
                <w:color w:val="auto"/>
                <w:sz w:val="20"/>
                <w:szCs w:val="20"/>
              </w:rPr>
              <w:t xml:space="preserve"> it is a </w:t>
            </w:r>
            <w:r w:rsidR="009F624E">
              <w:rPr>
                <w:rFonts w:eastAsia="Calibri"/>
                <w:color w:val="auto"/>
                <w:sz w:val="20"/>
                <w:szCs w:val="20"/>
              </w:rPr>
              <w:t xml:space="preserve">government </w:t>
            </w:r>
            <w:r w:rsidR="009919D8">
              <w:rPr>
                <w:rFonts w:eastAsia="Calibri"/>
                <w:color w:val="auto"/>
                <w:sz w:val="20"/>
                <w:szCs w:val="20"/>
              </w:rPr>
              <w:t xml:space="preserve">priority to improve its financial control over, and the financial performance of state-owned assets, including real estate and state-owned enterprises (SOEs). Poor financial reporting of causes revenue loss and facilitates corruption, while the commercial losses and subsidization of SOEs together cost over 4 percent of GDP. A new inventory of public assets will be supported by the Land Registration, Valuation and Local Taxation Project, the Economic Rule of Law Project (EU) and a UK-funded TF. Improved financial control over SOEs will be supported by the aforementioned EU and UK TFs, while the Bank will advise on </w:t>
            </w:r>
            <w:r w:rsidR="00DD7BE2">
              <w:rPr>
                <w:rFonts w:eastAsia="Calibri"/>
                <w:color w:val="auto"/>
                <w:sz w:val="20"/>
                <w:szCs w:val="20"/>
              </w:rPr>
              <w:t>privatization</w:t>
            </w:r>
            <w:r w:rsidR="009919D8">
              <w:rPr>
                <w:rFonts w:eastAsia="Calibri"/>
                <w:color w:val="auto"/>
                <w:sz w:val="20"/>
                <w:szCs w:val="20"/>
              </w:rPr>
              <w:t xml:space="preserve"> policy, possibly supported by IFC transactional advice. The financial sustainability of energy utilities will be supported by tariff-related activities in the District Heating Efficiency Improvement Project, the Economic Governance DPO and </w:t>
            </w:r>
            <w:r w:rsidR="000A3DB5">
              <w:rPr>
                <w:rFonts w:eastAsia="Calibri"/>
                <w:color w:val="auto"/>
                <w:sz w:val="20"/>
                <w:szCs w:val="20"/>
              </w:rPr>
              <w:t>several</w:t>
            </w:r>
            <w:r w:rsidR="009919D8">
              <w:rPr>
                <w:rFonts w:eastAsia="Calibri"/>
                <w:color w:val="auto"/>
                <w:sz w:val="20"/>
                <w:szCs w:val="20"/>
              </w:rPr>
              <w:t xml:space="preserve"> ASAs. A health public expenditure review will estimate the costs of operating the hospital network under different scenarios.</w:t>
            </w:r>
            <w:r w:rsidR="009919D8" w:rsidRPr="00683F8E">
              <w:rPr>
                <w:rFonts w:eastAsia="Calibri"/>
                <w:color w:val="auto"/>
                <w:sz w:val="20"/>
                <w:szCs w:val="20"/>
              </w:rPr>
              <w:t xml:space="preserve"> </w:t>
            </w:r>
            <w:r w:rsidR="009919D8">
              <w:rPr>
                <w:rFonts w:eastAsia="Calibri"/>
                <w:color w:val="auto"/>
                <w:sz w:val="20"/>
                <w:szCs w:val="20"/>
              </w:rPr>
              <w:t xml:space="preserve">Expected outcomes include: </w:t>
            </w:r>
            <w:r w:rsidR="009919D8" w:rsidRPr="00683F8E">
              <w:rPr>
                <w:rFonts w:eastAsia="Calibri"/>
                <w:color w:val="auto"/>
                <w:sz w:val="20"/>
                <w:szCs w:val="20"/>
              </w:rPr>
              <w:t>improved SOE financial management and governance princi</w:t>
            </w:r>
            <w:r w:rsidR="009919D8">
              <w:rPr>
                <w:rFonts w:eastAsia="Calibri"/>
                <w:color w:val="auto"/>
                <w:sz w:val="20"/>
                <w:szCs w:val="20"/>
              </w:rPr>
              <w:t>ples compliant with international standards, better control and transparency of public assets</w:t>
            </w:r>
            <w:r w:rsidR="009F624E">
              <w:rPr>
                <w:rFonts w:eastAsia="Calibri"/>
                <w:color w:val="auto"/>
                <w:sz w:val="20"/>
                <w:szCs w:val="20"/>
              </w:rPr>
              <w:t>,</w:t>
            </w:r>
            <w:r w:rsidR="009919D8">
              <w:rPr>
                <w:rFonts w:eastAsia="Calibri"/>
                <w:color w:val="auto"/>
                <w:sz w:val="20"/>
                <w:szCs w:val="20"/>
              </w:rPr>
              <w:t xml:space="preserve"> and greater financial sustainability in the energy sector</w:t>
            </w:r>
            <w:r>
              <w:rPr>
                <w:rFonts w:eastAsia="Calibri"/>
                <w:color w:val="auto"/>
                <w:sz w:val="20"/>
                <w:szCs w:val="20"/>
              </w:rPr>
              <w:t>.</w:t>
            </w:r>
          </w:p>
        </w:tc>
      </w:tr>
      <w:tr w:rsidR="00867831" w:rsidRPr="00BA050E" w14:paraId="3E88C0DD" w14:textId="77777777" w:rsidTr="00D77307">
        <w:trPr>
          <w:trHeight w:val="1430"/>
        </w:trPr>
        <w:tc>
          <w:tcPr>
            <w:tcW w:w="4668" w:type="dxa"/>
          </w:tcPr>
          <w:p w14:paraId="3C1FCD0D" w14:textId="77777777" w:rsidR="00867831" w:rsidRPr="00BA050E" w:rsidRDefault="00867831" w:rsidP="00867831">
            <w:pPr>
              <w:spacing w:after="0" w:line="240" w:lineRule="auto"/>
              <w:ind w:left="0" w:right="0" w:firstLine="0"/>
              <w:jc w:val="left"/>
              <w:rPr>
                <w:rFonts w:eastAsia="Calibri"/>
                <w:iCs/>
                <w:color w:val="auto"/>
                <w:sz w:val="20"/>
                <w:szCs w:val="20"/>
              </w:rPr>
            </w:pPr>
            <w:r w:rsidRPr="00BA050E">
              <w:rPr>
                <w:rFonts w:eastAsia="Calibri"/>
                <w:b/>
                <w:color w:val="auto"/>
                <w:sz w:val="20"/>
                <w:szCs w:val="20"/>
              </w:rPr>
              <w:t xml:space="preserve">Indicator </w:t>
            </w:r>
            <w:r w:rsidR="00113059">
              <w:rPr>
                <w:rFonts w:eastAsia="Calibri"/>
                <w:b/>
                <w:color w:val="auto"/>
                <w:sz w:val="20"/>
                <w:szCs w:val="20"/>
              </w:rPr>
              <w:t>2</w:t>
            </w:r>
            <w:r w:rsidRPr="00BA050E">
              <w:rPr>
                <w:rFonts w:eastAsia="Calibri"/>
                <w:b/>
                <w:color w:val="auto"/>
                <w:sz w:val="20"/>
                <w:szCs w:val="20"/>
              </w:rPr>
              <w:t>:</w:t>
            </w:r>
            <w:r w:rsidRPr="00BA050E">
              <w:rPr>
                <w:rFonts w:eastAsia="Calibri"/>
                <w:color w:val="auto"/>
                <w:sz w:val="20"/>
                <w:szCs w:val="20"/>
              </w:rPr>
              <w:t xml:space="preserve"> </w:t>
            </w:r>
            <w:r w:rsidRPr="00BA050E">
              <w:rPr>
                <w:rFonts w:eastAsia="Calibri"/>
                <w:sz w:val="20"/>
                <w:szCs w:val="20"/>
              </w:rPr>
              <w:t>E</w:t>
            </w:r>
            <w:r w:rsidR="00302DDC">
              <w:rPr>
                <w:rFonts w:eastAsia="Calibri"/>
                <w:sz w:val="20"/>
                <w:szCs w:val="20"/>
              </w:rPr>
              <w:t>stablishment of an inventory of public sector assets</w:t>
            </w:r>
          </w:p>
          <w:p w14:paraId="2B0A2E09" w14:textId="77777777" w:rsidR="00867831" w:rsidRPr="00BA050E" w:rsidRDefault="00867831" w:rsidP="00867831">
            <w:pPr>
              <w:spacing w:after="0" w:line="240" w:lineRule="auto"/>
              <w:ind w:left="0" w:right="0" w:firstLine="0"/>
              <w:jc w:val="left"/>
              <w:rPr>
                <w:rFonts w:eastAsia="Calibri"/>
                <w:iCs/>
                <w:color w:val="auto"/>
                <w:sz w:val="20"/>
                <w:szCs w:val="20"/>
              </w:rPr>
            </w:pPr>
            <w:r w:rsidRPr="00BA050E">
              <w:rPr>
                <w:rFonts w:eastAsia="Calibri"/>
                <w:iCs/>
                <w:color w:val="auto"/>
                <w:sz w:val="20"/>
                <w:szCs w:val="20"/>
              </w:rPr>
              <w:t xml:space="preserve">Baseline: </w:t>
            </w:r>
            <w:r w:rsidR="00302DDC">
              <w:rPr>
                <w:rFonts w:eastAsia="Calibri"/>
                <w:iCs/>
                <w:color w:val="auto"/>
                <w:sz w:val="20"/>
                <w:szCs w:val="20"/>
              </w:rPr>
              <w:t>Non-existent</w:t>
            </w:r>
            <w:r w:rsidRPr="00BA050E">
              <w:rPr>
                <w:rFonts w:eastAsia="Calibri"/>
                <w:iCs/>
                <w:color w:val="auto"/>
                <w:sz w:val="20"/>
                <w:szCs w:val="20"/>
              </w:rPr>
              <w:t xml:space="preserve"> (2016)</w:t>
            </w:r>
          </w:p>
          <w:p w14:paraId="4094DF98" w14:textId="77777777" w:rsidR="00867831" w:rsidRPr="00BA050E" w:rsidRDefault="00867831" w:rsidP="00867831">
            <w:pPr>
              <w:spacing w:after="0" w:line="240" w:lineRule="auto"/>
              <w:ind w:left="0" w:right="0" w:firstLine="0"/>
              <w:jc w:val="left"/>
              <w:rPr>
                <w:rFonts w:eastAsia="Calibri"/>
                <w:iCs/>
                <w:color w:val="auto"/>
                <w:sz w:val="20"/>
                <w:szCs w:val="20"/>
              </w:rPr>
            </w:pPr>
            <w:r w:rsidRPr="00BA050E">
              <w:rPr>
                <w:rFonts w:eastAsia="Calibri"/>
                <w:iCs/>
                <w:color w:val="auto"/>
                <w:sz w:val="20"/>
                <w:szCs w:val="20"/>
              </w:rPr>
              <w:t xml:space="preserve">Target:    </w:t>
            </w:r>
            <w:r w:rsidR="00426034">
              <w:rPr>
                <w:rFonts w:eastAsia="Calibri"/>
                <w:iCs/>
                <w:color w:val="auto"/>
                <w:sz w:val="20"/>
                <w:szCs w:val="20"/>
              </w:rPr>
              <w:t>Established</w:t>
            </w:r>
            <w:r w:rsidRPr="00BA050E">
              <w:rPr>
                <w:rFonts w:eastAsia="Calibri"/>
                <w:iCs/>
                <w:color w:val="auto"/>
                <w:sz w:val="20"/>
                <w:szCs w:val="20"/>
              </w:rPr>
              <w:t xml:space="preserve"> (20</w:t>
            </w:r>
            <w:r w:rsidR="00302DDC">
              <w:rPr>
                <w:rFonts w:eastAsia="Calibri"/>
                <w:iCs/>
                <w:color w:val="auto"/>
                <w:sz w:val="20"/>
                <w:szCs w:val="20"/>
              </w:rPr>
              <w:t>18</w:t>
            </w:r>
            <w:r w:rsidRPr="00BA050E">
              <w:rPr>
                <w:rFonts w:eastAsia="Calibri"/>
                <w:iCs/>
                <w:color w:val="auto"/>
                <w:sz w:val="20"/>
                <w:szCs w:val="20"/>
              </w:rPr>
              <w:t>)</w:t>
            </w:r>
          </w:p>
          <w:p w14:paraId="2A529945" w14:textId="77777777" w:rsidR="00867831" w:rsidRPr="00BA050E" w:rsidRDefault="00867831" w:rsidP="00867831">
            <w:pPr>
              <w:spacing w:after="0" w:line="240" w:lineRule="auto"/>
              <w:ind w:left="0" w:right="0" w:firstLine="0"/>
              <w:jc w:val="left"/>
              <w:rPr>
                <w:rFonts w:eastAsia="Calibri"/>
                <w:iCs/>
                <w:color w:val="auto"/>
                <w:sz w:val="20"/>
                <w:szCs w:val="20"/>
              </w:rPr>
            </w:pPr>
          </w:p>
          <w:p w14:paraId="3DCEB7BF" w14:textId="77777777" w:rsidR="00867831" w:rsidRPr="00BA050E" w:rsidRDefault="00867831" w:rsidP="00867831">
            <w:pPr>
              <w:spacing w:after="0" w:line="240" w:lineRule="auto"/>
              <w:ind w:left="0" w:right="0" w:firstLine="0"/>
              <w:jc w:val="left"/>
              <w:rPr>
                <w:rFonts w:eastAsia="Calibri"/>
                <w:bCs/>
                <w:color w:val="auto"/>
                <w:sz w:val="20"/>
                <w:szCs w:val="20"/>
              </w:rPr>
            </w:pPr>
            <w:r w:rsidRPr="00BA050E">
              <w:rPr>
                <w:rFonts w:eastAsia="Calibri"/>
                <w:b/>
                <w:color w:val="auto"/>
                <w:sz w:val="20"/>
                <w:szCs w:val="20"/>
              </w:rPr>
              <w:t xml:space="preserve">Indicator </w:t>
            </w:r>
            <w:r w:rsidR="00113059">
              <w:rPr>
                <w:rFonts w:eastAsia="Calibri"/>
                <w:b/>
                <w:color w:val="auto"/>
                <w:sz w:val="20"/>
                <w:szCs w:val="20"/>
              </w:rPr>
              <w:t>3</w:t>
            </w:r>
            <w:r w:rsidRPr="00BA050E">
              <w:rPr>
                <w:rFonts w:eastAsia="Calibri"/>
                <w:b/>
                <w:color w:val="auto"/>
                <w:sz w:val="20"/>
                <w:szCs w:val="20"/>
              </w:rPr>
              <w:t>:</w:t>
            </w:r>
            <w:r w:rsidRPr="00BA050E">
              <w:rPr>
                <w:rFonts w:eastAsia="Calibri"/>
                <w:b/>
                <w:i/>
                <w:color w:val="auto"/>
                <w:sz w:val="20"/>
                <w:szCs w:val="20"/>
              </w:rPr>
              <w:t xml:space="preserve"> </w:t>
            </w:r>
            <w:r w:rsidRPr="00BA050E">
              <w:rPr>
                <w:rFonts w:eastAsia="Calibri"/>
                <w:bCs/>
                <w:color w:val="auto"/>
                <w:sz w:val="20"/>
                <w:szCs w:val="20"/>
              </w:rPr>
              <w:t>Effective and independent energy sector regulation</w:t>
            </w:r>
            <w:r w:rsidRPr="00BA050E">
              <w:rPr>
                <w:rFonts w:eastAsia="Calibri"/>
                <w:bCs/>
                <w:iCs/>
                <w:color w:val="auto"/>
                <w:sz w:val="20"/>
                <w:szCs w:val="20"/>
              </w:rPr>
              <w:t xml:space="preserve"> </w:t>
            </w:r>
          </w:p>
          <w:p w14:paraId="3E6BDF65" w14:textId="77777777" w:rsidR="00867831" w:rsidRPr="00BA050E" w:rsidRDefault="00867831" w:rsidP="00867831">
            <w:pPr>
              <w:autoSpaceDE w:val="0"/>
              <w:autoSpaceDN w:val="0"/>
              <w:spacing w:after="0" w:line="240" w:lineRule="auto"/>
              <w:ind w:left="0" w:right="0" w:firstLine="0"/>
              <w:jc w:val="left"/>
              <w:rPr>
                <w:rFonts w:eastAsia="Calibri"/>
                <w:color w:val="auto"/>
                <w:sz w:val="20"/>
                <w:szCs w:val="20"/>
              </w:rPr>
            </w:pPr>
            <w:r w:rsidRPr="00BA050E">
              <w:rPr>
                <w:rFonts w:eastAsia="Calibri"/>
                <w:bCs/>
                <w:color w:val="auto"/>
                <w:sz w:val="20"/>
                <w:szCs w:val="20"/>
              </w:rPr>
              <w:t>Baseline:</w:t>
            </w:r>
            <w:r w:rsidRPr="00BA050E">
              <w:rPr>
                <w:rFonts w:eastAsia="Calibri"/>
                <w:b/>
                <w:bCs/>
                <w:color w:val="auto"/>
                <w:sz w:val="20"/>
                <w:szCs w:val="20"/>
              </w:rPr>
              <w:t xml:space="preserve"> </w:t>
            </w:r>
            <w:r w:rsidR="00F526A0">
              <w:rPr>
                <w:rFonts w:eastAsia="Calibri"/>
                <w:color w:val="auto"/>
                <w:sz w:val="20"/>
                <w:szCs w:val="20"/>
              </w:rPr>
              <w:t>Ad-hoc tariff setting for the DH and power networks</w:t>
            </w:r>
            <w:r w:rsidRPr="00BA050E">
              <w:rPr>
                <w:rFonts w:eastAsia="Calibri"/>
                <w:color w:val="auto"/>
                <w:sz w:val="20"/>
                <w:szCs w:val="20"/>
              </w:rPr>
              <w:t xml:space="preserve"> (</w:t>
            </w:r>
            <w:r w:rsidR="00F526A0">
              <w:rPr>
                <w:rFonts w:eastAsia="Calibri"/>
                <w:color w:val="auto"/>
                <w:sz w:val="20"/>
                <w:szCs w:val="20"/>
              </w:rPr>
              <w:t>2013-17</w:t>
            </w:r>
            <w:r w:rsidRPr="00BA050E">
              <w:rPr>
                <w:rFonts w:eastAsia="Calibri"/>
                <w:color w:val="auto"/>
                <w:sz w:val="20"/>
                <w:szCs w:val="20"/>
              </w:rPr>
              <w:t>)</w:t>
            </w:r>
          </w:p>
          <w:p w14:paraId="4B660AB2"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bCs/>
                <w:color w:val="auto"/>
                <w:sz w:val="20"/>
                <w:szCs w:val="20"/>
              </w:rPr>
              <w:t>Target:</w:t>
            </w:r>
            <w:r w:rsidRPr="00BA050E">
              <w:rPr>
                <w:rFonts w:eastAsia="Calibri"/>
                <w:b/>
                <w:bCs/>
                <w:color w:val="auto"/>
                <w:sz w:val="20"/>
                <w:szCs w:val="20"/>
              </w:rPr>
              <w:t xml:space="preserve">    </w:t>
            </w:r>
            <w:r w:rsidRPr="00BA050E">
              <w:rPr>
                <w:rFonts w:eastAsia="Calibri"/>
                <w:bCs/>
                <w:iCs/>
                <w:color w:val="auto"/>
                <w:sz w:val="20"/>
                <w:szCs w:val="20"/>
              </w:rPr>
              <w:t xml:space="preserve">End-user tariffs for </w:t>
            </w:r>
            <w:proofErr w:type="spellStart"/>
            <w:r w:rsidRPr="00BA050E">
              <w:rPr>
                <w:rFonts w:eastAsia="Calibri"/>
                <w:bCs/>
                <w:iCs/>
                <w:color w:val="auto"/>
                <w:sz w:val="20"/>
                <w:szCs w:val="20"/>
              </w:rPr>
              <w:t>Termoelectrica</w:t>
            </w:r>
            <w:proofErr w:type="spellEnd"/>
            <w:r w:rsidRPr="00BA050E">
              <w:rPr>
                <w:rFonts w:eastAsia="Calibri"/>
                <w:bCs/>
                <w:iCs/>
                <w:color w:val="auto"/>
                <w:sz w:val="20"/>
                <w:szCs w:val="20"/>
              </w:rPr>
              <w:t xml:space="preserve"> and Gas Natural </w:t>
            </w:r>
            <w:proofErr w:type="spellStart"/>
            <w:r w:rsidRPr="00BA050E">
              <w:rPr>
                <w:rFonts w:eastAsia="Calibri"/>
                <w:bCs/>
                <w:iCs/>
                <w:color w:val="auto"/>
                <w:sz w:val="20"/>
                <w:szCs w:val="20"/>
              </w:rPr>
              <w:t>Fenosa</w:t>
            </w:r>
            <w:proofErr w:type="spellEnd"/>
            <w:r w:rsidRPr="00BA050E">
              <w:rPr>
                <w:rFonts w:eastAsia="Calibri"/>
                <w:bCs/>
                <w:iCs/>
                <w:color w:val="auto"/>
                <w:sz w:val="20"/>
                <w:szCs w:val="20"/>
              </w:rPr>
              <w:t xml:space="preserve"> customers set on time and in accordance with methodology through calendar year 2020</w:t>
            </w:r>
            <w:r w:rsidRPr="00BA050E">
              <w:rPr>
                <w:rFonts w:eastAsia="Calibri"/>
                <w:color w:val="auto"/>
                <w:sz w:val="20"/>
                <w:szCs w:val="20"/>
              </w:rPr>
              <w:t>)</w:t>
            </w:r>
          </w:p>
          <w:p w14:paraId="24B522CF" w14:textId="77777777" w:rsidR="00867831" w:rsidRPr="00BA050E" w:rsidRDefault="00867831" w:rsidP="00867831">
            <w:pPr>
              <w:spacing w:after="0" w:line="240" w:lineRule="auto"/>
              <w:ind w:left="0" w:right="0" w:firstLine="0"/>
              <w:jc w:val="left"/>
              <w:rPr>
                <w:rFonts w:eastAsia="Calibri"/>
                <w:b/>
                <w:iCs/>
                <w:color w:val="auto"/>
                <w:sz w:val="20"/>
                <w:szCs w:val="20"/>
              </w:rPr>
            </w:pPr>
          </w:p>
          <w:p w14:paraId="5405385D" w14:textId="77777777" w:rsidR="000E7588" w:rsidRPr="00BA050E" w:rsidRDefault="00867831" w:rsidP="000E7588">
            <w:pPr>
              <w:spacing w:after="0" w:line="240" w:lineRule="auto"/>
              <w:ind w:left="0" w:right="0" w:firstLine="0"/>
              <w:jc w:val="left"/>
              <w:rPr>
                <w:rFonts w:eastAsia="Calibri"/>
                <w:color w:val="auto"/>
                <w:sz w:val="20"/>
                <w:szCs w:val="20"/>
              </w:rPr>
            </w:pPr>
            <w:r w:rsidRPr="00BA050E">
              <w:rPr>
                <w:rFonts w:eastAsia="Calibri"/>
                <w:b/>
                <w:iCs/>
                <w:color w:val="auto"/>
                <w:sz w:val="20"/>
                <w:szCs w:val="20"/>
              </w:rPr>
              <w:t xml:space="preserve">Indicator </w:t>
            </w:r>
            <w:r w:rsidR="00113059">
              <w:rPr>
                <w:rFonts w:eastAsia="Calibri"/>
                <w:b/>
                <w:iCs/>
                <w:color w:val="auto"/>
                <w:sz w:val="20"/>
                <w:szCs w:val="20"/>
              </w:rPr>
              <w:t>4</w:t>
            </w:r>
            <w:r w:rsidRPr="00BA050E">
              <w:rPr>
                <w:rFonts w:eastAsia="Calibri"/>
                <w:b/>
                <w:iCs/>
                <w:color w:val="auto"/>
                <w:sz w:val="20"/>
                <w:szCs w:val="20"/>
              </w:rPr>
              <w:t>:</w:t>
            </w:r>
            <w:r w:rsidRPr="00BA050E">
              <w:rPr>
                <w:rFonts w:eastAsia="Calibri"/>
                <w:iCs/>
                <w:color w:val="auto"/>
                <w:sz w:val="20"/>
                <w:szCs w:val="20"/>
              </w:rPr>
              <w:t xml:space="preserve"> </w:t>
            </w:r>
            <w:r w:rsidR="000E7588" w:rsidRPr="00BA050E">
              <w:rPr>
                <w:rFonts w:eastAsia="Calibri"/>
                <w:iCs/>
                <w:color w:val="auto"/>
                <w:sz w:val="20"/>
                <w:szCs w:val="20"/>
              </w:rPr>
              <w:t xml:space="preserve">Percent </w:t>
            </w:r>
            <w:r w:rsidR="000E7588" w:rsidRPr="00BA050E">
              <w:rPr>
                <w:rFonts w:eastAsia="Calibri"/>
                <w:color w:val="auto"/>
                <w:sz w:val="20"/>
                <w:szCs w:val="20"/>
              </w:rPr>
              <w:t xml:space="preserve">of 20 largest </w:t>
            </w:r>
            <w:r w:rsidR="000E7588">
              <w:rPr>
                <w:rFonts w:eastAsia="Calibri"/>
                <w:color w:val="auto"/>
                <w:sz w:val="20"/>
                <w:szCs w:val="20"/>
              </w:rPr>
              <w:t>Public Interest Entities (</w:t>
            </w:r>
            <w:r w:rsidR="000E7588" w:rsidRPr="00BA050E">
              <w:rPr>
                <w:rFonts w:eastAsia="Calibri"/>
                <w:color w:val="auto"/>
                <w:sz w:val="20"/>
                <w:szCs w:val="20"/>
              </w:rPr>
              <w:t>SOEs</w:t>
            </w:r>
            <w:r w:rsidR="000E7588">
              <w:rPr>
                <w:rFonts w:eastAsia="Calibri"/>
                <w:color w:val="auto"/>
                <w:sz w:val="20"/>
                <w:szCs w:val="20"/>
              </w:rPr>
              <w:t>)</w:t>
            </w:r>
            <w:r w:rsidR="000E7588" w:rsidRPr="00BA050E">
              <w:rPr>
                <w:rFonts w:eastAsia="Calibri"/>
                <w:color w:val="auto"/>
                <w:sz w:val="20"/>
                <w:szCs w:val="20"/>
              </w:rPr>
              <w:t xml:space="preserve"> which:</w:t>
            </w:r>
          </w:p>
          <w:p w14:paraId="67502777" w14:textId="77777777" w:rsidR="000E7588" w:rsidRPr="00BA050E" w:rsidRDefault="000E7588" w:rsidP="000E7588">
            <w:pPr>
              <w:numPr>
                <w:ilvl w:val="0"/>
                <w:numId w:val="15"/>
              </w:numPr>
              <w:spacing w:after="0" w:line="240" w:lineRule="auto"/>
              <w:ind w:left="0" w:right="0" w:firstLine="250"/>
              <w:contextualSpacing/>
              <w:jc w:val="left"/>
              <w:rPr>
                <w:color w:val="auto"/>
                <w:sz w:val="20"/>
                <w:szCs w:val="20"/>
              </w:rPr>
            </w:pPr>
            <w:r w:rsidRPr="00BA050E">
              <w:rPr>
                <w:rFonts w:eastAsia="Calibri"/>
                <w:color w:val="auto"/>
                <w:sz w:val="20"/>
                <w:szCs w:val="20"/>
              </w:rPr>
              <w:t xml:space="preserve">Have issued their financial statements in accordance with IFRS: </w:t>
            </w:r>
            <w:r w:rsidRPr="00BA050E">
              <w:rPr>
                <w:color w:val="auto"/>
                <w:sz w:val="20"/>
                <w:szCs w:val="20"/>
              </w:rPr>
              <w:t xml:space="preserve">0% (FY17)/ </w:t>
            </w:r>
            <w:r>
              <w:rPr>
                <w:color w:val="auto"/>
                <w:sz w:val="20"/>
                <w:szCs w:val="20"/>
              </w:rPr>
              <w:t>3</w:t>
            </w:r>
            <w:r w:rsidRPr="00BA050E">
              <w:rPr>
                <w:color w:val="auto"/>
                <w:sz w:val="20"/>
                <w:szCs w:val="20"/>
              </w:rPr>
              <w:t>0% (FY19)</w:t>
            </w:r>
          </w:p>
          <w:p w14:paraId="0906FEB7" w14:textId="77777777" w:rsidR="000E7588" w:rsidRDefault="000E7588" w:rsidP="000E7588">
            <w:pPr>
              <w:spacing w:after="0" w:line="240" w:lineRule="auto"/>
              <w:ind w:left="0" w:right="0" w:firstLine="0"/>
              <w:jc w:val="left"/>
              <w:rPr>
                <w:color w:val="auto"/>
                <w:sz w:val="20"/>
                <w:szCs w:val="20"/>
              </w:rPr>
            </w:pPr>
            <w:r w:rsidRPr="00BA050E">
              <w:rPr>
                <w:rFonts w:eastAsia="Calibri"/>
                <w:color w:val="auto"/>
                <w:sz w:val="20"/>
                <w:szCs w:val="20"/>
              </w:rPr>
              <w:t xml:space="preserve">apply the Code of Corporate Governance (with similar requirements as for listed entities): </w:t>
            </w:r>
            <w:r w:rsidRPr="00BA050E">
              <w:rPr>
                <w:color w:val="auto"/>
                <w:sz w:val="20"/>
                <w:szCs w:val="20"/>
              </w:rPr>
              <w:t>0 (FY17)/ 30% (FY19)</w:t>
            </w:r>
          </w:p>
          <w:p w14:paraId="6C6656F8" w14:textId="77777777" w:rsidR="00867831" w:rsidRPr="00BA050E" w:rsidRDefault="00867831" w:rsidP="00867831">
            <w:pPr>
              <w:spacing w:after="0" w:line="240" w:lineRule="auto"/>
              <w:ind w:left="0" w:right="0" w:firstLine="0"/>
              <w:jc w:val="left"/>
              <w:rPr>
                <w:rFonts w:eastAsia="Calibri"/>
                <w:color w:val="auto"/>
                <w:sz w:val="20"/>
                <w:szCs w:val="20"/>
              </w:rPr>
            </w:pPr>
          </w:p>
          <w:p w14:paraId="2D23538B" w14:textId="77777777" w:rsidR="00867831" w:rsidRPr="00BA050E" w:rsidRDefault="00867831" w:rsidP="00867831">
            <w:pPr>
              <w:spacing w:after="0" w:line="240" w:lineRule="auto"/>
              <w:ind w:left="0" w:right="0" w:firstLine="0"/>
              <w:jc w:val="left"/>
              <w:rPr>
                <w:rFonts w:eastAsia="Calibri"/>
                <w:iCs/>
                <w:color w:val="auto"/>
                <w:sz w:val="20"/>
                <w:szCs w:val="20"/>
              </w:rPr>
            </w:pPr>
          </w:p>
        </w:tc>
        <w:tc>
          <w:tcPr>
            <w:tcW w:w="4579" w:type="dxa"/>
          </w:tcPr>
          <w:p w14:paraId="3F48C141" w14:textId="77777777" w:rsidR="00867831" w:rsidRPr="00BA050E" w:rsidRDefault="00867831" w:rsidP="00867831">
            <w:pPr>
              <w:spacing w:after="0" w:line="240" w:lineRule="auto"/>
              <w:ind w:left="0" w:right="0" w:firstLine="0"/>
              <w:jc w:val="left"/>
              <w:rPr>
                <w:rFonts w:eastAsia="Calibri"/>
                <w:bCs/>
                <w:color w:val="auto"/>
                <w:sz w:val="20"/>
                <w:szCs w:val="20"/>
              </w:rPr>
            </w:pPr>
          </w:p>
          <w:p w14:paraId="652AB892" w14:textId="77777777" w:rsidR="00867831" w:rsidRPr="00BA050E" w:rsidRDefault="00867831" w:rsidP="00867831">
            <w:pPr>
              <w:spacing w:after="0" w:line="240" w:lineRule="auto"/>
              <w:ind w:left="0" w:right="0" w:firstLine="0"/>
              <w:jc w:val="left"/>
              <w:rPr>
                <w:rFonts w:eastAsia="Calibri"/>
                <w:bCs/>
                <w:color w:val="auto"/>
                <w:sz w:val="20"/>
                <w:szCs w:val="20"/>
              </w:rPr>
            </w:pPr>
          </w:p>
          <w:p w14:paraId="32F7B0B3" w14:textId="77777777" w:rsidR="00867831" w:rsidRPr="00BA050E" w:rsidRDefault="00867831" w:rsidP="00867831">
            <w:pPr>
              <w:spacing w:after="0" w:line="240" w:lineRule="auto"/>
              <w:ind w:left="0" w:right="0" w:firstLine="0"/>
              <w:jc w:val="left"/>
              <w:rPr>
                <w:rFonts w:eastAsia="Calibri"/>
                <w:bCs/>
                <w:color w:val="auto"/>
                <w:sz w:val="20"/>
                <w:szCs w:val="20"/>
              </w:rPr>
            </w:pPr>
          </w:p>
          <w:p w14:paraId="63429FF0" w14:textId="77777777" w:rsidR="00867831" w:rsidRPr="00BA050E" w:rsidRDefault="00867831" w:rsidP="00867831">
            <w:pPr>
              <w:spacing w:after="0" w:line="240" w:lineRule="auto"/>
              <w:ind w:left="0" w:right="0" w:firstLine="0"/>
              <w:jc w:val="left"/>
              <w:rPr>
                <w:rFonts w:eastAsia="Calibri"/>
                <w:bCs/>
                <w:color w:val="auto"/>
                <w:sz w:val="20"/>
                <w:szCs w:val="20"/>
              </w:rPr>
            </w:pPr>
          </w:p>
          <w:p w14:paraId="0DFE9D05" w14:textId="77777777" w:rsidR="00867831" w:rsidRPr="00BA050E" w:rsidRDefault="00867831" w:rsidP="00867831">
            <w:pPr>
              <w:spacing w:after="0" w:line="240" w:lineRule="auto"/>
              <w:ind w:left="0" w:right="0" w:firstLine="0"/>
              <w:jc w:val="left"/>
              <w:rPr>
                <w:rFonts w:eastAsia="Calibri"/>
                <w:bCs/>
                <w:color w:val="auto"/>
                <w:sz w:val="20"/>
                <w:szCs w:val="20"/>
              </w:rPr>
            </w:pPr>
          </w:p>
          <w:p w14:paraId="7BDA92B1" w14:textId="77777777" w:rsidR="00867831" w:rsidRPr="00BA050E" w:rsidRDefault="00867831" w:rsidP="00867831">
            <w:pPr>
              <w:spacing w:after="0" w:line="240" w:lineRule="auto"/>
              <w:ind w:left="0" w:right="0" w:firstLine="0"/>
              <w:jc w:val="left"/>
              <w:rPr>
                <w:rFonts w:eastAsia="Calibri"/>
                <w:bCs/>
                <w:color w:val="auto"/>
                <w:sz w:val="20"/>
                <w:szCs w:val="20"/>
              </w:rPr>
            </w:pPr>
          </w:p>
          <w:p w14:paraId="0B3A9441" w14:textId="77777777" w:rsidR="00867831" w:rsidRPr="00BA050E" w:rsidRDefault="00867831" w:rsidP="00867831">
            <w:pPr>
              <w:spacing w:after="0" w:line="240" w:lineRule="auto"/>
              <w:ind w:left="0" w:right="0" w:firstLine="0"/>
              <w:jc w:val="left"/>
              <w:rPr>
                <w:rFonts w:eastAsia="Calibri"/>
                <w:color w:val="auto"/>
                <w:sz w:val="20"/>
                <w:szCs w:val="20"/>
              </w:rPr>
            </w:pPr>
          </w:p>
          <w:p w14:paraId="61563024" w14:textId="77777777" w:rsidR="00867831" w:rsidRPr="00BA050E" w:rsidRDefault="00867831" w:rsidP="00867831">
            <w:pPr>
              <w:spacing w:after="0" w:line="240" w:lineRule="auto"/>
              <w:ind w:left="0" w:right="0" w:firstLine="0"/>
              <w:jc w:val="left"/>
              <w:rPr>
                <w:rFonts w:eastAsia="Calibri"/>
                <w:color w:val="auto"/>
                <w:sz w:val="20"/>
                <w:szCs w:val="20"/>
              </w:rPr>
            </w:pPr>
          </w:p>
          <w:p w14:paraId="4281CD90" w14:textId="77777777" w:rsidR="00867831" w:rsidRPr="00BA050E" w:rsidRDefault="00867831" w:rsidP="00867831">
            <w:pPr>
              <w:spacing w:after="0" w:line="240" w:lineRule="auto"/>
              <w:ind w:left="0" w:right="0" w:firstLine="0"/>
              <w:jc w:val="left"/>
              <w:rPr>
                <w:rFonts w:eastAsia="Calibri"/>
                <w:color w:val="auto"/>
                <w:sz w:val="20"/>
                <w:szCs w:val="20"/>
              </w:rPr>
            </w:pPr>
          </w:p>
          <w:p w14:paraId="08B7EA27" w14:textId="77777777" w:rsidR="00867831" w:rsidRPr="00BA050E" w:rsidRDefault="00867831" w:rsidP="00867831">
            <w:pPr>
              <w:spacing w:after="0" w:line="240" w:lineRule="auto"/>
              <w:ind w:left="0" w:right="0" w:firstLine="0"/>
              <w:jc w:val="left"/>
              <w:rPr>
                <w:rFonts w:eastAsia="Calibri"/>
                <w:color w:val="auto"/>
                <w:sz w:val="20"/>
                <w:szCs w:val="20"/>
              </w:rPr>
            </w:pPr>
          </w:p>
          <w:p w14:paraId="129E8FAB" w14:textId="77777777" w:rsidR="00867831" w:rsidRPr="00BA050E" w:rsidRDefault="00867831" w:rsidP="00867831">
            <w:pPr>
              <w:spacing w:after="0" w:line="240" w:lineRule="auto"/>
              <w:ind w:left="0" w:right="0" w:firstLine="0"/>
              <w:jc w:val="left"/>
              <w:rPr>
                <w:rFonts w:eastAsia="Calibri"/>
                <w:color w:val="auto"/>
                <w:sz w:val="20"/>
                <w:szCs w:val="20"/>
              </w:rPr>
            </w:pPr>
          </w:p>
          <w:p w14:paraId="67FA611F" w14:textId="77777777" w:rsidR="00867831" w:rsidRPr="00BA050E" w:rsidRDefault="00867831" w:rsidP="00867831">
            <w:pPr>
              <w:spacing w:after="0" w:line="240" w:lineRule="auto"/>
              <w:ind w:left="0" w:right="0" w:firstLine="0"/>
              <w:jc w:val="left"/>
              <w:rPr>
                <w:rFonts w:eastAsia="Calibri"/>
                <w:color w:val="auto"/>
                <w:sz w:val="20"/>
                <w:szCs w:val="20"/>
              </w:rPr>
            </w:pPr>
          </w:p>
          <w:p w14:paraId="0B6CBF7A" w14:textId="77777777" w:rsidR="00867831" w:rsidRPr="00BA050E" w:rsidRDefault="00867831" w:rsidP="00867831">
            <w:pPr>
              <w:spacing w:after="0" w:line="240" w:lineRule="auto"/>
              <w:ind w:left="0" w:right="0" w:firstLine="0"/>
              <w:jc w:val="left"/>
              <w:rPr>
                <w:rFonts w:eastAsia="Calibri"/>
                <w:color w:val="auto"/>
                <w:sz w:val="20"/>
                <w:szCs w:val="20"/>
              </w:rPr>
            </w:pPr>
          </w:p>
          <w:p w14:paraId="65FA5D4C" w14:textId="77777777" w:rsidR="00867831" w:rsidRPr="00BA050E" w:rsidRDefault="00867831" w:rsidP="00867831">
            <w:pPr>
              <w:spacing w:after="0" w:line="240" w:lineRule="auto"/>
              <w:ind w:left="0" w:right="0" w:firstLine="0"/>
              <w:jc w:val="left"/>
              <w:rPr>
                <w:rFonts w:eastAsia="Calibri"/>
                <w:color w:val="auto"/>
                <w:sz w:val="20"/>
                <w:szCs w:val="20"/>
              </w:rPr>
            </w:pPr>
          </w:p>
          <w:p w14:paraId="50DA0C5E"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 xml:space="preserve">SPI </w:t>
            </w:r>
            <w:r w:rsidR="00113059">
              <w:rPr>
                <w:rFonts w:eastAsia="Calibri"/>
                <w:color w:val="auto"/>
                <w:sz w:val="20"/>
                <w:szCs w:val="20"/>
              </w:rPr>
              <w:t>5</w:t>
            </w:r>
            <w:r w:rsidRPr="00BA050E">
              <w:rPr>
                <w:rFonts w:eastAsia="Calibri"/>
                <w:color w:val="auto"/>
                <w:sz w:val="20"/>
                <w:szCs w:val="20"/>
              </w:rPr>
              <w:t>: Strengthened policy framework for SOEs’ ownership in place</w:t>
            </w:r>
          </w:p>
          <w:p w14:paraId="5819513B"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Baseline: N/A (2017)</w:t>
            </w:r>
          </w:p>
          <w:p w14:paraId="5E4E3187" w14:textId="77777777" w:rsidR="00867831" w:rsidRPr="00BA050E" w:rsidRDefault="00867831" w:rsidP="00867831">
            <w:pPr>
              <w:spacing w:after="0" w:line="240" w:lineRule="auto"/>
              <w:ind w:left="0" w:right="0" w:firstLine="0"/>
              <w:jc w:val="left"/>
              <w:rPr>
                <w:rFonts w:eastAsia="Calibri"/>
                <w:color w:val="auto"/>
                <w:sz w:val="20"/>
                <w:szCs w:val="20"/>
              </w:rPr>
            </w:pPr>
            <w:r w:rsidRPr="00BA050E">
              <w:rPr>
                <w:rFonts w:eastAsia="Calibri"/>
                <w:color w:val="auto"/>
                <w:sz w:val="20"/>
                <w:szCs w:val="20"/>
              </w:rPr>
              <w:t>Target:    Rationale for SOEs’ ownership approved by the Government (2018)</w:t>
            </w:r>
          </w:p>
          <w:p w14:paraId="78CEF3DD" w14:textId="77777777" w:rsidR="00867831" w:rsidRPr="00BA050E" w:rsidRDefault="00867831" w:rsidP="00867831">
            <w:pPr>
              <w:spacing w:after="0" w:line="240" w:lineRule="auto"/>
              <w:ind w:left="0" w:right="0" w:firstLine="0"/>
              <w:jc w:val="left"/>
              <w:rPr>
                <w:rFonts w:eastAsia="Calibri"/>
                <w:color w:val="auto"/>
                <w:sz w:val="20"/>
                <w:szCs w:val="20"/>
              </w:rPr>
            </w:pPr>
          </w:p>
          <w:p w14:paraId="366E4DBC" w14:textId="77777777" w:rsidR="000E7588" w:rsidRPr="00BA050E" w:rsidRDefault="00867831" w:rsidP="000E7588">
            <w:pPr>
              <w:spacing w:after="0" w:line="240" w:lineRule="auto"/>
              <w:ind w:left="0" w:right="0" w:firstLine="0"/>
              <w:jc w:val="left"/>
              <w:rPr>
                <w:rFonts w:eastAsia="Calibri"/>
                <w:color w:val="auto"/>
                <w:sz w:val="20"/>
                <w:szCs w:val="20"/>
              </w:rPr>
            </w:pPr>
            <w:r w:rsidRPr="00BA050E">
              <w:rPr>
                <w:rFonts w:eastAsia="Calibri"/>
                <w:iCs/>
                <w:color w:val="auto"/>
                <w:sz w:val="20"/>
                <w:szCs w:val="20"/>
              </w:rPr>
              <w:t xml:space="preserve">SPI </w:t>
            </w:r>
            <w:r w:rsidR="00113059">
              <w:rPr>
                <w:rFonts w:eastAsia="Calibri"/>
                <w:iCs/>
                <w:color w:val="auto"/>
                <w:sz w:val="20"/>
                <w:szCs w:val="20"/>
              </w:rPr>
              <w:t>6</w:t>
            </w:r>
            <w:r w:rsidRPr="00BA050E">
              <w:rPr>
                <w:rFonts w:eastAsia="Calibri"/>
                <w:iCs/>
                <w:color w:val="auto"/>
                <w:sz w:val="20"/>
                <w:szCs w:val="20"/>
              </w:rPr>
              <w:t>:</w:t>
            </w:r>
            <w:r w:rsidRPr="00BA050E">
              <w:rPr>
                <w:rFonts w:eastAsia="Calibri"/>
                <w:i/>
                <w:iCs/>
                <w:color w:val="auto"/>
                <w:sz w:val="20"/>
                <w:szCs w:val="20"/>
              </w:rPr>
              <w:t xml:space="preserve"> </w:t>
            </w:r>
            <w:r w:rsidR="000E7588">
              <w:rPr>
                <w:rFonts w:eastAsia="Calibri"/>
                <w:color w:val="auto"/>
                <w:sz w:val="20"/>
                <w:szCs w:val="20"/>
              </w:rPr>
              <w:t>Improved</w:t>
            </w:r>
            <w:r w:rsidR="000E7588" w:rsidRPr="00BA050E">
              <w:rPr>
                <w:rFonts w:eastAsia="Calibri"/>
                <w:color w:val="auto"/>
                <w:sz w:val="20"/>
                <w:szCs w:val="20"/>
              </w:rPr>
              <w:t xml:space="preserve"> governance framework for centralized State-owned Enterprises’ (SOEs) ownership function</w:t>
            </w:r>
          </w:p>
          <w:p w14:paraId="40A9073A" w14:textId="77777777" w:rsidR="000E7588" w:rsidRPr="00BA050E" w:rsidRDefault="000E7588" w:rsidP="000E7588">
            <w:pPr>
              <w:spacing w:after="0" w:line="240" w:lineRule="auto"/>
              <w:ind w:left="0" w:right="0" w:firstLine="0"/>
              <w:jc w:val="left"/>
              <w:rPr>
                <w:color w:val="auto"/>
                <w:sz w:val="20"/>
                <w:szCs w:val="20"/>
              </w:rPr>
            </w:pPr>
            <w:r w:rsidRPr="00BA050E">
              <w:rPr>
                <w:color w:val="auto"/>
                <w:sz w:val="20"/>
                <w:szCs w:val="20"/>
              </w:rPr>
              <w:t>Baseline: N/A (FY17)</w:t>
            </w:r>
          </w:p>
          <w:p w14:paraId="2F87256C" w14:textId="77777777" w:rsidR="000E7588" w:rsidRPr="00BA050E" w:rsidRDefault="000E7588" w:rsidP="000E7588">
            <w:pPr>
              <w:tabs>
                <w:tab w:val="left" w:pos="151"/>
              </w:tabs>
              <w:autoSpaceDE w:val="0"/>
              <w:autoSpaceDN w:val="0"/>
              <w:adjustRightInd w:val="0"/>
              <w:spacing w:after="0" w:line="240" w:lineRule="auto"/>
              <w:ind w:left="0" w:right="0" w:firstLine="0"/>
              <w:jc w:val="left"/>
              <w:rPr>
                <w:rFonts w:eastAsia="Calibri"/>
                <w:i/>
                <w:iCs/>
                <w:color w:val="auto"/>
                <w:sz w:val="20"/>
                <w:szCs w:val="20"/>
              </w:rPr>
            </w:pPr>
            <w:r w:rsidRPr="00BA050E">
              <w:rPr>
                <w:color w:val="auto"/>
                <w:sz w:val="20"/>
                <w:szCs w:val="20"/>
              </w:rPr>
              <w:t xml:space="preserve">Target:    </w:t>
            </w:r>
            <w:r>
              <w:rPr>
                <w:rFonts w:eastAsia="Calibri"/>
                <w:color w:val="auto"/>
                <w:sz w:val="20"/>
                <w:szCs w:val="20"/>
              </w:rPr>
              <w:t>Adequate</w:t>
            </w:r>
            <w:r w:rsidRPr="00BA050E">
              <w:rPr>
                <w:rFonts w:eastAsia="Calibri"/>
                <w:color w:val="auto"/>
                <w:sz w:val="20"/>
                <w:szCs w:val="20"/>
              </w:rPr>
              <w:t xml:space="preserve"> regulations for proper functioning of centralized ownership institution approved </w:t>
            </w:r>
            <w:r w:rsidRPr="00BA050E">
              <w:rPr>
                <w:color w:val="auto"/>
                <w:sz w:val="20"/>
                <w:szCs w:val="20"/>
              </w:rPr>
              <w:t>(FY20)</w:t>
            </w:r>
          </w:p>
          <w:p w14:paraId="6EB3628B" w14:textId="77777777" w:rsidR="00867831" w:rsidRPr="00BA050E" w:rsidRDefault="00867831" w:rsidP="00D77307">
            <w:pPr>
              <w:spacing w:after="0" w:line="240" w:lineRule="auto"/>
              <w:ind w:left="0" w:right="0" w:firstLine="0"/>
              <w:jc w:val="left"/>
              <w:rPr>
                <w:rFonts w:eastAsia="Calibri"/>
                <w:iCs/>
                <w:color w:val="auto"/>
                <w:sz w:val="20"/>
                <w:szCs w:val="20"/>
              </w:rPr>
            </w:pPr>
          </w:p>
          <w:p w14:paraId="72D8652E" w14:textId="77777777" w:rsidR="00867831" w:rsidRPr="00BA050E" w:rsidRDefault="00867831" w:rsidP="00867831">
            <w:pPr>
              <w:tabs>
                <w:tab w:val="left" w:pos="1392"/>
              </w:tabs>
              <w:spacing w:after="0" w:line="240" w:lineRule="auto"/>
              <w:ind w:left="0" w:right="0" w:firstLine="0"/>
              <w:jc w:val="left"/>
              <w:rPr>
                <w:rFonts w:eastAsia="Calibri"/>
                <w:color w:val="auto"/>
                <w:sz w:val="20"/>
                <w:szCs w:val="20"/>
              </w:rPr>
            </w:pPr>
            <w:r w:rsidRPr="00BA050E">
              <w:rPr>
                <w:rFonts w:eastAsia="Calibri"/>
                <w:iCs/>
                <w:color w:val="auto"/>
                <w:sz w:val="20"/>
                <w:szCs w:val="20"/>
              </w:rPr>
              <w:lastRenderedPageBreak/>
              <w:t xml:space="preserve">SPI </w:t>
            </w:r>
            <w:r w:rsidR="00113059">
              <w:rPr>
                <w:rFonts w:eastAsia="Calibri"/>
                <w:iCs/>
                <w:color w:val="auto"/>
                <w:sz w:val="20"/>
                <w:szCs w:val="20"/>
              </w:rPr>
              <w:t>7</w:t>
            </w:r>
            <w:r w:rsidRPr="00BA050E">
              <w:rPr>
                <w:rFonts w:eastAsia="Calibri"/>
                <w:iCs/>
                <w:color w:val="auto"/>
                <w:sz w:val="20"/>
                <w:szCs w:val="20"/>
              </w:rPr>
              <w:t xml:space="preserve">: </w:t>
            </w:r>
            <w:r w:rsidRPr="00BA050E">
              <w:rPr>
                <w:rFonts w:eastAsia="Calibri"/>
                <w:color w:val="auto"/>
                <w:sz w:val="20"/>
                <w:szCs w:val="20"/>
              </w:rPr>
              <w:t xml:space="preserve">Increased knowledge of public assets available to decision-makers through the functional repository </w:t>
            </w:r>
          </w:p>
          <w:p w14:paraId="72AE8B1F" w14:textId="77777777" w:rsidR="00867831" w:rsidRPr="00BA050E" w:rsidRDefault="00867831" w:rsidP="00867831">
            <w:pPr>
              <w:spacing w:after="0" w:line="240" w:lineRule="auto"/>
              <w:ind w:left="25" w:right="0" w:firstLine="0"/>
              <w:jc w:val="left"/>
              <w:rPr>
                <w:color w:val="auto"/>
                <w:sz w:val="20"/>
                <w:szCs w:val="20"/>
              </w:rPr>
            </w:pPr>
            <w:r w:rsidRPr="00BA050E">
              <w:rPr>
                <w:color w:val="auto"/>
                <w:sz w:val="20"/>
                <w:szCs w:val="20"/>
              </w:rPr>
              <w:t>Baseline: N/A (FY17)</w:t>
            </w:r>
          </w:p>
          <w:p w14:paraId="2D1C1661" w14:textId="77777777" w:rsidR="00867831" w:rsidRPr="00BA050E" w:rsidRDefault="00867831" w:rsidP="00867831">
            <w:pPr>
              <w:autoSpaceDE w:val="0"/>
              <w:autoSpaceDN w:val="0"/>
              <w:adjustRightInd w:val="0"/>
              <w:spacing w:after="0" w:line="240" w:lineRule="auto"/>
              <w:ind w:left="0" w:right="0" w:firstLine="0"/>
              <w:jc w:val="left"/>
              <w:rPr>
                <w:color w:val="auto"/>
                <w:sz w:val="20"/>
                <w:szCs w:val="20"/>
              </w:rPr>
            </w:pPr>
            <w:r w:rsidRPr="00BA050E">
              <w:rPr>
                <w:color w:val="auto"/>
                <w:sz w:val="20"/>
                <w:szCs w:val="20"/>
              </w:rPr>
              <w:t>Target:     Training on collection and use of information generated by the state asset registry provided (FY19)</w:t>
            </w:r>
          </w:p>
        </w:tc>
        <w:tc>
          <w:tcPr>
            <w:tcW w:w="3708" w:type="dxa"/>
          </w:tcPr>
          <w:p w14:paraId="2993534B" w14:textId="77777777" w:rsidR="00867831" w:rsidRPr="00BA050E" w:rsidRDefault="00867831" w:rsidP="00867831">
            <w:pPr>
              <w:spacing w:after="0" w:line="240" w:lineRule="auto"/>
              <w:ind w:left="0" w:right="0" w:firstLine="0"/>
              <w:jc w:val="left"/>
              <w:rPr>
                <w:rFonts w:eastAsia="Calibri"/>
                <w:b/>
                <w:color w:val="auto"/>
                <w:sz w:val="20"/>
                <w:szCs w:val="20"/>
              </w:rPr>
            </w:pPr>
            <w:r w:rsidRPr="00BA050E">
              <w:rPr>
                <w:rFonts w:eastAsia="Calibri"/>
                <w:b/>
                <w:color w:val="auto"/>
                <w:sz w:val="20"/>
                <w:szCs w:val="20"/>
              </w:rPr>
              <w:lastRenderedPageBreak/>
              <w:t>WBG Lending:</w:t>
            </w:r>
          </w:p>
          <w:p w14:paraId="13EF25BD" w14:textId="77777777" w:rsidR="00867831" w:rsidRPr="00BA050E"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District Heating and Efficiency Improvement Project (ongoing)</w:t>
            </w:r>
          </w:p>
          <w:p w14:paraId="58876DB2" w14:textId="77777777" w:rsidR="00867831" w:rsidRPr="00BA050E"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Economic Governance DPO (pipeline FY18)</w:t>
            </w:r>
          </w:p>
          <w:p w14:paraId="5E881BAE" w14:textId="77777777" w:rsidR="00867831"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Transparent Power Market Project (pipeline FY18)</w:t>
            </w:r>
          </w:p>
          <w:p w14:paraId="269AD022" w14:textId="77777777" w:rsidR="00D70422" w:rsidRPr="004172DB" w:rsidRDefault="00D70422" w:rsidP="004172DB">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Land Registration, Valuation and Local Taxation Project (pipeline FY18)</w:t>
            </w:r>
          </w:p>
          <w:p w14:paraId="1C2F6DBD" w14:textId="77777777" w:rsidR="00867831" w:rsidRPr="00BA050E" w:rsidRDefault="00867831" w:rsidP="00867831">
            <w:pPr>
              <w:spacing w:after="0" w:line="240" w:lineRule="auto"/>
              <w:ind w:left="0" w:right="0" w:firstLine="0"/>
              <w:jc w:val="left"/>
              <w:rPr>
                <w:rFonts w:eastAsia="Calibri"/>
                <w:color w:val="auto"/>
                <w:sz w:val="20"/>
                <w:szCs w:val="20"/>
              </w:rPr>
            </w:pPr>
          </w:p>
          <w:p w14:paraId="6291A6C7" w14:textId="77777777" w:rsidR="00867831" w:rsidRPr="00BA050E" w:rsidRDefault="00867831" w:rsidP="00867831">
            <w:pPr>
              <w:spacing w:after="0" w:line="240" w:lineRule="auto"/>
              <w:ind w:left="0" w:right="0" w:firstLine="0"/>
              <w:jc w:val="left"/>
              <w:rPr>
                <w:rFonts w:eastAsia="Calibri"/>
                <w:b/>
                <w:color w:val="auto"/>
                <w:sz w:val="20"/>
                <w:szCs w:val="20"/>
              </w:rPr>
            </w:pPr>
            <w:r w:rsidRPr="00BA050E">
              <w:rPr>
                <w:rFonts w:eastAsia="Calibri"/>
                <w:b/>
                <w:color w:val="auto"/>
                <w:sz w:val="20"/>
                <w:szCs w:val="20"/>
              </w:rPr>
              <w:t>ASA:</w:t>
            </w:r>
          </w:p>
          <w:p w14:paraId="08B80633" w14:textId="77777777" w:rsidR="00867831" w:rsidRPr="00BA050E"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District Heating Financial Restructuring</w:t>
            </w:r>
            <w:r w:rsidRPr="00BA050E">
              <w:rPr>
                <w:rFonts w:eastAsia="Calibri"/>
                <w:color w:val="1F497D"/>
                <w:sz w:val="20"/>
                <w:szCs w:val="20"/>
              </w:rPr>
              <w:t xml:space="preserve"> </w:t>
            </w:r>
            <w:r w:rsidRPr="00BA050E">
              <w:rPr>
                <w:rFonts w:eastAsia="Calibri"/>
                <w:color w:val="auto"/>
                <w:sz w:val="20"/>
                <w:szCs w:val="20"/>
              </w:rPr>
              <w:t xml:space="preserve">(ongoing) </w:t>
            </w:r>
          </w:p>
          <w:p w14:paraId="16D28734" w14:textId="77777777" w:rsidR="00867831" w:rsidRPr="00BA050E"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bCs/>
                <w:color w:val="auto"/>
                <w:sz w:val="20"/>
                <w:szCs w:val="20"/>
              </w:rPr>
              <w:t>ESMAP Just-In-Time DH regulatory support</w:t>
            </w:r>
          </w:p>
          <w:p w14:paraId="2599A3F8" w14:textId="77777777" w:rsidR="00867831" w:rsidRPr="00BA050E"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bCs/>
                <w:color w:val="auto"/>
                <w:sz w:val="20"/>
                <w:szCs w:val="20"/>
              </w:rPr>
              <w:t>ESMAP Power System Interconnection Analysis</w:t>
            </w:r>
          </w:p>
          <w:p w14:paraId="12341EEA" w14:textId="77777777" w:rsidR="00867831" w:rsidRPr="000737B0"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bCs/>
                <w:color w:val="auto"/>
                <w:sz w:val="20"/>
                <w:szCs w:val="20"/>
              </w:rPr>
              <w:t>SOE Reform (UK TF)</w:t>
            </w:r>
          </w:p>
          <w:p w14:paraId="7492A4DC" w14:textId="77777777" w:rsidR="00FF0030" w:rsidRPr="00BA050E" w:rsidRDefault="00FF0030" w:rsidP="00D70422">
            <w:pPr>
              <w:numPr>
                <w:ilvl w:val="0"/>
                <w:numId w:val="10"/>
              </w:numPr>
              <w:spacing w:after="0" w:line="240" w:lineRule="auto"/>
              <w:ind w:right="0"/>
              <w:contextualSpacing/>
              <w:jc w:val="left"/>
              <w:rPr>
                <w:rFonts w:eastAsia="Calibri"/>
                <w:color w:val="auto"/>
                <w:sz w:val="20"/>
                <w:szCs w:val="20"/>
              </w:rPr>
            </w:pPr>
            <w:r>
              <w:rPr>
                <w:rFonts w:eastAsia="Calibri"/>
                <w:bCs/>
                <w:color w:val="auto"/>
                <w:sz w:val="20"/>
                <w:szCs w:val="20"/>
              </w:rPr>
              <w:t>Governance Reform Scorecard TA (UK TF)</w:t>
            </w:r>
          </w:p>
          <w:p w14:paraId="38CB926B" w14:textId="77777777" w:rsidR="00867831"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Public Expenditure Reviews</w:t>
            </w:r>
          </w:p>
          <w:p w14:paraId="74BCEE81" w14:textId="283076D4" w:rsidR="005A20F2" w:rsidRDefault="005A20F2">
            <w:pPr>
              <w:numPr>
                <w:ilvl w:val="0"/>
                <w:numId w:val="10"/>
              </w:numPr>
              <w:spacing w:after="0" w:line="240" w:lineRule="auto"/>
              <w:ind w:right="0"/>
              <w:contextualSpacing/>
              <w:jc w:val="left"/>
              <w:rPr>
                <w:rFonts w:eastAsia="Calibri"/>
                <w:color w:val="auto"/>
                <w:sz w:val="20"/>
                <w:szCs w:val="20"/>
              </w:rPr>
            </w:pPr>
            <w:r>
              <w:rPr>
                <w:rFonts w:eastAsia="Calibri"/>
                <w:color w:val="auto"/>
                <w:sz w:val="20"/>
                <w:szCs w:val="20"/>
              </w:rPr>
              <w:t>Public Asset Inventory (UK GGF)</w:t>
            </w:r>
          </w:p>
          <w:p w14:paraId="664B6361" w14:textId="5E77DD86" w:rsidR="005D51A0" w:rsidRPr="005A20F2" w:rsidRDefault="005D51A0">
            <w:pPr>
              <w:numPr>
                <w:ilvl w:val="0"/>
                <w:numId w:val="10"/>
              </w:numPr>
              <w:spacing w:after="0" w:line="240" w:lineRule="auto"/>
              <w:ind w:right="0"/>
              <w:contextualSpacing/>
              <w:jc w:val="left"/>
              <w:rPr>
                <w:rFonts w:eastAsia="Calibri"/>
                <w:color w:val="auto"/>
                <w:sz w:val="20"/>
                <w:szCs w:val="20"/>
              </w:rPr>
            </w:pPr>
            <w:r>
              <w:rPr>
                <w:rFonts w:eastAsia="Calibri"/>
                <w:color w:val="auto"/>
                <w:sz w:val="20"/>
                <w:szCs w:val="20"/>
              </w:rPr>
              <w:t>IFC potential advice on privatization transactions</w:t>
            </w:r>
          </w:p>
          <w:p w14:paraId="0F16D0B0" w14:textId="77777777" w:rsidR="00867831" w:rsidRPr="00BA050E" w:rsidRDefault="00867831" w:rsidP="00867831">
            <w:pPr>
              <w:spacing w:after="0" w:line="240" w:lineRule="auto"/>
              <w:ind w:left="0" w:right="0" w:firstLine="0"/>
              <w:jc w:val="left"/>
              <w:rPr>
                <w:rFonts w:eastAsia="Calibri"/>
                <w:color w:val="auto"/>
                <w:sz w:val="20"/>
                <w:szCs w:val="20"/>
              </w:rPr>
            </w:pPr>
          </w:p>
          <w:p w14:paraId="7950B34B" w14:textId="77777777" w:rsidR="00867831" w:rsidRPr="00BA050E" w:rsidRDefault="00867831" w:rsidP="00867831">
            <w:pPr>
              <w:spacing w:after="0" w:line="240" w:lineRule="auto"/>
              <w:ind w:left="0" w:right="0" w:firstLine="0"/>
              <w:jc w:val="left"/>
              <w:rPr>
                <w:rFonts w:eastAsia="Calibri"/>
                <w:b/>
                <w:color w:val="auto"/>
                <w:sz w:val="20"/>
                <w:szCs w:val="20"/>
              </w:rPr>
            </w:pPr>
            <w:r w:rsidRPr="00BA050E">
              <w:rPr>
                <w:rFonts w:eastAsia="Calibri"/>
                <w:b/>
                <w:color w:val="auto"/>
                <w:sz w:val="20"/>
                <w:szCs w:val="20"/>
              </w:rPr>
              <w:t>Partnerships:</w:t>
            </w:r>
          </w:p>
          <w:p w14:paraId="27FB4FC4" w14:textId="77777777" w:rsidR="00867831" w:rsidRPr="00BA050E"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lastRenderedPageBreak/>
              <w:t xml:space="preserve">Economic Governance of the Energy Sector (EU TF) </w:t>
            </w:r>
          </w:p>
          <w:p w14:paraId="6F2FCE11" w14:textId="77777777" w:rsidR="00867831"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Economic Rule of Law Project (EU TF)</w:t>
            </w:r>
          </w:p>
          <w:p w14:paraId="18016767" w14:textId="77777777" w:rsidR="00D70422" w:rsidRPr="00BA050E" w:rsidRDefault="00D70422" w:rsidP="00D70422">
            <w:pPr>
              <w:numPr>
                <w:ilvl w:val="0"/>
                <w:numId w:val="10"/>
              </w:numPr>
              <w:spacing w:after="0" w:line="240" w:lineRule="auto"/>
              <w:ind w:right="0"/>
              <w:contextualSpacing/>
              <w:jc w:val="left"/>
              <w:rPr>
                <w:rFonts w:eastAsia="Calibri"/>
                <w:color w:val="auto"/>
                <w:sz w:val="20"/>
                <w:szCs w:val="20"/>
              </w:rPr>
            </w:pPr>
            <w:r>
              <w:rPr>
                <w:rFonts w:eastAsia="Calibri"/>
                <w:color w:val="auto"/>
                <w:sz w:val="20"/>
                <w:szCs w:val="20"/>
              </w:rPr>
              <w:t>Public Sector Inventory (UK- and EU-supported)</w:t>
            </w:r>
          </w:p>
          <w:p w14:paraId="08E88C66" w14:textId="77777777" w:rsidR="00867831" w:rsidRPr="00BA050E" w:rsidRDefault="00867831" w:rsidP="00D70422">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UK Good Governance Fund</w:t>
            </w:r>
          </w:p>
          <w:p w14:paraId="5C5EDE73" w14:textId="77777777" w:rsidR="00867831" w:rsidRPr="00002BBA" w:rsidRDefault="00867831" w:rsidP="00D77307">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IMF</w:t>
            </w:r>
          </w:p>
        </w:tc>
      </w:tr>
      <w:tr w:rsidR="00867831" w:rsidRPr="00BA050E" w14:paraId="19D67647" w14:textId="77777777" w:rsidTr="00867831">
        <w:tc>
          <w:tcPr>
            <w:tcW w:w="12955" w:type="dxa"/>
            <w:gridSpan w:val="3"/>
            <w:shd w:val="clear" w:color="auto" w:fill="E2EFD9"/>
          </w:tcPr>
          <w:p w14:paraId="1F5BA505" w14:textId="77777777" w:rsidR="00867831" w:rsidRPr="00BA050E" w:rsidRDefault="00867831" w:rsidP="00867831">
            <w:pPr>
              <w:spacing w:before="60" w:after="60" w:line="240" w:lineRule="auto"/>
              <w:ind w:left="0" w:right="0" w:firstLine="0"/>
              <w:jc w:val="center"/>
              <w:rPr>
                <w:rFonts w:eastAsia="Calibri"/>
                <w:b/>
                <w:color w:val="auto"/>
                <w:sz w:val="20"/>
                <w:szCs w:val="20"/>
              </w:rPr>
            </w:pPr>
            <w:r w:rsidRPr="00BA050E">
              <w:rPr>
                <w:rFonts w:eastAsia="Calibri"/>
                <w:b/>
                <w:color w:val="auto"/>
                <w:sz w:val="20"/>
                <w:szCs w:val="20"/>
              </w:rPr>
              <w:lastRenderedPageBreak/>
              <w:t>CPF OBJECTIVE 1C: Enhanced financial sector governance and stability</w:t>
            </w:r>
          </w:p>
        </w:tc>
      </w:tr>
      <w:tr w:rsidR="009F4080" w:rsidRPr="00BA050E" w14:paraId="142CF086" w14:textId="77777777" w:rsidTr="00FA25C5">
        <w:tc>
          <w:tcPr>
            <w:tcW w:w="12955" w:type="dxa"/>
            <w:gridSpan w:val="3"/>
          </w:tcPr>
          <w:p w14:paraId="538443E1" w14:textId="79D06D51" w:rsidR="009F4080" w:rsidRPr="00BA050E" w:rsidRDefault="009F4080" w:rsidP="00D77307">
            <w:pPr>
              <w:spacing w:after="60" w:line="240" w:lineRule="auto"/>
              <w:ind w:left="0" w:right="0" w:firstLine="0"/>
              <w:rPr>
                <w:rFonts w:eastAsia="Calibri"/>
                <w:b/>
                <w:color w:val="auto"/>
                <w:sz w:val="20"/>
                <w:szCs w:val="20"/>
              </w:rPr>
            </w:pPr>
            <w:r>
              <w:rPr>
                <w:rFonts w:eastAsia="Calibri"/>
                <w:b/>
                <w:color w:val="auto"/>
                <w:sz w:val="20"/>
                <w:szCs w:val="20"/>
              </w:rPr>
              <w:t xml:space="preserve">Intervention logic: </w:t>
            </w:r>
            <w:r w:rsidR="009919D8" w:rsidRPr="000F2A21">
              <w:rPr>
                <w:rFonts w:eastAsia="Calibri"/>
                <w:color w:val="auto"/>
                <w:sz w:val="20"/>
                <w:szCs w:val="20"/>
              </w:rPr>
              <w:t>A massive bank fraud in 2013-</w:t>
            </w:r>
            <w:r w:rsidR="009919D8">
              <w:rPr>
                <w:rFonts w:eastAsia="Calibri"/>
                <w:color w:val="auto"/>
                <w:sz w:val="20"/>
                <w:szCs w:val="20"/>
              </w:rPr>
              <w:t>1</w:t>
            </w:r>
            <w:r w:rsidR="009919D8" w:rsidRPr="000F2A21">
              <w:rPr>
                <w:rFonts w:eastAsia="Calibri"/>
                <w:color w:val="auto"/>
                <w:sz w:val="20"/>
                <w:szCs w:val="20"/>
              </w:rPr>
              <w:t>4</w:t>
            </w:r>
            <w:r w:rsidR="009919D8">
              <w:rPr>
                <w:rFonts w:eastAsia="Calibri"/>
                <w:color w:val="auto"/>
                <w:sz w:val="20"/>
                <w:szCs w:val="20"/>
              </w:rPr>
              <w:t xml:space="preserve"> </w:t>
            </w:r>
            <w:r w:rsidR="009919D8" w:rsidRPr="000F2A21">
              <w:rPr>
                <w:rFonts w:eastAsia="Calibri"/>
                <w:color w:val="auto"/>
                <w:sz w:val="20"/>
                <w:szCs w:val="20"/>
              </w:rPr>
              <w:t xml:space="preserve">enabled by political interference with the supervision function led to depreciation of the currency, inflation, financial destabilization and loss of investor confidence. </w:t>
            </w:r>
            <w:r w:rsidR="009F624E">
              <w:rPr>
                <w:rFonts w:eastAsia="Calibri"/>
                <w:color w:val="auto"/>
                <w:sz w:val="20"/>
                <w:szCs w:val="20"/>
              </w:rPr>
              <w:t>F</w:t>
            </w:r>
            <w:r w:rsidR="009919D8" w:rsidRPr="000F2A21">
              <w:rPr>
                <w:rFonts w:eastAsia="Calibri"/>
                <w:color w:val="auto"/>
                <w:sz w:val="20"/>
                <w:szCs w:val="20"/>
              </w:rPr>
              <w:t xml:space="preserve">iscal and monetary stabilization measures, along with the suspension of external budget assistance, constrained private investment and contributed to a recession. It is therefore important for macroeconomic stability, </w:t>
            </w:r>
            <w:r w:rsidR="009919D8">
              <w:rPr>
                <w:rFonts w:eastAsia="Calibri"/>
                <w:color w:val="auto"/>
                <w:sz w:val="20"/>
                <w:szCs w:val="20"/>
              </w:rPr>
              <w:t xml:space="preserve">investor confidence, </w:t>
            </w:r>
            <w:r w:rsidR="009919D8" w:rsidRPr="000F2A21">
              <w:rPr>
                <w:rFonts w:eastAsia="Calibri"/>
                <w:color w:val="auto"/>
                <w:sz w:val="20"/>
                <w:szCs w:val="20"/>
              </w:rPr>
              <w:t>growth and political economy that the authorities stabilize the financial sector</w:t>
            </w:r>
            <w:r w:rsidR="009919D8">
              <w:rPr>
                <w:rFonts w:eastAsia="Calibri"/>
                <w:color w:val="auto"/>
                <w:sz w:val="20"/>
                <w:szCs w:val="20"/>
              </w:rPr>
              <w:t xml:space="preserve"> and improve credit demand and access</w:t>
            </w:r>
            <w:r w:rsidR="009919D8" w:rsidRPr="000F2A21">
              <w:rPr>
                <w:rFonts w:eastAsia="Calibri"/>
                <w:color w:val="auto"/>
                <w:sz w:val="20"/>
                <w:szCs w:val="20"/>
              </w:rPr>
              <w:t xml:space="preserve"> by </w:t>
            </w:r>
            <w:r w:rsidR="009919D8">
              <w:rPr>
                <w:rFonts w:eastAsia="Calibri"/>
                <w:color w:val="auto"/>
                <w:sz w:val="20"/>
                <w:szCs w:val="20"/>
              </w:rPr>
              <w:t xml:space="preserve">strengthening </w:t>
            </w:r>
            <w:r w:rsidR="009919D8" w:rsidRPr="000F2A21">
              <w:rPr>
                <w:rFonts w:eastAsia="Calibri"/>
                <w:color w:val="auto"/>
                <w:sz w:val="20"/>
                <w:szCs w:val="20"/>
              </w:rPr>
              <w:t>regulation, governance and transparency of ownership</w:t>
            </w:r>
            <w:r w:rsidR="009919D8">
              <w:rPr>
                <w:rFonts w:eastAsia="Calibri"/>
                <w:color w:val="auto"/>
                <w:sz w:val="20"/>
                <w:szCs w:val="20"/>
              </w:rPr>
              <w:t>, and sanction those responsible for fraud</w:t>
            </w:r>
            <w:r w:rsidR="009919D8" w:rsidRPr="000F2A21">
              <w:rPr>
                <w:rFonts w:eastAsia="Calibri"/>
                <w:color w:val="auto"/>
                <w:sz w:val="20"/>
                <w:szCs w:val="20"/>
              </w:rPr>
              <w:t xml:space="preserve">. ASA, in partnership with the IMF and the Economic Governance DPO, will support more rigorous bank supervision, with a focus on governance and related-party lending, and insurance regulation. IFC will continue to assess the potential </w:t>
            </w:r>
            <w:r w:rsidR="009F624E">
              <w:rPr>
                <w:rFonts w:eastAsia="Calibri"/>
                <w:color w:val="auto"/>
                <w:sz w:val="20"/>
                <w:szCs w:val="20"/>
              </w:rPr>
              <w:t>for</w:t>
            </w:r>
            <w:r w:rsidR="009919D8" w:rsidRPr="000F2A21">
              <w:rPr>
                <w:rFonts w:eastAsia="Calibri"/>
                <w:color w:val="auto"/>
                <w:sz w:val="20"/>
                <w:szCs w:val="20"/>
              </w:rPr>
              <w:t xml:space="preserve"> partnerships </w:t>
            </w:r>
            <w:r w:rsidR="009919D8" w:rsidRPr="00ED2768">
              <w:rPr>
                <w:sz w:val="20"/>
                <w:szCs w:val="20"/>
              </w:rPr>
              <w:t>with strategic investors to strengthen the governance and financial condition of key banking institutions</w:t>
            </w:r>
            <w:r w:rsidR="002C3819">
              <w:rPr>
                <w:sz w:val="20"/>
                <w:szCs w:val="20"/>
              </w:rPr>
              <w:t xml:space="preserve"> and</w:t>
            </w:r>
            <w:r w:rsidR="009919D8">
              <w:rPr>
                <w:sz w:val="20"/>
                <w:szCs w:val="20"/>
              </w:rPr>
              <w:t xml:space="preserve"> with </w:t>
            </w:r>
            <w:r w:rsidR="002C3819">
              <w:rPr>
                <w:sz w:val="20"/>
                <w:szCs w:val="20"/>
              </w:rPr>
              <w:t xml:space="preserve">international bank subsidiaries </w:t>
            </w:r>
            <w:r w:rsidR="009F624E">
              <w:rPr>
                <w:sz w:val="20"/>
                <w:szCs w:val="20"/>
              </w:rPr>
              <w:t xml:space="preserve">to </w:t>
            </w:r>
            <w:r w:rsidR="009919D8">
              <w:rPr>
                <w:sz w:val="20"/>
                <w:szCs w:val="20"/>
              </w:rPr>
              <w:t>increa</w:t>
            </w:r>
            <w:r w:rsidR="002C3819">
              <w:rPr>
                <w:sz w:val="20"/>
                <w:szCs w:val="20"/>
              </w:rPr>
              <w:t xml:space="preserve">se </w:t>
            </w:r>
            <w:r w:rsidR="009919D8">
              <w:rPr>
                <w:sz w:val="20"/>
                <w:szCs w:val="20"/>
              </w:rPr>
              <w:t>micro, small and medium enterprises</w:t>
            </w:r>
            <w:r w:rsidR="002C3819">
              <w:rPr>
                <w:sz w:val="20"/>
                <w:szCs w:val="20"/>
              </w:rPr>
              <w:t>’ growth and</w:t>
            </w:r>
            <w:r w:rsidR="009919D8">
              <w:rPr>
                <w:sz w:val="20"/>
                <w:szCs w:val="20"/>
              </w:rPr>
              <w:t xml:space="preserve"> access to finance</w:t>
            </w:r>
            <w:r w:rsidR="009919D8" w:rsidRPr="00ED2768">
              <w:rPr>
                <w:sz w:val="20"/>
                <w:szCs w:val="20"/>
              </w:rPr>
              <w:t xml:space="preserve">. </w:t>
            </w:r>
            <w:r w:rsidR="009919D8" w:rsidRPr="000F2A21">
              <w:rPr>
                <w:rFonts w:eastAsia="Calibri"/>
                <w:color w:val="auto"/>
                <w:sz w:val="20"/>
                <w:szCs w:val="20"/>
              </w:rPr>
              <w:t>STAREP may support the National Bank’s scrutiny of banks’ financial reports. S</w:t>
            </w:r>
            <w:r w:rsidR="009F624E">
              <w:rPr>
                <w:rFonts w:eastAsia="Calibri"/>
                <w:color w:val="auto"/>
                <w:sz w:val="20"/>
                <w:szCs w:val="20"/>
              </w:rPr>
              <w:t>T</w:t>
            </w:r>
            <w:r w:rsidR="009919D8" w:rsidRPr="000F2A21">
              <w:rPr>
                <w:rFonts w:eastAsia="Calibri"/>
                <w:color w:val="auto"/>
                <w:sz w:val="20"/>
                <w:szCs w:val="20"/>
              </w:rPr>
              <w:t>AR and the Economic Governance DPO will support asset-reporting and possibly the recovery of fraudulently-acquired assets. Intended outcomes include a strengthened stolen asset recovery regime, improved supervision of banks and insurance companies, and proceedings against those responsible for the 2013-</w:t>
            </w:r>
            <w:r w:rsidR="009919D8">
              <w:rPr>
                <w:rFonts w:eastAsia="Calibri"/>
                <w:color w:val="auto"/>
                <w:sz w:val="20"/>
                <w:szCs w:val="20"/>
              </w:rPr>
              <w:t>1</w:t>
            </w:r>
            <w:r w:rsidR="009919D8" w:rsidRPr="000F2A21">
              <w:rPr>
                <w:rFonts w:eastAsia="Calibri"/>
                <w:color w:val="auto"/>
                <w:sz w:val="20"/>
                <w:szCs w:val="20"/>
              </w:rPr>
              <w:t>4 bank fraud</w:t>
            </w:r>
            <w:r w:rsidRPr="00683F8E">
              <w:rPr>
                <w:rFonts w:eastAsia="Calibri"/>
                <w:color w:val="auto"/>
                <w:sz w:val="20"/>
                <w:szCs w:val="20"/>
              </w:rPr>
              <w:t>.</w:t>
            </w:r>
          </w:p>
        </w:tc>
      </w:tr>
      <w:tr w:rsidR="009F4080" w:rsidRPr="00BA050E" w14:paraId="088FFDA3" w14:textId="77777777" w:rsidTr="00F2717B">
        <w:tc>
          <w:tcPr>
            <w:tcW w:w="4668" w:type="dxa"/>
          </w:tcPr>
          <w:p w14:paraId="1B13F9BB"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b/>
                <w:color w:val="auto"/>
                <w:sz w:val="20"/>
                <w:szCs w:val="20"/>
              </w:rPr>
              <w:t xml:space="preserve">Indicator </w:t>
            </w:r>
            <w:r>
              <w:rPr>
                <w:rFonts w:eastAsia="Calibri"/>
                <w:b/>
                <w:color w:val="auto"/>
                <w:sz w:val="20"/>
                <w:szCs w:val="20"/>
              </w:rPr>
              <w:t>5</w:t>
            </w:r>
            <w:r w:rsidRPr="00BA050E">
              <w:rPr>
                <w:rFonts w:eastAsia="Calibri"/>
                <w:b/>
                <w:color w:val="auto"/>
                <w:sz w:val="20"/>
                <w:szCs w:val="20"/>
              </w:rPr>
              <w:t>:</w:t>
            </w:r>
            <w:r w:rsidRPr="00BA050E">
              <w:rPr>
                <w:rFonts w:eastAsia="Calibri"/>
                <w:b/>
                <w:i/>
                <w:color w:val="auto"/>
                <w:sz w:val="20"/>
                <w:szCs w:val="20"/>
              </w:rPr>
              <w:t xml:space="preserve"> </w:t>
            </w:r>
            <w:r w:rsidRPr="00BA050E">
              <w:rPr>
                <w:rFonts w:eastAsia="Calibri"/>
                <w:color w:val="auto"/>
                <w:sz w:val="20"/>
                <w:szCs w:val="20"/>
              </w:rPr>
              <w:t xml:space="preserve">Enhanced supervision regime </w:t>
            </w:r>
          </w:p>
          <w:p w14:paraId="6860457C"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Any undercapitalized banks implementing time-bound recapitalization and/or restructuring plans, or are in process of resolution (FY18 and FY20)</w:t>
            </w:r>
          </w:p>
          <w:p w14:paraId="50569BFC" w14:textId="77777777" w:rsidR="009F4080" w:rsidRPr="00BA050E" w:rsidRDefault="009F4080" w:rsidP="009F4080">
            <w:pPr>
              <w:spacing w:after="0" w:line="240" w:lineRule="auto"/>
              <w:ind w:left="0" w:right="0" w:firstLine="0"/>
              <w:jc w:val="left"/>
              <w:rPr>
                <w:rFonts w:eastAsia="Calibri"/>
                <w:color w:val="auto"/>
                <w:sz w:val="20"/>
                <w:szCs w:val="20"/>
              </w:rPr>
            </w:pPr>
          </w:p>
          <w:p w14:paraId="25AAE8A4" w14:textId="77777777" w:rsidR="009F4080" w:rsidRPr="00BA050E" w:rsidRDefault="009F4080" w:rsidP="009F4080">
            <w:pPr>
              <w:spacing w:after="0" w:line="240" w:lineRule="auto"/>
              <w:ind w:left="0" w:right="0" w:firstLine="0"/>
              <w:jc w:val="left"/>
              <w:rPr>
                <w:rFonts w:eastAsia="Calibri"/>
                <w:b/>
                <w:color w:val="auto"/>
                <w:sz w:val="20"/>
                <w:szCs w:val="20"/>
              </w:rPr>
            </w:pPr>
          </w:p>
          <w:p w14:paraId="28ABAA1B" w14:textId="77777777" w:rsidR="009F4080" w:rsidRDefault="009F4080" w:rsidP="009F4080">
            <w:pPr>
              <w:spacing w:after="0" w:line="240" w:lineRule="auto"/>
              <w:ind w:left="0" w:right="0" w:firstLine="0"/>
              <w:jc w:val="left"/>
              <w:rPr>
                <w:rFonts w:eastAsia="Calibri"/>
                <w:b/>
                <w:color w:val="auto"/>
                <w:sz w:val="20"/>
                <w:szCs w:val="20"/>
              </w:rPr>
            </w:pPr>
          </w:p>
          <w:p w14:paraId="5CA98F12" w14:textId="77777777" w:rsidR="009F4080" w:rsidRDefault="009F4080" w:rsidP="009F4080">
            <w:pPr>
              <w:spacing w:after="0" w:line="240" w:lineRule="auto"/>
              <w:ind w:left="0" w:right="0" w:firstLine="0"/>
              <w:jc w:val="left"/>
              <w:rPr>
                <w:rFonts w:eastAsia="Calibri"/>
                <w:b/>
                <w:color w:val="auto"/>
                <w:sz w:val="20"/>
                <w:szCs w:val="20"/>
              </w:rPr>
            </w:pPr>
          </w:p>
          <w:p w14:paraId="6FE28765" w14:textId="77777777" w:rsidR="009F4080" w:rsidRDefault="009F4080" w:rsidP="009F4080">
            <w:pPr>
              <w:spacing w:after="0" w:line="240" w:lineRule="auto"/>
              <w:ind w:left="0" w:right="0" w:firstLine="0"/>
              <w:jc w:val="left"/>
              <w:rPr>
                <w:rFonts w:eastAsia="Calibri"/>
                <w:b/>
                <w:color w:val="auto"/>
                <w:sz w:val="20"/>
                <w:szCs w:val="20"/>
              </w:rPr>
            </w:pPr>
          </w:p>
          <w:p w14:paraId="60711012"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b/>
                <w:color w:val="auto"/>
                <w:sz w:val="20"/>
                <w:szCs w:val="20"/>
              </w:rPr>
              <w:t xml:space="preserve">Indicator </w:t>
            </w:r>
            <w:r>
              <w:rPr>
                <w:rFonts w:eastAsia="Calibri"/>
                <w:b/>
                <w:color w:val="auto"/>
                <w:sz w:val="20"/>
                <w:szCs w:val="20"/>
              </w:rPr>
              <w:t>6</w:t>
            </w:r>
            <w:r w:rsidRPr="00BA050E">
              <w:rPr>
                <w:rFonts w:eastAsia="Calibri"/>
                <w:b/>
                <w:color w:val="auto"/>
                <w:sz w:val="20"/>
                <w:szCs w:val="20"/>
              </w:rPr>
              <w:t>:</w:t>
            </w:r>
            <w:r w:rsidRPr="00BA050E">
              <w:rPr>
                <w:rFonts w:eastAsia="Calibri"/>
                <w:color w:val="auto"/>
                <w:sz w:val="20"/>
                <w:szCs w:val="20"/>
              </w:rPr>
              <w:t xml:space="preserve"> </w:t>
            </w:r>
            <w:r>
              <w:rPr>
                <w:rFonts w:eastAsia="Calibri"/>
                <w:color w:val="auto"/>
                <w:sz w:val="20"/>
                <w:szCs w:val="20"/>
              </w:rPr>
              <w:t>Strengthened</w:t>
            </w:r>
            <w:r w:rsidRPr="00BA050E">
              <w:rPr>
                <w:rFonts w:eastAsia="Calibri"/>
                <w:color w:val="auto"/>
                <w:sz w:val="20"/>
                <w:szCs w:val="20"/>
              </w:rPr>
              <w:t xml:space="preserve"> legal, regulatory, and supervisory framework for </w:t>
            </w:r>
            <w:r>
              <w:rPr>
                <w:rFonts w:eastAsia="Calibri"/>
                <w:color w:val="auto"/>
                <w:sz w:val="20"/>
                <w:szCs w:val="20"/>
              </w:rPr>
              <w:t xml:space="preserve">the </w:t>
            </w:r>
            <w:r w:rsidRPr="00BA050E">
              <w:rPr>
                <w:rFonts w:eastAsia="Calibri"/>
                <w:color w:val="auto"/>
                <w:sz w:val="20"/>
                <w:szCs w:val="20"/>
              </w:rPr>
              <w:t>insurance sector</w:t>
            </w:r>
          </w:p>
          <w:p w14:paraId="6C826F68"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 xml:space="preserve">Targets: New </w:t>
            </w:r>
            <w:r>
              <w:rPr>
                <w:rFonts w:eastAsia="Calibri"/>
                <w:color w:val="auto"/>
                <w:sz w:val="20"/>
                <w:szCs w:val="20"/>
              </w:rPr>
              <w:t xml:space="preserve">insurance </w:t>
            </w:r>
            <w:r w:rsidRPr="00BA050E">
              <w:rPr>
                <w:rFonts w:eastAsia="Calibri"/>
                <w:color w:val="auto"/>
                <w:sz w:val="20"/>
                <w:szCs w:val="20"/>
              </w:rPr>
              <w:t>law adopted by Parliament (by December 2018)</w:t>
            </w:r>
            <w:r>
              <w:rPr>
                <w:rFonts w:eastAsia="Calibri"/>
                <w:color w:val="auto"/>
                <w:sz w:val="20"/>
                <w:szCs w:val="20"/>
              </w:rPr>
              <w:t xml:space="preserve">, </w:t>
            </w:r>
            <w:r w:rsidRPr="00BA050E">
              <w:rPr>
                <w:rFonts w:eastAsia="Calibri"/>
                <w:color w:val="auto"/>
                <w:sz w:val="20"/>
                <w:szCs w:val="20"/>
              </w:rPr>
              <w:t>updated regulations issued (by December 2019)</w:t>
            </w:r>
            <w:r>
              <w:rPr>
                <w:rFonts w:eastAsia="Calibri"/>
                <w:color w:val="auto"/>
                <w:sz w:val="20"/>
                <w:szCs w:val="20"/>
              </w:rPr>
              <w:t>, and Motor Third Party Liability Law adopted by Parliament (December 2019)</w:t>
            </w:r>
          </w:p>
          <w:p w14:paraId="62F8E60F" w14:textId="77777777" w:rsidR="009F4080" w:rsidRPr="00BA050E" w:rsidRDefault="009F4080" w:rsidP="009F4080">
            <w:pPr>
              <w:spacing w:after="0" w:line="240" w:lineRule="auto"/>
              <w:ind w:left="0" w:right="0" w:firstLine="0"/>
              <w:jc w:val="left"/>
              <w:rPr>
                <w:rFonts w:eastAsia="Calibri"/>
                <w:b/>
                <w:color w:val="auto"/>
                <w:sz w:val="20"/>
                <w:szCs w:val="20"/>
              </w:rPr>
            </w:pPr>
          </w:p>
          <w:p w14:paraId="4E472481" w14:textId="22CBB1F8" w:rsidR="009F4080" w:rsidRPr="00BA050E" w:rsidRDefault="00B77818" w:rsidP="009F4080">
            <w:pPr>
              <w:spacing w:after="0" w:line="240" w:lineRule="auto"/>
              <w:ind w:left="0" w:right="0" w:firstLine="0"/>
              <w:jc w:val="left"/>
              <w:rPr>
                <w:rFonts w:eastAsia="Calibri"/>
                <w:color w:val="auto"/>
                <w:sz w:val="20"/>
                <w:szCs w:val="20"/>
              </w:rPr>
            </w:pPr>
            <w:r>
              <w:rPr>
                <w:rFonts w:eastAsia="Calibri"/>
                <w:b/>
                <w:color w:val="auto"/>
                <w:sz w:val="20"/>
                <w:szCs w:val="20"/>
              </w:rPr>
              <w:t xml:space="preserve">Indicator 7: </w:t>
            </w:r>
            <w:r>
              <w:rPr>
                <w:rFonts w:eastAsia="Calibri"/>
                <w:color w:val="auto"/>
                <w:sz w:val="20"/>
                <w:szCs w:val="20"/>
              </w:rPr>
              <w:t>Digital registry of asset declarations online and receiving asset declarations. (December 2018)</w:t>
            </w:r>
          </w:p>
          <w:p w14:paraId="1A50512B" w14:textId="77777777" w:rsidR="009F4080" w:rsidRPr="00BA050E" w:rsidRDefault="009F4080" w:rsidP="009F4080">
            <w:pPr>
              <w:spacing w:after="0" w:line="240" w:lineRule="auto"/>
              <w:ind w:left="0" w:right="0" w:firstLine="0"/>
              <w:jc w:val="left"/>
              <w:rPr>
                <w:rFonts w:eastAsia="Calibri"/>
                <w:b/>
                <w:color w:val="auto"/>
                <w:sz w:val="20"/>
                <w:szCs w:val="20"/>
              </w:rPr>
            </w:pPr>
          </w:p>
          <w:p w14:paraId="16468C1B" w14:textId="77777777" w:rsidR="009F4080" w:rsidRPr="00BA050E" w:rsidRDefault="009F4080" w:rsidP="009F4080">
            <w:pPr>
              <w:spacing w:after="0" w:line="240" w:lineRule="auto"/>
              <w:ind w:left="0" w:right="0" w:firstLine="0"/>
              <w:jc w:val="left"/>
              <w:rPr>
                <w:rFonts w:eastAsia="Calibri"/>
                <w:b/>
                <w:color w:val="auto"/>
                <w:sz w:val="20"/>
                <w:szCs w:val="20"/>
              </w:rPr>
            </w:pPr>
          </w:p>
          <w:p w14:paraId="2B79A51A" w14:textId="77777777" w:rsidR="009F4080" w:rsidRPr="00BA050E" w:rsidRDefault="009F4080" w:rsidP="009F4080">
            <w:pPr>
              <w:spacing w:after="0" w:line="240" w:lineRule="auto"/>
              <w:ind w:left="0" w:right="0" w:firstLine="0"/>
              <w:jc w:val="left"/>
              <w:rPr>
                <w:rFonts w:eastAsia="Calibri"/>
                <w:b/>
                <w:color w:val="auto"/>
                <w:sz w:val="20"/>
                <w:szCs w:val="20"/>
              </w:rPr>
            </w:pPr>
          </w:p>
          <w:p w14:paraId="74BFA03F" w14:textId="77777777" w:rsidR="009F4080" w:rsidRPr="00BA050E" w:rsidRDefault="009F4080" w:rsidP="009F4080">
            <w:pPr>
              <w:spacing w:after="0" w:line="240" w:lineRule="auto"/>
              <w:ind w:left="0" w:right="0" w:firstLine="0"/>
              <w:jc w:val="left"/>
              <w:rPr>
                <w:rFonts w:eastAsia="Calibri"/>
                <w:b/>
                <w:color w:val="auto"/>
                <w:sz w:val="20"/>
                <w:szCs w:val="20"/>
              </w:rPr>
            </w:pPr>
          </w:p>
          <w:p w14:paraId="76738DDD" w14:textId="77777777" w:rsidR="009F4080" w:rsidRPr="00BA050E" w:rsidRDefault="009F4080" w:rsidP="009F4080">
            <w:pPr>
              <w:spacing w:after="0" w:line="240" w:lineRule="auto"/>
              <w:ind w:left="0" w:right="0" w:firstLine="0"/>
              <w:jc w:val="left"/>
              <w:rPr>
                <w:rFonts w:eastAsia="Calibri"/>
                <w:b/>
                <w:color w:val="auto"/>
                <w:sz w:val="20"/>
                <w:szCs w:val="20"/>
              </w:rPr>
            </w:pPr>
          </w:p>
          <w:p w14:paraId="4A165697" w14:textId="7B772F49"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b/>
                <w:color w:val="auto"/>
                <w:sz w:val="20"/>
                <w:szCs w:val="20"/>
              </w:rPr>
              <w:t xml:space="preserve">Indicator </w:t>
            </w:r>
            <w:r w:rsidR="00B77818">
              <w:rPr>
                <w:rFonts w:eastAsia="Calibri"/>
                <w:b/>
                <w:color w:val="auto"/>
                <w:sz w:val="20"/>
                <w:szCs w:val="20"/>
              </w:rPr>
              <w:t>8</w:t>
            </w:r>
            <w:r w:rsidRPr="00BA050E">
              <w:rPr>
                <w:rFonts w:eastAsia="Calibri"/>
                <w:b/>
                <w:color w:val="auto"/>
                <w:sz w:val="20"/>
                <w:szCs w:val="20"/>
              </w:rPr>
              <w:t>:</w:t>
            </w:r>
            <w:r w:rsidRPr="00BA050E">
              <w:rPr>
                <w:rFonts w:eastAsia="Calibri"/>
                <w:color w:val="auto"/>
                <w:sz w:val="20"/>
                <w:szCs w:val="20"/>
              </w:rPr>
              <w:t xml:space="preserve"> Strengthened legal </w:t>
            </w:r>
            <w:r>
              <w:rPr>
                <w:rFonts w:eastAsia="Calibri"/>
                <w:color w:val="auto"/>
                <w:sz w:val="20"/>
                <w:szCs w:val="20"/>
              </w:rPr>
              <w:t xml:space="preserve">framework for </w:t>
            </w:r>
            <w:r w:rsidRPr="00BA050E">
              <w:rPr>
                <w:rFonts w:eastAsia="Calibri"/>
                <w:color w:val="auto"/>
                <w:sz w:val="20"/>
                <w:szCs w:val="20"/>
              </w:rPr>
              <w:t xml:space="preserve">insolvency </w:t>
            </w:r>
            <w:r>
              <w:rPr>
                <w:rFonts w:eastAsia="Calibri"/>
                <w:color w:val="auto"/>
                <w:sz w:val="20"/>
                <w:szCs w:val="20"/>
              </w:rPr>
              <w:t xml:space="preserve">and </w:t>
            </w:r>
            <w:r w:rsidRPr="00BA050E">
              <w:rPr>
                <w:rFonts w:eastAsia="Calibri"/>
                <w:color w:val="auto"/>
                <w:sz w:val="20"/>
                <w:szCs w:val="20"/>
              </w:rPr>
              <w:t>creditor</w:t>
            </w:r>
            <w:r>
              <w:rPr>
                <w:rFonts w:eastAsia="Calibri"/>
                <w:color w:val="auto"/>
                <w:sz w:val="20"/>
                <w:szCs w:val="20"/>
              </w:rPr>
              <w:t>/debtor</w:t>
            </w:r>
            <w:r w:rsidRPr="00BA050E">
              <w:rPr>
                <w:rFonts w:eastAsia="Calibri"/>
                <w:color w:val="auto"/>
                <w:sz w:val="20"/>
                <w:szCs w:val="20"/>
              </w:rPr>
              <w:t xml:space="preserve"> r</w:t>
            </w:r>
            <w:r>
              <w:rPr>
                <w:rFonts w:eastAsia="Calibri"/>
                <w:color w:val="auto"/>
                <w:sz w:val="20"/>
                <w:szCs w:val="20"/>
              </w:rPr>
              <w:t>egime</w:t>
            </w:r>
          </w:p>
          <w:p w14:paraId="5604A9B5"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Adoption of amendments to Insolvency Law, aligning it with 2014 ROSC and international best practice (by December 2019)</w:t>
            </w:r>
          </w:p>
        </w:tc>
        <w:tc>
          <w:tcPr>
            <w:tcW w:w="4579" w:type="dxa"/>
          </w:tcPr>
          <w:p w14:paraId="0BEF7034"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lastRenderedPageBreak/>
              <w:t xml:space="preserve">SPI </w:t>
            </w:r>
            <w:r>
              <w:rPr>
                <w:rFonts w:eastAsia="Calibri"/>
                <w:color w:val="auto"/>
                <w:sz w:val="20"/>
                <w:szCs w:val="20"/>
              </w:rPr>
              <w:t>8</w:t>
            </w:r>
            <w:r w:rsidRPr="00BA050E">
              <w:rPr>
                <w:rFonts w:eastAsia="Calibri"/>
                <w:color w:val="auto"/>
                <w:sz w:val="20"/>
                <w:szCs w:val="20"/>
              </w:rPr>
              <w:t>: National Bank of Moldova (NBM) issues corporate governance regulation and instructs banks to establish comprehensive corporate governance codes and conflict of interest policies (by December 2017)</w:t>
            </w:r>
          </w:p>
          <w:p w14:paraId="7BB0407F" w14:textId="77777777" w:rsidR="009F4080" w:rsidRPr="00BA050E" w:rsidRDefault="009F4080" w:rsidP="009F4080">
            <w:pPr>
              <w:spacing w:after="0" w:line="240" w:lineRule="auto"/>
              <w:ind w:left="0" w:right="0" w:firstLine="0"/>
              <w:jc w:val="left"/>
              <w:rPr>
                <w:rFonts w:eastAsia="Calibri"/>
                <w:color w:val="auto"/>
                <w:sz w:val="20"/>
                <w:szCs w:val="20"/>
              </w:rPr>
            </w:pPr>
          </w:p>
          <w:p w14:paraId="33A73E86"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 xml:space="preserve">SPI </w:t>
            </w:r>
            <w:r>
              <w:rPr>
                <w:rFonts w:eastAsia="Calibri"/>
                <w:color w:val="auto"/>
                <w:sz w:val="20"/>
                <w:szCs w:val="20"/>
              </w:rPr>
              <w:t>9</w:t>
            </w:r>
            <w:r w:rsidRPr="00BA050E">
              <w:rPr>
                <w:rFonts w:eastAsia="Calibri"/>
                <w:color w:val="auto"/>
                <w:sz w:val="20"/>
                <w:szCs w:val="20"/>
              </w:rPr>
              <w:t>: NBM has inspected all banks under this corporate governance regulation (by December 2019)</w:t>
            </w:r>
          </w:p>
          <w:p w14:paraId="32167438" w14:textId="77777777" w:rsidR="009F4080" w:rsidRPr="00BA050E" w:rsidRDefault="009F4080" w:rsidP="009F4080">
            <w:pPr>
              <w:spacing w:after="0" w:line="240" w:lineRule="auto"/>
              <w:ind w:left="0" w:right="0" w:firstLine="0"/>
              <w:jc w:val="left"/>
              <w:rPr>
                <w:rFonts w:eastAsia="Calibri"/>
                <w:color w:val="auto"/>
                <w:sz w:val="20"/>
                <w:szCs w:val="20"/>
              </w:rPr>
            </w:pPr>
          </w:p>
          <w:p w14:paraId="22756482"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 xml:space="preserve">SPI </w:t>
            </w:r>
            <w:r>
              <w:rPr>
                <w:rFonts w:eastAsia="Calibri"/>
                <w:color w:val="auto"/>
                <w:sz w:val="20"/>
                <w:szCs w:val="20"/>
              </w:rPr>
              <w:t>10</w:t>
            </w:r>
            <w:r w:rsidRPr="00BA050E">
              <w:rPr>
                <w:rFonts w:eastAsia="Calibri"/>
                <w:color w:val="auto"/>
                <w:sz w:val="20"/>
                <w:szCs w:val="20"/>
              </w:rPr>
              <w:t xml:space="preserve">: Risk-based insurance supervision methodology adopted (by December 2019)  </w:t>
            </w:r>
          </w:p>
          <w:p w14:paraId="0C9D92BE" w14:textId="77777777" w:rsidR="009F4080" w:rsidRPr="00BA050E" w:rsidRDefault="009F4080" w:rsidP="009F4080">
            <w:pPr>
              <w:spacing w:after="0" w:line="240" w:lineRule="auto"/>
              <w:ind w:left="0" w:right="0" w:firstLine="0"/>
              <w:jc w:val="left"/>
              <w:rPr>
                <w:rFonts w:eastAsia="Calibri"/>
                <w:color w:val="auto"/>
                <w:sz w:val="20"/>
                <w:szCs w:val="20"/>
              </w:rPr>
            </w:pPr>
          </w:p>
          <w:p w14:paraId="14132964" w14:textId="77777777" w:rsidR="009F4080" w:rsidRDefault="009F4080" w:rsidP="009F4080">
            <w:pPr>
              <w:spacing w:after="0" w:line="240" w:lineRule="auto"/>
              <w:ind w:left="0" w:right="0" w:firstLine="0"/>
              <w:jc w:val="left"/>
              <w:rPr>
                <w:rFonts w:eastAsia="Calibri"/>
                <w:color w:val="auto"/>
                <w:sz w:val="20"/>
                <w:szCs w:val="20"/>
              </w:rPr>
            </w:pPr>
          </w:p>
          <w:p w14:paraId="3E2794CE" w14:textId="77777777" w:rsidR="009F4080" w:rsidRDefault="009F4080" w:rsidP="009F4080">
            <w:pPr>
              <w:spacing w:after="0" w:line="240" w:lineRule="auto"/>
              <w:ind w:left="0" w:right="0" w:firstLine="0"/>
              <w:jc w:val="left"/>
              <w:rPr>
                <w:rFonts w:eastAsia="Calibri"/>
                <w:color w:val="auto"/>
                <w:sz w:val="20"/>
                <w:szCs w:val="20"/>
              </w:rPr>
            </w:pPr>
          </w:p>
          <w:p w14:paraId="0F847483" w14:textId="77777777" w:rsidR="009F4080" w:rsidRDefault="009F4080" w:rsidP="009F4080">
            <w:pPr>
              <w:spacing w:after="0" w:line="240" w:lineRule="auto"/>
              <w:ind w:left="0" w:right="0" w:firstLine="0"/>
              <w:jc w:val="left"/>
              <w:rPr>
                <w:rFonts w:eastAsia="Calibri"/>
                <w:color w:val="auto"/>
                <w:sz w:val="20"/>
                <w:szCs w:val="20"/>
              </w:rPr>
            </w:pPr>
          </w:p>
          <w:p w14:paraId="6776789D" w14:textId="77777777" w:rsidR="009F4080" w:rsidRDefault="009F4080" w:rsidP="009F4080">
            <w:pPr>
              <w:spacing w:after="0" w:line="240" w:lineRule="auto"/>
              <w:ind w:left="0" w:right="0" w:firstLine="0"/>
              <w:jc w:val="left"/>
              <w:rPr>
                <w:rFonts w:eastAsia="Calibri"/>
                <w:color w:val="auto"/>
                <w:sz w:val="20"/>
                <w:szCs w:val="20"/>
              </w:rPr>
            </w:pPr>
          </w:p>
          <w:p w14:paraId="46FE13A0" w14:textId="0126EF82"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SPI 1</w:t>
            </w:r>
            <w:r>
              <w:rPr>
                <w:rFonts w:eastAsia="Calibri"/>
                <w:color w:val="auto"/>
                <w:sz w:val="20"/>
                <w:szCs w:val="20"/>
              </w:rPr>
              <w:t>1</w:t>
            </w:r>
            <w:r w:rsidRPr="00BA050E">
              <w:rPr>
                <w:rFonts w:eastAsia="Calibri"/>
                <w:color w:val="auto"/>
                <w:sz w:val="20"/>
                <w:szCs w:val="20"/>
              </w:rPr>
              <w:t>: Following laws adopted by Parliament (by December 2018):</w:t>
            </w:r>
          </w:p>
          <w:p w14:paraId="1C43ACE1" w14:textId="77777777" w:rsidR="009F4080" w:rsidRPr="00BA050E" w:rsidRDefault="009F4080" w:rsidP="009F4080">
            <w:pPr>
              <w:numPr>
                <w:ilvl w:val="1"/>
                <w:numId w:val="13"/>
              </w:numPr>
              <w:spacing w:after="0" w:line="240" w:lineRule="auto"/>
              <w:ind w:left="360" w:right="0"/>
              <w:contextualSpacing/>
              <w:jc w:val="left"/>
              <w:rPr>
                <w:rFonts w:eastAsia="Calibri"/>
                <w:color w:val="auto"/>
                <w:sz w:val="20"/>
                <w:szCs w:val="20"/>
              </w:rPr>
            </w:pPr>
            <w:r w:rsidRPr="00BA050E">
              <w:rPr>
                <w:rFonts w:eastAsia="Calibri"/>
                <w:color w:val="auto"/>
                <w:sz w:val="20"/>
                <w:szCs w:val="20"/>
              </w:rPr>
              <w:t xml:space="preserve">Law on Agency for Recovery of Criminal Proceeds </w:t>
            </w:r>
          </w:p>
          <w:p w14:paraId="6B4BFFB7" w14:textId="77777777" w:rsidR="009F4080" w:rsidRPr="00BA050E" w:rsidRDefault="009F4080" w:rsidP="009F4080">
            <w:pPr>
              <w:numPr>
                <w:ilvl w:val="1"/>
                <w:numId w:val="13"/>
              </w:numPr>
              <w:spacing w:after="0" w:line="240" w:lineRule="auto"/>
              <w:ind w:left="360" w:right="0"/>
              <w:contextualSpacing/>
              <w:jc w:val="left"/>
              <w:rPr>
                <w:rFonts w:eastAsia="Calibri"/>
                <w:color w:val="auto"/>
                <w:sz w:val="20"/>
                <w:szCs w:val="20"/>
              </w:rPr>
            </w:pPr>
            <w:r w:rsidRPr="00BA050E">
              <w:rPr>
                <w:rFonts w:eastAsia="Calibri"/>
                <w:color w:val="auto"/>
                <w:sz w:val="20"/>
                <w:szCs w:val="20"/>
              </w:rPr>
              <w:lastRenderedPageBreak/>
              <w:t xml:space="preserve">Law on Amending and Completing Legislative Acts </w:t>
            </w:r>
          </w:p>
          <w:p w14:paraId="5D9DF05C" w14:textId="77777777" w:rsidR="009F4080" w:rsidRPr="00BA050E" w:rsidRDefault="009F4080" w:rsidP="009F4080">
            <w:pPr>
              <w:numPr>
                <w:ilvl w:val="1"/>
                <w:numId w:val="13"/>
              </w:numPr>
              <w:spacing w:after="0" w:line="240" w:lineRule="auto"/>
              <w:ind w:left="360" w:right="0"/>
              <w:contextualSpacing/>
              <w:jc w:val="left"/>
              <w:rPr>
                <w:rFonts w:eastAsia="Calibri"/>
                <w:color w:val="auto"/>
                <w:sz w:val="20"/>
                <w:szCs w:val="20"/>
              </w:rPr>
            </w:pPr>
            <w:r w:rsidRPr="00BA050E">
              <w:rPr>
                <w:rFonts w:eastAsia="Calibri"/>
                <w:color w:val="auto"/>
                <w:sz w:val="20"/>
                <w:szCs w:val="20"/>
              </w:rPr>
              <w:t>Amendments to Law on National Integrity Authority</w:t>
            </w:r>
          </w:p>
          <w:p w14:paraId="0F1AF462" w14:textId="77777777" w:rsidR="009F4080" w:rsidRPr="00BA050E" w:rsidRDefault="009F4080" w:rsidP="009F4080">
            <w:pPr>
              <w:numPr>
                <w:ilvl w:val="1"/>
                <w:numId w:val="13"/>
              </w:numPr>
              <w:spacing w:after="0" w:line="240" w:lineRule="auto"/>
              <w:ind w:left="360" w:right="0"/>
              <w:contextualSpacing/>
              <w:jc w:val="left"/>
              <w:rPr>
                <w:rFonts w:eastAsia="Calibri"/>
                <w:color w:val="auto"/>
                <w:sz w:val="20"/>
                <w:szCs w:val="20"/>
              </w:rPr>
            </w:pPr>
            <w:r w:rsidRPr="00BA050E">
              <w:rPr>
                <w:rFonts w:eastAsia="Calibri"/>
                <w:color w:val="auto"/>
                <w:sz w:val="20"/>
                <w:szCs w:val="20"/>
              </w:rPr>
              <w:t xml:space="preserve">Amendments to Law on Declaration of Assets and Interests </w:t>
            </w:r>
          </w:p>
          <w:p w14:paraId="181E09DA" w14:textId="77777777" w:rsidR="009F4080" w:rsidRPr="00BA050E" w:rsidRDefault="009F4080" w:rsidP="009F4080">
            <w:pPr>
              <w:spacing w:after="0" w:line="240" w:lineRule="auto"/>
              <w:ind w:left="0" w:right="0" w:firstLine="0"/>
              <w:jc w:val="left"/>
              <w:rPr>
                <w:rFonts w:eastAsia="Calibri"/>
                <w:color w:val="auto"/>
                <w:sz w:val="20"/>
                <w:szCs w:val="20"/>
              </w:rPr>
            </w:pPr>
          </w:p>
          <w:p w14:paraId="536CB727" w14:textId="77777777" w:rsidR="009F4080" w:rsidRPr="00BA050E" w:rsidRDefault="009F4080" w:rsidP="009F4080">
            <w:pPr>
              <w:spacing w:after="0" w:line="240" w:lineRule="auto"/>
              <w:ind w:left="0" w:right="0" w:firstLine="0"/>
              <w:jc w:val="left"/>
              <w:rPr>
                <w:rFonts w:eastAsia="Calibri"/>
                <w:color w:val="auto"/>
                <w:sz w:val="20"/>
                <w:szCs w:val="20"/>
              </w:rPr>
            </w:pPr>
          </w:p>
        </w:tc>
        <w:tc>
          <w:tcPr>
            <w:tcW w:w="3708" w:type="dxa"/>
          </w:tcPr>
          <w:p w14:paraId="0CBB2D89"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lastRenderedPageBreak/>
              <w:t>WBG Lending:</w:t>
            </w:r>
          </w:p>
          <w:p w14:paraId="03CE967F" w14:textId="77777777" w:rsidR="009F4080" w:rsidRPr="00BA050E" w:rsidRDefault="009F4080" w:rsidP="009F4080">
            <w:pPr>
              <w:numPr>
                <w:ilvl w:val="0"/>
                <w:numId w:val="14"/>
              </w:numPr>
              <w:spacing w:after="0" w:line="240" w:lineRule="auto"/>
              <w:ind w:right="0"/>
              <w:contextualSpacing/>
              <w:jc w:val="left"/>
              <w:rPr>
                <w:rFonts w:eastAsia="Calibri"/>
                <w:color w:val="auto"/>
                <w:sz w:val="20"/>
                <w:szCs w:val="20"/>
              </w:rPr>
            </w:pPr>
            <w:r w:rsidRPr="00BA050E">
              <w:rPr>
                <w:rFonts w:eastAsia="Calibri"/>
                <w:color w:val="auto"/>
                <w:sz w:val="20"/>
                <w:szCs w:val="20"/>
              </w:rPr>
              <w:t>Economic Governance DPO (pipeline FY18)</w:t>
            </w:r>
          </w:p>
          <w:p w14:paraId="277042AE" w14:textId="4747CBA1" w:rsidR="009F4080" w:rsidRDefault="009F4080" w:rsidP="009F4080">
            <w:pPr>
              <w:numPr>
                <w:ilvl w:val="0"/>
                <w:numId w:val="14"/>
              </w:numPr>
              <w:spacing w:after="0" w:line="240" w:lineRule="auto"/>
              <w:ind w:right="0"/>
              <w:contextualSpacing/>
              <w:jc w:val="left"/>
              <w:rPr>
                <w:rFonts w:eastAsia="Calibri"/>
                <w:color w:val="auto"/>
                <w:sz w:val="20"/>
                <w:szCs w:val="20"/>
              </w:rPr>
            </w:pPr>
            <w:r w:rsidRPr="00BA050E">
              <w:rPr>
                <w:rFonts w:eastAsia="Calibri"/>
                <w:color w:val="auto"/>
                <w:sz w:val="20"/>
                <w:szCs w:val="20"/>
              </w:rPr>
              <w:t>DPOs (pipeline)</w:t>
            </w:r>
          </w:p>
          <w:p w14:paraId="285BBAC1" w14:textId="20040B43" w:rsidR="00913FA3" w:rsidRDefault="00913FA3" w:rsidP="00913FA3">
            <w:pPr>
              <w:spacing w:after="0" w:line="240" w:lineRule="auto"/>
              <w:ind w:right="0"/>
              <w:contextualSpacing/>
              <w:jc w:val="left"/>
              <w:rPr>
                <w:rFonts w:eastAsia="Calibri"/>
                <w:color w:val="auto"/>
                <w:sz w:val="20"/>
                <w:szCs w:val="20"/>
              </w:rPr>
            </w:pPr>
          </w:p>
          <w:p w14:paraId="5630CECC" w14:textId="1BACE2FF" w:rsidR="00913FA3" w:rsidRPr="00913FA3" w:rsidRDefault="00913FA3" w:rsidP="00913FA3">
            <w:pPr>
              <w:spacing w:after="0" w:line="240" w:lineRule="auto"/>
              <w:ind w:right="0"/>
              <w:contextualSpacing/>
              <w:jc w:val="left"/>
              <w:rPr>
                <w:rFonts w:eastAsia="Calibri"/>
                <w:b/>
                <w:color w:val="auto"/>
                <w:sz w:val="20"/>
                <w:szCs w:val="20"/>
              </w:rPr>
            </w:pPr>
            <w:r w:rsidRPr="00913FA3">
              <w:rPr>
                <w:rFonts w:eastAsia="Calibri"/>
                <w:b/>
                <w:color w:val="auto"/>
                <w:sz w:val="20"/>
                <w:szCs w:val="20"/>
              </w:rPr>
              <w:t xml:space="preserve">IFC </w:t>
            </w:r>
            <w:r>
              <w:rPr>
                <w:rFonts w:eastAsia="Calibri"/>
                <w:b/>
                <w:color w:val="auto"/>
                <w:sz w:val="20"/>
                <w:szCs w:val="20"/>
              </w:rPr>
              <w:t>engagement</w:t>
            </w:r>
          </w:p>
          <w:p w14:paraId="18BADE10" w14:textId="5897BE9A" w:rsidR="009F4080" w:rsidRPr="00BA050E" w:rsidRDefault="002C3819" w:rsidP="009F4080">
            <w:pPr>
              <w:numPr>
                <w:ilvl w:val="0"/>
                <w:numId w:val="14"/>
              </w:numPr>
              <w:spacing w:after="0" w:line="240" w:lineRule="auto"/>
              <w:ind w:right="0"/>
              <w:contextualSpacing/>
              <w:jc w:val="left"/>
              <w:rPr>
                <w:rFonts w:eastAsia="Calibri"/>
                <w:color w:val="auto"/>
                <w:sz w:val="20"/>
                <w:szCs w:val="20"/>
              </w:rPr>
            </w:pPr>
            <w:r>
              <w:rPr>
                <w:rFonts w:eastAsia="Calibri"/>
                <w:color w:val="auto"/>
                <w:sz w:val="20"/>
                <w:szCs w:val="20"/>
              </w:rPr>
              <w:t>IFC p</w:t>
            </w:r>
            <w:r w:rsidR="009F4080" w:rsidRPr="00BA050E">
              <w:rPr>
                <w:rFonts w:eastAsia="Calibri"/>
                <w:color w:val="auto"/>
                <w:sz w:val="20"/>
                <w:szCs w:val="20"/>
              </w:rPr>
              <w:t xml:space="preserve">otential new </w:t>
            </w:r>
            <w:r w:rsidR="00913FA3">
              <w:rPr>
                <w:rFonts w:eastAsia="Calibri"/>
                <w:color w:val="auto"/>
                <w:sz w:val="20"/>
                <w:szCs w:val="20"/>
              </w:rPr>
              <w:t xml:space="preserve">investment or advisory service </w:t>
            </w:r>
            <w:r w:rsidR="009F4080" w:rsidRPr="00BA050E">
              <w:rPr>
                <w:rFonts w:eastAsia="Calibri"/>
                <w:color w:val="auto"/>
                <w:sz w:val="20"/>
                <w:szCs w:val="20"/>
              </w:rPr>
              <w:t>en</w:t>
            </w:r>
            <w:r w:rsidR="00913FA3">
              <w:rPr>
                <w:rFonts w:eastAsia="Calibri"/>
                <w:color w:val="auto"/>
                <w:sz w:val="20"/>
                <w:szCs w:val="20"/>
              </w:rPr>
              <w:t>gagement in financial sector.</w:t>
            </w:r>
          </w:p>
          <w:p w14:paraId="53E5BEEA" w14:textId="77777777" w:rsidR="009F4080" w:rsidRPr="00BA050E" w:rsidRDefault="009F4080" w:rsidP="009F4080">
            <w:pPr>
              <w:spacing w:after="0" w:line="240" w:lineRule="auto"/>
              <w:ind w:left="0" w:right="0" w:firstLine="0"/>
              <w:jc w:val="left"/>
              <w:rPr>
                <w:rFonts w:eastAsia="Calibri"/>
                <w:b/>
                <w:color w:val="auto"/>
                <w:sz w:val="20"/>
                <w:szCs w:val="20"/>
              </w:rPr>
            </w:pPr>
          </w:p>
          <w:p w14:paraId="2FD9EC34"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ASA:</w:t>
            </w:r>
          </w:p>
          <w:p w14:paraId="56474E85" w14:textId="77777777" w:rsidR="009F4080" w:rsidRPr="00BA050E" w:rsidRDefault="009F4080" w:rsidP="009F4080">
            <w:pPr>
              <w:numPr>
                <w:ilvl w:val="0"/>
                <w:numId w:val="14"/>
              </w:numPr>
              <w:spacing w:after="0" w:line="240" w:lineRule="auto"/>
              <w:ind w:right="0"/>
              <w:contextualSpacing/>
              <w:jc w:val="left"/>
              <w:rPr>
                <w:rFonts w:eastAsia="Calibri"/>
                <w:b/>
                <w:color w:val="auto"/>
                <w:sz w:val="20"/>
                <w:szCs w:val="20"/>
              </w:rPr>
            </w:pPr>
            <w:r w:rsidRPr="00BA050E">
              <w:rPr>
                <w:rFonts w:eastAsia="Calibri"/>
                <w:color w:val="auto"/>
                <w:sz w:val="20"/>
                <w:szCs w:val="20"/>
              </w:rPr>
              <w:t>Programmatic Financial Sector TA</w:t>
            </w:r>
          </w:p>
          <w:p w14:paraId="089C3709" w14:textId="77777777" w:rsidR="009F4080" w:rsidRPr="00BA050E" w:rsidRDefault="009F4080" w:rsidP="009F4080">
            <w:pPr>
              <w:numPr>
                <w:ilvl w:val="0"/>
                <w:numId w:val="14"/>
              </w:numPr>
              <w:spacing w:after="0" w:line="240" w:lineRule="auto"/>
              <w:ind w:right="0"/>
              <w:contextualSpacing/>
              <w:jc w:val="left"/>
              <w:rPr>
                <w:rFonts w:eastAsia="Calibri"/>
                <w:b/>
                <w:color w:val="auto"/>
                <w:sz w:val="20"/>
                <w:szCs w:val="20"/>
              </w:rPr>
            </w:pPr>
            <w:r w:rsidRPr="00BA050E">
              <w:rPr>
                <w:rFonts w:eastAsia="Calibri"/>
                <w:color w:val="auto"/>
                <w:sz w:val="20"/>
                <w:szCs w:val="20"/>
              </w:rPr>
              <w:t>FIRST TFs on insolvency</w:t>
            </w:r>
            <w:r>
              <w:rPr>
                <w:rFonts w:eastAsia="Calibri"/>
                <w:color w:val="auto"/>
                <w:sz w:val="20"/>
                <w:szCs w:val="20"/>
              </w:rPr>
              <w:t>, secured transactions</w:t>
            </w:r>
            <w:r w:rsidRPr="00BA050E">
              <w:rPr>
                <w:rFonts w:eastAsia="Calibri"/>
                <w:color w:val="auto"/>
                <w:sz w:val="20"/>
                <w:szCs w:val="20"/>
              </w:rPr>
              <w:t xml:space="preserve"> and insurance</w:t>
            </w:r>
          </w:p>
          <w:p w14:paraId="6BF80B44" w14:textId="77777777" w:rsidR="009F4080" w:rsidRPr="00BA050E" w:rsidRDefault="009F4080" w:rsidP="009F4080">
            <w:pPr>
              <w:numPr>
                <w:ilvl w:val="0"/>
                <w:numId w:val="14"/>
              </w:numPr>
              <w:spacing w:after="0" w:line="240" w:lineRule="auto"/>
              <w:ind w:right="0"/>
              <w:contextualSpacing/>
              <w:jc w:val="left"/>
              <w:rPr>
                <w:rFonts w:eastAsia="Calibri"/>
                <w:b/>
                <w:color w:val="auto"/>
                <w:sz w:val="20"/>
                <w:szCs w:val="20"/>
              </w:rPr>
            </w:pPr>
            <w:r w:rsidRPr="00BA050E">
              <w:rPr>
                <w:rFonts w:eastAsia="Calibri"/>
                <w:color w:val="auto"/>
                <w:sz w:val="20"/>
                <w:szCs w:val="20"/>
              </w:rPr>
              <w:t>STAREP</w:t>
            </w:r>
          </w:p>
          <w:p w14:paraId="25D515FB" w14:textId="77777777" w:rsidR="009F4080" w:rsidRPr="00BA050E" w:rsidRDefault="009F4080" w:rsidP="009F4080">
            <w:pPr>
              <w:spacing w:after="0" w:line="240" w:lineRule="auto"/>
              <w:ind w:left="0" w:right="0" w:firstLine="0"/>
              <w:jc w:val="left"/>
              <w:rPr>
                <w:rFonts w:eastAsia="Calibri"/>
                <w:b/>
                <w:color w:val="auto"/>
                <w:sz w:val="20"/>
                <w:szCs w:val="20"/>
              </w:rPr>
            </w:pPr>
          </w:p>
          <w:p w14:paraId="7AB915C6"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Partnerships:</w:t>
            </w:r>
          </w:p>
          <w:p w14:paraId="298533BC" w14:textId="77777777" w:rsidR="009F4080" w:rsidRDefault="009F4080" w:rsidP="009F4080">
            <w:pPr>
              <w:numPr>
                <w:ilvl w:val="0"/>
                <w:numId w:val="14"/>
              </w:numPr>
              <w:spacing w:after="0" w:line="240" w:lineRule="auto"/>
              <w:ind w:right="0"/>
              <w:contextualSpacing/>
              <w:jc w:val="left"/>
              <w:rPr>
                <w:rFonts w:eastAsia="Calibri"/>
                <w:color w:val="auto"/>
                <w:sz w:val="20"/>
                <w:szCs w:val="20"/>
              </w:rPr>
            </w:pPr>
            <w:r w:rsidRPr="00BA050E">
              <w:rPr>
                <w:rFonts w:eastAsia="Calibri"/>
                <w:color w:val="auto"/>
                <w:sz w:val="20"/>
                <w:szCs w:val="20"/>
              </w:rPr>
              <w:lastRenderedPageBreak/>
              <w:t>IMF</w:t>
            </w:r>
          </w:p>
          <w:p w14:paraId="761E6EDD" w14:textId="77777777" w:rsidR="00170017" w:rsidRPr="00D77307" w:rsidRDefault="00170017">
            <w:pPr>
              <w:numPr>
                <w:ilvl w:val="0"/>
                <w:numId w:val="14"/>
              </w:numPr>
              <w:spacing w:after="0" w:line="240" w:lineRule="auto"/>
              <w:ind w:right="0"/>
              <w:contextualSpacing/>
              <w:jc w:val="left"/>
              <w:rPr>
                <w:rFonts w:eastAsia="Calibri"/>
                <w:b/>
                <w:color w:val="auto"/>
                <w:sz w:val="20"/>
                <w:szCs w:val="20"/>
              </w:rPr>
            </w:pPr>
            <w:r w:rsidRPr="00BA050E">
              <w:rPr>
                <w:rFonts w:eastAsia="Calibri"/>
                <w:color w:val="auto"/>
                <w:sz w:val="20"/>
                <w:szCs w:val="20"/>
              </w:rPr>
              <w:t>FinSAC</w:t>
            </w:r>
          </w:p>
        </w:tc>
      </w:tr>
      <w:tr w:rsidR="009F4080" w:rsidRPr="00BA050E" w14:paraId="4679831B" w14:textId="77777777" w:rsidTr="00867831">
        <w:tc>
          <w:tcPr>
            <w:tcW w:w="12955" w:type="dxa"/>
            <w:gridSpan w:val="3"/>
            <w:shd w:val="clear" w:color="auto" w:fill="FFF2CC"/>
          </w:tcPr>
          <w:p w14:paraId="170218AE" w14:textId="77777777" w:rsidR="009F4080" w:rsidRPr="00BA050E" w:rsidRDefault="009F4080" w:rsidP="009F4080">
            <w:pPr>
              <w:spacing w:before="80" w:after="80" w:line="240" w:lineRule="auto"/>
              <w:ind w:left="0" w:right="0" w:firstLine="0"/>
              <w:jc w:val="center"/>
              <w:rPr>
                <w:rFonts w:eastAsia="Calibri"/>
                <w:b/>
                <w:color w:val="auto"/>
                <w:sz w:val="20"/>
                <w:szCs w:val="20"/>
              </w:rPr>
            </w:pPr>
            <w:r w:rsidRPr="00BA050E">
              <w:rPr>
                <w:rFonts w:eastAsia="Calibri"/>
                <w:b/>
                <w:color w:val="auto"/>
                <w:sz w:val="20"/>
                <w:szCs w:val="20"/>
              </w:rPr>
              <w:lastRenderedPageBreak/>
              <w:t>FOCUS AREA 2</w:t>
            </w:r>
            <w:r w:rsidRPr="00BA050E">
              <w:rPr>
                <w:rFonts w:eastAsia="SimSun"/>
                <w:b/>
                <w:color w:val="auto"/>
                <w:sz w:val="20"/>
                <w:szCs w:val="20"/>
              </w:rPr>
              <w:t>: SERVICE GOVERNANCE – IMPROVING EFFICIENCY, QUALITY &amp; INCLUSIVE ACCESS TO</w:t>
            </w:r>
            <w:r w:rsidRPr="00BA050E">
              <w:rPr>
                <w:rFonts w:eastAsia="Calibri"/>
                <w:b/>
                <w:color w:val="auto"/>
                <w:sz w:val="20"/>
                <w:szCs w:val="20"/>
              </w:rPr>
              <w:t xml:space="preserve"> PUBLIC SERVICES</w:t>
            </w:r>
          </w:p>
        </w:tc>
      </w:tr>
      <w:tr w:rsidR="009F4080" w:rsidRPr="00BA050E" w14:paraId="3D4B5C9C" w14:textId="77777777" w:rsidTr="00867831">
        <w:tc>
          <w:tcPr>
            <w:tcW w:w="12955" w:type="dxa"/>
            <w:gridSpan w:val="3"/>
            <w:shd w:val="clear" w:color="auto" w:fill="E2EFD9"/>
          </w:tcPr>
          <w:p w14:paraId="3EA78FFB" w14:textId="77777777" w:rsidR="009F4080" w:rsidRPr="00BA050E" w:rsidRDefault="009F4080" w:rsidP="009F4080">
            <w:pPr>
              <w:tabs>
                <w:tab w:val="left" w:pos="2382"/>
                <w:tab w:val="center" w:pos="6362"/>
              </w:tabs>
              <w:spacing w:before="60" w:after="60" w:line="240" w:lineRule="auto"/>
              <w:ind w:left="0" w:right="0" w:firstLine="0"/>
              <w:jc w:val="left"/>
              <w:rPr>
                <w:rFonts w:eastAsia="Calibri"/>
                <w:b/>
                <w:color w:val="auto"/>
                <w:sz w:val="20"/>
                <w:szCs w:val="20"/>
              </w:rPr>
            </w:pPr>
            <w:r w:rsidRPr="00BA050E">
              <w:rPr>
                <w:rFonts w:eastAsia="Calibri"/>
                <w:b/>
                <w:color w:val="auto"/>
                <w:sz w:val="20"/>
                <w:szCs w:val="20"/>
              </w:rPr>
              <w:tab/>
            </w:r>
            <w:r w:rsidRPr="00BA050E">
              <w:rPr>
                <w:rFonts w:eastAsia="Calibri"/>
                <w:b/>
                <w:color w:val="auto"/>
                <w:sz w:val="20"/>
                <w:szCs w:val="20"/>
              </w:rPr>
              <w:tab/>
              <w:t>CPF OBJECTIVE 2A: Increased efficiency and quality of selected public services</w:t>
            </w:r>
          </w:p>
        </w:tc>
      </w:tr>
      <w:tr w:rsidR="004F4A76" w:rsidRPr="00BA050E" w14:paraId="408F2F28" w14:textId="77777777" w:rsidTr="00451249">
        <w:tc>
          <w:tcPr>
            <w:tcW w:w="12955" w:type="dxa"/>
            <w:gridSpan w:val="3"/>
          </w:tcPr>
          <w:p w14:paraId="0F2CB101" w14:textId="0F3B7A0E" w:rsidR="004F4A76" w:rsidRPr="00BA050E" w:rsidRDefault="00152738" w:rsidP="003F335B">
            <w:pPr>
              <w:spacing w:after="60" w:line="240" w:lineRule="auto"/>
              <w:ind w:left="0" w:right="0" w:firstLine="0"/>
              <w:rPr>
                <w:rFonts w:eastAsia="Calibri"/>
                <w:b/>
                <w:color w:val="auto"/>
                <w:sz w:val="20"/>
                <w:szCs w:val="20"/>
              </w:rPr>
            </w:pPr>
            <w:r w:rsidRPr="00D35638">
              <w:rPr>
                <w:rFonts w:eastAsia="Calibri"/>
                <w:b/>
                <w:color w:val="auto"/>
                <w:sz w:val="20"/>
                <w:szCs w:val="20"/>
              </w:rPr>
              <w:t>Intervention logic</w:t>
            </w:r>
            <w:r w:rsidR="009919D8">
              <w:rPr>
                <w:rFonts w:eastAsia="Calibri"/>
                <w:b/>
                <w:color w:val="auto"/>
                <w:sz w:val="20"/>
                <w:szCs w:val="20"/>
              </w:rPr>
              <w:t xml:space="preserve">: </w:t>
            </w:r>
            <w:r w:rsidR="009919D8" w:rsidRPr="00D35638">
              <w:rPr>
                <w:rFonts w:eastAsia="Calibri"/>
                <w:color w:val="auto"/>
                <w:sz w:val="20"/>
                <w:szCs w:val="20"/>
              </w:rPr>
              <w:t xml:space="preserve">The SCD and the FY16 Public Finance Review identified serious inefficiencies in the provision of public social, administrative and infrastructural services, leading to a disconnect between </w:t>
            </w:r>
            <w:r w:rsidR="009F624E">
              <w:rPr>
                <w:rFonts w:eastAsia="Calibri"/>
                <w:color w:val="auto"/>
                <w:sz w:val="20"/>
                <w:szCs w:val="20"/>
              </w:rPr>
              <w:t xml:space="preserve">their </w:t>
            </w:r>
            <w:r w:rsidR="009919D8" w:rsidRPr="00D35638">
              <w:rPr>
                <w:rFonts w:eastAsia="Calibri"/>
                <w:color w:val="auto"/>
                <w:sz w:val="20"/>
                <w:szCs w:val="20"/>
              </w:rPr>
              <w:t>high share of GDP and outcomes</w:t>
            </w:r>
            <w:r w:rsidR="009919D8">
              <w:rPr>
                <w:rFonts w:eastAsia="Calibri"/>
                <w:color w:val="auto"/>
                <w:sz w:val="20"/>
                <w:szCs w:val="20"/>
              </w:rPr>
              <w:t xml:space="preserve"> often below regional comparators</w:t>
            </w:r>
            <w:r w:rsidR="009919D8" w:rsidRPr="00D35638">
              <w:rPr>
                <w:rFonts w:eastAsia="Calibri"/>
                <w:color w:val="auto"/>
                <w:sz w:val="20"/>
                <w:szCs w:val="20"/>
              </w:rPr>
              <w:t>. Deficiencies in accountability and transparency, as well as the influence of special interests over resource</w:t>
            </w:r>
            <w:r w:rsidR="005528ED">
              <w:rPr>
                <w:rFonts w:eastAsia="Calibri"/>
                <w:color w:val="auto"/>
                <w:sz w:val="20"/>
                <w:szCs w:val="20"/>
              </w:rPr>
              <w:t xml:space="preserve"> </w:t>
            </w:r>
            <w:r w:rsidR="009919D8" w:rsidRPr="00D35638">
              <w:rPr>
                <w:rFonts w:eastAsia="Calibri"/>
                <w:color w:val="auto"/>
                <w:sz w:val="20"/>
                <w:szCs w:val="20"/>
              </w:rPr>
              <w:t xml:space="preserve">allocation, are key constraints upon these sectors’ efficiency. </w:t>
            </w:r>
            <w:r w:rsidR="009919D8">
              <w:rPr>
                <w:rFonts w:eastAsia="Calibri"/>
                <w:color w:val="auto"/>
                <w:sz w:val="20"/>
                <w:szCs w:val="20"/>
              </w:rPr>
              <w:t>Bank Group</w:t>
            </w:r>
            <w:r w:rsidR="009919D8" w:rsidRPr="00D35638">
              <w:rPr>
                <w:rFonts w:eastAsia="Calibri"/>
                <w:color w:val="auto"/>
                <w:sz w:val="20"/>
                <w:szCs w:val="20"/>
              </w:rPr>
              <w:t xml:space="preserve"> interventions will support transparency and resource-optimization. The Tax Administration Modernization Project (FY16) will support transparency and efficiency through digitization and organizational change. The Health Transformation Project will incentivize a shift from hospital- to primary-based care. The Land Registration, Valuation and Local </w:t>
            </w:r>
            <w:r w:rsidR="009919D8">
              <w:rPr>
                <w:rFonts w:eastAsia="Calibri"/>
                <w:color w:val="auto"/>
                <w:sz w:val="20"/>
                <w:szCs w:val="20"/>
              </w:rPr>
              <w:t xml:space="preserve">Taxation </w:t>
            </w:r>
            <w:r w:rsidR="009919D8" w:rsidRPr="00D35638">
              <w:rPr>
                <w:rFonts w:eastAsia="Calibri"/>
                <w:color w:val="auto"/>
                <w:sz w:val="20"/>
                <w:szCs w:val="20"/>
              </w:rPr>
              <w:t xml:space="preserve">Project will help create transparent registries of land ownership, valuations and public real estate, as well as improving local governments’ administrative capacity to manage revenue. </w:t>
            </w:r>
            <w:r w:rsidR="009919D8" w:rsidRPr="00ED2768">
              <w:rPr>
                <w:sz w:val="20"/>
              </w:rPr>
              <w:t xml:space="preserve">IFC </w:t>
            </w:r>
            <w:r w:rsidR="005528ED">
              <w:rPr>
                <w:sz w:val="20"/>
              </w:rPr>
              <w:t xml:space="preserve">will </w:t>
            </w:r>
            <w:r w:rsidR="003F335B">
              <w:rPr>
                <w:sz w:val="20"/>
              </w:rPr>
              <w:t>assess</w:t>
            </w:r>
            <w:r w:rsidR="009919D8" w:rsidRPr="00ED2768">
              <w:rPr>
                <w:sz w:val="20"/>
              </w:rPr>
              <w:t xml:space="preserve"> possibilities to support private sec</w:t>
            </w:r>
            <w:r w:rsidR="003F335B">
              <w:rPr>
                <w:sz w:val="20"/>
              </w:rPr>
              <w:t xml:space="preserve">tor participation </w:t>
            </w:r>
            <w:r w:rsidR="009919D8" w:rsidRPr="00ED2768">
              <w:rPr>
                <w:sz w:val="20"/>
              </w:rPr>
              <w:t>in energy</w:t>
            </w:r>
            <w:r w:rsidR="009919D8">
              <w:rPr>
                <w:sz w:val="20"/>
              </w:rPr>
              <w:t xml:space="preserve"> (generation and transmission)</w:t>
            </w:r>
            <w:r w:rsidR="003F335B">
              <w:rPr>
                <w:sz w:val="20"/>
              </w:rPr>
              <w:t xml:space="preserve"> </w:t>
            </w:r>
            <w:r w:rsidR="009919D8" w:rsidRPr="00ED2768">
              <w:rPr>
                <w:sz w:val="20"/>
              </w:rPr>
              <w:t xml:space="preserve">through investments and transaction advisory services. </w:t>
            </w:r>
            <w:r w:rsidR="009919D8" w:rsidRPr="00ED2768">
              <w:rPr>
                <w:rFonts w:eastAsia="Calibri"/>
                <w:color w:val="auto"/>
                <w:sz w:val="16"/>
                <w:szCs w:val="20"/>
              </w:rPr>
              <w:t xml:space="preserve"> </w:t>
            </w:r>
            <w:r w:rsidR="009919D8" w:rsidRPr="00D35638">
              <w:rPr>
                <w:rFonts w:eastAsia="Calibri"/>
                <w:color w:val="auto"/>
                <w:sz w:val="20"/>
                <w:szCs w:val="20"/>
              </w:rPr>
              <w:t>The Transparent Power Market Project</w:t>
            </w:r>
            <w:r w:rsidR="009919D8">
              <w:rPr>
                <w:rFonts w:eastAsia="Calibri"/>
                <w:color w:val="auto"/>
                <w:sz w:val="20"/>
                <w:szCs w:val="20"/>
              </w:rPr>
              <w:t xml:space="preserve">, the UK Good Governance Fund and the Economic Governance </w:t>
            </w:r>
            <w:r w:rsidR="009919D8" w:rsidRPr="00D35638">
              <w:rPr>
                <w:rFonts w:eastAsia="Calibri"/>
                <w:color w:val="auto"/>
                <w:sz w:val="20"/>
                <w:szCs w:val="20"/>
              </w:rPr>
              <w:t xml:space="preserve">DPO will together support rules-based and competitive electricity trading, </w:t>
            </w:r>
            <w:r w:rsidR="009919D8">
              <w:rPr>
                <w:rFonts w:eastAsia="Calibri"/>
                <w:color w:val="auto"/>
                <w:sz w:val="20"/>
                <w:szCs w:val="20"/>
              </w:rPr>
              <w:t xml:space="preserve">by </w:t>
            </w:r>
            <w:r w:rsidR="009919D8" w:rsidRPr="00D35638">
              <w:rPr>
                <w:rFonts w:eastAsia="Calibri"/>
                <w:color w:val="auto"/>
                <w:sz w:val="20"/>
                <w:szCs w:val="20"/>
              </w:rPr>
              <w:t xml:space="preserve">introducing Romania as a new source of supply, </w:t>
            </w:r>
            <w:r w:rsidR="009919D8">
              <w:rPr>
                <w:rFonts w:eastAsia="Calibri"/>
                <w:color w:val="auto"/>
                <w:sz w:val="20"/>
                <w:szCs w:val="20"/>
              </w:rPr>
              <w:t xml:space="preserve">and </w:t>
            </w:r>
            <w:r w:rsidR="009919D8" w:rsidRPr="00DF742E">
              <w:rPr>
                <w:sz w:val="20"/>
                <w:szCs w:val="20"/>
              </w:rPr>
              <w:t xml:space="preserve">supporting private sector participation in electricity distribution and </w:t>
            </w:r>
            <w:r w:rsidR="009919D8">
              <w:rPr>
                <w:sz w:val="20"/>
                <w:szCs w:val="20"/>
              </w:rPr>
              <w:t xml:space="preserve">possibly </w:t>
            </w:r>
            <w:r w:rsidR="009919D8" w:rsidRPr="00DF742E">
              <w:rPr>
                <w:sz w:val="20"/>
                <w:szCs w:val="20"/>
              </w:rPr>
              <w:t xml:space="preserve">privatization </w:t>
            </w:r>
            <w:r w:rsidR="005528ED">
              <w:rPr>
                <w:sz w:val="20"/>
                <w:szCs w:val="20"/>
              </w:rPr>
              <w:t xml:space="preserve">of </w:t>
            </w:r>
            <w:r w:rsidR="009919D8" w:rsidRPr="00DF742E">
              <w:rPr>
                <w:sz w:val="20"/>
                <w:szCs w:val="20"/>
              </w:rPr>
              <w:t>generation and/or transmission.</w:t>
            </w:r>
            <w:r w:rsidR="009919D8">
              <w:rPr>
                <w:sz w:val="20"/>
                <w:szCs w:val="20"/>
              </w:rPr>
              <w:t xml:space="preserve"> </w:t>
            </w:r>
            <w:r w:rsidR="009919D8" w:rsidRPr="00D35638">
              <w:rPr>
                <w:rFonts w:eastAsia="Calibri"/>
                <w:color w:val="auto"/>
                <w:sz w:val="20"/>
                <w:szCs w:val="20"/>
              </w:rPr>
              <w:t>The Commitment to Equity study and Health and Education public expenditure reviews will identify options to increase the poverty-focus of public spending within a fiscal envelope agreed with the IMF. Expected outcomes under this focus area include: improved services to citizens from the State Tax Service, primary health centers and the cadaster agency, and improved security of the public power supply</w:t>
            </w:r>
            <w:r w:rsidRPr="00D35638">
              <w:rPr>
                <w:rFonts w:eastAsia="Calibri"/>
                <w:color w:val="auto"/>
                <w:sz w:val="20"/>
                <w:szCs w:val="20"/>
              </w:rPr>
              <w:t xml:space="preserve">.   </w:t>
            </w:r>
          </w:p>
        </w:tc>
      </w:tr>
      <w:tr w:rsidR="009F4080" w:rsidRPr="00BA050E" w14:paraId="3BF0E72F" w14:textId="77777777" w:rsidTr="00F2717B">
        <w:tc>
          <w:tcPr>
            <w:tcW w:w="4668" w:type="dxa"/>
          </w:tcPr>
          <w:p w14:paraId="5010E96C" w14:textId="77777777" w:rsidR="009F4080" w:rsidRPr="00BA050E" w:rsidRDefault="009F4080" w:rsidP="009F4080">
            <w:pPr>
              <w:spacing w:after="0" w:line="240" w:lineRule="auto"/>
              <w:ind w:left="0" w:right="0" w:firstLine="0"/>
              <w:jc w:val="center"/>
              <w:rPr>
                <w:rFonts w:eastAsia="Calibri"/>
                <w:b/>
                <w:color w:val="auto"/>
                <w:sz w:val="20"/>
                <w:szCs w:val="20"/>
              </w:rPr>
            </w:pPr>
            <w:r w:rsidRPr="00BA050E">
              <w:rPr>
                <w:rFonts w:eastAsia="Calibri"/>
                <w:b/>
                <w:color w:val="auto"/>
                <w:sz w:val="20"/>
                <w:szCs w:val="20"/>
              </w:rPr>
              <w:t>CPF Objective Indicators</w:t>
            </w:r>
          </w:p>
        </w:tc>
        <w:tc>
          <w:tcPr>
            <w:tcW w:w="4579" w:type="dxa"/>
          </w:tcPr>
          <w:p w14:paraId="33D7B08C" w14:textId="77777777" w:rsidR="009F4080" w:rsidRPr="00BA050E" w:rsidRDefault="009F4080" w:rsidP="009F4080">
            <w:pPr>
              <w:spacing w:after="60" w:line="240" w:lineRule="auto"/>
              <w:ind w:left="0" w:right="0" w:firstLine="0"/>
              <w:jc w:val="center"/>
              <w:rPr>
                <w:rFonts w:eastAsia="Calibri"/>
                <w:b/>
                <w:color w:val="auto"/>
                <w:sz w:val="20"/>
                <w:szCs w:val="20"/>
              </w:rPr>
            </w:pPr>
            <w:r w:rsidRPr="00BA050E">
              <w:rPr>
                <w:rFonts w:eastAsia="Calibri"/>
                <w:b/>
                <w:color w:val="auto"/>
                <w:sz w:val="20"/>
                <w:szCs w:val="20"/>
              </w:rPr>
              <w:t>Supplementary Progress Indicators (SPIs)</w:t>
            </w:r>
          </w:p>
        </w:tc>
        <w:tc>
          <w:tcPr>
            <w:tcW w:w="3708" w:type="dxa"/>
            <w:tcBorders>
              <w:bottom w:val="single" w:sz="4" w:space="0" w:color="auto"/>
            </w:tcBorders>
          </w:tcPr>
          <w:p w14:paraId="749CBC4E" w14:textId="77777777" w:rsidR="009F4080" w:rsidRPr="00BA050E" w:rsidRDefault="009F4080" w:rsidP="009F4080">
            <w:pPr>
              <w:spacing w:after="0" w:line="240" w:lineRule="auto"/>
              <w:ind w:left="0" w:right="0" w:firstLine="0"/>
              <w:jc w:val="center"/>
              <w:rPr>
                <w:rFonts w:eastAsia="Calibri"/>
                <w:b/>
                <w:color w:val="auto"/>
                <w:sz w:val="20"/>
                <w:szCs w:val="20"/>
              </w:rPr>
            </w:pPr>
            <w:r w:rsidRPr="00BA050E">
              <w:rPr>
                <w:rFonts w:eastAsia="Calibri"/>
                <w:b/>
                <w:color w:val="auto"/>
                <w:sz w:val="20"/>
                <w:szCs w:val="20"/>
              </w:rPr>
              <w:t>Bank Group Program</w:t>
            </w:r>
          </w:p>
        </w:tc>
      </w:tr>
      <w:tr w:rsidR="009F4080" w:rsidRPr="00BA050E" w14:paraId="5832A2C1" w14:textId="77777777" w:rsidTr="00F2717B">
        <w:tc>
          <w:tcPr>
            <w:tcW w:w="4668" w:type="dxa"/>
          </w:tcPr>
          <w:p w14:paraId="23E1D0D0" w14:textId="0FCF29AA" w:rsidR="009F4080" w:rsidRPr="00BA050E" w:rsidRDefault="009F4080" w:rsidP="009F4080">
            <w:pPr>
              <w:spacing w:after="0" w:line="240" w:lineRule="auto"/>
              <w:ind w:left="0" w:right="0" w:firstLine="0"/>
              <w:jc w:val="left"/>
              <w:rPr>
                <w:rFonts w:eastAsia="Calibri"/>
                <w:iCs/>
                <w:color w:val="auto"/>
                <w:sz w:val="20"/>
                <w:szCs w:val="20"/>
              </w:rPr>
            </w:pPr>
            <w:r w:rsidRPr="00BA050E">
              <w:rPr>
                <w:rFonts w:eastAsia="Calibri"/>
                <w:b/>
                <w:color w:val="auto"/>
                <w:sz w:val="20"/>
                <w:szCs w:val="20"/>
              </w:rPr>
              <w:t xml:space="preserve">Indicator </w:t>
            </w:r>
            <w:r w:rsidR="00B77818">
              <w:rPr>
                <w:rFonts w:eastAsia="Calibri"/>
                <w:b/>
                <w:color w:val="auto"/>
                <w:sz w:val="20"/>
                <w:szCs w:val="20"/>
              </w:rPr>
              <w:t>9</w:t>
            </w:r>
            <w:r w:rsidRPr="00BA050E">
              <w:rPr>
                <w:rFonts w:eastAsia="Calibri"/>
                <w:b/>
                <w:color w:val="auto"/>
                <w:sz w:val="20"/>
                <w:szCs w:val="20"/>
              </w:rPr>
              <w:t xml:space="preserve">: </w:t>
            </w:r>
            <w:r w:rsidRPr="00BA050E">
              <w:rPr>
                <w:rFonts w:eastAsia="Calibri"/>
                <w:iCs/>
                <w:color w:val="auto"/>
                <w:sz w:val="20"/>
                <w:szCs w:val="20"/>
              </w:rPr>
              <w:t>Government Effectiveness indicator (</w:t>
            </w:r>
            <w:r w:rsidRPr="008B3FD3">
              <w:rPr>
                <w:rFonts w:eastAsia="Calibri"/>
                <w:iCs/>
                <w:color w:val="auto"/>
                <w:sz w:val="20"/>
                <w:szCs w:val="20"/>
              </w:rPr>
              <w:t>WGI [</w:t>
            </w:r>
            <w:r w:rsidRPr="00D77307">
              <w:rPr>
                <w:rFonts w:eastAsia="Calibri"/>
                <w:iCs/>
                <w:color w:val="auto"/>
                <w:sz w:val="20"/>
                <w:szCs w:val="20"/>
              </w:rPr>
              <w:t>for definition see</w:t>
            </w:r>
            <w:r w:rsidRPr="008B3FD3">
              <w:t xml:space="preserve"> </w:t>
            </w:r>
            <w:r w:rsidRPr="008B3FD3">
              <w:rPr>
                <w:rFonts w:eastAsia="Calibri"/>
                <w:iCs/>
                <w:color w:val="auto"/>
                <w:sz w:val="20"/>
                <w:szCs w:val="20"/>
              </w:rPr>
              <w:t>http://info.worldbank.org/governance/wgi/pdf/ge.pdf])</w:t>
            </w:r>
          </w:p>
          <w:p w14:paraId="29149421" w14:textId="77777777" w:rsidR="009F4080" w:rsidRPr="00BA050E" w:rsidRDefault="009F4080" w:rsidP="009F4080">
            <w:pPr>
              <w:spacing w:after="0" w:line="240" w:lineRule="auto"/>
              <w:ind w:left="0" w:right="0" w:firstLine="0"/>
              <w:jc w:val="left"/>
              <w:rPr>
                <w:rFonts w:eastAsia="Calibri"/>
                <w:iCs/>
                <w:color w:val="auto"/>
                <w:sz w:val="20"/>
                <w:szCs w:val="20"/>
              </w:rPr>
            </w:pPr>
            <w:r w:rsidRPr="00BA050E">
              <w:rPr>
                <w:rFonts w:eastAsia="Calibri"/>
                <w:iCs/>
                <w:color w:val="auto"/>
                <w:sz w:val="20"/>
                <w:szCs w:val="20"/>
              </w:rPr>
              <w:t>Baseline: -0.63 (2015)</w:t>
            </w:r>
          </w:p>
          <w:p w14:paraId="1583844B" w14:textId="77777777" w:rsidR="009F4080" w:rsidRPr="00BA050E" w:rsidRDefault="009F4080" w:rsidP="009F4080">
            <w:pPr>
              <w:spacing w:after="0" w:line="240" w:lineRule="auto"/>
              <w:ind w:left="0" w:right="0" w:firstLine="0"/>
              <w:jc w:val="left"/>
              <w:rPr>
                <w:rFonts w:eastAsia="Calibri"/>
                <w:iCs/>
                <w:color w:val="auto"/>
                <w:sz w:val="20"/>
                <w:szCs w:val="20"/>
              </w:rPr>
            </w:pPr>
            <w:r w:rsidRPr="00BA050E">
              <w:rPr>
                <w:rFonts w:eastAsia="Calibri"/>
                <w:iCs/>
                <w:color w:val="auto"/>
                <w:sz w:val="20"/>
                <w:szCs w:val="20"/>
              </w:rPr>
              <w:t>Target:    -0.1 (2020)</w:t>
            </w:r>
          </w:p>
          <w:p w14:paraId="7176DD9A" w14:textId="77777777" w:rsidR="009F4080" w:rsidRPr="00BA050E" w:rsidRDefault="009F4080" w:rsidP="009F4080">
            <w:pPr>
              <w:spacing w:after="0" w:line="240" w:lineRule="auto"/>
              <w:ind w:left="0" w:right="0" w:firstLine="0"/>
              <w:jc w:val="left"/>
              <w:rPr>
                <w:rFonts w:eastAsia="Calibri"/>
                <w:b/>
                <w:color w:val="auto"/>
                <w:sz w:val="20"/>
                <w:szCs w:val="20"/>
              </w:rPr>
            </w:pPr>
          </w:p>
          <w:p w14:paraId="78204B29" w14:textId="160408A9" w:rsidR="009F4080" w:rsidRPr="003F0933" w:rsidRDefault="009F4080" w:rsidP="009F4080">
            <w:pPr>
              <w:spacing w:after="0" w:line="240" w:lineRule="auto"/>
              <w:ind w:left="0" w:right="0" w:firstLine="0"/>
              <w:jc w:val="left"/>
              <w:rPr>
                <w:rFonts w:eastAsia="Calibri"/>
                <w:sz w:val="20"/>
                <w:szCs w:val="20"/>
              </w:rPr>
            </w:pPr>
            <w:r w:rsidRPr="003F0933">
              <w:rPr>
                <w:rFonts w:eastAsia="Calibri"/>
                <w:b/>
                <w:color w:val="auto"/>
                <w:sz w:val="20"/>
                <w:szCs w:val="20"/>
              </w:rPr>
              <w:t xml:space="preserve">Indicator </w:t>
            </w:r>
            <w:r w:rsidR="00B77818">
              <w:rPr>
                <w:rFonts w:eastAsia="Calibri"/>
                <w:b/>
                <w:color w:val="auto"/>
                <w:sz w:val="20"/>
                <w:szCs w:val="20"/>
              </w:rPr>
              <w:t>10</w:t>
            </w:r>
            <w:r w:rsidRPr="003F0933">
              <w:rPr>
                <w:rFonts w:eastAsia="Calibri"/>
                <w:b/>
                <w:color w:val="auto"/>
                <w:sz w:val="20"/>
                <w:szCs w:val="20"/>
              </w:rPr>
              <w:t>:</w:t>
            </w:r>
            <w:r w:rsidRPr="003F0933">
              <w:rPr>
                <w:rFonts w:eastAsia="Calibri"/>
                <w:color w:val="auto"/>
                <w:sz w:val="20"/>
                <w:szCs w:val="20"/>
              </w:rPr>
              <w:t xml:space="preserve"> </w:t>
            </w:r>
            <w:r w:rsidRPr="00D77307">
              <w:rPr>
                <w:rFonts w:eastAsia="Calibri"/>
                <w:color w:val="auto"/>
                <w:sz w:val="20"/>
                <w:szCs w:val="20"/>
              </w:rPr>
              <w:t>Reduced time required to comply with taxes</w:t>
            </w:r>
            <w:r w:rsidRPr="003F0933">
              <w:rPr>
                <w:rFonts w:eastAsia="Calibri"/>
                <w:bCs/>
                <w:color w:val="auto"/>
                <w:sz w:val="20"/>
                <w:szCs w:val="20"/>
              </w:rPr>
              <w:t xml:space="preserve"> </w:t>
            </w:r>
          </w:p>
          <w:p w14:paraId="09F06B98" w14:textId="77777777" w:rsidR="009F4080" w:rsidRPr="003F0933" w:rsidRDefault="009F4080" w:rsidP="009F4080">
            <w:pPr>
              <w:spacing w:after="0" w:line="240" w:lineRule="auto"/>
              <w:ind w:left="0" w:right="0" w:firstLine="0"/>
              <w:jc w:val="left"/>
              <w:rPr>
                <w:rFonts w:eastAsia="Calibri"/>
                <w:bCs/>
                <w:color w:val="auto"/>
                <w:sz w:val="20"/>
                <w:szCs w:val="20"/>
              </w:rPr>
            </w:pPr>
            <w:r w:rsidRPr="003F0933">
              <w:rPr>
                <w:rFonts w:eastAsia="Calibri"/>
                <w:bCs/>
                <w:color w:val="auto"/>
                <w:sz w:val="20"/>
                <w:szCs w:val="20"/>
              </w:rPr>
              <w:t xml:space="preserve">Baseline: </w:t>
            </w:r>
            <w:r>
              <w:rPr>
                <w:rFonts w:eastAsia="Calibri"/>
                <w:bCs/>
                <w:color w:val="auto"/>
                <w:sz w:val="20"/>
                <w:szCs w:val="20"/>
              </w:rPr>
              <w:t xml:space="preserve">186 </w:t>
            </w:r>
            <w:r w:rsidRPr="003F0933">
              <w:rPr>
                <w:rFonts w:eastAsia="Calibri"/>
                <w:bCs/>
                <w:color w:val="auto"/>
                <w:sz w:val="20"/>
                <w:szCs w:val="20"/>
              </w:rPr>
              <w:t>(2016)</w:t>
            </w:r>
          </w:p>
          <w:p w14:paraId="675C57E5" w14:textId="77777777" w:rsidR="009F4080" w:rsidRPr="00BA050E" w:rsidRDefault="009F4080" w:rsidP="009F4080">
            <w:pPr>
              <w:spacing w:after="0" w:line="240" w:lineRule="auto"/>
              <w:ind w:left="0" w:right="0" w:firstLine="0"/>
              <w:jc w:val="left"/>
              <w:rPr>
                <w:rFonts w:eastAsia="Calibri"/>
                <w:bCs/>
                <w:color w:val="auto"/>
                <w:sz w:val="20"/>
                <w:szCs w:val="20"/>
              </w:rPr>
            </w:pPr>
            <w:r w:rsidRPr="003F0933">
              <w:rPr>
                <w:rFonts w:eastAsia="Calibri"/>
                <w:bCs/>
                <w:color w:val="auto"/>
                <w:sz w:val="20"/>
                <w:szCs w:val="20"/>
              </w:rPr>
              <w:t xml:space="preserve">Target:    </w:t>
            </w:r>
            <w:r>
              <w:rPr>
                <w:rFonts w:eastAsia="Calibri"/>
                <w:bCs/>
                <w:color w:val="auto"/>
                <w:sz w:val="20"/>
                <w:szCs w:val="20"/>
              </w:rPr>
              <w:t xml:space="preserve">165 </w:t>
            </w:r>
            <w:r w:rsidRPr="003F0933">
              <w:rPr>
                <w:rFonts w:eastAsia="Calibri"/>
                <w:bCs/>
                <w:color w:val="auto"/>
                <w:sz w:val="20"/>
                <w:szCs w:val="20"/>
              </w:rPr>
              <w:t>(202</w:t>
            </w:r>
            <w:r>
              <w:rPr>
                <w:rFonts w:eastAsia="Calibri"/>
                <w:bCs/>
                <w:color w:val="auto"/>
                <w:sz w:val="20"/>
                <w:szCs w:val="20"/>
              </w:rPr>
              <w:t>1</w:t>
            </w:r>
            <w:r w:rsidRPr="003F0933">
              <w:rPr>
                <w:rFonts w:eastAsia="Calibri"/>
                <w:bCs/>
                <w:color w:val="auto"/>
                <w:sz w:val="20"/>
                <w:szCs w:val="20"/>
              </w:rPr>
              <w:t>)</w:t>
            </w:r>
          </w:p>
          <w:p w14:paraId="5CA4D670" w14:textId="77777777" w:rsidR="009F4080" w:rsidRDefault="009F4080" w:rsidP="009F4080">
            <w:pPr>
              <w:spacing w:after="0" w:line="240" w:lineRule="auto"/>
              <w:ind w:left="0" w:right="0" w:firstLine="0"/>
              <w:jc w:val="left"/>
              <w:rPr>
                <w:rFonts w:eastAsia="Calibri"/>
                <w:b/>
                <w:sz w:val="20"/>
                <w:szCs w:val="20"/>
              </w:rPr>
            </w:pPr>
          </w:p>
          <w:p w14:paraId="3AC37642" w14:textId="33CCEFC5"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b/>
                <w:sz w:val="20"/>
                <w:szCs w:val="20"/>
              </w:rPr>
              <w:lastRenderedPageBreak/>
              <w:t>Indicator 1</w:t>
            </w:r>
            <w:r w:rsidR="00B77818">
              <w:rPr>
                <w:rFonts w:eastAsia="Calibri"/>
                <w:b/>
                <w:sz w:val="20"/>
                <w:szCs w:val="20"/>
              </w:rPr>
              <w:t>1</w:t>
            </w:r>
            <w:r w:rsidRPr="00BA050E">
              <w:rPr>
                <w:rFonts w:eastAsia="Calibri"/>
                <w:b/>
                <w:sz w:val="20"/>
                <w:szCs w:val="20"/>
              </w:rPr>
              <w:t xml:space="preserve">: </w:t>
            </w:r>
            <w:r w:rsidRPr="00BA050E">
              <w:rPr>
                <w:rFonts w:eastAsia="Calibri"/>
                <w:color w:val="auto"/>
                <w:sz w:val="20"/>
                <w:szCs w:val="20"/>
              </w:rPr>
              <w:t>Increased hospitalizations by referral from family doctors as share of total hospitalizations for selected key non-communicable diseases</w:t>
            </w:r>
          </w:p>
          <w:p w14:paraId="779C8735"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21% (FY14)</w:t>
            </w:r>
          </w:p>
          <w:p w14:paraId="4AFBF629"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35% (FY19)</w:t>
            </w:r>
          </w:p>
          <w:p w14:paraId="3F1F711D" w14:textId="77777777" w:rsidR="009F4080" w:rsidRDefault="009F4080" w:rsidP="009F4080">
            <w:pPr>
              <w:spacing w:after="0" w:line="240" w:lineRule="auto"/>
              <w:ind w:left="0" w:right="0" w:firstLine="0"/>
              <w:jc w:val="left"/>
              <w:rPr>
                <w:rFonts w:eastAsia="Calibri"/>
                <w:b/>
                <w:sz w:val="20"/>
                <w:szCs w:val="20"/>
              </w:rPr>
            </w:pPr>
          </w:p>
          <w:p w14:paraId="344346CB" w14:textId="58173121" w:rsidR="009F4080" w:rsidRPr="00BA050E" w:rsidRDefault="009F4080" w:rsidP="009F4080">
            <w:pPr>
              <w:spacing w:after="0" w:line="240" w:lineRule="auto"/>
              <w:ind w:left="0" w:right="0" w:firstLine="0"/>
              <w:jc w:val="left"/>
              <w:rPr>
                <w:rFonts w:eastAsia="Calibri"/>
                <w:sz w:val="20"/>
                <w:szCs w:val="20"/>
              </w:rPr>
            </w:pPr>
            <w:r w:rsidRPr="00BA050E">
              <w:rPr>
                <w:rFonts w:eastAsia="Calibri"/>
                <w:b/>
                <w:sz w:val="20"/>
                <w:szCs w:val="20"/>
              </w:rPr>
              <w:t>Indicator 1</w:t>
            </w:r>
            <w:r w:rsidR="00B77818">
              <w:rPr>
                <w:rFonts w:eastAsia="Calibri"/>
                <w:b/>
                <w:sz w:val="20"/>
                <w:szCs w:val="20"/>
              </w:rPr>
              <w:t>2</w:t>
            </w:r>
            <w:r w:rsidRPr="00BA050E">
              <w:rPr>
                <w:rFonts w:eastAsia="Calibri"/>
                <w:b/>
                <w:sz w:val="20"/>
                <w:szCs w:val="20"/>
              </w:rPr>
              <w:t>:</w:t>
            </w:r>
            <w:r w:rsidRPr="00BA050E">
              <w:rPr>
                <w:rFonts w:eastAsia="Calibri"/>
                <w:sz w:val="20"/>
                <w:szCs w:val="20"/>
              </w:rPr>
              <w:t xml:space="preserve"> Increased quality and efficiency of property registration and valuation system, as measured by land area with property rights recorded</w:t>
            </w:r>
          </w:p>
          <w:p w14:paraId="13FFAABF"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1.8 million ha (FY18)</w:t>
            </w:r>
          </w:p>
          <w:p w14:paraId="5246226C"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2.1 million ha (FY21)</w:t>
            </w:r>
          </w:p>
          <w:p w14:paraId="67A37C8C" w14:textId="77777777" w:rsidR="009F4080" w:rsidRPr="00BA050E" w:rsidRDefault="009F4080" w:rsidP="009F4080">
            <w:pPr>
              <w:spacing w:after="0" w:line="240" w:lineRule="auto"/>
              <w:ind w:left="0" w:right="0" w:firstLine="0"/>
              <w:jc w:val="left"/>
              <w:rPr>
                <w:rFonts w:eastAsia="Calibri"/>
                <w:sz w:val="20"/>
                <w:szCs w:val="20"/>
              </w:rPr>
            </w:pPr>
          </w:p>
          <w:p w14:paraId="05EDF59B"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b/>
                <w:color w:val="auto"/>
                <w:sz w:val="20"/>
                <w:szCs w:val="20"/>
              </w:rPr>
              <w:t>Indicator 1</w:t>
            </w:r>
            <w:r>
              <w:rPr>
                <w:rFonts w:eastAsia="Calibri"/>
                <w:b/>
                <w:color w:val="auto"/>
                <w:sz w:val="20"/>
                <w:szCs w:val="20"/>
              </w:rPr>
              <w:t>3</w:t>
            </w:r>
            <w:r w:rsidRPr="00BA050E">
              <w:rPr>
                <w:rFonts w:eastAsia="Calibri"/>
                <w:b/>
                <w:color w:val="auto"/>
                <w:sz w:val="20"/>
                <w:szCs w:val="20"/>
              </w:rPr>
              <w:t>:</w:t>
            </w:r>
            <w:r w:rsidRPr="00BA050E">
              <w:rPr>
                <w:rFonts w:eastAsia="Calibri"/>
                <w:color w:val="auto"/>
                <w:sz w:val="20"/>
                <w:szCs w:val="20"/>
              </w:rPr>
              <w:t xml:space="preserve"> Increased security and diversification of power supply</w:t>
            </w:r>
          </w:p>
          <w:p w14:paraId="14F4009F" w14:textId="77777777" w:rsidR="009F4080" w:rsidRPr="00BA050E" w:rsidRDefault="009F4080" w:rsidP="009F4080">
            <w:pPr>
              <w:numPr>
                <w:ilvl w:val="0"/>
                <w:numId w:val="15"/>
              </w:numPr>
              <w:spacing w:after="0" w:line="240" w:lineRule="auto"/>
              <w:ind w:right="0"/>
              <w:contextualSpacing/>
              <w:jc w:val="left"/>
              <w:rPr>
                <w:color w:val="auto"/>
                <w:sz w:val="20"/>
                <w:szCs w:val="20"/>
              </w:rPr>
            </w:pPr>
            <w:r w:rsidRPr="00BA050E">
              <w:rPr>
                <w:rFonts w:eastAsia="Calibri"/>
                <w:color w:val="auto"/>
                <w:sz w:val="20"/>
                <w:szCs w:val="20"/>
              </w:rPr>
              <w:t>S</w:t>
            </w:r>
            <w:r w:rsidRPr="00BA050E">
              <w:rPr>
                <w:color w:val="auto"/>
                <w:sz w:val="20"/>
                <w:szCs w:val="20"/>
              </w:rPr>
              <w:t xml:space="preserve">outhern interconnection with Romania </w:t>
            </w:r>
            <w:proofErr w:type="spellStart"/>
            <w:r w:rsidRPr="00BA050E">
              <w:rPr>
                <w:i/>
                <w:color w:val="auto"/>
                <w:sz w:val="20"/>
                <w:szCs w:val="20"/>
              </w:rPr>
              <w:t>Vulcanesti</w:t>
            </w:r>
            <w:proofErr w:type="spellEnd"/>
            <w:r w:rsidRPr="00BA050E">
              <w:rPr>
                <w:i/>
                <w:color w:val="auto"/>
                <w:sz w:val="20"/>
                <w:szCs w:val="20"/>
              </w:rPr>
              <w:t xml:space="preserve"> </w:t>
            </w:r>
            <w:proofErr w:type="spellStart"/>
            <w:r w:rsidRPr="00BA050E">
              <w:rPr>
                <w:i/>
                <w:color w:val="auto"/>
                <w:sz w:val="20"/>
                <w:szCs w:val="20"/>
              </w:rPr>
              <w:t>Isaccea</w:t>
            </w:r>
            <w:proofErr w:type="spellEnd"/>
            <w:r w:rsidRPr="00BA050E">
              <w:rPr>
                <w:color w:val="auto"/>
                <w:sz w:val="20"/>
                <w:szCs w:val="20"/>
              </w:rPr>
              <w:t xml:space="preserve"> via Back-to-Back (</w:t>
            </w:r>
            <w:proofErr w:type="spellStart"/>
            <w:r w:rsidRPr="00BA050E">
              <w:rPr>
                <w:color w:val="auto"/>
                <w:sz w:val="20"/>
                <w:szCs w:val="20"/>
              </w:rPr>
              <w:t>BtB</w:t>
            </w:r>
            <w:proofErr w:type="spellEnd"/>
            <w:r w:rsidRPr="00BA050E">
              <w:rPr>
                <w:color w:val="auto"/>
                <w:sz w:val="20"/>
                <w:szCs w:val="20"/>
              </w:rPr>
              <w:t xml:space="preserve">) link and new substation and overhead high-voltage line (OHVL) commissioned </w:t>
            </w:r>
          </w:p>
          <w:p w14:paraId="6FC887E9" w14:textId="77777777" w:rsidR="009F4080" w:rsidRPr="00BA050E" w:rsidRDefault="009F4080" w:rsidP="009F4080">
            <w:pPr>
              <w:spacing w:after="0" w:line="240" w:lineRule="auto"/>
              <w:ind w:left="25" w:right="0" w:firstLine="0"/>
              <w:jc w:val="left"/>
              <w:rPr>
                <w:color w:val="auto"/>
                <w:sz w:val="20"/>
                <w:szCs w:val="20"/>
              </w:rPr>
            </w:pPr>
            <w:r w:rsidRPr="00BA050E">
              <w:rPr>
                <w:color w:val="auto"/>
                <w:sz w:val="20"/>
                <w:szCs w:val="20"/>
              </w:rPr>
              <w:t>Baseline: No connection with Romania (FY17)</w:t>
            </w:r>
          </w:p>
          <w:p w14:paraId="7B12DFAA" w14:textId="77777777" w:rsidR="009F4080" w:rsidRPr="00BA050E" w:rsidRDefault="009F4080" w:rsidP="009F4080">
            <w:pPr>
              <w:spacing w:after="0" w:line="240" w:lineRule="auto"/>
              <w:ind w:left="0" w:right="0" w:firstLine="0"/>
              <w:jc w:val="left"/>
              <w:rPr>
                <w:rFonts w:eastAsia="Calibri"/>
                <w:color w:val="auto"/>
                <w:sz w:val="20"/>
                <w:szCs w:val="20"/>
                <w:highlight w:val="yellow"/>
              </w:rPr>
            </w:pPr>
            <w:r w:rsidRPr="00BA050E">
              <w:rPr>
                <w:color w:val="auto"/>
                <w:sz w:val="20"/>
                <w:szCs w:val="20"/>
              </w:rPr>
              <w:t xml:space="preserve">Target:     </w:t>
            </w:r>
            <w:proofErr w:type="spellStart"/>
            <w:r w:rsidRPr="00BA050E">
              <w:rPr>
                <w:color w:val="auto"/>
                <w:sz w:val="20"/>
                <w:szCs w:val="20"/>
              </w:rPr>
              <w:t>BtB</w:t>
            </w:r>
            <w:proofErr w:type="spellEnd"/>
            <w:r w:rsidRPr="00BA050E">
              <w:rPr>
                <w:color w:val="auto"/>
                <w:sz w:val="20"/>
                <w:szCs w:val="20"/>
              </w:rPr>
              <w:t xml:space="preserve"> interconnection with Romania commissioned and operational by FY21</w:t>
            </w:r>
          </w:p>
        </w:tc>
        <w:tc>
          <w:tcPr>
            <w:tcW w:w="4579" w:type="dxa"/>
          </w:tcPr>
          <w:p w14:paraId="1E1B7DDD" w14:textId="77777777" w:rsidR="009F4080" w:rsidRPr="00BA050E" w:rsidRDefault="009F4080" w:rsidP="009F4080">
            <w:pPr>
              <w:spacing w:after="0" w:line="240" w:lineRule="auto"/>
              <w:ind w:left="0" w:right="0" w:firstLine="0"/>
              <w:jc w:val="left"/>
              <w:rPr>
                <w:rFonts w:eastAsia="Calibri"/>
                <w:color w:val="auto"/>
                <w:sz w:val="20"/>
                <w:szCs w:val="20"/>
              </w:rPr>
            </w:pPr>
          </w:p>
          <w:p w14:paraId="1FB83990" w14:textId="77777777" w:rsidR="009F4080" w:rsidRPr="00BA050E" w:rsidRDefault="009F4080" w:rsidP="009F4080">
            <w:pPr>
              <w:spacing w:after="0" w:line="240" w:lineRule="auto"/>
              <w:ind w:left="0" w:right="0" w:firstLine="0"/>
              <w:jc w:val="left"/>
              <w:rPr>
                <w:rFonts w:eastAsia="Calibri"/>
                <w:color w:val="auto"/>
                <w:sz w:val="20"/>
                <w:szCs w:val="20"/>
              </w:rPr>
            </w:pPr>
          </w:p>
          <w:p w14:paraId="79851E94" w14:textId="77777777" w:rsidR="009F4080" w:rsidRPr="00BA050E" w:rsidRDefault="009F4080" w:rsidP="009F4080">
            <w:pPr>
              <w:spacing w:after="0" w:line="240" w:lineRule="auto"/>
              <w:ind w:left="0" w:right="0" w:firstLine="0"/>
              <w:jc w:val="left"/>
              <w:rPr>
                <w:rFonts w:eastAsia="Calibri"/>
                <w:color w:val="auto"/>
                <w:sz w:val="20"/>
                <w:szCs w:val="20"/>
              </w:rPr>
            </w:pPr>
          </w:p>
          <w:p w14:paraId="02F308BC" w14:textId="77777777" w:rsidR="009F4080" w:rsidRPr="00BA050E" w:rsidRDefault="009F4080" w:rsidP="009F4080">
            <w:pPr>
              <w:spacing w:after="0" w:line="240" w:lineRule="auto"/>
              <w:ind w:left="0" w:right="0" w:firstLine="0"/>
              <w:jc w:val="left"/>
              <w:rPr>
                <w:rFonts w:eastAsia="Calibri"/>
                <w:color w:val="auto"/>
                <w:sz w:val="20"/>
                <w:szCs w:val="20"/>
              </w:rPr>
            </w:pPr>
          </w:p>
          <w:p w14:paraId="40A2B63D" w14:textId="77777777" w:rsidR="009F4080" w:rsidRPr="00BA050E" w:rsidRDefault="009F4080" w:rsidP="009F4080">
            <w:pPr>
              <w:spacing w:after="0" w:line="240" w:lineRule="auto"/>
              <w:ind w:left="0" w:right="0" w:firstLine="0"/>
              <w:jc w:val="left"/>
              <w:rPr>
                <w:rFonts w:eastAsia="Calibri"/>
                <w:color w:val="auto"/>
                <w:sz w:val="20"/>
                <w:szCs w:val="20"/>
              </w:rPr>
            </w:pPr>
          </w:p>
          <w:p w14:paraId="3D3626DE" w14:textId="77777777" w:rsidR="009F4080" w:rsidRPr="00BA050E" w:rsidRDefault="009F4080" w:rsidP="009F4080">
            <w:pPr>
              <w:spacing w:after="0" w:line="240" w:lineRule="auto"/>
              <w:ind w:left="0" w:right="0" w:firstLine="0"/>
              <w:jc w:val="left"/>
              <w:rPr>
                <w:rFonts w:eastAsia="Calibri"/>
                <w:color w:val="auto"/>
                <w:sz w:val="20"/>
                <w:szCs w:val="20"/>
              </w:rPr>
            </w:pPr>
          </w:p>
          <w:p w14:paraId="617DE1EC" w14:textId="77777777" w:rsidR="009F4080" w:rsidRPr="00BA050E" w:rsidRDefault="009F4080" w:rsidP="009F4080">
            <w:pPr>
              <w:spacing w:after="0" w:line="240" w:lineRule="auto"/>
              <w:ind w:left="0" w:right="0" w:firstLine="0"/>
              <w:jc w:val="left"/>
              <w:rPr>
                <w:rFonts w:eastAsia="Calibri"/>
                <w:color w:val="auto"/>
                <w:sz w:val="20"/>
                <w:szCs w:val="20"/>
              </w:rPr>
            </w:pPr>
          </w:p>
          <w:p w14:paraId="3550FB51" w14:textId="77777777" w:rsidR="009F4080" w:rsidRPr="00BA050E" w:rsidRDefault="009F4080" w:rsidP="009F4080">
            <w:pPr>
              <w:spacing w:after="0" w:line="240" w:lineRule="auto"/>
              <w:ind w:left="0" w:right="0" w:firstLine="0"/>
              <w:jc w:val="left"/>
              <w:rPr>
                <w:rFonts w:eastAsia="Calibri"/>
                <w:color w:val="auto"/>
                <w:sz w:val="20"/>
                <w:szCs w:val="20"/>
              </w:rPr>
            </w:pPr>
          </w:p>
          <w:p w14:paraId="7EC6316E" w14:textId="77777777" w:rsidR="009F4080" w:rsidRPr="00BA050E" w:rsidRDefault="009F4080" w:rsidP="009F4080">
            <w:pPr>
              <w:spacing w:after="0" w:line="240" w:lineRule="auto"/>
              <w:ind w:left="0" w:right="0" w:firstLine="0"/>
              <w:jc w:val="left"/>
              <w:rPr>
                <w:rFonts w:eastAsia="Calibri"/>
                <w:color w:val="auto"/>
                <w:sz w:val="20"/>
                <w:szCs w:val="20"/>
              </w:rPr>
            </w:pPr>
          </w:p>
          <w:p w14:paraId="14635574" w14:textId="77777777" w:rsidR="009F4080" w:rsidRPr="00BA050E" w:rsidRDefault="009F4080" w:rsidP="009F4080">
            <w:pPr>
              <w:spacing w:after="0" w:line="240" w:lineRule="auto"/>
              <w:ind w:left="0" w:right="0" w:firstLine="0"/>
              <w:jc w:val="left"/>
              <w:rPr>
                <w:rFonts w:eastAsia="Calibri"/>
                <w:color w:val="auto"/>
                <w:sz w:val="20"/>
                <w:szCs w:val="20"/>
              </w:rPr>
            </w:pPr>
          </w:p>
          <w:p w14:paraId="41D20CCC" w14:textId="77777777" w:rsidR="009F4080" w:rsidRPr="00BA050E" w:rsidRDefault="009F4080" w:rsidP="009F4080">
            <w:pPr>
              <w:spacing w:after="0" w:line="240" w:lineRule="auto"/>
              <w:ind w:left="0" w:right="0" w:firstLine="0"/>
              <w:jc w:val="left"/>
              <w:rPr>
                <w:rFonts w:eastAsia="Calibri"/>
                <w:color w:val="auto"/>
                <w:sz w:val="20"/>
                <w:szCs w:val="20"/>
              </w:rPr>
            </w:pPr>
          </w:p>
          <w:p w14:paraId="3241B6CA"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color w:val="auto"/>
                <w:sz w:val="20"/>
                <w:szCs w:val="20"/>
              </w:rPr>
              <w:lastRenderedPageBreak/>
              <w:t>SPI 1</w:t>
            </w:r>
            <w:r>
              <w:rPr>
                <w:rFonts w:eastAsia="Calibri"/>
                <w:color w:val="auto"/>
                <w:sz w:val="20"/>
                <w:szCs w:val="20"/>
              </w:rPr>
              <w:t>2</w:t>
            </w:r>
            <w:r w:rsidRPr="00BA050E">
              <w:rPr>
                <w:rFonts w:eastAsia="Calibri"/>
                <w:color w:val="auto"/>
                <w:sz w:val="20"/>
                <w:szCs w:val="20"/>
              </w:rPr>
              <w:t xml:space="preserve">: </w:t>
            </w:r>
            <w:r w:rsidRPr="00BA050E">
              <w:rPr>
                <w:rFonts w:eastAsia="Calibri"/>
                <w:sz w:val="20"/>
                <w:szCs w:val="20"/>
              </w:rPr>
              <w:t>Enhanced efficiency of the hospital sector, as measured by reduced number of acute care beds in public hospitals in Chisinau</w:t>
            </w:r>
          </w:p>
          <w:p w14:paraId="1E0E4491"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12,077 (2015)</w:t>
            </w:r>
          </w:p>
          <w:p w14:paraId="246938B5" w14:textId="77777777" w:rsidR="009F4080"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 xml:space="preserve">Target:    </w:t>
            </w:r>
            <w:r>
              <w:rPr>
                <w:rFonts w:eastAsia="Calibri"/>
                <w:color w:val="auto"/>
                <w:sz w:val="20"/>
                <w:szCs w:val="20"/>
              </w:rPr>
              <w:t>&lt;</w:t>
            </w:r>
            <w:r w:rsidRPr="00BA050E">
              <w:rPr>
                <w:rFonts w:eastAsia="Calibri"/>
                <w:color w:val="auto"/>
                <w:sz w:val="20"/>
                <w:szCs w:val="20"/>
              </w:rPr>
              <w:t>10,000 (FY19)</w:t>
            </w:r>
          </w:p>
          <w:p w14:paraId="73B13CE9" w14:textId="77777777" w:rsidR="009F4080" w:rsidRPr="00BA050E" w:rsidRDefault="009F4080" w:rsidP="009F4080">
            <w:pPr>
              <w:spacing w:after="0" w:line="240" w:lineRule="auto"/>
              <w:ind w:left="0" w:right="0" w:firstLine="0"/>
              <w:jc w:val="left"/>
              <w:rPr>
                <w:rFonts w:eastAsia="Calibri"/>
                <w:color w:val="auto"/>
                <w:sz w:val="20"/>
                <w:szCs w:val="20"/>
              </w:rPr>
            </w:pPr>
          </w:p>
          <w:p w14:paraId="717AA995"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SPI 1</w:t>
            </w:r>
            <w:r>
              <w:rPr>
                <w:rFonts w:eastAsia="Calibri"/>
                <w:color w:val="auto"/>
                <w:sz w:val="20"/>
                <w:szCs w:val="20"/>
              </w:rPr>
              <w:t>3</w:t>
            </w:r>
            <w:r w:rsidRPr="00BA050E">
              <w:rPr>
                <w:rFonts w:eastAsia="Calibri"/>
                <w:color w:val="auto"/>
                <w:sz w:val="20"/>
                <w:szCs w:val="20"/>
              </w:rPr>
              <w:t xml:space="preserve">: Property valuation system established and revaluation conducted at least once </w:t>
            </w:r>
          </w:p>
          <w:p w14:paraId="09C8AB8C"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No (FY18)</w:t>
            </w:r>
          </w:p>
          <w:p w14:paraId="7269DB6B"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Yes (FY21)</w:t>
            </w:r>
          </w:p>
          <w:p w14:paraId="62139599" w14:textId="77777777" w:rsidR="009F4080" w:rsidRPr="00BA050E" w:rsidRDefault="009F4080" w:rsidP="009F4080">
            <w:pPr>
              <w:spacing w:after="0" w:line="240" w:lineRule="auto"/>
              <w:ind w:left="0" w:right="0" w:firstLine="0"/>
              <w:jc w:val="left"/>
              <w:rPr>
                <w:rFonts w:eastAsia="Calibri"/>
                <w:color w:val="auto"/>
                <w:sz w:val="20"/>
                <w:szCs w:val="20"/>
              </w:rPr>
            </w:pPr>
          </w:p>
          <w:p w14:paraId="245F06FE" w14:textId="77777777" w:rsidR="009F4080" w:rsidRPr="00BA050E" w:rsidRDefault="009F4080" w:rsidP="009F4080">
            <w:pPr>
              <w:spacing w:after="0" w:line="240" w:lineRule="auto"/>
              <w:ind w:left="0" w:right="0" w:firstLine="0"/>
              <w:jc w:val="left"/>
              <w:rPr>
                <w:rFonts w:eastAsia="Calibri"/>
                <w:color w:val="auto"/>
                <w:sz w:val="20"/>
                <w:szCs w:val="20"/>
              </w:rPr>
            </w:pPr>
          </w:p>
          <w:p w14:paraId="6C9C1424" w14:textId="77777777" w:rsidR="009F4080" w:rsidRPr="00BA050E" w:rsidRDefault="009F4080" w:rsidP="009F4080">
            <w:pPr>
              <w:spacing w:after="0" w:line="240" w:lineRule="auto"/>
              <w:ind w:left="0" w:right="0" w:firstLine="0"/>
              <w:jc w:val="left"/>
              <w:rPr>
                <w:rFonts w:eastAsia="Calibri"/>
                <w:bCs/>
                <w:color w:val="auto"/>
                <w:sz w:val="20"/>
                <w:szCs w:val="20"/>
              </w:rPr>
            </w:pPr>
            <w:r w:rsidRPr="00BA050E">
              <w:rPr>
                <w:rFonts w:eastAsia="Calibri"/>
                <w:bCs/>
                <w:color w:val="auto"/>
                <w:sz w:val="20"/>
                <w:szCs w:val="20"/>
              </w:rPr>
              <w:t>SPI 1</w:t>
            </w:r>
            <w:r>
              <w:rPr>
                <w:rFonts w:eastAsia="Calibri"/>
                <w:bCs/>
                <w:color w:val="auto"/>
                <w:sz w:val="20"/>
                <w:szCs w:val="20"/>
              </w:rPr>
              <w:t>4</w:t>
            </w:r>
            <w:r w:rsidRPr="00BA050E">
              <w:rPr>
                <w:rFonts w:eastAsia="Calibri"/>
                <w:bCs/>
                <w:color w:val="auto"/>
                <w:sz w:val="20"/>
                <w:szCs w:val="20"/>
              </w:rPr>
              <w:t>: Moldova implements Power Market guidelines consistent with European Energy Community 3</w:t>
            </w:r>
            <w:r w:rsidRPr="00BA050E">
              <w:rPr>
                <w:rFonts w:eastAsia="Calibri"/>
                <w:bCs/>
                <w:color w:val="auto"/>
                <w:sz w:val="20"/>
                <w:szCs w:val="20"/>
                <w:vertAlign w:val="superscript"/>
              </w:rPr>
              <w:t>rd</w:t>
            </w:r>
            <w:r w:rsidRPr="00BA050E">
              <w:rPr>
                <w:rFonts w:eastAsia="Calibri"/>
                <w:bCs/>
                <w:color w:val="auto"/>
                <w:sz w:val="20"/>
                <w:szCs w:val="20"/>
              </w:rPr>
              <w:t xml:space="preserve"> Energy Package </w:t>
            </w:r>
          </w:p>
          <w:p w14:paraId="3ABD8910" w14:textId="77777777" w:rsidR="009F4080" w:rsidRPr="00BA050E" w:rsidRDefault="009F4080" w:rsidP="009F4080">
            <w:pPr>
              <w:autoSpaceDE w:val="0"/>
              <w:autoSpaceDN w:val="0"/>
              <w:spacing w:after="0" w:line="240" w:lineRule="auto"/>
              <w:ind w:left="0" w:right="0" w:firstLine="0"/>
              <w:jc w:val="left"/>
              <w:rPr>
                <w:rFonts w:eastAsia="Calibri"/>
                <w:color w:val="auto"/>
                <w:sz w:val="20"/>
                <w:szCs w:val="20"/>
              </w:rPr>
            </w:pPr>
            <w:r w:rsidRPr="00BA050E">
              <w:rPr>
                <w:rFonts w:eastAsia="Calibri"/>
                <w:bCs/>
                <w:color w:val="auto"/>
                <w:sz w:val="20"/>
                <w:szCs w:val="20"/>
              </w:rPr>
              <w:t>Baseline: Power market guidelines approved but not yet implemented (FY17)</w:t>
            </w:r>
          </w:p>
          <w:p w14:paraId="143FF884" w14:textId="77777777" w:rsidR="009F4080" w:rsidRPr="00BA050E" w:rsidRDefault="009F4080" w:rsidP="009F4080">
            <w:pPr>
              <w:spacing w:after="0" w:line="240" w:lineRule="auto"/>
              <w:ind w:left="0" w:right="0" w:firstLine="0"/>
              <w:jc w:val="left"/>
              <w:rPr>
                <w:rFonts w:eastAsia="Calibri"/>
                <w:bCs/>
                <w:color w:val="auto"/>
                <w:sz w:val="20"/>
                <w:szCs w:val="20"/>
              </w:rPr>
            </w:pPr>
            <w:r w:rsidRPr="00BA050E">
              <w:rPr>
                <w:rFonts w:eastAsia="Calibri"/>
                <w:bCs/>
                <w:color w:val="auto"/>
                <w:sz w:val="20"/>
                <w:szCs w:val="20"/>
              </w:rPr>
              <w:t>Target:    All power from Transnistria and foreign sources purchased through tenders consistent with European Energy Community obligations throughout 2018-2019</w:t>
            </w:r>
          </w:p>
        </w:tc>
        <w:tc>
          <w:tcPr>
            <w:tcW w:w="3708" w:type="dxa"/>
            <w:tcBorders>
              <w:bottom w:val="single" w:sz="4" w:space="0" w:color="000000"/>
            </w:tcBorders>
          </w:tcPr>
          <w:p w14:paraId="752DA14A"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lastRenderedPageBreak/>
              <w:t>WBG Lending:</w:t>
            </w:r>
          </w:p>
          <w:p w14:paraId="72917CB4"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Tax Administration Modernization Project (ongoing)</w:t>
            </w:r>
          </w:p>
          <w:p w14:paraId="526A0A16"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 xml:space="preserve">Health Transformation </w:t>
            </w:r>
            <w:proofErr w:type="spellStart"/>
            <w:r w:rsidRPr="00BA050E">
              <w:rPr>
                <w:rFonts w:eastAsia="Calibri"/>
                <w:color w:val="auto"/>
                <w:sz w:val="20"/>
                <w:szCs w:val="20"/>
              </w:rPr>
              <w:t>PforR</w:t>
            </w:r>
            <w:proofErr w:type="spellEnd"/>
            <w:r w:rsidRPr="00BA050E">
              <w:rPr>
                <w:rFonts w:eastAsia="Calibri"/>
                <w:color w:val="auto"/>
                <w:sz w:val="20"/>
                <w:szCs w:val="20"/>
              </w:rPr>
              <w:t xml:space="preserve"> (ongoing)</w:t>
            </w:r>
          </w:p>
          <w:p w14:paraId="4911E235"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Land Registration, Valuation and Local Taxation Project (pipeline FY18)</w:t>
            </w:r>
          </w:p>
          <w:p w14:paraId="6EB9CA7F" w14:textId="65722062" w:rsidR="003F335B" w:rsidRPr="003F335B" w:rsidRDefault="009F4080" w:rsidP="003F335B">
            <w:pPr>
              <w:numPr>
                <w:ilvl w:val="0"/>
                <w:numId w:val="11"/>
              </w:numPr>
              <w:spacing w:after="0" w:line="240" w:lineRule="auto"/>
              <w:ind w:right="0"/>
              <w:contextualSpacing/>
              <w:jc w:val="left"/>
              <w:rPr>
                <w:rFonts w:eastAsia="Calibri"/>
                <w:color w:val="auto"/>
                <w:sz w:val="20"/>
                <w:szCs w:val="20"/>
              </w:rPr>
            </w:pPr>
            <w:r w:rsidRPr="00BA050E">
              <w:rPr>
                <w:color w:val="auto"/>
                <w:sz w:val="20"/>
                <w:szCs w:val="20"/>
              </w:rPr>
              <w:t>Transparent</w:t>
            </w:r>
            <w:r w:rsidRPr="00BA050E">
              <w:rPr>
                <w:b/>
                <w:color w:val="auto"/>
                <w:sz w:val="20"/>
                <w:szCs w:val="20"/>
              </w:rPr>
              <w:t xml:space="preserve"> </w:t>
            </w:r>
            <w:r w:rsidRPr="00BA050E">
              <w:rPr>
                <w:color w:val="auto"/>
                <w:sz w:val="20"/>
                <w:szCs w:val="20"/>
              </w:rPr>
              <w:t>Power Market Project (pipeline FY18)</w:t>
            </w:r>
          </w:p>
          <w:p w14:paraId="370F4DA0" w14:textId="0F0005D4" w:rsidR="009F4080"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Economic Governance DPO (pipeline FY18)</w:t>
            </w:r>
          </w:p>
          <w:p w14:paraId="0EEC4D3E" w14:textId="1FC60076" w:rsidR="003F335B" w:rsidRDefault="003F335B" w:rsidP="003F335B">
            <w:pPr>
              <w:spacing w:after="0" w:line="240" w:lineRule="auto"/>
              <w:ind w:right="0"/>
              <w:contextualSpacing/>
              <w:jc w:val="left"/>
              <w:rPr>
                <w:rFonts w:eastAsia="Calibri"/>
                <w:color w:val="auto"/>
                <w:sz w:val="20"/>
                <w:szCs w:val="20"/>
              </w:rPr>
            </w:pPr>
          </w:p>
          <w:p w14:paraId="0A0C7467" w14:textId="5DDD9B30" w:rsidR="003F335B" w:rsidRPr="003F335B" w:rsidRDefault="003F335B" w:rsidP="003F335B">
            <w:pPr>
              <w:spacing w:after="0" w:line="240" w:lineRule="auto"/>
              <w:ind w:right="0"/>
              <w:contextualSpacing/>
              <w:jc w:val="left"/>
              <w:rPr>
                <w:rFonts w:eastAsia="Calibri"/>
                <w:b/>
                <w:color w:val="auto"/>
                <w:sz w:val="20"/>
                <w:szCs w:val="20"/>
              </w:rPr>
            </w:pPr>
            <w:r w:rsidRPr="003F335B">
              <w:rPr>
                <w:rFonts w:eastAsia="Calibri"/>
                <w:b/>
                <w:color w:val="auto"/>
                <w:sz w:val="20"/>
                <w:szCs w:val="20"/>
              </w:rPr>
              <w:lastRenderedPageBreak/>
              <w:t>IFC engagements</w:t>
            </w:r>
          </w:p>
          <w:p w14:paraId="6121D222" w14:textId="516AB4A4" w:rsidR="009F4080" w:rsidRPr="00BA050E" w:rsidRDefault="003F335B" w:rsidP="009F4080">
            <w:pPr>
              <w:numPr>
                <w:ilvl w:val="0"/>
                <w:numId w:val="11"/>
              </w:numPr>
              <w:spacing w:after="0" w:line="240" w:lineRule="auto"/>
              <w:ind w:right="0"/>
              <w:contextualSpacing/>
              <w:jc w:val="left"/>
              <w:rPr>
                <w:rFonts w:eastAsia="Calibri"/>
                <w:color w:val="auto"/>
                <w:sz w:val="20"/>
                <w:szCs w:val="20"/>
              </w:rPr>
            </w:pPr>
            <w:r>
              <w:rPr>
                <w:rFonts w:eastAsia="Calibri"/>
                <w:color w:val="auto"/>
                <w:sz w:val="20"/>
                <w:szCs w:val="20"/>
              </w:rPr>
              <w:t>IFC ongoing engagement</w:t>
            </w:r>
            <w:r w:rsidR="009F4080" w:rsidRPr="00BA050E">
              <w:rPr>
                <w:rFonts w:eastAsia="Calibri"/>
                <w:color w:val="auto"/>
                <w:sz w:val="20"/>
                <w:szCs w:val="20"/>
              </w:rPr>
              <w:t xml:space="preserve"> in the energy sector (U</w:t>
            </w:r>
            <w:r>
              <w:rPr>
                <w:rFonts w:eastAsia="Calibri"/>
                <w:color w:val="auto"/>
                <w:sz w:val="20"/>
                <w:szCs w:val="20"/>
              </w:rPr>
              <w:t xml:space="preserve">nion </w:t>
            </w:r>
            <w:proofErr w:type="spellStart"/>
            <w:r w:rsidR="009F4080" w:rsidRPr="00BA050E">
              <w:rPr>
                <w:rFonts w:eastAsia="Calibri"/>
                <w:color w:val="auto"/>
                <w:sz w:val="20"/>
                <w:szCs w:val="20"/>
              </w:rPr>
              <w:t>F</w:t>
            </w:r>
            <w:r>
              <w:rPr>
                <w:rFonts w:eastAsia="Calibri"/>
                <w:color w:val="auto"/>
                <w:sz w:val="20"/>
                <w:szCs w:val="20"/>
              </w:rPr>
              <w:t>enosa</w:t>
            </w:r>
            <w:proofErr w:type="spellEnd"/>
            <w:r w:rsidR="009F4080" w:rsidRPr="00BA050E">
              <w:rPr>
                <w:rFonts w:eastAsia="Calibri"/>
                <w:color w:val="auto"/>
                <w:sz w:val="20"/>
                <w:szCs w:val="20"/>
              </w:rPr>
              <w:t xml:space="preserve"> Moldova</w:t>
            </w:r>
            <w:r>
              <w:rPr>
                <w:rFonts w:eastAsia="Calibri"/>
                <w:color w:val="auto"/>
                <w:sz w:val="20"/>
                <w:szCs w:val="20"/>
              </w:rPr>
              <w:t xml:space="preserve">: </w:t>
            </w:r>
            <w:r w:rsidR="009F4080" w:rsidRPr="00BA050E">
              <w:rPr>
                <w:rFonts w:eastAsia="Calibri"/>
                <w:color w:val="auto"/>
                <w:sz w:val="20"/>
                <w:szCs w:val="20"/>
              </w:rPr>
              <w:t>distribution)</w:t>
            </w:r>
          </w:p>
          <w:p w14:paraId="6987487A" w14:textId="7D8D65D8"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 xml:space="preserve">IFC </w:t>
            </w:r>
            <w:r w:rsidR="003F335B">
              <w:rPr>
                <w:rFonts w:eastAsia="Calibri"/>
                <w:color w:val="auto"/>
                <w:sz w:val="20"/>
                <w:szCs w:val="20"/>
              </w:rPr>
              <w:t>potential investments</w:t>
            </w:r>
            <w:r w:rsidRPr="00BA050E">
              <w:rPr>
                <w:rFonts w:eastAsia="Calibri"/>
                <w:color w:val="auto"/>
                <w:sz w:val="20"/>
                <w:szCs w:val="20"/>
              </w:rPr>
              <w:t xml:space="preserve"> in </w:t>
            </w:r>
            <w:r w:rsidR="00892AA4">
              <w:rPr>
                <w:rFonts w:eastAsia="Calibri"/>
                <w:color w:val="auto"/>
                <w:sz w:val="20"/>
                <w:szCs w:val="20"/>
              </w:rPr>
              <w:t xml:space="preserve">energy </w:t>
            </w:r>
            <w:r w:rsidRPr="00BA050E">
              <w:rPr>
                <w:rFonts w:eastAsia="Calibri"/>
                <w:color w:val="auto"/>
                <w:sz w:val="20"/>
                <w:szCs w:val="20"/>
              </w:rPr>
              <w:t xml:space="preserve">infrastructure  </w:t>
            </w:r>
          </w:p>
          <w:p w14:paraId="05F46044" w14:textId="77777777" w:rsidR="009F4080" w:rsidRPr="00BA050E" w:rsidRDefault="009F4080" w:rsidP="009F4080">
            <w:pPr>
              <w:spacing w:after="0" w:line="240" w:lineRule="auto"/>
              <w:ind w:left="-25" w:right="0" w:firstLine="0"/>
              <w:jc w:val="left"/>
              <w:rPr>
                <w:b/>
                <w:color w:val="auto"/>
                <w:sz w:val="20"/>
                <w:szCs w:val="20"/>
              </w:rPr>
            </w:pPr>
          </w:p>
          <w:p w14:paraId="0B1DD26B" w14:textId="77777777" w:rsidR="009F4080" w:rsidRPr="00BA050E" w:rsidRDefault="009F4080" w:rsidP="009F4080">
            <w:pPr>
              <w:spacing w:after="0" w:line="240" w:lineRule="auto"/>
              <w:ind w:left="-25" w:right="0" w:firstLine="0"/>
              <w:jc w:val="left"/>
              <w:rPr>
                <w:b/>
                <w:color w:val="auto"/>
                <w:sz w:val="20"/>
                <w:szCs w:val="20"/>
              </w:rPr>
            </w:pPr>
            <w:r w:rsidRPr="00BA050E">
              <w:rPr>
                <w:b/>
                <w:color w:val="auto"/>
                <w:sz w:val="20"/>
                <w:szCs w:val="20"/>
              </w:rPr>
              <w:t>Partnerships:</w:t>
            </w:r>
          </w:p>
          <w:p w14:paraId="121E11D0" w14:textId="77777777" w:rsidR="009F4080" w:rsidRPr="00BA050E" w:rsidRDefault="009F4080" w:rsidP="009F4080">
            <w:pPr>
              <w:numPr>
                <w:ilvl w:val="0"/>
                <w:numId w:val="11"/>
              </w:numPr>
              <w:spacing w:after="0" w:line="240" w:lineRule="auto"/>
              <w:ind w:right="0"/>
              <w:contextualSpacing/>
              <w:jc w:val="left"/>
              <w:rPr>
                <w:b/>
                <w:color w:val="auto"/>
                <w:sz w:val="20"/>
                <w:szCs w:val="20"/>
              </w:rPr>
            </w:pPr>
            <w:r w:rsidRPr="00BA050E">
              <w:rPr>
                <w:color w:val="auto"/>
                <w:sz w:val="20"/>
                <w:szCs w:val="20"/>
              </w:rPr>
              <w:t>EBRD, EIB, Switzerland, Sweden</w:t>
            </w:r>
          </w:p>
          <w:p w14:paraId="269E2238"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 xml:space="preserve">Economic Governance of the Energy Sector (EU TF) </w:t>
            </w:r>
          </w:p>
          <w:p w14:paraId="1B938707"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Economic Rule of Law Project (EU TF)</w:t>
            </w:r>
          </w:p>
          <w:p w14:paraId="05AFD25E" w14:textId="77777777" w:rsidR="009F4080" w:rsidRPr="00BA050E" w:rsidRDefault="009F4080" w:rsidP="009F4080">
            <w:pPr>
              <w:spacing w:after="0" w:line="240" w:lineRule="auto"/>
              <w:ind w:left="0" w:right="0" w:firstLine="0"/>
              <w:jc w:val="left"/>
              <w:rPr>
                <w:rFonts w:eastAsia="Calibri"/>
                <w:color w:val="auto"/>
                <w:sz w:val="20"/>
                <w:szCs w:val="20"/>
              </w:rPr>
            </w:pPr>
          </w:p>
          <w:p w14:paraId="452603D0"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ASA:</w:t>
            </w:r>
          </w:p>
          <w:p w14:paraId="5E6D2E15"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Investment Climate Reform Advisory Project (IFC)</w:t>
            </w:r>
          </w:p>
          <w:p w14:paraId="1D8DCE92"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color w:val="auto"/>
                <w:sz w:val="20"/>
                <w:szCs w:val="20"/>
              </w:rPr>
              <w:t>ESMAP Moldova Power System Interconnection Analysis</w:t>
            </w:r>
          </w:p>
          <w:p w14:paraId="643A82F1" w14:textId="77777777" w:rsidR="009F4080"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Health Public Expenditure Review (Swiss TF)</w:t>
            </w:r>
          </w:p>
          <w:p w14:paraId="33BE3177" w14:textId="77777777" w:rsidR="009F4080" w:rsidRDefault="009F4080" w:rsidP="009F4080">
            <w:pPr>
              <w:numPr>
                <w:ilvl w:val="0"/>
                <w:numId w:val="11"/>
              </w:numPr>
              <w:spacing w:after="0" w:line="240" w:lineRule="auto"/>
              <w:ind w:right="0"/>
              <w:contextualSpacing/>
              <w:jc w:val="left"/>
              <w:rPr>
                <w:rFonts w:eastAsia="Calibri"/>
                <w:color w:val="auto"/>
                <w:sz w:val="20"/>
                <w:szCs w:val="20"/>
              </w:rPr>
            </w:pPr>
            <w:r>
              <w:rPr>
                <w:rFonts w:eastAsia="Calibri"/>
                <w:color w:val="auto"/>
                <w:sz w:val="20"/>
                <w:szCs w:val="20"/>
              </w:rPr>
              <w:t>Governance Reform Scorecard TA (UK TF)</w:t>
            </w:r>
          </w:p>
          <w:p w14:paraId="227C7ADF"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Pr>
                <w:rFonts w:eastAsia="Calibri"/>
                <w:color w:val="auto"/>
                <w:sz w:val="20"/>
                <w:szCs w:val="20"/>
              </w:rPr>
              <w:t>Commitment to Equity and Poverty Monitoring</w:t>
            </w:r>
          </w:p>
          <w:p w14:paraId="1C829248" w14:textId="40DDC609"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IFC</w:t>
            </w:r>
            <w:r w:rsidR="003F335B">
              <w:rPr>
                <w:rFonts w:eastAsia="Calibri"/>
                <w:color w:val="auto"/>
                <w:sz w:val="20"/>
                <w:szCs w:val="20"/>
              </w:rPr>
              <w:t xml:space="preserve"> potential PPPs in energy</w:t>
            </w:r>
            <w:r w:rsidRPr="00BA050E">
              <w:rPr>
                <w:rFonts w:eastAsia="Calibri"/>
                <w:color w:val="auto"/>
                <w:sz w:val="20"/>
                <w:szCs w:val="20"/>
              </w:rPr>
              <w:t xml:space="preserve"> </w:t>
            </w:r>
          </w:p>
        </w:tc>
      </w:tr>
      <w:tr w:rsidR="009F4080" w:rsidRPr="00BA050E" w14:paraId="2F13617E" w14:textId="77777777" w:rsidTr="00867831">
        <w:tc>
          <w:tcPr>
            <w:tcW w:w="12955" w:type="dxa"/>
            <w:gridSpan w:val="3"/>
            <w:shd w:val="clear" w:color="auto" w:fill="E2EFD9"/>
          </w:tcPr>
          <w:p w14:paraId="299AB4B6" w14:textId="77777777" w:rsidR="009F4080" w:rsidRPr="00BA050E" w:rsidRDefault="009F4080" w:rsidP="009F4080">
            <w:pPr>
              <w:tabs>
                <w:tab w:val="left" w:pos="4630"/>
                <w:tab w:val="left" w:pos="5417"/>
              </w:tabs>
              <w:spacing w:before="60" w:after="60" w:line="240" w:lineRule="auto"/>
              <w:ind w:left="0" w:right="0" w:firstLine="0"/>
              <w:jc w:val="center"/>
              <w:rPr>
                <w:rFonts w:eastAsia="Calibri"/>
                <w:b/>
                <w:color w:val="auto"/>
                <w:sz w:val="20"/>
                <w:szCs w:val="20"/>
              </w:rPr>
            </w:pPr>
            <w:r w:rsidRPr="00BA050E">
              <w:rPr>
                <w:rFonts w:eastAsia="Calibri"/>
                <w:b/>
                <w:color w:val="auto"/>
                <w:sz w:val="20"/>
                <w:szCs w:val="20"/>
              </w:rPr>
              <w:lastRenderedPageBreak/>
              <w:t>CPF OBJECTIVE 2B: Increased inclusive access to selected public services</w:t>
            </w:r>
          </w:p>
        </w:tc>
      </w:tr>
      <w:tr w:rsidR="00AA6E33" w:rsidRPr="00BA050E" w14:paraId="4AD7C388" w14:textId="77777777" w:rsidTr="00451249">
        <w:tc>
          <w:tcPr>
            <w:tcW w:w="12955" w:type="dxa"/>
            <w:gridSpan w:val="3"/>
          </w:tcPr>
          <w:p w14:paraId="158FDB2B" w14:textId="1360B876" w:rsidR="00AA6E33" w:rsidRPr="00B12C66" w:rsidRDefault="00AA6E33" w:rsidP="00D77307">
            <w:pPr>
              <w:spacing w:after="60" w:line="240" w:lineRule="auto"/>
              <w:ind w:left="0" w:right="0" w:firstLine="0"/>
              <w:rPr>
                <w:rFonts w:eastAsia="Calibri"/>
                <w:b/>
                <w:color w:val="auto"/>
                <w:sz w:val="20"/>
                <w:szCs w:val="20"/>
              </w:rPr>
            </w:pPr>
            <w:r w:rsidRPr="00B12C66">
              <w:rPr>
                <w:rFonts w:eastAsia="Calibri"/>
                <w:b/>
                <w:color w:val="auto"/>
                <w:sz w:val="20"/>
                <w:szCs w:val="20"/>
              </w:rPr>
              <w:t xml:space="preserve">Intervention logic: </w:t>
            </w:r>
            <w:r w:rsidRPr="00D77307">
              <w:rPr>
                <w:rFonts w:eastAsia="Calibri"/>
                <w:color w:val="auto"/>
                <w:sz w:val="20"/>
                <w:szCs w:val="20"/>
              </w:rPr>
              <w:t>T</w:t>
            </w:r>
            <w:r w:rsidRPr="00B12C66">
              <w:rPr>
                <w:rFonts w:eastAsia="Calibri"/>
                <w:color w:val="auto"/>
                <w:sz w:val="20"/>
                <w:szCs w:val="20"/>
              </w:rPr>
              <w:t xml:space="preserve">he </w:t>
            </w:r>
            <w:r w:rsidR="00B12C66" w:rsidRPr="00B12C66">
              <w:rPr>
                <w:rFonts w:eastAsia="Calibri"/>
                <w:color w:val="auto"/>
                <w:sz w:val="20"/>
                <w:szCs w:val="20"/>
              </w:rPr>
              <w:t xml:space="preserve">SCD found that spatial inequalities were a prominent aspect of infrastructure service access. Limited access, inefficiency and poor quality have contributed to social exclusion, persistent poverty and vulnerability to shocks, especially in rural areas. The Local Roads Improvement Project and a Road Safety TA will improve physical access to public services in spatially-disadvantaged locations. </w:t>
            </w:r>
            <w:r w:rsidR="00B12C66" w:rsidRPr="00D77307">
              <w:rPr>
                <w:sz w:val="20"/>
                <w:szCs w:val="20"/>
              </w:rPr>
              <w:t>IFC will</w:t>
            </w:r>
            <w:r w:rsidR="005D51A0">
              <w:rPr>
                <w:sz w:val="20"/>
                <w:szCs w:val="20"/>
              </w:rPr>
              <w:t xml:space="preserve"> consider</w:t>
            </w:r>
            <w:r w:rsidR="00B12C66" w:rsidRPr="00D77307">
              <w:rPr>
                <w:sz w:val="20"/>
                <w:szCs w:val="20"/>
              </w:rPr>
              <w:t xml:space="preserve"> continue</w:t>
            </w:r>
            <w:r w:rsidR="005D51A0">
              <w:rPr>
                <w:sz w:val="20"/>
                <w:szCs w:val="20"/>
              </w:rPr>
              <w:t>d</w:t>
            </w:r>
            <w:r w:rsidR="00B12C66" w:rsidRPr="00D77307">
              <w:rPr>
                <w:sz w:val="20"/>
                <w:szCs w:val="20"/>
              </w:rPr>
              <w:t xml:space="preserve"> support </w:t>
            </w:r>
            <w:r w:rsidR="005528ED">
              <w:rPr>
                <w:sz w:val="20"/>
                <w:szCs w:val="20"/>
              </w:rPr>
              <w:t xml:space="preserve">to </w:t>
            </w:r>
            <w:r w:rsidR="00B12C66" w:rsidRPr="00D77307">
              <w:rPr>
                <w:sz w:val="20"/>
                <w:szCs w:val="20"/>
              </w:rPr>
              <w:t xml:space="preserve">the city of Chisinau with rehabilitation investments that improve access to water supply, wastewater services and transport infrastructure and will explore further opportunities to help upgrade essential infrastructure at the subnational level in Moldova. </w:t>
            </w:r>
            <w:r w:rsidR="005D51A0">
              <w:rPr>
                <w:rFonts w:eastAsia="Calibri"/>
                <w:color w:val="auto"/>
                <w:sz w:val="20"/>
                <w:szCs w:val="20"/>
              </w:rPr>
              <w:t>Furthermore, IFC will assess</w:t>
            </w:r>
            <w:r w:rsidR="00B12C66" w:rsidRPr="00B12C66">
              <w:rPr>
                <w:rFonts w:eastAsia="Calibri"/>
                <w:color w:val="auto"/>
                <w:sz w:val="20"/>
                <w:szCs w:val="20"/>
              </w:rPr>
              <w:t xml:space="preserve"> possibilities to support private sector participation in transport, </w:t>
            </w:r>
            <w:r w:rsidR="00B12C66" w:rsidRPr="00D77307">
              <w:rPr>
                <w:sz w:val="20"/>
                <w:szCs w:val="20"/>
              </w:rPr>
              <w:t xml:space="preserve">social sectors and telecommunications. </w:t>
            </w:r>
            <w:r w:rsidR="00B12C66" w:rsidRPr="00B12C66">
              <w:rPr>
                <w:rFonts w:eastAsia="Calibri"/>
                <w:color w:val="auto"/>
                <w:sz w:val="20"/>
                <w:szCs w:val="20"/>
              </w:rPr>
              <w:t xml:space="preserve"> There are also opportunities to reduce the time- and informal payment-cost of administrative services by expanding e-services. The Modernization of Government Services Project will therefore reduce the time-costs and corruption risks in administrative services. Envisaged outcomes include increased physical access to social services and improved access to administrative services. The Country Gender Action Plan, covering all CPF Focus Areas, identifies three inequalities to be addressed during the CPF period: female vulnerability to </w:t>
            </w:r>
            <w:r w:rsidR="005528ED">
              <w:rPr>
                <w:rFonts w:eastAsia="Calibri"/>
                <w:color w:val="auto"/>
                <w:sz w:val="20"/>
                <w:szCs w:val="20"/>
              </w:rPr>
              <w:t>g</w:t>
            </w:r>
            <w:r w:rsidR="00B12C66" w:rsidRPr="00B12C66">
              <w:rPr>
                <w:rFonts w:eastAsia="Calibri"/>
                <w:color w:val="auto"/>
                <w:sz w:val="20"/>
                <w:szCs w:val="20"/>
              </w:rPr>
              <w:t>ender-</w:t>
            </w:r>
            <w:r w:rsidR="005528ED">
              <w:rPr>
                <w:rFonts w:eastAsia="Calibri"/>
                <w:color w:val="auto"/>
                <w:sz w:val="20"/>
                <w:szCs w:val="20"/>
              </w:rPr>
              <w:t>b</w:t>
            </w:r>
            <w:r w:rsidR="00B12C66" w:rsidRPr="00B12C66">
              <w:rPr>
                <w:rFonts w:eastAsia="Calibri"/>
                <w:color w:val="auto"/>
                <w:sz w:val="20"/>
                <w:szCs w:val="20"/>
              </w:rPr>
              <w:t xml:space="preserve">ased </w:t>
            </w:r>
            <w:r w:rsidR="005528ED">
              <w:rPr>
                <w:rFonts w:eastAsia="Calibri"/>
                <w:color w:val="auto"/>
                <w:sz w:val="20"/>
                <w:szCs w:val="20"/>
              </w:rPr>
              <w:t>v</w:t>
            </w:r>
            <w:r w:rsidR="00B12C66" w:rsidRPr="00B12C66">
              <w:rPr>
                <w:rFonts w:eastAsia="Calibri"/>
                <w:color w:val="auto"/>
                <w:sz w:val="20"/>
                <w:szCs w:val="20"/>
              </w:rPr>
              <w:t>iolence, unequal participation in the labor market</w:t>
            </w:r>
            <w:r w:rsidR="005528ED">
              <w:rPr>
                <w:rFonts w:eastAsia="Calibri"/>
                <w:color w:val="auto"/>
                <w:sz w:val="20"/>
                <w:szCs w:val="20"/>
              </w:rPr>
              <w:t>,</w:t>
            </w:r>
            <w:r w:rsidR="00B12C66" w:rsidRPr="00B12C66">
              <w:rPr>
                <w:rFonts w:eastAsia="Calibri"/>
                <w:color w:val="auto"/>
                <w:sz w:val="20"/>
                <w:szCs w:val="20"/>
              </w:rPr>
              <w:t xml:space="preserve"> and male vulnerability to non-transmissible diseases. The CPF commits to measures to reduce gender gaps through the Education Additional Financing (FY18), the Skills for Jobs Project (FY19) and at least one other project</w:t>
            </w:r>
            <w:r w:rsidRPr="00B12C66">
              <w:rPr>
                <w:rFonts w:eastAsia="Calibri"/>
                <w:color w:val="auto"/>
                <w:sz w:val="20"/>
                <w:szCs w:val="20"/>
              </w:rPr>
              <w:t>.</w:t>
            </w:r>
          </w:p>
        </w:tc>
      </w:tr>
      <w:tr w:rsidR="009F4080" w:rsidRPr="00BA050E" w14:paraId="40F1B445" w14:textId="77777777" w:rsidTr="00F2717B">
        <w:tc>
          <w:tcPr>
            <w:tcW w:w="4668" w:type="dxa"/>
          </w:tcPr>
          <w:p w14:paraId="52751A1D" w14:textId="77777777" w:rsidR="009F4080" w:rsidRPr="00BA050E" w:rsidRDefault="009F4080" w:rsidP="009F4080">
            <w:pPr>
              <w:spacing w:after="60" w:line="240" w:lineRule="auto"/>
              <w:ind w:left="0" w:right="0" w:firstLine="0"/>
              <w:jc w:val="center"/>
              <w:rPr>
                <w:rFonts w:eastAsia="Calibri"/>
                <w:b/>
                <w:color w:val="auto"/>
                <w:sz w:val="20"/>
                <w:szCs w:val="20"/>
              </w:rPr>
            </w:pPr>
            <w:r w:rsidRPr="00BA050E">
              <w:rPr>
                <w:rFonts w:eastAsia="Calibri"/>
                <w:b/>
                <w:color w:val="auto"/>
                <w:sz w:val="20"/>
                <w:szCs w:val="20"/>
              </w:rPr>
              <w:lastRenderedPageBreak/>
              <w:t>CPF Objective Indicators</w:t>
            </w:r>
          </w:p>
        </w:tc>
        <w:tc>
          <w:tcPr>
            <w:tcW w:w="4579" w:type="dxa"/>
          </w:tcPr>
          <w:p w14:paraId="71779EFA" w14:textId="77777777" w:rsidR="009F4080" w:rsidRPr="00BA050E" w:rsidRDefault="009F4080" w:rsidP="009F4080">
            <w:pPr>
              <w:spacing w:after="60" w:line="240" w:lineRule="auto"/>
              <w:ind w:left="0" w:right="0" w:firstLine="0"/>
              <w:jc w:val="center"/>
              <w:rPr>
                <w:rFonts w:eastAsia="Calibri"/>
                <w:b/>
                <w:color w:val="auto"/>
                <w:sz w:val="20"/>
                <w:szCs w:val="20"/>
              </w:rPr>
            </w:pPr>
            <w:r w:rsidRPr="00BA050E">
              <w:rPr>
                <w:rFonts w:eastAsia="Calibri"/>
                <w:b/>
                <w:color w:val="auto"/>
                <w:sz w:val="20"/>
                <w:szCs w:val="20"/>
              </w:rPr>
              <w:t>Supplementary Progress Indicators (SPIs)</w:t>
            </w:r>
          </w:p>
        </w:tc>
        <w:tc>
          <w:tcPr>
            <w:tcW w:w="3708" w:type="dxa"/>
            <w:tcBorders>
              <w:bottom w:val="single" w:sz="4" w:space="0" w:color="000000"/>
            </w:tcBorders>
          </w:tcPr>
          <w:p w14:paraId="151AD1DC" w14:textId="77777777" w:rsidR="009F4080" w:rsidRPr="00BA050E" w:rsidRDefault="009F4080" w:rsidP="009F4080">
            <w:pPr>
              <w:spacing w:after="60" w:line="240" w:lineRule="auto"/>
              <w:ind w:left="0" w:right="0" w:firstLine="0"/>
              <w:jc w:val="center"/>
              <w:rPr>
                <w:rFonts w:eastAsia="Calibri"/>
                <w:b/>
                <w:color w:val="auto"/>
                <w:sz w:val="20"/>
                <w:szCs w:val="20"/>
              </w:rPr>
            </w:pPr>
            <w:r w:rsidRPr="00BA050E">
              <w:rPr>
                <w:rFonts w:eastAsia="Calibri"/>
                <w:b/>
                <w:color w:val="auto"/>
                <w:sz w:val="20"/>
                <w:szCs w:val="20"/>
              </w:rPr>
              <w:t>Bank Group Program</w:t>
            </w:r>
          </w:p>
        </w:tc>
      </w:tr>
      <w:tr w:rsidR="009F4080" w:rsidRPr="00BA050E" w14:paraId="0D2D551E" w14:textId="77777777" w:rsidTr="00F2717B">
        <w:tc>
          <w:tcPr>
            <w:tcW w:w="4668" w:type="dxa"/>
          </w:tcPr>
          <w:p w14:paraId="139DA29F"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b/>
                <w:color w:val="auto"/>
                <w:sz w:val="20"/>
                <w:szCs w:val="20"/>
              </w:rPr>
              <w:t>Indicator 1</w:t>
            </w:r>
            <w:r>
              <w:rPr>
                <w:rFonts w:eastAsia="Calibri"/>
                <w:b/>
                <w:color w:val="auto"/>
                <w:sz w:val="20"/>
                <w:szCs w:val="20"/>
              </w:rPr>
              <w:t>4</w:t>
            </w:r>
            <w:r w:rsidRPr="00BA050E">
              <w:rPr>
                <w:rFonts w:eastAsia="Calibri"/>
                <w:b/>
                <w:color w:val="auto"/>
                <w:sz w:val="20"/>
                <w:szCs w:val="20"/>
              </w:rPr>
              <w:t>:</w:t>
            </w:r>
            <w:r w:rsidRPr="00BA050E">
              <w:rPr>
                <w:rFonts w:eastAsia="Calibri"/>
                <w:color w:val="auto"/>
                <w:sz w:val="20"/>
                <w:szCs w:val="20"/>
              </w:rPr>
              <w:t xml:space="preserve"> Increased share of people accessing e-services in the past 12 months, while </w:t>
            </w:r>
            <w:r w:rsidR="00067524">
              <w:rPr>
                <w:rFonts w:eastAsia="Calibri"/>
                <w:color w:val="auto"/>
                <w:sz w:val="20"/>
                <w:szCs w:val="20"/>
              </w:rPr>
              <w:t>maintai</w:t>
            </w:r>
            <w:r w:rsidRPr="00BA050E">
              <w:rPr>
                <w:rFonts w:eastAsia="Calibri"/>
                <w:color w:val="auto"/>
                <w:sz w:val="20"/>
                <w:szCs w:val="20"/>
              </w:rPr>
              <w:t>ning parity between men and women</w:t>
            </w:r>
          </w:p>
          <w:p w14:paraId="2174624A"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24% (2017), of which 49.5% women and 6% bottom 40%</w:t>
            </w:r>
          </w:p>
          <w:p w14:paraId="08EB7106" w14:textId="77777777" w:rsidR="009F4080" w:rsidRPr="00BA050E" w:rsidRDefault="009F4080" w:rsidP="009F4080">
            <w:pPr>
              <w:spacing w:after="0" w:line="240" w:lineRule="auto"/>
              <w:ind w:left="0" w:right="0" w:firstLine="0"/>
              <w:jc w:val="left"/>
              <w:rPr>
                <w:rFonts w:eastAsia="Calibri"/>
                <w:color w:val="auto"/>
                <w:sz w:val="20"/>
                <w:szCs w:val="20"/>
                <w:highlight w:val="yellow"/>
              </w:rPr>
            </w:pPr>
            <w:r w:rsidRPr="00BA050E">
              <w:rPr>
                <w:rFonts w:eastAsia="Calibri"/>
                <w:color w:val="auto"/>
                <w:sz w:val="20"/>
                <w:szCs w:val="20"/>
              </w:rPr>
              <w:t>Target:</w:t>
            </w:r>
            <w:r w:rsidRPr="00BA050E">
              <w:rPr>
                <w:rFonts w:eastAsia="Calibri"/>
                <w:b/>
                <w:color w:val="auto"/>
                <w:sz w:val="20"/>
                <w:szCs w:val="20"/>
              </w:rPr>
              <w:t xml:space="preserve">    </w:t>
            </w:r>
            <w:r w:rsidRPr="00BA050E">
              <w:rPr>
                <w:rFonts w:eastAsia="Calibri"/>
                <w:color w:val="auto"/>
                <w:sz w:val="20"/>
                <w:szCs w:val="20"/>
              </w:rPr>
              <w:t>50% (2020), of which at least 49.5% women and 10% bottom 40%</w:t>
            </w:r>
          </w:p>
          <w:p w14:paraId="4B5BB93D" w14:textId="77777777" w:rsidR="009F4080" w:rsidRPr="00BA050E" w:rsidRDefault="009F4080" w:rsidP="009F4080">
            <w:pPr>
              <w:spacing w:after="0" w:line="240" w:lineRule="auto"/>
              <w:ind w:left="0" w:right="0" w:firstLine="0"/>
              <w:jc w:val="left"/>
              <w:rPr>
                <w:rFonts w:eastAsia="Calibri"/>
                <w:b/>
                <w:color w:val="auto"/>
                <w:sz w:val="20"/>
                <w:szCs w:val="20"/>
              </w:rPr>
            </w:pPr>
          </w:p>
          <w:p w14:paraId="18DE2CA2" w14:textId="77777777" w:rsidR="009F4080" w:rsidRPr="00BA050E" w:rsidRDefault="009F4080" w:rsidP="009F4080">
            <w:pPr>
              <w:spacing w:after="0" w:line="240" w:lineRule="auto"/>
              <w:ind w:left="0" w:right="0" w:firstLine="0"/>
              <w:jc w:val="left"/>
              <w:rPr>
                <w:rFonts w:eastAsia="Calibri"/>
                <w:bCs/>
                <w:sz w:val="20"/>
                <w:szCs w:val="20"/>
              </w:rPr>
            </w:pPr>
            <w:r w:rsidRPr="00BA050E">
              <w:rPr>
                <w:rFonts w:eastAsia="Calibri"/>
                <w:b/>
                <w:sz w:val="20"/>
                <w:szCs w:val="20"/>
              </w:rPr>
              <w:t>Indicator 1</w:t>
            </w:r>
            <w:r>
              <w:rPr>
                <w:rFonts w:eastAsia="Calibri"/>
                <w:b/>
                <w:sz w:val="20"/>
                <w:szCs w:val="20"/>
              </w:rPr>
              <w:t>5</w:t>
            </w:r>
            <w:r w:rsidRPr="00BA050E">
              <w:rPr>
                <w:rFonts w:eastAsia="Calibri"/>
                <w:b/>
                <w:sz w:val="20"/>
                <w:szCs w:val="20"/>
              </w:rPr>
              <w:t>:</w:t>
            </w:r>
            <w:r w:rsidRPr="00BA050E">
              <w:rPr>
                <w:rFonts w:eastAsia="Calibri"/>
                <w:sz w:val="20"/>
                <w:szCs w:val="20"/>
              </w:rPr>
              <w:t xml:space="preserve"> </w:t>
            </w:r>
            <w:r w:rsidRPr="00BA050E">
              <w:rPr>
                <w:rFonts w:eastAsia="Calibri"/>
                <w:bCs/>
                <w:sz w:val="20"/>
                <w:szCs w:val="20"/>
              </w:rPr>
              <w:t>Increased physical access to rural education and health services, as measured by:</w:t>
            </w:r>
          </w:p>
          <w:p w14:paraId="1E6303AB" w14:textId="77777777" w:rsidR="009F4080" w:rsidRPr="00BA050E" w:rsidRDefault="009F4080" w:rsidP="009F4080">
            <w:pPr>
              <w:numPr>
                <w:ilvl w:val="0"/>
                <w:numId w:val="15"/>
              </w:numPr>
              <w:spacing w:after="0" w:line="240" w:lineRule="auto"/>
              <w:ind w:left="0" w:right="0" w:firstLine="0"/>
              <w:contextualSpacing/>
              <w:jc w:val="left"/>
              <w:rPr>
                <w:rFonts w:eastAsia="Calibri"/>
                <w:color w:val="auto"/>
                <w:sz w:val="20"/>
                <w:szCs w:val="20"/>
              </w:rPr>
            </w:pPr>
            <w:r w:rsidRPr="00BA050E">
              <w:rPr>
                <w:rFonts w:eastAsia="Calibri"/>
                <w:sz w:val="20"/>
                <w:szCs w:val="20"/>
              </w:rPr>
              <w:t>Number of schools connected by rehabilitated/upgraded local roads</w:t>
            </w:r>
          </w:p>
          <w:p w14:paraId="57906F2B"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sz w:val="20"/>
                <w:szCs w:val="20"/>
              </w:rPr>
              <w:t>Baseline: 0 (2018)</w:t>
            </w:r>
          </w:p>
          <w:p w14:paraId="5B05995D"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sz w:val="20"/>
                <w:szCs w:val="20"/>
              </w:rPr>
              <w:t>Target:    133 (2021)</w:t>
            </w:r>
          </w:p>
          <w:p w14:paraId="00D96F56" w14:textId="77777777" w:rsidR="009F4080" w:rsidRPr="00BA050E" w:rsidRDefault="009F4080" w:rsidP="009F4080">
            <w:pPr>
              <w:numPr>
                <w:ilvl w:val="0"/>
                <w:numId w:val="15"/>
              </w:numPr>
              <w:spacing w:after="0" w:line="240" w:lineRule="auto"/>
              <w:ind w:left="0" w:right="0" w:firstLine="0"/>
              <w:contextualSpacing/>
              <w:jc w:val="left"/>
              <w:rPr>
                <w:rFonts w:eastAsia="Calibri"/>
                <w:color w:val="auto"/>
                <w:sz w:val="20"/>
                <w:szCs w:val="20"/>
              </w:rPr>
            </w:pPr>
            <w:r w:rsidRPr="00BA050E">
              <w:rPr>
                <w:rFonts w:eastAsia="Calibri"/>
                <w:sz w:val="20"/>
                <w:szCs w:val="20"/>
              </w:rPr>
              <w:t>Number of health facilities connected by rehabilitated/upgraded local roads</w:t>
            </w:r>
          </w:p>
          <w:p w14:paraId="3090F4F5"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sz w:val="20"/>
                <w:szCs w:val="20"/>
              </w:rPr>
              <w:t>Baseline: 0 (2018)</w:t>
            </w:r>
          </w:p>
          <w:p w14:paraId="4412361E"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sz w:val="20"/>
                <w:szCs w:val="20"/>
              </w:rPr>
              <w:t>Target:    157 (2021)</w:t>
            </w:r>
          </w:p>
        </w:tc>
        <w:tc>
          <w:tcPr>
            <w:tcW w:w="4579" w:type="dxa"/>
          </w:tcPr>
          <w:p w14:paraId="09B2FD72" w14:textId="77777777" w:rsidR="009F4080" w:rsidRPr="00BA050E" w:rsidRDefault="009F4080" w:rsidP="009F4080">
            <w:pPr>
              <w:spacing w:after="0" w:line="240" w:lineRule="auto"/>
              <w:ind w:left="0" w:right="0" w:firstLine="0"/>
              <w:jc w:val="left"/>
              <w:rPr>
                <w:sz w:val="20"/>
                <w:szCs w:val="20"/>
              </w:rPr>
            </w:pPr>
            <w:r w:rsidRPr="00BA050E">
              <w:rPr>
                <w:rFonts w:eastAsia="Calibri"/>
                <w:color w:val="auto"/>
                <w:sz w:val="20"/>
                <w:szCs w:val="20"/>
              </w:rPr>
              <w:t>SPI 1</w:t>
            </w:r>
            <w:r>
              <w:rPr>
                <w:rFonts w:eastAsia="Calibri"/>
                <w:color w:val="auto"/>
                <w:sz w:val="20"/>
                <w:szCs w:val="20"/>
              </w:rPr>
              <w:t>5</w:t>
            </w:r>
            <w:r w:rsidRPr="00D77307">
              <w:rPr>
                <w:rFonts w:eastAsia="Calibri"/>
                <w:color w:val="000000" w:themeColor="text1"/>
                <w:sz w:val="20"/>
                <w:szCs w:val="20"/>
              </w:rPr>
              <w:t>:</w:t>
            </w:r>
            <w:r w:rsidRPr="00D77307">
              <w:rPr>
                <w:rFonts w:eastAsia="Calibri"/>
                <w:iCs/>
                <w:color w:val="000000" w:themeColor="text1"/>
                <w:sz w:val="20"/>
                <w:szCs w:val="20"/>
              </w:rPr>
              <w:t xml:space="preserve"> F</w:t>
            </w:r>
            <w:r w:rsidRPr="00D77307">
              <w:rPr>
                <w:color w:val="000000" w:themeColor="text1"/>
                <w:sz w:val="20"/>
                <w:szCs w:val="20"/>
              </w:rPr>
              <w:t xml:space="preserve">ramework </w:t>
            </w:r>
            <w:r w:rsidRPr="00BA050E">
              <w:rPr>
                <w:sz w:val="20"/>
                <w:szCs w:val="20"/>
              </w:rPr>
              <w:t>for public services re-engineering and digitization implemented</w:t>
            </w:r>
          </w:p>
          <w:p w14:paraId="32B1C6CC"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N/A (2017)</w:t>
            </w:r>
          </w:p>
          <w:p w14:paraId="6924456A"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Framework operational (FY18)</w:t>
            </w:r>
          </w:p>
          <w:p w14:paraId="2F87F463" w14:textId="77777777" w:rsidR="009F4080" w:rsidRDefault="009F4080" w:rsidP="009F4080">
            <w:pPr>
              <w:spacing w:after="0" w:line="240" w:lineRule="auto"/>
              <w:ind w:left="0" w:right="0" w:firstLine="0"/>
              <w:jc w:val="left"/>
              <w:rPr>
                <w:rFonts w:eastAsia="Calibri"/>
                <w:color w:val="auto"/>
                <w:sz w:val="20"/>
                <w:szCs w:val="20"/>
              </w:rPr>
            </w:pPr>
          </w:p>
          <w:p w14:paraId="0DB73DA1" w14:textId="77777777" w:rsidR="009F4080" w:rsidRPr="00BA050E" w:rsidRDefault="009F4080" w:rsidP="009F4080">
            <w:pPr>
              <w:spacing w:after="0" w:line="240" w:lineRule="auto"/>
              <w:ind w:left="0" w:right="0" w:firstLine="0"/>
              <w:jc w:val="left"/>
              <w:rPr>
                <w:rFonts w:eastAsia="Calibri"/>
                <w:color w:val="auto"/>
                <w:sz w:val="20"/>
                <w:szCs w:val="20"/>
              </w:rPr>
            </w:pPr>
            <w:r w:rsidRPr="00D77307">
              <w:rPr>
                <w:rFonts w:eastAsia="Calibri"/>
                <w:color w:val="auto"/>
                <w:sz w:val="20"/>
                <w:szCs w:val="20"/>
              </w:rPr>
              <w:t>SPI 1</w:t>
            </w:r>
            <w:r>
              <w:rPr>
                <w:rFonts w:eastAsia="Calibri"/>
                <w:color w:val="auto"/>
                <w:sz w:val="20"/>
                <w:szCs w:val="20"/>
              </w:rPr>
              <w:t>6</w:t>
            </w:r>
            <w:r w:rsidRPr="00D77307">
              <w:rPr>
                <w:rFonts w:eastAsia="Calibri"/>
                <w:color w:val="auto"/>
                <w:sz w:val="20"/>
                <w:szCs w:val="20"/>
              </w:rPr>
              <w:t>:</w:t>
            </w:r>
            <w:r w:rsidRPr="00BA050E">
              <w:rPr>
                <w:rFonts w:eastAsia="Calibri"/>
                <w:color w:val="auto"/>
                <w:sz w:val="20"/>
                <w:szCs w:val="20"/>
              </w:rPr>
              <w:t xml:space="preserve"> 3 Government projects approved by the WBG in FY18-19 contain measures to reduce gender inequality (CGAP)</w:t>
            </w:r>
          </w:p>
          <w:p w14:paraId="49C3FDCA" w14:textId="77777777" w:rsidR="0068754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0</w:t>
            </w:r>
          </w:p>
          <w:p w14:paraId="7EEBFFFA" w14:textId="77777777" w:rsidR="009F4080"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3</w:t>
            </w:r>
          </w:p>
          <w:p w14:paraId="3EC8129B" w14:textId="77777777" w:rsidR="002B54CD" w:rsidRDefault="002B54CD" w:rsidP="009F4080">
            <w:pPr>
              <w:spacing w:after="0" w:line="240" w:lineRule="auto"/>
              <w:ind w:left="0" w:right="0" w:firstLine="0"/>
              <w:jc w:val="left"/>
              <w:rPr>
                <w:rFonts w:eastAsia="Calibri"/>
                <w:color w:val="auto"/>
                <w:sz w:val="20"/>
                <w:szCs w:val="20"/>
              </w:rPr>
            </w:pPr>
          </w:p>
          <w:p w14:paraId="1C7E96A8" w14:textId="77777777" w:rsidR="002B54CD" w:rsidRPr="00D77307" w:rsidRDefault="002B54CD" w:rsidP="009F4080">
            <w:pPr>
              <w:spacing w:after="0" w:line="240" w:lineRule="auto"/>
              <w:ind w:left="0" w:right="0" w:firstLine="0"/>
              <w:jc w:val="left"/>
              <w:rPr>
                <w:rFonts w:eastAsia="Calibri"/>
                <w:color w:val="auto"/>
                <w:sz w:val="20"/>
                <w:szCs w:val="20"/>
              </w:rPr>
            </w:pPr>
            <w:r w:rsidRPr="00D77307">
              <w:rPr>
                <w:rFonts w:eastAsia="Calibri"/>
                <w:color w:val="auto"/>
                <w:sz w:val="20"/>
                <w:szCs w:val="20"/>
              </w:rPr>
              <w:t>SPI 17: Government launches access to justice programme for victims of gender-based violence</w:t>
            </w:r>
          </w:p>
          <w:p w14:paraId="3F667669" w14:textId="77777777" w:rsidR="002B54CD" w:rsidRPr="00D77307" w:rsidRDefault="002B54CD" w:rsidP="009F4080">
            <w:pPr>
              <w:spacing w:after="0" w:line="240" w:lineRule="auto"/>
              <w:ind w:left="0" w:right="0" w:firstLine="0"/>
              <w:jc w:val="left"/>
              <w:rPr>
                <w:rFonts w:eastAsia="Calibri"/>
                <w:color w:val="auto"/>
                <w:sz w:val="20"/>
                <w:szCs w:val="20"/>
              </w:rPr>
            </w:pPr>
            <w:r w:rsidRPr="00D77307">
              <w:rPr>
                <w:rFonts w:eastAsia="Calibri"/>
                <w:color w:val="auto"/>
                <w:sz w:val="20"/>
                <w:szCs w:val="20"/>
              </w:rPr>
              <w:t>Baseline:</w:t>
            </w:r>
            <w:r>
              <w:rPr>
                <w:rFonts w:ascii="Calibri" w:hAnsi="Calibri" w:cs="Calibri"/>
                <w:sz w:val="22"/>
              </w:rPr>
              <w:t xml:space="preserve"> </w:t>
            </w:r>
            <w:r w:rsidR="0068754E" w:rsidRPr="00D77307">
              <w:rPr>
                <w:rFonts w:eastAsia="Calibri"/>
                <w:color w:val="auto"/>
                <w:sz w:val="20"/>
                <w:szCs w:val="20"/>
              </w:rPr>
              <w:t>Non-existent</w:t>
            </w:r>
            <w:r w:rsidR="0068754E">
              <w:rPr>
                <w:rFonts w:eastAsia="Calibri"/>
                <w:color w:val="auto"/>
                <w:sz w:val="20"/>
                <w:szCs w:val="20"/>
              </w:rPr>
              <w:t xml:space="preserve"> (2017)</w:t>
            </w:r>
          </w:p>
          <w:p w14:paraId="58D969A4" w14:textId="77777777" w:rsidR="0068754E" w:rsidRPr="00BA050E" w:rsidRDefault="0068754E" w:rsidP="009F4080">
            <w:pPr>
              <w:spacing w:after="0" w:line="240" w:lineRule="auto"/>
              <w:ind w:left="0" w:right="0" w:firstLine="0"/>
              <w:jc w:val="left"/>
              <w:rPr>
                <w:rFonts w:eastAsia="Calibri"/>
                <w:color w:val="auto"/>
                <w:sz w:val="20"/>
                <w:szCs w:val="20"/>
              </w:rPr>
            </w:pPr>
            <w:r w:rsidRPr="00D77307">
              <w:rPr>
                <w:rFonts w:eastAsia="Calibri"/>
                <w:color w:val="auto"/>
                <w:sz w:val="20"/>
                <w:szCs w:val="20"/>
              </w:rPr>
              <w:t xml:space="preserve">Target:   </w:t>
            </w:r>
            <w:r>
              <w:rPr>
                <w:rFonts w:eastAsia="Calibri"/>
                <w:color w:val="auto"/>
                <w:sz w:val="20"/>
                <w:szCs w:val="20"/>
              </w:rPr>
              <w:t xml:space="preserve"> </w:t>
            </w:r>
            <w:r w:rsidRPr="00D77307">
              <w:rPr>
                <w:rFonts w:eastAsia="Calibri"/>
                <w:color w:val="auto"/>
                <w:sz w:val="20"/>
                <w:szCs w:val="20"/>
              </w:rPr>
              <w:t>Established</w:t>
            </w:r>
            <w:r>
              <w:rPr>
                <w:rFonts w:eastAsia="Calibri"/>
                <w:color w:val="auto"/>
                <w:sz w:val="20"/>
                <w:szCs w:val="20"/>
              </w:rPr>
              <w:t xml:space="preserve"> (2020)</w:t>
            </w:r>
          </w:p>
        </w:tc>
        <w:tc>
          <w:tcPr>
            <w:tcW w:w="3708" w:type="dxa"/>
            <w:tcBorders>
              <w:bottom w:val="single" w:sz="4" w:space="0" w:color="000000"/>
            </w:tcBorders>
          </w:tcPr>
          <w:p w14:paraId="27B6AE11"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WBG Lending:</w:t>
            </w:r>
          </w:p>
          <w:p w14:paraId="264094D3" w14:textId="77777777"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Local Roads Improvement Project (ongoing)</w:t>
            </w:r>
          </w:p>
          <w:p w14:paraId="169A238B" w14:textId="15DC7BB4" w:rsidR="009F4080"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Modernization of Government Services Project (pipeline FY18)</w:t>
            </w:r>
          </w:p>
          <w:p w14:paraId="46826ED3" w14:textId="09DCD47F" w:rsidR="005D51A0" w:rsidRDefault="005D51A0" w:rsidP="005D51A0">
            <w:pPr>
              <w:spacing w:after="0" w:line="240" w:lineRule="auto"/>
              <w:ind w:right="0"/>
              <w:contextualSpacing/>
              <w:jc w:val="left"/>
              <w:rPr>
                <w:rFonts w:eastAsia="Calibri"/>
                <w:color w:val="auto"/>
                <w:sz w:val="20"/>
                <w:szCs w:val="20"/>
              </w:rPr>
            </w:pPr>
          </w:p>
          <w:p w14:paraId="77D0C454" w14:textId="06AA0825" w:rsidR="005D51A0" w:rsidRPr="005D51A0" w:rsidRDefault="005D51A0" w:rsidP="005D51A0">
            <w:pPr>
              <w:spacing w:after="0" w:line="240" w:lineRule="auto"/>
              <w:ind w:right="0"/>
              <w:contextualSpacing/>
              <w:jc w:val="left"/>
              <w:rPr>
                <w:rFonts w:eastAsia="Calibri"/>
                <w:b/>
                <w:color w:val="auto"/>
                <w:sz w:val="20"/>
                <w:szCs w:val="20"/>
              </w:rPr>
            </w:pPr>
            <w:r w:rsidRPr="005D51A0">
              <w:rPr>
                <w:rFonts w:eastAsia="Calibri"/>
                <w:b/>
                <w:color w:val="auto"/>
                <w:sz w:val="20"/>
                <w:szCs w:val="20"/>
              </w:rPr>
              <w:t>IFC engagements</w:t>
            </w:r>
          </w:p>
          <w:p w14:paraId="32524A83" w14:textId="07B65F2A" w:rsidR="009F4080" w:rsidRPr="00D77307" w:rsidRDefault="009F4080" w:rsidP="009F4080">
            <w:pPr>
              <w:numPr>
                <w:ilvl w:val="0"/>
                <w:numId w:val="10"/>
              </w:numPr>
              <w:spacing w:after="0" w:line="240" w:lineRule="auto"/>
              <w:ind w:right="0"/>
              <w:contextualSpacing/>
              <w:jc w:val="left"/>
              <w:rPr>
                <w:b/>
                <w:color w:val="auto"/>
                <w:sz w:val="20"/>
                <w:szCs w:val="20"/>
              </w:rPr>
            </w:pPr>
            <w:r w:rsidRPr="00BA050E">
              <w:rPr>
                <w:rFonts w:eastAsia="Calibri"/>
                <w:color w:val="auto"/>
                <w:sz w:val="20"/>
                <w:szCs w:val="20"/>
              </w:rPr>
              <w:t xml:space="preserve">IFC ongoing investment in </w:t>
            </w:r>
            <w:r w:rsidR="002C3819">
              <w:rPr>
                <w:rFonts w:eastAsia="Calibri"/>
                <w:color w:val="auto"/>
                <w:sz w:val="20"/>
                <w:szCs w:val="20"/>
              </w:rPr>
              <w:t xml:space="preserve">Chisinau’s </w:t>
            </w:r>
            <w:r w:rsidRPr="00BA050E">
              <w:rPr>
                <w:rFonts w:eastAsia="Calibri"/>
                <w:color w:val="auto"/>
                <w:sz w:val="20"/>
                <w:szCs w:val="20"/>
              </w:rPr>
              <w:t>municipal infrastructure</w:t>
            </w:r>
          </w:p>
          <w:p w14:paraId="1A015437" w14:textId="72F500F6" w:rsidR="00892AA4" w:rsidRDefault="002C3819">
            <w:pPr>
              <w:numPr>
                <w:ilvl w:val="0"/>
                <w:numId w:val="10"/>
              </w:numPr>
              <w:spacing w:after="0" w:line="240" w:lineRule="auto"/>
              <w:ind w:right="0"/>
              <w:contextualSpacing/>
              <w:jc w:val="left"/>
              <w:rPr>
                <w:rFonts w:eastAsia="Calibri"/>
                <w:color w:val="auto"/>
                <w:sz w:val="20"/>
                <w:szCs w:val="20"/>
              </w:rPr>
            </w:pPr>
            <w:r>
              <w:rPr>
                <w:rFonts w:eastAsia="Calibri"/>
                <w:color w:val="auto"/>
                <w:sz w:val="20"/>
                <w:szCs w:val="20"/>
              </w:rPr>
              <w:t>IFC p</w:t>
            </w:r>
            <w:r w:rsidR="00892AA4" w:rsidRPr="00BA050E">
              <w:rPr>
                <w:rFonts w:eastAsia="Calibri"/>
                <w:color w:val="auto"/>
                <w:sz w:val="20"/>
                <w:szCs w:val="20"/>
              </w:rPr>
              <w:t>otential engagement</w:t>
            </w:r>
            <w:r w:rsidR="00892AA4">
              <w:rPr>
                <w:rFonts w:eastAsia="Calibri"/>
                <w:color w:val="auto"/>
                <w:sz w:val="20"/>
                <w:szCs w:val="20"/>
              </w:rPr>
              <w:t>s</w:t>
            </w:r>
            <w:r w:rsidR="00892AA4" w:rsidRPr="00BA050E">
              <w:rPr>
                <w:rFonts w:eastAsia="Calibri"/>
                <w:color w:val="auto"/>
                <w:sz w:val="20"/>
                <w:szCs w:val="20"/>
              </w:rPr>
              <w:t xml:space="preserve"> in </w:t>
            </w:r>
            <w:r w:rsidR="00892AA4">
              <w:rPr>
                <w:rFonts w:eastAsia="Calibri"/>
                <w:color w:val="auto"/>
                <w:sz w:val="20"/>
                <w:szCs w:val="20"/>
              </w:rPr>
              <w:t xml:space="preserve">municipal, transport, ICT, social sector </w:t>
            </w:r>
            <w:r w:rsidR="00892AA4" w:rsidRPr="00BA050E">
              <w:rPr>
                <w:rFonts w:eastAsia="Calibri"/>
                <w:color w:val="auto"/>
                <w:sz w:val="20"/>
                <w:szCs w:val="20"/>
              </w:rPr>
              <w:t xml:space="preserve">infrastructure  </w:t>
            </w:r>
          </w:p>
          <w:p w14:paraId="4008868A" w14:textId="77777777" w:rsidR="0068754E" w:rsidRDefault="0068754E" w:rsidP="00D77307">
            <w:pPr>
              <w:spacing w:after="0" w:line="240" w:lineRule="auto"/>
              <w:ind w:right="0"/>
              <w:contextualSpacing/>
              <w:jc w:val="left"/>
              <w:rPr>
                <w:rFonts w:eastAsia="Calibri"/>
                <w:color w:val="auto"/>
                <w:sz w:val="20"/>
                <w:szCs w:val="20"/>
              </w:rPr>
            </w:pPr>
          </w:p>
          <w:p w14:paraId="221E3DB1" w14:textId="77777777" w:rsidR="0068754E" w:rsidRPr="00D77307" w:rsidRDefault="0068754E" w:rsidP="00D77307">
            <w:pPr>
              <w:spacing w:after="0" w:line="240" w:lineRule="auto"/>
              <w:ind w:right="0"/>
              <w:contextualSpacing/>
              <w:jc w:val="left"/>
              <w:rPr>
                <w:rFonts w:eastAsia="Calibri"/>
                <w:b/>
                <w:color w:val="auto"/>
                <w:sz w:val="20"/>
                <w:szCs w:val="20"/>
              </w:rPr>
            </w:pPr>
            <w:r w:rsidRPr="00D77307">
              <w:rPr>
                <w:rFonts w:eastAsia="Calibri"/>
                <w:b/>
                <w:color w:val="auto"/>
                <w:sz w:val="20"/>
                <w:szCs w:val="20"/>
              </w:rPr>
              <w:t>Partnerships:</w:t>
            </w:r>
          </w:p>
          <w:p w14:paraId="7D3175CE" w14:textId="77777777" w:rsidR="0068754E" w:rsidRPr="00BA050E" w:rsidRDefault="0068754E" w:rsidP="0068754E">
            <w:pPr>
              <w:numPr>
                <w:ilvl w:val="0"/>
                <w:numId w:val="10"/>
              </w:numPr>
              <w:spacing w:after="0" w:line="240" w:lineRule="auto"/>
              <w:ind w:right="0"/>
              <w:contextualSpacing/>
              <w:jc w:val="left"/>
              <w:rPr>
                <w:rFonts w:eastAsia="Calibri"/>
                <w:color w:val="auto"/>
                <w:sz w:val="20"/>
                <w:szCs w:val="20"/>
              </w:rPr>
            </w:pPr>
            <w:r>
              <w:rPr>
                <w:rFonts w:eastAsia="Calibri"/>
                <w:color w:val="auto"/>
                <w:sz w:val="20"/>
                <w:szCs w:val="20"/>
              </w:rPr>
              <w:t>Moldova: Gender Based Violence JSDF Grant</w:t>
            </w:r>
          </w:p>
          <w:p w14:paraId="6D815D1D" w14:textId="77777777" w:rsidR="009F4080" w:rsidRPr="00BA050E" w:rsidRDefault="009F4080" w:rsidP="009F4080">
            <w:pPr>
              <w:spacing w:after="0" w:line="240" w:lineRule="auto"/>
              <w:ind w:left="0" w:right="0" w:firstLine="0"/>
              <w:jc w:val="left"/>
              <w:rPr>
                <w:b/>
                <w:color w:val="auto"/>
                <w:sz w:val="20"/>
                <w:szCs w:val="20"/>
              </w:rPr>
            </w:pPr>
          </w:p>
          <w:p w14:paraId="16DE165A"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ASA:</w:t>
            </w:r>
          </w:p>
          <w:p w14:paraId="610C3510"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Road Safety Study</w:t>
            </w:r>
          </w:p>
          <w:p w14:paraId="2C5C93C2"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Moldova Country Gender Action Plan (CGAP)</w:t>
            </w:r>
          </w:p>
          <w:p w14:paraId="769D575C"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PLR review of CGAP (FY19)</w:t>
            </w:r>
          </w:p>
        </w:tc>
      </w:tr>
      <w:tr w:rsidR="009F4080" w:rsidRPr="00BA050E" w14:paraId="3A330F22" w14:textId="77777777" w:rsidTr="0095796F">
        <w:tc>
          <w:tcPr>
            <w:tcW w:w="12955" w:type="dxa"/>
            <w:gridSpan w:val="3"/>
            <w:shd w:val="clear" w:color="auto" w:fill="FFF2CC" w:themeFill="accent4" w:themeFillTint="33"/>
          </w:tcPr>
          <w:p w14:paraId="1F271A92" w14:textId="77777777" w:rsidR="009F4080" w:rsidRPr="00BA050E" w:rsidRDefault="009F4080" w:rsidP="009F4080">
            <w:pPr>
              <w:spacing w:before="80" w:after="80" w:line="240" w:lineRule="auto"/>
              <w:ind w:left="0" w:right="0" w:firstLine="0"/>
              <w:jc w:val="center"/>
              <w:rPr>
                <w:rFonts w:eastAsia="SimSun"/>
                <w:b/>
                <w:color w:val="auto"/>
                <w:sz w:val="20"/>
                <w:szCs w:val="20"/>
              </w:rPr>
            </w:pPr>
            <w:r w:rsidRPr="00BA050E">
              <w:rPr>
                <w:rFonts w:eastAsia="SimSun"/>
                <w:b/>
                <w:color w:val="auto"/>
                <w:sz w:val="20"/>
                <w:szCs w:val="20"/>
              </w:rPr>
              <w:t>FOCUS AREA</w:t>
            </w:r>
            <w:r w:rsidRPr="00BA050E">
              <w:rPr>
                <w:rFonts w:eastAsia="Calibri"/>
                <w:b/>
                <w:color w:val="auto"/>
                <w:sz w:val="20"/>
                <w:szCs w:val="20"/>
              </w:rPr>
              <w:t xml:space="preserve"> 3: </w:t>
            </w:r>
            <w:r w:rsidRPr="00BA050E">
              <w:rPr>
                <w:rFonts w:eastAsia="SimSun"/>
                <w:b/>
                <w:color w:val="auto"/>
                <w:sz w:val="20"/>
                <w:szCs w:val="20"/>
              </w:rPr>
              <w:t>SKILLS DEVELOPMENT – ENHANCING QUALITY AND RELEVANCE OF EDUCATION &amp; TRAINING INSTITUTIONS TO ENABLE ACQUISITION OF JOB-RELATED SKILLS</w:t>
            </w:r>
          </w:p>
        </w:tc>
      </w:tr>
      <w:tr w:rsidR="009F4080" w:rsidRPr="00BA050E" w14:paraId="2DD1AFF1" w14:textId="77777777" w:rsidTr="00867831">
        <w:tc>
          <w:tcPr>
            <w:tcW w:w="12955" w:type="dxa"/>
            <w:gridSpan w:val="3"/>
            <w:shd w:val="clear" w:color="auto" w:fill="E2EFD9"/>
          </w:tcPr>
          <w:p w14:paraId="53D858C0" w14:textId="4B40F4AA" w:rsidR="009F4080" w:rsidRPr="00BA050E" w:rsidRDefault="009F4080" w:rsidP="009F4080">
            <w:pPr>
              <w:spacing w:before="60" w:after="60" w:line="240" w:lineRule="auto"/>
              <w:ind w:left="0" w:right="0" w:firstLine="0"/>
              <w:jc w:val="center"/>
              <w:rPr>
                <w:rFonts w:eastAsia="Calibri"/>
                <w:b/>
                <w:color w:val="auto"/>
                <w:sz w:val="20"/>
                <w:szCs w:val="20"/>
              </w:rPr>
            </w:pPr>
            <w:r w:rsidRPr="00BA050E">
              <w:rPr>
                <w:rFonts w:eastAsia="Calibri"/>
                <w:b/>
                <w:color w:val="auto"/>
                <w:sz w:val="20"/>
                <w:szCs w:val="20"/>
              </w:rPr>
              <w:t xml:space="preserve">CPF OBJECTIVE 3A: Enhanced efficiency and quality of </w:t>
            </w:r>
            <w:r w:rsidR="004460AC">
              <w:rPr>
                <w:rFonts w:eastAsia="Calibri"/>
                <w:b/>
                <w:color w:val="auto"/>
                <w:sz w:val="20"/>
                <w:szCs w:val="20"/>
              </w:rPr>
              <w:t xml:space="preserve">primary and secondary </w:t>
            </w:r>
            <w:r w:rsidRPr="00BA050E">
              <w:rPr>
                <w:rFonts w:eastAsia="Calibri"/>
                <w:b/>
                <w:color w:val="auto"/>
                <w:sz w:val="20"/>
                <w:szCs w:val="20"/>
              </w:rPr>
              <w:t xml:space="preserve">education </w:t>
            </w:r>
          </w:p>
        </w:tc>
      </w:tr>
      <w:tr w:rsidR="00AA6E33" w:rsidRPr="00BA050E" w14:paraId="185C7BE7" w14:textId="77777777" w:rsidTr="00451249">
        <w:tc>
          <w:tcPr>
            <w:tcW w:w="12955" w:type="dxa"/>
            <w:gridSpan w:val="3"/>
          </w:tcPr>
          <w:p w14:paraId="6057837F" w14:textId="1D1B1ABB" w:rsidR="00AA6E33" w:rsidRPr="00BA050E" w:rsidRDefault="00AA6E33" w:rsidP="00D77307">
            <w:pPr>
              <w:spacing w:after="60" w:line="240" w:lineRule="auto"/>
              <w:ind w:left="0" w:right="0" w:firstLine="0"/>
              <w:rPr>
                <w:rFonts w:eastAsia="Calibri"/>
                <w:b/>
                <w:color w:val="auto"/>
                <w:sz w:val="20"/>
                <w:szCs w:val="20"/>
              </w:rPr>
            </w:pPr>
            <w:r w:rsidRPr="00561A9A">
              <w:rPr>
                <w:rFonts w:eastAsia="Calibri"/>
                <w:b/>
                <w:color w:val="auto"/>
                <w:sz w:val="20"/>
                <w:szCs w:val="20"/>
              </w:rPr>
              <w:t>Intervention logic</w:t>
            </w:r>
            <w:r>
              <w:rPr>
                <w:rFonts w:eastAsia="Calibri"/>
                <w:b/>
                <w:color w:val="auto"/>
                <w:sz w:val="20"/>
                <w:szCs w:val="20"/>
              </w:rPr>
              <w:t>:</w:t>
            </w:r>
            <w:r w:rsidRPr="00561A9A">
              <w:rPr>
                <w:rFonts w:eastAsia="Calibri"/>
                <w:color w:val="auto"/>
                <w:sz w:val="20"/>
                <w:szCs w:val="20"/>
              </w:rPr>
              <w:t xml:space="preserve"> </w:t>
            </w:r>
            <w:r w:rsidRPr="004B7E5B">
              <w:rPr>
                <w:rFonts w:eastAsia="Calibri"/>
                <w:color w:val="auto"/>
                <w:sz w:val="20"/>
                <w:szCs w:val="20"/>
              </w:rPr>
              <w:t>Moldova’s education and training system is insufficiently geared to the skills in demand in the labor market. Besides weaknesses in early childhood, basic, and secondary education, with low transition from lower- to upper-secondary schools, technical and vocational education and training suffer from a weak strategic framework, poor service delivery, and ineffective oversight. Vocational education graduates report significant mismatches between their training and the jobs available. There is also evidence of education-job mismatches among workers with higher education, with many employed in areas unrelated to their fields of study. While policies to better align the supply of skills with the demands of the labor market are being adjusted, more efforts are needed to enhance the quality and relevance of education and training at all levels</w:t>
            </w:r>
            <w:r>
              <w:rPr>
                <w:rFonts w:eastAsia="Calibri"/>
                <w:color w:val="auto"/>
                <w:sz w:val="20"/>
                <w:szCs w:val="20"/>
              </w:rPr>
              <w:t>.</w:t>
            </w:r>
            <w:r w:rsidRPr="004B7E5B">
              <w:rPr>
                <w:rFonts w:eastAsia="Calibri"/>
                <w:color w:val="auto"/>
                <w:sz w:val="20"/>
                <w:szCs w:val="20"/>
              </w:rPr>
              <w:t xml:space="preserve"> </w:t>
            </w:r>
            <w:r w:rsidRPr="00561A9A">
              <w:rPr>
                <w:rFonts w:eastAsia="Calibri"/>
                <w:color w:val="auto"/>
                <w:sz w:val="20"/>
                <w:szCs w:val="20"/>
              </w:rPr>
              <w:t>The ongoing Education Reform project, including the additional financing under consideration, will be supplemented by a planned Skills for Jobs project designed to address the education and training-labor market mismatch directly. It will be preceded by significant analytical work, including an education public expenditure review and notes on labor demand and supply, informality and self-employment, and private sector skill demand. Planned outcomes under this focus area include: increased efficiency and quality of the primary and secondary system overall, measured by the number of school</w:t>
            </w:r>
            <w:r w:rsidR="005528ED">
              <w:rPr>
                <w:rFonts w:eastAsia="Calibri"/>
                <w:color w:val="auto"/>
                <w:sz w:val="20"/>
                <w:szCs w:val="20"/>
              </w:rPr>
              <w:t>s</w:t>
            </w:r>
            <w:r w:rsidRPr="00561A9A">
              <w:rPr>
                <w:rFonts w:eastAsia="Calibri"/>
                <w:color w:val="auto"/>
                <w:sz w:val="20"/>
                <w:szCs w:val="20"/>
              </w:rPr>
              <w:t xml:space="preserve"> achieving minimum education standards, better teacher/student ratios, and increased occupancy; and more </w:t>
            </w:r>
            <w:r w:rsidRPr="00561A9A">
              <w:rPr>
                <w:rFonts w:eastAsia="Calibri"/>
                <w:color w:val="auto"/>
                <w:sz w:val="20"/>
                <w:szCs w:val="20"/>
              </w:rPr>
              <w:lastRenderedPageBreak/>
              <w:t xml:space="preserve">and </w:t>
            </w:r>
            <w:r w:rsidR="000A3DB5" w:rsidRPr="00561A9A">
              <w:rPr>
                <w:rFonts w:eastAsia="Calibri"/>
                <w:color w:val="auto"/>
                <w:sz w:val="20"/>
                <w:szCs w:val="20"/>
              </w:rPr>
              <w:t>better-quality</w:t>
            </w:r>
            <w:r w:rsidRPr="00561A9A">
              <w:rPr>
                <w:rFonts w:eastAsia="Calibri"/>
                <w:color w:val="auto"/>
                <w:sz w:val="20"/>
                <w:szCs w:val="20"/>
              </w:rPr>
              <w:t xml:space="preserve"> data on the demand for, and supply of skills. This last activity will provide background context and a baseline for the Skills for Jobs project; however, </w:t>
            </w:r>
            <w:r w:rsidR="005528ED">
              <w:rPr>
                <w:rFonts w:eastAsia="Calibri"/>
                <w:color w:val="auto"/>
                <w:sz w:val="20"/>
                <w:szCs w:val="20"/>
              </w:rPr>
              <w:t xml:space="preserve">most </w:t>
            </w:r>
            <w:r w:rsidRPr="00561A9A">
              <w:rPr>
                <w:rFonts w:eastAsia="Calibri"/>
                <w:color w:val="auto"/>
                <w:sz w:val="20"/>
                <w:szCs w:val="20"/>
              </w:rPr>
              <w:t>results of this project will materialize beyond the duration of this CPF and will be captured in the following partnership framework.</w:t>
            </w:r>
          </w:p>
        </w:tc>
      </w:tr>
      <w:tr w:rsidR="009F4080" w:rsidRPr="00BA050E" w14:paraId="47407831" w14:textId="77777777" w:rsidTr="00F2717B">
        <w:tc>
          <w:tcPr>
            <w:tcW w:w="4668" w:type="dxa"/>
          </w:tcPr>
          <w:p w14:paraId="2F09FB73" w14:textId="77777777" w:rsidR="009F4080" w:rsidRPr="00BA050E" w:rsidRDefault="009F4080" w:rsidP="009F4080">
            <w:pPr>
              <w:spacing w:after="0" w:line="240" w:lineRule="auto"/>
              <w:ind w:left="0" w:right="0" w:firstLine="0"/>
              <w:jc w:val="center"/>
              <w:rPr>
                <w:rFonts w:eastAsia="Calibri"/>
                <w:b/>
                <w:color w:val="auto"/>
                <w:sz w:val="20"/>
                <w:szCs w:val="20"/>
              </w:rPr>
            </w:pPr>
            <w:r w:rsidRPr="00BA050E">
              <w:rPr>
                <w:rFonts w:eastAsia="Calibri"/>
                <w:b/>
                <w:color w:val="auto"/>
                <w:sz w:val="20"/>
                <w:szCs w:val="20"/>
              </w:rPr>
              <w:lastRenderedPageBreak/>
              <w:t>CPF Objective Indicators</w:t>
            </w:r>
          </w:p>
        </w:tc>
        <w:tc>
          <w:tcPr>
            <w:tcW w:w="4579" w:type="dxa"/>
          </w:tcPr>
          <w:p w14:paraId="2D003CE6" w14:textId="77777777" w:rsidR="009F4080" w:rsidRPr="00BA050E" w:rsidRDefault="009F4080" w:rsidP="009F4080">
            <w:pPr>
              <w:spacing w:after="60" w:line="240" w:lineRule="auto"/>
              <w:ind w:left="0" w:right="0" w:firstLine="0"/>
              <w:jc w:val="center"/>
              <w:rPr>
                <w:rFonts w:eastAsia="Calibri"/>
                <w:b/>
                <w:color w:val="auto"/>
                <w:sz w:val="20"/>
                <w:szCs w:val="20"/>
              </w:rPr>
            </w:pPr>
            <w:r w:rsidRPr="00BA050E">
              <w:rPr>
                <w:rFonts w:eastAsia="Calibri"/>
                <w:b/>
                <w:color w:val="auto"/>
                <w:sz w:val="20"/>
                <w:szCs w:val="20"/>
              </w:rPr>
              <w:t>Supplementary Progress Indicators (SPIs)</w:t>
            </w:r>
          </w:p>
        </w:tc>
        <w:tc>
          <w:tcPr>
            <w:tcW w:w="3708" w:type="dxa"/>
          </w:tcPr>
          <w:p w14:paraId="7D2D2063" w14:textId="77777777" w:rsidR="009F4080" w:rsidRPr="00BA050E" w:rsidRDefault="009F4080" w:rsidP="009F4080">
            <w:pPr>
              <w:spacing w:after="0" w:line="240" w:lineRule="auto"/>
              <w:ind w:left="0" w:right="0" w:firstLine="0"/>
              <w:jc w:val="center"/>
              <w:rPr>
                <w:rFonts w:eastAsia="Calibri"/>
                <w:b/>
                <w:color w:val="auto"/>
                <w:sz w:val="20"/>
                <w:szCs w:val="20"/>
              </w:rPr>
            </w:pPr>
            <w:r w:rsidRPr="00BA050E">
              <w:rPr>
                <w:rFonts w:eastAsia="Calibri"/>
                <w:b/>
                <w:color w:val="auto"/>
                <w:sz w:val="20"/>
                <w:szCs w:val="20"/>
              </w:rPr>
              <w:t>Bank Group Program</w:t>
            </w:r>
          </w:p>
        </w:tc>
      </w:tr>
      <w:tr w:rsidR="009F4080" w:rsidRPr="00BA050E" w14:paraId="790E28B6" w14:textId="77777777" w:rsidTr="00F2717B">
        <w:tc>
          <w:tcPr>
            <w:tcW w:w="4668" w:type="dxa"/>
          </w:tcPr>
          <w:p w14:paraId="0F4FBDF4"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b/>
                <w:color w:val="auto"/>
                <w:sz w:val="20"/>
                <w:szCs w:val="20"/>
              </w:rPr>
              <w:t>Indicator 1</w:t>
            </w:r>
            <w:r>
              <w:rPr>
                <w:rFonts w:eastAsia="Calibri"/>
                <w:b/>
                <w:color w:val="auto"/>
                <w:sz w:val="20"/>
                <w:szCs w:val="20"/>
              </w:rPr>
              <w:t>6</w:t>
            </w:r>
            <w:r w:rsidRPr="00BA050E">
              <w:rPr>
                <w:rFonts w:eastAsia="Calibri"/>
                <w:b/>
                <w:color w:val="auto"/>
                <w:sz w:val="20"/>
                <w:szCs w:val="20"/>
              </w:rPr>
              <w:t>:</w:t>
            </w:r>
            <w:r w:rsidRPr="00BA050E">
              <w:rPr>
                <w:rFonts w:eastAsia="Calibri"/>
                <w:color w:val="auto"/>
                <w:sz w:val="20"/>
                <w:szCs w:val="20"/>
              </w:rPr>
              <w:t xml:space="preserve"> At least 14,000 students attending schools meeting minimum quality standards</w:t>
            </w:r>
            <w:r>
              <w:rPr>
                <w:rFonts w:eastAsia="Calibri"/>
                <w:color w:val="auto"/>
                <w:sz w:val="20"/>
                <w:szCs w:val="20"/>
              </w:rPr>
              <w:t xml:space="preserve"> (</w:t>
            </w:r>
            <w:r w:rsidRPr="00D77307">
              <w:rPr>
                <w:rFonts w:eastAsia="Calibri"/>
                <w:i/>
                <w:color w:val="auto"/>
                <w:sz w:val="20"/>
                <w:szCs w:val="20"/>
              </w:rPr>
              <w:t>including, inter alia, with respect to school organization, teaching and learning, school infrastructure and equipment, curriculum and evaluation, and school governance</w:t>
            </w:r>
            <w:r>
              <w:rPr>
                <w:rFonts w:eastAsia="Calibri"/>
                <w:color w:val="auto"/>
                <w:sz w:val="20"/>
                <w:szCs w:val="20"/>
              </w:rPr>
              <w:t>)</w:t>
            </w:r>
            <w:r w:rsidRPr="00BA050E">
              <w:rPr>
                <w:rFonts w:eastAsia="Calibri"/>
                <w:color w:val="auto"/>
                <w:sz w:val="20"/>
                <w:szCs w:val="20"/>
              </w:rPr>
              <w:t xml:space="preserve">, </w:t>
            </w:r>
            <w:r>
              <w:rPr>
                <w:rFonts w:eastAsia="Calibri"/>
                <w:color w:val="auto"/>
                <w:sz w:val="20"/>
                <w:szCs w:val="20"/>
              </w:rPr>
              <w:t>also b</w:t>
            </w:r>
            <w:r w:rsidRPr="00BA050E">
              <w:rPr>
                <w:rFonts w:eastAsia="Calibri"/>
                <w:color w:val="auto"/>
                <w:sz w:val="20"/>
                <w:szCs w:val="20"/>
              </w:rPr>
              <w:t>eing accessible to people with disabilities</w:t>
            </w:r>
          </w:p>
          <w:p w14:paraId="0136FE6E"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0 (FY17)</w:t>
            </w:r>
          </w:p>
          <w:p w14:paraId="35CB6BB2"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14,000 (FY21)</w:t>
            </w:r>
          </w:p>
          <w:p w14:paraId="57EF6C2C" w14:textId="77777777" w:rsidR="009F4080" w:rsidRPr="00BA050E" w:rsidRDefault="009F4080" w:rsidP="009F4080">
            <w:pPr>
              <w:ind w:right="0"/>
              <w:jc w:val="left"/>
              <w:rPr>
                <w:rFonts w:eastAsia="Calibri"/>
                <w:b/>
                <w:iCs/>
                <w:color w:val="auto"/>
                <w:sz w:val="20"/>
                <w:szCs w:val="20"/>
              </w:rPr>
            </w:pPr>
          </w:p>
          <w:p w14:paraId="1715B77E" w14:textId="77777777" w:rsidR="009F4080" w:rsidRPr="00BA050E" w:rsidRDefault="009F4080" w:rsidP="009F4080">
            <w:pPr>
              <w:ind w:right="0"/>
              <w:jc w:val="left"/>
              <w:rPr>
                <w:sz w:val="20"/>
                <w:szCs w:val="20"/>
              </w:rPr>
            </w:pPr>
            <w:r w:rsidRPr="00BA050E">
              <w:rPr>
                <w:rFonts w:eastAsia="Calibri"/>
                <w:b/>
                <w:iCs/>
                <w:color w:val="auto"/>
                <w:sz w:val="20"/>
                <w:szCs w:val="20"/>
              </w:rPr>
              <w:t xml:space="preserve">Indicator </w:t>
            </w:r>
            <w:r>
              <w:rPr>
                <w:rFonts w:eastAsia="Calibri"/>
                <w:b/>
                <w:iCs/>
                <w:color w:val="auto"/>
                <w:sz w:val="20"/>
                <w:szCs w:val="20"/>
              </w:rPr>
              <w:t>17</w:t>
            </w:r>
            <w:r w:rsidRPr="00BA050E">
              <w:rPr>
                <w:rFonts w:eastAsia="Calibri"/>
                <w:b/>
                <w:iCs/>
                <w:color w:val="auto"/>
                <w:sz w:val="20"/>
                <w:szCs w:val="20"/>
              </w:rPr>
              <w:t>:</w:t>
            </w:r>
            <w:r w:rsidRPr="00BA050E">
              <w:rPr>
                <w:rFonts w:eastAsia="Calibri"/>
                <w:color w:val="auto"/>
                <w:sz w:val="20"/>
                <w:szCs w:val="20"/>
              </w:rPr>
              <w:t xml:space="preserve"> </w:t>
            </w:r>
            <w:r w:rsidRPr="00D77307">
              <w:rPr>
                <w:sz w:val="20"/>
                <w:szCs w:val="20"/>
              </w:rPr>
              <w:t>Ratio of the n</w:t>
            </w:r>
            <w:r>
              <w:rPr>
                <w:sz w:val="20"/>
                <w:szCs w:val="20"/>
              </w:rPr>
              <w:t>umber of students in general primary and secondary schools compared to the number of spaces</w:t>
            </w:r>
            <w:r w:rsidRPr="00BA050E">
              <w:rPr>
                <w:sz w:val="20"/>
                <w:szCs w:val="20"/>
              </w:rPr>
              <w:t xml:space="preserve"> </w:t>
            </w:r>
            <w:r>
              <w:rPr>
                <w:sz w:val="20"/>
                <w:szCs w:val="20"/>
              </w:rPr>
              <w:t>maintained</w:t>
            </w:r>
          </w:p>
          <w:p w14:paraId="372D18A4"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w:t>
            </w:r>
            <w:r>
              <w:rPr>
                <w:rFonts w:eastAsia="Calibri"/>
                <w:color w:val="auto"/>
                <w:sz w:val="20"/>
                <w:szCs w:val="20"/>
              </w:rPr>
              <w:t>0.49</w:t>
            </w:r>
          </w:p>
          <w:p w14:paraId="58172A70"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 xml:space="preserve">Target:    </w:t>
            </w:r>
            <w:r>
              <w:rPr>
                <w:rFonts w:eastAsia="Calibri"/>
                <w:color w:val="auto"/>
                <w:sz w:val="20"/>
                <w:szCs w:val="20"/>
              </w:rPr>
              <w:t>0.49</w:t>
            </w:r>
          </w:p>
          <w:p w14:paraId="0BC3E2E2" w14:textId="77777777" w:rsidR="009F4080" w:rsidRPr="00BA050E" w:rsidRDefault="009F4080" w:rsidP="009F4080">
            <w:pPr>
              <w:spacing w:after="0" w:line="240" w:lineRule="auto"/>
              <w:ind w:left="0" w:right="0" w:firstLine="0"/>
              <w:jc w:val="left"/>
              <w:rPr>
                <w:rFonts w:eastAsia="Calibri"/>
                <w:color w:val="auto"/>
                <w:sz w:val="20"/>
                <w:szCs w:val="20"/>
              </w:rPr>
            </w:pPr>
          </w:p>
          <w:p w14:paraId="74E3A38F" w14:textId="33DD3706" w:rsidR="009F4080" w:rsidRPr="00055153" w:rsidRDefault="009F4080" w:rsidP="009F4080">
            <w:pPr>
              <w:ind w:right="150"/>
              <w:jc w:val="left"/>
              <w:rPr>
                <w:sz w:val="20"/>
                <w:szCs w:val="20"/>
              </w:rPr>
            </w:pPr>
            <w:r w:rsidRPr="00055153">
              <w:rPr>
                <w:rFonts w:eastAsia="Calibri"/>
                <w:b/>
                <w:color w:val="auto"/>
                <w:sz w:val="20"/>
                <w:szCs w:val="20"/>
              </w:rPr>
              <w:t>Indicator 18:</w:t>
            </w:r>
            <w:r w:rsidRPr="00055153">
              <w:rPr>
                <w:rFonts w:eastAsia="Calibri"/>
                <w:color w:val="auto"/>
                <w:sz w:val="20"/>
                <w:szCs w:val="20"/>
              </w:rPr>
              <w:t xml:space="preserve"> </w:t>
            </w:r>
            <w:r w:rsidR="00055153">
              <w:rPr>
                <w:sz w:val="20"/>
                <w:szCs w:val="20"/>
              </w:rPr>
              <w:t>I</w:t>
            </w:r>
            <w:r w:rsidR="00055153" w:rsidRPr="00D77307">
              <w:rPr>
                <w:sz w:val="20"/>
                <w:szCs w:val="20"/>
              </w:rPr>
              <w:t xml:space="preserve">mprovement in </w:t>
            </w:r>
            <w:r w:rsidR="00087B15">
              <w:rPr>
                <w:sz w:val="20"/>
                <w:szCs w:val="20"/>
              </w:rPr>
              <w:t xml:space="preserve">student </w:t>
            </w:r>
            <w:r w:rsidR="004460AC">
              <w:rPr>
                <w:sz w:val="20"/>
                <w:szCs w:val="20"/>
              </w:rPr>
              <w:t xml:space="preserve">test </w:t>
            </w:r>
            <w:r w:rsidR="00087B15">
              <w:rPr>
                <w:sz w:val="20"/>
                <w:szCs w:val="20"/>
              </w:rPr>
              <w:t xml:space="preserve">performance </w:t>
            </w:r>
            <w:r w:rsidR="00055153" w:rsidRPr="00D77307">
              <w:rPr>
                <w:sz w:val="20"/>
                <w:szCs w:val="20"/>
              </w:rPr>
              <w:t>where teachers received training compared to control group</w:t>
            </w:r>
            <w:r w:rsidR="00055153">
              <w:rPr>
                <w:sz w:val="20"/>
                <w:szCs w:val="20"/>
              </w:rPr>
              <w:t xml:space="preserve"> (percentage)</w:t>
            </w:r>
          </w:p>
          <w:p w14:paraId="5C068C46" w14:textId="77777777" w:rsidR="009F4080" w:rsidRPr="00055153" w:rsidRDefault="009F4080" w:rsidP="00D77307">
            <w:pPr>
              <w:spacing w:after="0" w:line="240" w:lineRule="auto"/>
              <w:ind w:right="-115"/>
              <w:rPr>
                <w:sz w:val="20"/>
                <w:szCs w:val="20"/>
              </w:rPr>
            </w:pPr>
            <w:r w:rsidRPr="00055153">
              <w:rPr>
                <w:sz w:val="20"/>
                <w:szCs w:val="20"/>
              </w:rPr>
              <w:t xml:space="preserve">Baseline: </w:t>
            </w:r>
            <w:r w:rsidR="00055153">
              <w:rPr>
                <w:sz w:val="20"/>
                <w:szCs w:val="20"/>
              </w:rPr>
              <w:t>0%</w:t>
            </w:r>
          </w:p>
          <w:p w14:paraId="024045DB" w14:textId="77777777" w:rsidR="009F4080" w:rsidRPr="00BA050E" w:rsidRDefault="009F4080" w:rsidP="00D77307">
            <w:pPr>
              <w:spacing w:after="0" w:line="240" w:lineRule="auto"/>
              <w:ind w:left="0" w:right="-115" w:firstLine="0"/>
              <w:jc w:val="left"/>
              <w:rPr>
                <w:rFonts w:eastAsia="Calibri"/>
                <w:color w:val="auto"/>
                <w:sz w:val="20"/>
                <w:szCs w:val="20"/>
              </w:rPr>
            </w:pPr>
            <w:r w:rsidRPr="00055153">
              <w:rPr>
                <w:sz w:val="20"/>
                <w:szCs w:val="20"/>
              </w:rPr>
              <w:t xml:space="preserve">Target:    </w:t>
            </w:r>
            <w:r w:rsidR="00055153">
              <w:rPr>
                <w:sz w:val="20"/>
                <w:szCs w:val="20"/>
              </w:rPr>
              <w:t>5%</w:t>
            </w:r>
          </w:p>
        </w:tc>
        <w:tc>
          <w:tcPr>
            <w:tcW w:w="4579" w:type="dxa"/>
          </w:tcPr>
          <w:p w14:paraId="76C48FAA" w14:textId="77777777" w:rsidR="009F4080" w:rsidRPr="00BA050E" w:rsidRDefault="009F4080" w:rsidP="009F4080">
            <w:pPr>
              <w:spacing w:after="0" w:line="240" w:lineRule="auto"/>
              <w:ind w:left="0" w:right="0" w:firstLine="0"/>
              <w:jc w:val="left"/>
              <w:rPr>
                <w:rFonts w:eastAsia="Calibri"/>
                <w:color w:val="auto"/>
                <w:sz w:val="20"/>
                <w:szCs w:val="20"/>
              </w:rPr>
            </w:pPr>
            <w:r>
              <w:rPr>
                <w:rFonts w:eastAsia="Calibri"/>
                <w:color w:val="auto"/>
                <w:sz w:val="20"/>
                <w:szCs w:val="20"/>
              </w:rPr>
              <w:t>SPI 1</w:t>
            </w:r>
            <w:r w:rsidR="002B54CD">
              <w:rPr>
                <w:rFonts w:eastAsia="Calibri"/>
                <w:color w:val="auto"/>
                <w:sz w:val="20"/>
                <w:szCs w:val="20"/>
              </w:rPr>
              <w:t>8</w:t>
            </w:r>
            <w:r>
              <w:rPr>
                <w:rFonts w:eastAsia="Calibri"/>
                <w:color w:val="auto"/>
                <w:sz w:val="20"/>
                <w:szCs w:val="20"/>
              </w:rPr>
              <w:t xml:space="preserve">: Revised </w:t>
            </w:r>
            <w:r w:rsidRPr="00BA050E">
              <w:rPr>
                <w:rFonts w:eastAsia="Calibri"/>
                <w:color w:val="auto"/>
                <w:sz w:val="20"/>
                <w:szCs w:val="20"/>
              </w:rPr>
              <w:t>f</w:t>
            </w:r>
            <w:r>
              <w:rPr>
                <w:rFonts w:eastAsia="Calibri"/>
                <w:color w:val="auto"/>
                <w:sz w:val="20"/>
                <w:szCs w:val="20"/>
              </w:rPr>
              <w:t>inancing mechanism</w:t>
            </w:r>
            <w:r w:rsidRPr="00BA050E">
              <w:rPr>
                <w:rFonts w:eastAsia="Calibri"/>
                <w:color w:val="auto"/>
                <w:sz w:val="20"/>
                <w:szCs w:val="20"/>
              </w:rPr>
              <w:t xml:space="preserve"> </w:t>
            </w:r>
            <w:r>
              <w:rPr>
                <w:rFonts w:eastAsia="Calibri"/>
                <w:color w:val="auto"/>
                <w:sz w:val="20"/>
                <w:szCs w:val="20"/>
              </w:rPr>
              <w:t xml:space="preserve">at preschool level piloted </w:t>
            </w:r>
            <w:r w:rsidRPr="00BA050E">
              <w:rPr>
                <w:rFonts w:eastAsia="Calibri"/>
                <w:color w:val="auto"/>
                <w:sz w:val="20"/>
                <w:szCs w:val="20"/>
              </w:rPr>
              <w:t>in two rayons</w:t>
            </w:r>
          </w:p>
          <w:p w14:paraId="6DC853EF"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0 (FY17)</w:t>
            </w:r>
          </w:p>
          <w:p w14:paraId="3948ED3D"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Target:    2 (FY19)</w:t>
            </w:r>
          </w:p>
          <w:p w14:paraId="3DC208EA" w14:textId="77777777" w:rsidR="009F4080" w:rsidRPr="00BA050E" w:rsidRDefault="009F4080" w:rsidP="009F4080">
            <w:pPr>
              <w:spacing w:after="0" w:line="240" w:lineRule="auto"/>
              <w:ind w:left="0" w:right="0" w:firstLine="0"/>
              <w:jc w:val="left"/>
              <w:rPr>
                <w:rFonts w:eastAsia="Calibri"/>
                <w:iCs/>
                <w:color w:val="auto"/>
                <w:sz w:val="20"/>
                <w:szCs w:val="20"/>
              </w:rPr>
            </w:pPr>
          </w:p>
          <w:p w14:paraId="57DCC4FC" w14:textId="77777777" w:rsidR="009F4080" w:rsidRPr="00BA050E" w:rsidRDefault="009F4080" w:rsidP="009F4080">
            <w:pPr>
              <w:ind w:right="-24"/>
              <w:contextualSpacing/>
              <w:jc w:val="left"/>
              <w:rPr>
                <w:rFonts w:eastAsia="Calibri"/>
                <w:iCs/>
                <w:color w:val="auto"/>
                <w:sz w:val="20"/>
                <w:szCs w:val="20"/>
              </w:rPr>
            </w:pPr>
            <w:r w:rsidRPr="00BA050E">
              <w:rPr>
                <w:rFonts w:eastAsia="Calibri"/>
                <w:iCs/>
                <w:color w:val="auto"/>
                <w:sz w:val="20"/>
                <w:szCs w:val="20"/>
              </w:rPr>
              <w:t>SPI 1</w:t>
            </w:r>
            <w:r w:rsidR="002B54CD">
              <w:rPr>
                <w:rFonts w:eastAsia="Calibri"/>
                <w:iCs/>
                <w:color w:val="auto"/>
                <w:sz w:val="20"/>
                <w:szCs w:val="20"/>
              </w:rPr>
              <w:t>9</w:t>
            </w:r>
            <w:r w:rsidRPr="00BA050E">
              <w:rPr>
                <w:rFonts w:eastAsia="Calibri"/>
                <w:iCs/>
                <w:color w:val="auto"/>
                <w:sz w:val="20"/>
                <w:szCs w:val="20"/>
              </w:rPr>
              <w:t>:</w:t>
            </w:r>
            <w:r w:rsidRPr="00BA050E">
              <w:rPr>
                <w:rFonts w:eastAsia="Calibri"/>
                <w:color w:val="auto"/>
                <w:sz w:val="20"/>
                <w:szCs w:val="20"/>
              </w:rPr>
              <w:t> </w:t>
            </w:r>
            <w:r w:rsidRPr="00BA050E">
              <w:rPr>
                <w:rFonts w:eastAsia="Calibri"/>
                <w:iCs/>
                <w:color w:val="auto"/>
                <w:sz w:val="20"/>
                <w:szCs w:val="20"/>
              </w:rPr>
              <w:t>Participatory decision-making and enhanced quality of public debate measured by number of WB-supported communities applying social accountability tools</w:t>
            </w:r>
          </w:p>
          <w:p w14:paraId="4B7DD86E" w14:textId="77777777" w:rsidR="009F4080" w:rsidRPr="00BA050E" w:rsidRDefault="009F4080" w:rsidP="009F4080">
            <w:pPr>
              <w:spacing w:after="0" w:line="240" w:lineRule="auto"/>
              <w:ind w:left="0" w:right="0" w:firstLine="0"/>
              <w:jc w:val="left"/>
              <w:rPr>
                <w:rFonts w:eastAsia="Calibri"/>
                <w:iCs/>
                <w:color w:val="auto"/>
                <w:sz w:val="20"/>
                <w:szCs w:val="20"/>
              </w:rPr>
            </w:pPr>
            <w:r w:rsidRPr="00BA050E">
              <w:rPr>
                <w:rFonts w:eastAsia="Calibri"/>
                <w:iCs/>
                <w:color w:val="auto"/>
                <w:sz w:val="20"/>
                <w:szCs w:val="20"/>
              </w:rPr>
              <w:t>Baseline: 60 (March 2017)</w:t>
            </w:r>
          </w:p>
          <w:p w14:paraId="35E4C87B" w14:textId="77777777" w:rsidR="009F4080" w:rsidRPr="00BA050E" w:rsidRDefault="009F4080" w:rsidP="009F4080">
            <w:pPr>
              <w:spacing w:after="0" w:line="240" w:lineRule="auto"/>
              <w:ind w:left="0" w:right="0" w:firstLine="0"/>
              <w:jc w:val="left"/>
              <w:rPr>
                <w:rFonts w:eastAsia="Calibri"/>
                <w:iCs/>
                <w:color w:val="auto"/>
                <w:sz w:val="20"/>
                <w:szCs w:val="20"/>
              </w:rPr>
            </w:pPr>
            <w:r w:rsidRPr="00BA050E">
              <w:rPr>
                <w:rFonts w:eastAsia="Calibri"/>
                <w:iCs/>
                <w:color w:val="auto"/>
                <w:sz w:val="20"/>
                <w:szCs w:val="20"/>
              </w:rPr>
              <w:t>Target:    100 (December 2018)</w:t>
            </w:r>
          </w:p>
          <w:p w14:paraId="24EBEC54" w14:textId="77777777" w:rsidR="009F4080" w:rsidRPr="00BA050E" w:rsidRDefault="009F4080" w:rsidP="009F4080">
            <w:pPr>
              <w:spacing w:after="0" w:line="240" w:lineRule="auto"/>
              <w:ind w:left="0" w:right="0" w:firstLine="0"/>
              <w:jc w:val="left"/>
              <w:rPr>
                <w:rFonts w:eastAsia="Calibri"/>
                <w:iCs/>
                <w:color w:val="auto"/>
                <w:sz w:val="20"/>
                <w:szCs w:val="20"/>
              </w:rPr>
            </w:pPr>
          </w:p>
          <w:p w14:paraId="09D61D99" w14:textId="77777777" w:rsidR="009F4080" w:rsidRPr="00BA050E" w:rsidRDefault="009F4080" w:rsidP="009F4080">
            <w:pPr>
              <w:ind w:right="-24"/>
              <w:contextualSpacing/>
              <w:rPr>
                <w:sz w:val="20"/>
                <w:szCs w:val="20"/>
              </w:rPr>
            </w:pPr>
            <w:r w:rsidRPr="00BA050E">
              <w:rPr>
                <w:rFonts w:eastAsia="Calibri"/>
                <w:iCs/>
                <w:color w:val="auto"/>
                <w:sz w:val="20"/>
                <w:szCs w:val="20"/>
              </w:rPr>
              <w:t xml:space="preserve">SPI </w:t>
            </w:r>
            <w:r w:rsidR="002B54CD">
              <w:rPr>
                <w:rFonts w:eastAsia="Calibri"/>
                <w:iCs/>
                <w:color w:val="auto"/>
                <w:sz w:val="20"/>
                <w:szCs w:val="20"/>
              </w:rPr>
              <w:t>20</w:t>
            </w:r>
            <w:r w:rsidRPr="00BA050E">
              <w:rPr>
                <w:rFonts w:eastAsia="Calibri"/>
                <w:iCs/>
                <w:color w:val="auto"/>
                <w:sz w:val="20"/>
                <w:szCs w:val="20"/>
              </w:rPr>
              <w:t xml:space="preserve">: </w:t>
            </w:r>
            <w:r w:rsidRPr="00BA050E">
              <w:rPr>
                <w:sz w:val="20"/>
                <w:szCs w:val="20"/>
              </w:rPr>
              <w:t xml:space="preserve">General primary and secondary level school teachers and directors trained in gender awareness module </w:t>
            </w:r>
          </w:p>
          <w:p w14:paraId="763A2A34" w14:textId="77777777" w:rsidR="009F4080" w:rsidRPr="00BA050E" w:rsidRDefault="009F4080" w:rsidP="009F4080">
            <w:pPr>
              <w:ind w:right="-24"/>
              <w:contextualSpacing/>
              <w:rPr>
                <w:sz w:val="20"/>
                <w:szCs w:val="20"/>
              </w:rPr>
            </w:pPr>
            <w:r w:rsidRPr="00BA050E">
              <w:rPr>
                <w:sz w:val="20"/>
                <w:szCs w:val="20"/>
              </w:rPr>
              <w:t xml:space="preserve">Baseline: 0% (FY17) </w:t>
            </w:r>
          </w:p>
          <w:p w14:paraId="307212DD" w14:textId="77777777" w:rsidR="009F4080" w:rsidRPr="00BA050E" w:rsidRDefault="009F4080" w:rsidP="009F4080">
            <w:pPr>
              <w:spacing w:after="0" w:line="240" w:lineRule="auto"/>
              <w:ind w:left="0" w:right="0" w:firstLine="0"/>
              <w:jc w:val="left"/>
              <w:rPr>
                <w:rFonts w:eastAsia="Calibri"/>
                <w:iCs/>
                <w:color w:val="auto"/>
                <w:sz w:val="20"/>
                <w:szCs w:val="20"/>
              </w:rPr>
            </w:pPr>
            <w:r>
              <w:rPr>
                <w:sz w:val="20"/>
                <w:szCs w:val="20"/>
              </w:rPr>
              <w:t xml:space="preserve">Target:  </w:t>
            </w:r>
            <w:r w:rsidR="00861A2B">
              <w:rPr>
                <w:sz w:val="20"/>
                <w:szCs w:val="20"/>
              </w:rPr>
              <w:t xml:space="preserve">  </w:t>
            </w:r>
            <w:r>
              <w:rPr>
                <w:sz w:val="20"/>
                <w:szCs w:val="20"/>
              </w:rPr>
              <w:t>60% teachers</w:t>
            </w:r>
            <w:r w:rsidRPr="00BA050E">
              <w:rPr>
                <w:sz w:val="20"/>
                <w:szCs w:val="20"/>
              </w:rPr>
              <w:t xml:space="preserve"> &amp; 80% </w:t>
            </w:r>
            <w:r>
              <w:rPr>
                <w:sz w:val="20"/>
                <w:szCs w:val="20"/>
              </w:rPr>
              <w:t>directors</w:t>
            </w:r>
            <w:r w:rsidRPr="00BA050E">
              <w:rPr>
                <w:sz w:val="20"/>
                <w:szCs w:val="20"/>
              </w:rPr>
              <w:t xml:space="preserve"> (FY21</w:t>
            </w:r>
            <w:r>
              <w:rPr>
                <w:sz w:val="20"/>
                <w:szCs w:val="20"/>
              </w:rPr>
              <w:t>)</w:t>
            </w:r>
          </w:p>
        </w:tc>
        <w:tc>
          <w:tcPr>
            <w:tcW w:w="3708" w:type="dxa"/>
          </w:tcPr>
          <w:p w14:paraId="234A796F"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WBG Lending:</w:t>
            </w:r>
          </w:p>
          <w:p w14:paraId="7B21664C"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Moldova Education Reform Project (ongoing)</w:t>
            </w:r>
          </w:p>
          <w:p w14:paraId="4B5E5CAE"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Moldova Education Reform AF (pipeline FY18)</w:t>
            </w:r>
          </w:p>
          <w:p w14:paraId="7E166EC7" w14:textId="77777777" w:rsidR="009F4080" w:rsidRPr="00BA050E" w:rsidRDefault="009F4080" w:rsidP="009F4080">
            <w:pPr>
              <w:spacing w:after="0" w:line="240" w:lineRule="auto"/>
              <w:ind w:left="360" w:right="0" w:firstLine="0"/>
              <w:jc w:val="left"/>
              <w:rPr>
                <w:rFonts w:eastAsia="Calibri"/>
                <w:color w:val="auto"/>
                <w:sz w:val="20"/>
                <w:szCs w:val="20"/>
              </w:rPr>
            </w:pPr>
          </w:p>
          <w:p w14:paraId="3DA4B3E4"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Partnerships:</w:t>
            </w:r>
          </w:p>
          <w:p w14:paraId="7296055F"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PHRD Grant on Integration of Children with Disabilities into Mainstream Schools (ongoing)</w:t>
            </w:r>
          </w:p>
          <w:p w14:paraId="0058FBA9"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Increasing participatory decision making on education GPSA grant (ongoing)</w:t>
            </w:r>
          </w:p>
          <w:p w14:paraId="70BB3678"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UNICEF</w:t>
            </w:r>
          </w:p>
          <w:p w14:paraId="59257CA6" w14:textId="77777777" w:rsidR="009F4080" w:rsidRPr="00BA050E" w:rsidRDefault="009F4080" w:rsidP="009F4080">
            <w:pPr>
              <w:spacing w:after="0" w:line="240" w:lineRule="auto"/>
              <w:ind w:left="0" w:right="0" w:firstLine="0"/>
              <w:jc w:val="left"/>
              <w:rPr>
                <w:rFonts w:eastAsia="Calibri"/>
                <w:color w:val="auto"/>
                <w:sz w:val="20"/>
                <w:szCs w:val="20"/>
              </w:rPr>
            </w:pPr>
          </w:p>
          <w:p w14:paraId="0E2BD97B"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ASA:</w:t>
            </w:r>
          </w:p>
          <w:p w14:paraId="4342E9BF" w14:textId="77777777" w:rsidR="009F4080" w:rsidRPr="00BA050E" w:rsidRDefault="009F4080" w:rsidP="009F4080">
            <w:pPr>
              <w:numPr>
                <w:ilvl w:val="0"/>
                <w:numId w:val="11"/>
              </w:numPr>
              <w:spacing w:after="0" w:line="240" w:lineRule="auto"/>
              <w:ind w:right="0"/>
              <w:contextualSpacing/>
              <w:jc w:val="left"/>
              <w:rPr>
                <w:rFonts w:eastAsia="Calibri"/>
                <w:color w:val="auto"/>
                <w:sz w:val="20"/>
                <w:szCs w:val="20"/>
              </w:rPr>
            </w:pPr>
            <w:r w:rsidRPr="00BA050E">
              <w:rPr>
                <w:rFonts w:eastAsia="Calibri"/>
                <w:color w:val="auto"/>
                <w:sz w:val="20"/>
                <w:szCs w:val="20"/>
              </w:rPr>
              <w:t>Education Public Expenditure Review</w:t>
            </w:r>
          </w:p>
        </w:tc>
      </w:tr>
      <w:tr w:rsidR="009F4080" w:rsidRPr="00BA050E" w14:paraId="4C030341" w14:textId="77777777" w:rsidTr="00867831">
        <w:tc>
          <w:tcPr>
            <w:tcW w:w="12955" w:type="dxa"/>
            <w:gridSpan w:val="3"/>
            <w:shd w:val="clear" w:color="auto" w:fill="E2EFD9"/>
          </w:tcPr>
          <w:p w14:paraId="2F3CD6A3" w14:textId="77777777" w:rsidR="009F4080" w:rsidRPr="00BA050E" w:rsidRDefault="009F4080" w:rsidP="009F4080">
            <w:pPr>
              <w:spacing w:before="60" w:after="60" w:line="240" w:lineRule="auto"/>
              <w:ind w:left="0" w:right="0" w:firstLine="0"/>
              <w:jc w:val="center"/>
              <w:rPr>
                <w:rFonts w:eastAsia="Calibri"/>
                <w:color w:val="auto"/>
                <w:sz w:val="21"/>
                <w:szCs w:val="21"/>
              </w:rPr>
            </w:pPr>
            <w:r w:rsidRPr="00BA050E">
              <w:rPr>
                <w:rFonts w:eastAsia="Calibri"/>
                <w:b/>
                <w:color w:val="auto"/>
                <w:sz w:val="21"/>
                <w:szCs w:val="21"/>
              </w:rPr>
              <w:t>CPF OBJECTIVE 4A: GREATER ADAPTATION, RESILIENCE AND RESPONSE TO CLIMATE CHANGE</w:t>
            </w:r>
          </w:p>
        </w:tc>
      </w:tr>
      <w:tr w:rsidR="009F4080" w:rsidRPr="00BA050E" w14:paraId="27CBA536" w14:textId="77777777" w:rsidTr="00867831">
        <w:tc>
          <w:tcPr>
            <w:tcW w:w="12955" w:type="dxa"/>
            <w:gridSpan w:val="3"/>
            <w:shd w:val="clear" w:color="auto" w:fill="auto"/>
          </w:tcPr>
          <w:p w14:paraId="2AA0BEDD" w14:textId="77777777" w:rsidR="00AA6E33" w:rsidRPr="00903B8B" w:rsidRDefault="00AA6E33" w:rsidP="00AA6E33">
            <w:pPr>
              <w:spacing w:after="60" w:line="240" w:lineRule="auto"/>
              <w:ind w:left="0" w:right="0" w:firstLine="0"/>
              <w:rPr>
                <w:rFonts w:eastAsia="Calibri"/>
                <w:color w:val="auto"/>
                <w:sz w:val="20"/>
                <w:szCs w:val="20"/>
              </w:rPr>
            </w:pPr>
            <w:r w:rsidRPr="00903B8B">
              <w:rPr>
                <w:rFonts w:eastAsia="Calibri"/>
                <w:color w:val="auto"/>
                <w:sz w:val="20"/>
                <w:szCs w:val="20"/>
              </w:rPr>
              <w:t xml:space="preserve">Moldova’s vulnerability to climate-related shocks is substantial with, in some recent cases, significant adverse impacts on the economy. The 2015 summer drought, for example, affected agricultural and overall GDP and household consumption. By at least one widely recognized global measure, Moldova ranks as the most climate vulnerable country in Europe based on a range of economic and social indicators, including low adaptation capacity. </w:t>
            </w:r>
          </w:p>
          <w:p w14:paraId="3F7FE046" w14:textId="5628AC14" w:rsidR="0076596B" w:rsidRPr="00BA050E" w:rsidRDefault="00AA6E33" w:rsidP="009F4080">
            <w:pPr>
              <w:spacing w:after="60" w:line="240" w:lineRule="auto"/>
              <w:ind w:left="0" w:right="0" w:firstLine="0"/>
              <w:rPr>
                <w:rFonts w:eastAsia="Calibri"/>
                <w:color w:val="auto"/>
                <w:sz w:val="21"/>
                <w:szCs w:val="21"/>
              </w:rPr>
            </w:pPr>
            <w:r w:rsidRPr="00903B8B">
              <w:rPr>
                <w:rFonts w:eastAsia="Calibri"/>
                <w:b/>
                <w:color w:val="auto"/>
                <w:sz w:val="20"/>
                <w:szCs w:val="20"/>
              </w:rPr>
              <w:t>Intervention logic</w:t>
            </w:r>
            <w:r w:rsidR="00B12C66">
              <w:rPr>
                <w:rFonts w:eastAsia="Calibri"/>
                <w:b/>
                <w:color w:val="auto"/>
                <w:sz w:val="20"/>
                <w:szCs w:val="20"/>
              </w:rPr>
              <w:t>:</w:t>
            </w:r>
            <w:r w:rsidRPr="00903B8B">
              <w:rPr>
                <w:rFonts w:eastAsia="Calibri"/>
                <w:b/>
                <w:color w:val="auto"/>
                <w:sz w:val="20"/>
                <w:szCs w:val="20"/>
              </w:rPr>
              <w:t xml:space="preserve"> </w:t>
            </w:r>
            <w:r w:rsidR="00B12C66" w:rsidRPr="004160D3">
              <w:rPr>
                <w:rFonts w:eastAsia="Calibri"/>
                <w:color w:val="auto"/>
                <w:sz w:val="20"/>
                <w:szCs w:val="20"/>
              </w:rPr>
              <w:t xml:space="preserve">The proposed Climate Adaptation project will support the adoption of climate resilient practices in agriculture, forestry and pasture management in targeted landscapes and, in addition, strengthen the country’s national disaster management system. This project fulfills Moldova’s commitment under IDA17 to undertake a climate change investment program. Synergies are built with the ongoing Moldova Agriculture Competitiveness project, and new ASA will inform further opportunities for adoption of climate-adaptive agricultural practices. In agribusiness, IFC will continue to assess possible new engagements to enhance the production and export potential of key commodities </w:t>
            </w:r>
            <w:r w:rsidR="00B12C66" w:rsidRPr="00BE22A3">
              <w:rPr>
                <w:rFonts w:eastAsia="Calibri"/>
                <w:color w:val="auto"/>
                <w:sz w:val="20"/>
                <w:szCs w:val="20"/>
              </w:rPr>
              <w:t xml:space="preserve">and </w:t>
            </w:r>
            <w:r w:rsidR="00B12C66" w:rsidRPr="00ED2768">
              <w:rPr>
                <w:color w:val="auto"/>
                <w:sz w:val="20"/>
                <w:szCs w:val="20"/>
              </w:rPr>
              <w:t xml:space="preserve">increase productivity and standardization in value chains, making farmers more resilient to climate risk. </w:t>
            </w:r>
            <w:r w:rsidR="00B12C66" w:rsidRPr="004160D3">
              <w:rPr>
                <w:rFonts w:eastAsia="Calibri"/>
                <w:color w:val="auto"/>
                <w:sz w:val="20"/>
                <w:szCs w:val="20"/>
              </w:rPr>
              <w:t>Expected outcomes include the extension of climate-resilient land management, the expansion of capital-intensive agriculture</w:t>
            </w:r>
            <w:r w:rsidR="005528ED">
              <w:rPr>
                <w:rFonts w:eastAsia="Calibri"/>
                <w:color w:val="auto"/>
                <w:sz w:val="20"/>
                <w:szCs w:val="20"/>
              </w:rPr>
              <w:t>,</w:t>
            </w:r>
            <w:r w:rsidR="00B12C66" w:rsidRPr="004160D3">
              <w:rPr>
                <w:rFonts w:eastAsia="Calibri"/>
                <w:color w:val="auto"/>
                <w:sz w:val="20"/>
                <w:szCs w:val="20"/>
              </w:rPr>
              <w:t xml:space="preserve"> and quicker response to climate-related disasters</w:t>
            </w:r>
            <w:r>
              <w:rPr>
                <w:rFonts w:eastAsia="Calibri"/>
                <w:color w:val="auto"/>
                <w:sz w:val="20"/>
                <w:szCs w:val="20"/>
              </w:rPr>
              <w:t>.</w:t>
            </w:r>
          </w:p>
        </w:tc>
      </w:tr>
      <w:tr w:rsidR="009F4080" w:rsidRPr="00BA050E" w14:paraId="5A16F11A" w14:textId="77777777" w:rsidTr="00F2717B">
        <w:tc>
          <w:tcPr>
            <w:tcW w:w="4668" w:type="dxa"/>
          </w:tcPr>
          <w:p w14:paraId="4A8DE2E8" w14:textId="77777777" w:rsidR="009F4080" w:rsidRPr="00BA050E" w:rsidRDefault="009F4080" w:rsidP="009F4080">
            <w:pPr>
              <w:spacing w:after="0" w:line="240" w:lineRule="auto"/>
              <w:ind w:left="0" w:right="0" w:firstLine="0"/>
              <w:jc w:val="center"/>
              <w:rPr>
                <w:rFonts w:eastAsia="Calibri"/>
                <w:b/>
                <w:color w:val="auto"/>
                <w:sz w:val="20"/>
                <w:szCs w:val="20"/>
              </w:rPr>
            </w:pPr>
            <w:r w:rsidRPr="00BA050E">
              <w:rPr>
                <w:rFonts w:eastAsia="Calibri"/>
                <w:b/>
                <w:color w:val="auto"/>
                <w:sz w:val="20"/>
                <w:szCs w:val="20"/>
              </w:rPr>
              <w:t>CPF Objective Indicators</w:t>
            </w:r>
          </w:p>
        </w:tc>
        <w:tc>
          <w:tcPr>
            <w:tcW w:w="4579" w:type="dxa"/>
          </w:tcPr>
          <w:p w14:paraId="4046B366" w14:textId="77777777" w:rsidR="009F4080" w:rsidRPr="00BA050E" w:rsidRDefault="009F4080" w:rsidP="009F4080">
            <w:pPr>
              <w:spacing w:after="60" w:line="240" w:lineRule="auto"/>
              <w:ind w:left="0" w:right="0" w:firstLine="0"/>
              <w:jc w:val="center"/>
              <w:rPr>
                <w:rFonts w:eastAsia="Calibri"/>
                <w:b/>
                <w:color w:val="auto"/>
                <w:sz w:val="20"/>
                <w:szCs w:val="20"/>
              </w:rPr>
            </w:pPr>
            <w:r w:rsidRPr="00BA050E">
              <w:rPr>
                <w:rFonts w:eastAsia="Calibri"/>
                <w:b/>
                <w:color w:val="auto"/>
                <w:sz w:val="20"/>
                <w:szCs w:val="20"/>
              </w:rPr>
              <w:t>Supplementary Progress Indicators (SPIs)</w:t>
            </w:r>
          </w:p>
        </w:tc>
        <w:tc>
          <w:tcPr>
            <w:tcW w:w="3708" w:type="dxa"/>
          </w:tcPr>
          <w:p w14:paraId="735D3714" w14:textId="77777777" w:rsidR="009F4080" w:rsidRPr="00BA050E" w:rsidRDefault="009F4080" w:rsidP="009F4080">
            <w:pPr>
              <w:spacing w:after="0" w:line="240" w:lineRule="auto"/>
              <w:ind w:left="0" w:right="0" w:firstLine="0"/>
              <w:jc w:val="center"/>
              <w:rPr>
                <w:rFonts w:eastAsia="Calibri"/>
                <w:b/>
                <w:color w:val="auto"/>
                <w:sz w:val="20"/>
                <w:szCs w:val="20"/>
              </w:rPr>
            </w:pPr>
            <w:r w:rsidRPr="00BA050E">
              <w:rPr>
                <w:rFonts w:eastAsia="Calibri"/>
                <w:b/>
                <w:color w:val="auto"/>
                <w:sz w:val="20"/>
                <w:szCs w:val="20"/>
              </w:rPr>
              <w:t>Bank Group Program</w:t>
            </w:r>
          </w:p>
        </w:tc>
      </w:tr>
      <w:tr w:rsidR="009F4080" w:rsidRPr="00BA050E" w14:paraId="7799D7E8" w14:textId="77777777" w:rsidTr="00F2717B">
        <w:tc>
          <w:tcPr>
            <w:tcW w:w="4668" w:type="dxa"/>
          </w:tcPr>
          <w:p w14:paraId="3D2C4F95"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b/>
                <w:color w:val="auto"/>
                <w:sz w:val="20"/>
                <w:szCs w:val="20"/>
              </w:rPr>
              <w:lastRenderedPageBreak/>
              <w:t xml:space="preserve">Indicator </w:t>
            </w:r>
            <w:r>
              <w:rPr>
                <w:rFonts w:eastAsia="Calibri"/>
                <w:b/>
                <w:color w:val="auto"/>
                <w:sz w:val="20"/>
                <w:szCs w:val="20"/>
              </w:rPr>
              <w:t>19</w:t>
            </w:r>
            <w:r w:rsidRPr="00BA050E">
              <w:rPr>
                <w:rFonts w:eastAsia="Calibri"/>
                <w:b/>
                <w:color w:val="auto"/>
                <w:sz w:val="20"/>
                <w:szCs w:val="20"/>
              </w:rPr>
              <w:t>:</w:t>
            </w:r>
            <w:r w:rsidRPr="00BA050E">
              <w:rPr>
                <w:rFonts w:eastAsia="Calibri"/>
                <w:color w:val="auto"/>
                <w:sz w:val="20"/>
                <w:szCs w:val="20"/>
              </w:rPr>
              <w:t xml:space="preserve"> Project l</w:t>
            </w:r>
            <w:r w:rsidRPr="00BA050E">
              <w:rPr>
                <w:rFonts w:eastAsia="Calibri"/>
                <w:sz w:val="20"/>
                <w:szCs w:val="20"/>
              </w:rPr>
              <w:t>and area under sustainable landscape management practices (corporate indicator)</w:t>
            </w:r>
          </w:p>
          <w:p w14:paraId="67F5D880"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sz w:val="20"/>
                <w:szCs w:val="20"/>
              </w:rPr>
              <w:t>Baseline: 0 ha (FY17)</w:t>
            </w:r>
          </w:p>
          <w:p w14:paraId="5D7F8A61"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sz w:val="20"/>
                <w:szCs w:val="20"/>
              </w:rPr>
              <w:t>Target:    8,650 ha (FY21)</w:t>
            </w:r>
          </w:p>
          <w:p w14:paraId="00EC89F4" w14:textId="77777777" w:rsidR="009F4080" w:rsidRPr="00BA050E" w:rsidRDefault="009F4080" w:rsidP="009F4080">
            <w:pPr>
              <w:spacing w:after="0" w:line="240" w:lineRule="auto"/>
              <w:ind w:left="0" w:right="0" w:firstLine="0"/>
              <w:jc w:val="left"/>
              <w:rPr>
                <w:rFonts w:eastAsia="Calibri"/>
                <w:sz w:val="20"/>
                <w:szCs w:val="20"/>
              </w:rPr>
            </w:pPr>
          </w:p>
          <w:p w14:paraId="0D74F989" w14:textId="77777777" w:rsidR="006F0C19" w:rsidRDefault="006F0C19" w:rsidP="009F4080">
            <w:pPr>
              <w:spacing w:after="0" w:line="240" w:lineRule="auto"/>
              <w:ind w:left="0" w:right="0" w:firstLine="0"/>
              <w:jc w:val="left"/>
              <w:rPr>
                <w:rFonts w:eastAsia="Calibri"/>
                <w:b/>
                <w:sz w:val="20"/>
                <w:szCs w:val="20"/>
              </w:rPr>
            </w:pPr>
          </w:p>
          <w:p w14:paraId="5B95B078"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b/>
                <w:sz w:val="20"/>
                <w:szCs w:val="20"/>
              </w:rPr>
              <w:t>Indicator 2</w:t>
            </w:r>
            <w:r>
              <w:rPr>
                <w:rFonts w:eastAsia="Calibri"/>
                <w:b/>
                <w:sz w:val="20"/>
                <w:szCs w:val="20"/>
              </w:rPr>
              <w:t>0</w:t>
            </w:r>
            <w:r w:rsidRPr="00BA050E">
              <w:rPr>
                <w:rFonts w:eastAsia="Calibri"/>
                <w:b/>
                <w:sz w:val="20"/>
                <w:szCs w:val="20"/>
              </w:rPr>
              <w:t>:</w:t>
            </w:r>
            <w:r w:rsidRPr="00BA050E">
              <w:rPr>
                <w:rFonts w:eastAsia="Calibri"/>
                <w:sz w:val="20"/>
                <w:szCs w:val="20"/>
              </w:rPr>
              <w:t xml:space="preserve"> Strengthened capacity to respond to climate-related disasters, as measured by </w:t>
            </w:r>
            <w:r w:rsidRPr="00BA050E">
              <w:rPr>
                <w:rFonts w:eastAsia="Calibri"/>
                <w:color w:val="auto"/>
                <w:sz w:val="20"/>
                <w:szCs w:val="20"/>
              </w:rPr>
              <w:t>rate of compliance with standard emergency response time (percentage)</w:t>
            </w:r>
          </w:p>
          <w:p w14:paraId="189FDDAD"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color w:val="auto"/>
                <w:sz w:val="20"/>
                <w:szCs w:val="20"/>
              </w:rPr>
              <w:t>Baseline: 7% (FY17)</w:t>
            </w:r>
          </w:p>
          <w:p w14:paraId="4807EB32"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color w:val="auto"/>
                <w:sz w:val="20"/>
                <w:szCs w:val="20"/>
              </w:rPr>
              <w:t>Target:    60% (FY21)</w:t>
            </w:r>
          </w:p>
        </w:tc>
        <w:tc>
          <w:tcPr>
            <w:tcW w:w="4579" w:type="dxa"/>
          </w:tcPr>
          <w:p w14:paraId="72D6C397" w14:textId="77777777" w:rsidR="009F4080" w:rsidRPr="00210505" w:rsidRDefault="009F4080" w:rsidP="009F4080">
            <w:pPr>
              <w:spacing w:after="0" w:line="240" w:lineRule="auto"/>
              <w:ind w:left="0" w:right="0" w:firstLine="0"/>
              <w:jc w:val="left"/>
              <w:rPr>
                <w:noProof/>
                <w:sz w:val="20"/>
                <w:szCs w:val="20"/>
              </w:rPr>
            </w:pPr>
            <w:r w:rsidRPr="00BA050E">
              <w:rPr>
                <w:rFonts w:eastAsia="Calibri"/>
                <w:color w:val="auto"/>
                <w:sz w:val="20"/>
                <w:szCs w:val="20"/>
              </w:rPr>
              <w:t xml:space="preserve">SPI </w:t>
            </w:r>
            <w:r>
              <w:rPr>
                <w:rFonts w:eastAsia="Calibri"/>
                <w:color w:val="auto"/>
                <w:sz w:val="20"/>
                <w:szCs w:val="20"/>
              </w:rPr>
              <w:t>2</w:t>
            </w:r>
            <w:r w:rsidR="002B54CD">
              <w:rPr>
                <w:rFonts w:eastAsia="Calibri"/>
                <w:color w:val="auto"/>
                <w:sz w:val="20"/>
                <w:szCs w:val="20"/>
              </w:rPr>
              <w:t>1</w:t>
            </w:r>
            <w:r w:rsidRPr="00BA050E">
              <w:rPr>
                <w:rFonts w:eastAsia="Calibri"/>
                <w:color w:val="auto"/>
                <w:sz w:val="20"/>
                <w:szCs w:val="20"/>
              </w:rPr>
              <w:t xml:space="preserve">: </w:t>
            </w:r>
            <w:r w:rsidRPr="0021478A">
              <w:rPr>
                <w:rFonts w:asciiTheme="minorHAnsi" w:hAnsiTheme="minorHAnsi"/>
                <w:noProof/>
                <w:sz w:val="20"/>
                <w:szCs w:val="20"/>
              </w:rPr>
              <w:t xml:space="preserve"> </w:t>
            </w:r>
            <w:r w:rsidRPr="00D77307">
              <w:rPr>
                <w:noProof/>
                <w:sz w:val="20"/>
                <w:szCs w:val="20"/>
              </w:rPr>
              <w:t>Rate of adoption of improved climate-smart technologies in agriculture</w:t>
            </w:r>
            <w:r>
              <w:rPr>
                <w:noProof/>
                <w:sz w:val="20"/>
                <w:szCs w:val="20"/>
              </w:rPr>
              <w:t xml:space="preserve"> (as a result of extension services)</w:t>
            </w:r>
          </w:p>
          <w:p w14:paraId="341A5D4F" w14:textId="77777777" w:rsidR="009F4080" w:rsidRDefault="009F4080" w:rsidP="009F4080">
            <w:pPr>
              <w:spacing w:after="0" w:line="240" w:lineRule="auto"/>
              <w:ind w:left="0" w:right="0" w:firstLine="0"/>
              <w:jc w:val="left"/>
              <w:rPr>
                <w:noProof/>
                <w:sz w:val="20"/>
                <w:szCs w:val="20"/>
              </w:rPr>
            </w:pPr>
            <w:r>
              <w:rPr>
                <w:noProof/>
                <w:sz w:val="20"/>
                <w:szCs w:val="20"/>
              </w:rPr>
              <w:t>Baseline: 0 (2016)</w:t>
            </w:r>
          </w:p>
          <w:p w14:paraId="727A7770" w14:textId="77777777" w:rsidR="009F4080" w:rsidRPr="00210505" w:rsidRDefault="009F4080" w:rsidP="009F4080">
            <w:pPr>
              <w:spacing w:after="0" w:line="240" w:lineRule="auto"/>
              <w:ind w:left="0" w:right="0" w:firstLine="0"/>
              <w:jc w:val="left"/>
              <w:rPr>
                <w:rFonts w:eastAsia="Calibri"/>
                <w:color w:val="auto"/>
                <w:sz w:val="20"/>
                <w:szCs w:val="20"/>
              </w:rPr>
            </w:pPr>
            <w:r>
              <w:rPr>
                <w:noProof/>
                <w:sz w:val="20"/>
                <w:szCs w:val="20"/>
              </w:rPr>
              <w:t>Target:    30 (2021)</w:t>
            </w:r>
          </w:p>
          <w:p w14:paraId="5F44F86D" w14:textId="77777777" w:rsidR="009F4080" w:rsidRPr="00BA050E" w:rsidRDefault="009F4080" w:rsidP="009F4080">
            <w:pPr>
              <w:spacing w:after="0" w:line="240" w:lineRule="auto"/>
              <w:ind w:left="0" w:right="0" w:firstLine="0"/>
              <w:jc w:val="left"/>
              <w:rPr>
                <w:rFonts w:eastAsia="Calibri"/>
                <w:sz w:val="20"/>
                <w:szCs w:val="20"/>
              </w:rPr>
            </w:pPr>
          </w:p>
          <w:p w14:paraId="73FB476F"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sz w:val="20"/>
                <w:szCs w:val="20"/>
              </w:rPr>
              <w:t>SPI 2</w:t>
            </w:r>
            <w:r w:rsidR="002B54CD">
              <w:rPr>
                <w:rFonts w:eastAsia="Calibri"/>
                <w:sz w:val="20"/>
                <w:szCs w:val="20"/>
              </w:rPr>
              <w:t>2</w:t>
            </w:r>
            <w:r w:rsidRPr="00BA050E">
              <w:rPr>
                <w:rFonts w:eastAsia="Calibri"/>
                <w:sz w:val="20"/>
                <w:szCs w:val="20"/>
              </w:rPr>
              <w:t>: Project area protected by robust anti-erosion rehabilitated shelterbelts (ha)</w:t>
            </w:r>
          </w:p>
          <w:p w14:paraId="09F0655D" w14:textId="77777777" w:rsidR="009F4080" w:rsidRPr="00BA050E" w:rsidRDefault="009F4080" w:rsidP="009F4080">
            <w:pPr>
              <w:spacing w:after="0" w:line="240" w:lineRule="auto"/>
              <w:ind w:left="0" w:right="0" w:firstLine="0"/>
              <w:jc w:val="left"/>
              <w:rPr>
                <w:rFonts w:eastAsia="Calibri"/>
                <w:sz w:val="20"/>
                <w:szCs w:val="20"/>
              </w:rPr>
            </w:pPr>
            <w:r w:rsidRPr="00BA050E">
              <w:rPr>
                <w:rFonts w:eastAsia="Calibri"/>
                <w:sz w:val="20"/>
                <w:szCs w:val="20"/>
              </w:rPr>
              <w:t xml:space="preserve">Baseline: 45,000 (FY17) </w:t>
            </w:r>
          </w:p>
          <w:p w14:paraId="666D53F6" w14:textId="77777777" w:rsidR="009F4080" w:rsidRPr="00BA050E" w:rsidRDefault="009F4080" w:rsidP="009F4080">
            <w:pPr>
              <w:spacing w:after="0" w:line="240" w:lineRule="auto"/>
              <w:ind w:left="0" w:right="0" w:firstLine="0"/>
              <w:jc w:val="left"/>
              <w:rPr>
                <w:rFonts w:eastAsia="Calibri"/>
                <w:color w:val="auto"/>
                <w:sz w:val="20"/>
                <w:szCs w:val="20"/>
              </w:rPr>
            </w:pPr>
            <w:r w:rsidRPr="00BA050E">
              <w:rPr>
                <w:rFonts w:eastAsia="Calibri"/>
                <w:sz w:val="20"/>
                <w:szCs w:val="20"/>
              </w:rPr>
              <w:t>Target:    50,000 (FY19)</w:t>
            </w:r>
          </w:p>
        </w:tc>
        <w:tc>
          <w:tcPr>
            <w:tcW w:w="3708" w:type="dxa"/>
          </w:tcPr>
          <w:p w14:paraId="0B3AE088"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WBG Lending:</w:t>
            </w:r>
          </w:p>
          <w:p w14:paraId="6CC484EA" w14:textId="77777777"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Moldova Agriculture Competitiveness Project and AFs (ongoing)</w:t>
            </w:r>
          </w:p>
          <w:p w14:paraId="4A2BF819" w14:textId="77777777"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Climate Adaptation Project (FY17)</w:t>
            </w:r>
          </w:p>
          <w:p w14:paraId="13D9B0ED" w14:textId="7E502E82"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 xml:space="preserve">Ongoing IFC investments in Agribusiness </w:t>
            </w:r>
            <w:r w:rsidR="00723B66">
              <w:rPr>
                <w:rFonts w:eastAsia="Calibri"/>
                <w:color w:val="auto"/>
                <w:sz w:val="20"/>
                <w:szCs w:val="20"/>
              </w:rPr>
              <w:t>(</w:t>
            </w:r>
            <w:proofErr w:type="spellStart"/>
            <w:r w:rsidR="00723B66">
              <w:rPr>
                <w:rFonts w:eastAsia="Calibri"/>
                <w:color w:val="auto"/>
                <w:sz w:val="20"/>
                <w:szCs w:val="20"/>
              </w:rPr>
              <w:t>Bostavan</w:t>
            </w:r>
            <w:proofErr w:type="spellEnd"/>
            <w:r w:rsidR="00723B66">
              <w:rPr>
                <w:rFonts w:eastAsia="Calibri"/>
                <w:color w:val="auto"/>
                <w:sz w:val="20"/>
                <w:szCs w:val="20"/>
              </w:rPr>
              <w:t xml:space="preserve">, </w:t>
            </w:r>
            <w:proofErr w:type="spellStart"/>
            <w:r w:rsidR="00723B66">
              <w:rPr>
                <w:rFonts w:eastAsia="Calibri"/>
                <w:color w:val="auto"/>
                <w:sz w:val="20"/>
                <w:szCs w:val="20"/>
              </w:rPr>
              <w:t>TransOil</w:t>
            </w:r>
            <w:proofErr w:type="spellEnd"/>
            <w:r w:rsidR="00723B66">
              <w:rPr>
                <w:rFonts w:eastAsia="Calibri"/>
                <w:color w:val="auto"/>
                <w:sz w:val="20"/>
                <w:szCs w:val="20"/>
              </w:rPr>
              <w:t>)</w:t>
            </w:r>
          </w:p>
          <w:p w14:paraId="21651F69" w14:textId="6D32B867"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 xml:space="preserve">Potential new IFC engagements in </w:t>
            </w:r>
            <w:r w:rsidR="006850F4">
              <w:rPr>
                <w:rFonts w:eastAsia="Calibri"/>
                <w:color w:val="auto"/>
                <w:sz w:val="20"/>
                <w:szCs w:val="20"/>
              </w:rPr>
              <w:t xml:space="preserve">sustainable </w:t>
            </w:r>
            <w:r w:rsidRPr="00BA050E">
              <w:rPr>
                <w:rFonts w:eastAsia="Calibri"/>
                <w:color w:val="auto"/>
                <w:sz w:val="20"/>
                <w:szCs w:val="20"/>
              </w:rPr>
              <w:t>agribusiness</w:t>
            </w:r>
          </w:p>
          <w:p w14:paraId="3F72B22C" w14:textId="77777777" w:rsidR="009F4080" w:rsidRPr="00BA050E" w:rsidRDefault="009F4080" w:rsidP="009F4080">
            <w:pPr>
              <w:spacing w:after="0" w:line="240" w:lineRule="auto"/>
              <w:ind w:left="0" w:right="0" w:firstLine="0"/>
              <w:jc w:val="left"/>
              <w:rPr>
                <w:rFonts w:eastAsia="Calibri"/>
                <w:color w:val="auto"/>
                <w:sz w:val="20"/>
                <w:szCs w:val="20"/>
              </w:rPr>
            </w:pPr>
          </w:p>
          <w:p w14:paraId="2E2A1036"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ASA:</w:t>
            </w:r>
          </w:p>
          <w:p w14:paraId="1EBCB35F" w14:textId="77777777"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Reinforcing Weather and Climate Services</w:t>
            </w:r>
          </w:p>
          <w:p w14:paraId="483A0F7D" w14:textId="77777777"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 xml:space="preserve">Study of Adoption of Climate-Adaptive Agriculture </w:t>
            </w:r>
          </w:p>
          <w:p w14:paraId="76710F4A" w14:textId="77777777" w:rsidR="009F4080" w:rsidRPr="00BA050E" w:rsidRDefault="009F4080" w:rsidP="009F4080">
            <w:pPr>
              <w:spacing w:after="0" w:line="240" w:lineRule="auto"/>
              <w:ind w:left="0" w:right="0" w:firstLine="0"/>
              <w:jc w:val="left"/>
              <w:rPr>
                <w:rFonts w:eastAsia="Calibri"/>
                <w:color w:val="auto"/>
                <w:sz w:val="20"/>
                <w:szCs w:val="20"/>
              </w:rPr>
            </w:pPr>
          </w:p>
          <w:p w14:paraId="6A6484C3" w14:textId="77777777" w:rsidR="009F4080" w:rsidRPr="00BA050E" w:rsidRDefault="009F4080" w:rsidP="009F4080">
            <w:pPr>
              <w:spacing w:after="0" w:line="240" w:lineRule="auto"/>
              <w:ind w:left="0" w:right="0" w:firstLine="0"/>
              <w:jc w:val="left"/>
              <w:rPr>
                <w:rFonts w:eastAsia="Calibri"/>
                <w:b/>
                <w:color w:val="auto"/>
                <w:sz w:val="20"/>
                <w:szCs w:val="20"/>
              </w:rPr>
            </w:pPr>
            <w:r w:rsidRPr="00BA050E">
              <w:rPr>
                <w:rFonts w:eastAsia="Calibri"/>
                <w:b/>
                <w:color w:val="auto"/>
                <w:sz w:val="20"/>
                <w:szCs w:val="20"/>
              </w:rPr>
              <w:t>Partnerships:</w:t>
            </w:r>
          </w:p>
          <w:p w14:paraId="2D4628D9" w14:textId="77777777" w:rsidR="009F4080" w:rsidRPr="00BA050E" w:rsidRDefault="009F4080" w:rsidP="009F4080">
            <w:pPr>
              <w:numPr>
                <w:ilvl w:val="0"/>
                <w:numId w:val="10"/>
              </w:numPr>
              <w:spacing w:after="0" w:line="240" w:lineRule="auto"/>
              <w:ind w:right="0"/>
              <w:contextualSpacing/>
              <w:jc w:val="left"/>
              <w:rPr>
                <w:rFonts w:eastAsia="Calibri"/>
                <w:color w:val="auto"/>
                <w:sz w:val="20"/>
                <w:szCs w:val="20"/>
              </w:rPr>
            </w:pPr>
            <w:r w:rsidRPr="00BA050E">
              <w:rPr>
                <w:rFonts w:eastAsia="Calibri"/>
                <w:color w:val="auto"/>
                <w:sz w:val="20"/>
                <w:szCs w:val="20"/>
              </w:rPr>
              <w:t>Global Environment Facility</w:t>
            </w:r>
          </w:p>
        </w:tc>
      </w:tr>
    </w:tbl>
    <w:p w14:paraId="63FCDFA2" w14:textId="77777777" w:rsidR="00867831" w:rsidRPr="00BA050E" w:rsidRDefault="00867831" w:rsidP="00867831">
      <w:pPr>
        <w:spacing w:after="0" w:line="240" w:lineRule="auto"/>
        <w:ind w:left="0" w:right="0" w:firstLine="0"/>
        <w:jc w:val="left"/>
        <w:rPr>
          <w:rFonts w:eastAsia="Calibri"/>
          <w:color w:val="auto"/>
          <w:sz w:val="22"/>
        </w:rPr>
      </w:pPr>
    </w:p>
    <w:p w14:paraId="771C2988" w14:textId="77777777" w:rsidR="009129A4" w:rsidRPr="00BA050E" w:rsidRDefault="009129A4">
      <w:pPr>
        <w:spacing w:after="0" w:line="240" w:lineRule="auto"/>
        <w:ind w:left="0" w:firstLine="0"/>
      </w:pPr>
    </w:p>
    <w:p w14:paraId="0E7244E3" w14:textId="77777777" w:rsidR="00867831" w:rsidRPr="00BA050E" w:rsidRDefault="00867831">
      <w:pPr>
        <w:spacing w:after="0" w:line="240" w:lineRule="auto"/>
        <w:ind w:left="0" w:firstLine="0"/>
      </w:pPr>
    </w:p>
    <w:p w14:paraId="50C98351" w14:textId="77777777" w:rsidR="00867831" w:rsidRPr="00BA050E" w:rsidRDefault="00867831">
      <w:pPr>
        <w:spacing w:after="0" w:line="240" w:lineRule="auto"/>
        <w:ind w:left="0" w:firstLine="0"/>
        <w:sectPr w:rsidR="00867831" w:rsidRPr="00BA050E" w:rsidSect="00EF0930">
          <w:pgSz w:w="15840" w:h="12240" w:orient="landscape" w:code="1"/>
          <w:pgMar w:top="1440" w:right="1440" w:bottom="1440" w:left="1440" w:header="720" w:footer="720" w:gutter="0"/>
          <w:pgNumType w:start="10"/>
          <w:cols w:space="720"/>
          <w:docGrid w:linePitch="360"/>
        </w:sectPr>
      </w:pPr>
    </w:p>
    <w:p w14:paraId="5DBFA5DF" w14:textId="77777777" w:rsidR="00B421B1" w:rsidRPr="00BA050E" w:rsidRDefault="00B421B1" w:rsidP="00B421B1">
      <w:pPr>
        <w:pStyle w:val="Heading1"/>
        <w:ind w:right="0"/>
        <w:rPr>
          <w:rFonts w:eastAsia="Calibri"/>
          <w:lang w:bidi="km-KH"/>
        </w:rPr>
      </w:pPr>
      <w:bookmarkStart w:id="9" w:name="_Toc484623051"/>
      <w:r w:rsidRPr="00BA050E">
        <w:rPr>
          <w:rFonts w:eastAsia="Calibri"/>
          <w:lang w:bidi="km-KH"/>
        </w:rPr>
        <w:lastRenderedPageBreak/>
        <w:t>Annex 2. Citizen Engagement</w:t>
      </w:r>
      <w:bookmarkEnd w:id="9"/>
    </w:p>
    <w:p w14:paraId="1C4B47FC" w14:textId="77777777" w:rsidR="00B421B1" w:rsidRPr="00BA050E" w:rsidRDefault="00B421B1" w:rsidP="00B421B1">
      <w:pPr>
        <w:spacing w:after="0" w:line="259" w:lineRule="auto"/>
        <w:ind w:left="0" w:right="0" w:firstLine="0"/>
        <w:jc w:val="center"/>
        <w:rPr>
          <w:rFonts w:eastAsia="Calibri"/>
          <w:color w:val="auto"/>
          <w:sz w:val="4"/>
          <w:szCs w:val="36"/>
          <w:lang w:bidi="km-KH"/>
        </w:rPr>
      </w:pPr>
    </w:p>
    <w:p w14:paraId="0F155E93" w14:textId="77777777" w:rsidR="00B421B1" w:rsidRPr="00BA050E" w:rsidRDefault="00B421B1" w:rsidP="00B421B1">
      <w:pPr>
        <w:spacing w:after="160" w:line="259" w:lineRule="auto"/>
        <w:ind w:left="0" w:right="0" w:firstLine="0"/>
        <w:contextualSpacing/>
        <w:rPr>
          <w:rFonts w:eastAsia="Calibri"/>
          <w:color w:val="auto"/>
          <w:sz w:val="22"/>
          <w:lang w:bidi="km-KH"/>
        </w:rPr>
      </w:pPr>
      <w:r w:rsidRPr="00BA050E">
        <w:rPr>
          <w:rFonts w:eastAsia="Calibri"/>
          <w:color w:val="auto"/>
          <w:sz w:val="22"/>
          <w:lang w:bidi="km-KH"/>
        </w:rPr>
        <w:t xml:space="preserve">The approach to citizen engagement in the CPF period will be focused on improving the </w:t>
      </w:r>
      <w:r w:rsidRPr="00BA050E">
        <w:rPr>
          <w:rFonts w:eastAsia="Calibri"/>
          <w:i/>
          <w:color w:val="auto"/>
          <w:sz w:val="22"/>
          <w:lang w:bidi="km-KH"/>
        </w:rPr>
        <w:t xml:space="preserve">quality </w:t>
      </w:r>
      <w:r w:rsidRPr="00BA050E">
        <w:rPr>
          <w:rFonts w:eastAsia="Calibri"/>
          <w:color w:val="auto"/>
          <w:sz w:val="22"/>
          <w:lang w:bidi="km-KH"/>
        </w:rPr>
        <w:t>of the engagement process, and (ii) maintaining the current levels of compliance and implementation. This adjusts the strategy to the findings of a portfolio review conducted in FY17 (and reported in the CLR) that indicated very good follow through in the commitments made in IPFs at approval. A Citizen Engagement Country Roadmap, summarized below, sets out five country level objectives which include compliance, standards, PIU capacity, and monitoring. These objectives will be met through eight concrete actions implemented through WB-financed operations.</w:t>
      </w:r>
    </w:p>
    <w:p w14:paraId="41D9E094" w14:textId="77777777" w:rsidR="00B421B1" w:rsidRPr="00BA050E" w:rsidRDefault="00B421B1" w:rsidP="00B421B1">
      <w:pPr>
        <w:spacing w:after="160" w:line="259" w:lineRule="auto"/>
        <w:ind w:left="0" w:right="90" w:firstLine="0"/>
        <w:contextualSpacing/>
        <w:rPr>
          <w:rFonts w:eastAsia="Calibri"/>
          <w:color w:val="auto"/>
          <w:sz w:val="18"/>
          <w:szCs w:val="18"/>
          <w:lang w:bidi="km-KH"/>
        </w:rPr>
      </w:pPr>
    </w:p>
    <w:p w14:paraId="5E8969ED" w14:textId="77777777" w:rsidR="00B421B1" w:rsidRPr="00BA050E" w:rsidRDefault="00B421B1" w:rsidP="00B421B1">
      <w:pPr>
        <w:spacing w:after="160" w:line="259" w:lineRule="auto"/>
        <w:ind w:left="0" w:right="0" w:firstLine="0"/>
        <w:contextualSpacing/>
        <w:rPr>
          <w:rFonts w:eastAsia="Calibri"/>
          <w:color w:val="auto"/>
          <w:sz w:val="22"/>
          <w:lang w:bidi="km-KH"/>
        </w:rPr>
      </w:pPr>
      <w:r w:rsidRPr="00BA050E">
        <w:rPr>
          <w:rFonts w:eastAsia="Calibri"/>
          <w:color w:val="auto"/>
          <w:sz w:val="22"/>
          <w:lang w:bidi="km-KH"/>
        </w:rPr>
        <w:t>A primary focus of the engagement will also include effort to develop three transformational platforms through which the CPF will seek higher levels of impact. The sectors selected for these three areas are: roads, education and land. These target platforms are intended to develop and intensify: (i) links between citizen monitoring and information flows (creating informed monitoring); (ii) constructive engagement, trust building and dialogue (by utilizing CE mechanisms that ensure a state-non-state interface); (iii) youth voice and accountability (through youth-led approaches); and (iv) inclusive mechanisms that are proactive in reaching marginalized groups (through a vulnerability filter). Follow-up citizen engagement reviews will be undertaken prior to the PLR and CLR.</w:t>
      </w:r>
    </w:p>
    <w:p w14:paraId="58B192F8" w14:textId="77777777" w:rsidR="00B421B1" w:rsidRPr="00BA050E" w:rsidRDefault="00B421B1" w:rsidP="00B421B1">
      <w:pPr>
        <w:spacing w:after="160" w:line="259" w:lineRule="auto"/>
        <w:ind w:left="0" w:right="0" w:firstLine="0"/>
        <w:contextualSpacing/>
        <w:rPr>
          <w:rFonts w:eastAsia="Calibri"/>
          <w:color w:val="auto"/>
          <w:sz w:val="18"/>
          <w:szCs w:val="18"/>
          <w:lang w:bidi="km-KH"/>
        </w:rPr>
      </w:pPr>
    </w:p>
    <w:p w14:paraId="2F60272F" w14:textId="77777777" w:rsidR="00B421B1" w:rsidRPr="00BA050E" w:rsidRDefault="00B421B1" w:rsidP="00B421B1">
      <w:pPr>
        <w:spacing w:after="160" w:line="259" w:lineRule="auto"/>
        <w:ind w:left="-180" w:right="0" w:firstLine="0"/>
        <w:contextualSpacing/>
        <w:jc w:val="center"/>
        <w:sectPr w:rsidR="00B421B1" w:rsidRPr="00BA050E" w:rsidSect="00EF0930">
          <w:pgSz w:w="12240" w:h="15840" w:code="1"/>
          <w:pgMar w:top="1440" w:right="1440" w:bottom="1440" w:left="1440" w:header="720" w:footer="720" w:gutter="0"/>
          <w:pgNumType w:start="18"/>
          <w:cols w:space="720"/>
          <w:docGrid w:linePitch="360"/>
        </w:sectPr>
      </w:pPr>
      <w:r w:rsidRPr="00BA050E">
        <w:rPr>
          <w:rFonts w:ascii="Calibri" w:eastAsia="Calibri" w:hAnsi="Calibri" w:cs="DaunPenh"/>
          <w:noProof/>
          <w:color w:val="auto"/>
          <w:sz w:val="22"/>
          <w:szCs w:val="36"/>
        </w:rPr>
        <w:drawing>
          <wp:inline distT="0" distB="0" distL="0" distR="0" wp14:anchorId="6ED18507" wp14:editId="76E958B9">
            <wp:extent cx="6216650" cy="4536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7883" cy="4537374"/>
                    </a:xfrm>
                    <a:prstGeom prst="rect">
                      <a:avLst/>
                    </a:prstGeom>
                  </pic:spPr>
                </pic:pic>
              </a:graphicData>
            </a:graphic>
          </wp:inline>
        </w:drawing>
      </w:r>
    </w:p>
    <w:p w14:paraId="16CC0FEB" w14:textId="77777777" w:rsidR="00B421B1" w:rsidRPr="00BA050E" w:rsidRDefault="00B421B1">
      <w:pPr>
        <w:spacing w:after="0" w:line="240" w:lineRule="auto"/>
        <w:ind w:left="0" w:firstLine="0"/>
      </w:pPr>
    </w:p>
    <w:p w14:paraId="2D8B55AE" w14:textId="77777777" w:rsidR="00B421B1" w:rsidRPr="00BA050E" w:rsidRDefault="00B421B1">
      <w:pPr>
        <w:spacing w:after="0" w:line="240" w:lineRule="auto"/>
        <w:ind w:left="0" w:firstLine="0"/>
        <w:sectPr w:rsidR="00B421B1" w:rsidRPr="00BA050E" w:rsidSect="00B421B1">
          <w:type w:val="continuous"/>
          <w:pgSz w:w="12240" w:h="15840" w:code="1"/>
          <w:pgMar w:top="1440" w:right="1440" w:bottom="1440" w:left="1440" w:header="720" w:footer="720" w:gutter="0"/>
          <w:pgNumType w:fmt="lowerRoman" w:start="1"/>
          <w:cols w:space="720"/>
          <w:docGrid w:linePitch="360"/>
        </w:sectPr>
      </w:pPr>
    </w:p>
    <w:p w14:paraId="5562CD99" w14:textId="77777777" w:rsidR="007B50E8" w:rsidRPr="00BA050E" w:rsidRDefault="007B50E8" w:rsidP="007658D8">
      <w:pPr>
        <w:pStyle w:val="Heading1"/>
        <w:ind w:left="0" w:right="0"/>
      </w:pPr>
      <w:bookmarkStart w:id="10" w:name="_Toc145088"/>
      <w:bookmarkStart w:id="11" w:name="_Toc484623052"/>
      <w:r w:rsidRPr="00BA050E">
        <w:lastRenderedPageBreak/>
        <w:t xml:space="preserve">Annex 3. </w:t>
      </w:r>
      <w:r w:rsidR="005A49AB">
        <w:t>Moldova: FY14-17 CPS Completion and Learning Review</w:t>
      </w:r>
      <w:bookmarkEnd w:id="10"/>
      <w:bookmarkEnd w:id="11"/>
    </w:p>
    <w:p w14:paraId="4A765B2C" w14:textId="77777777" w:rsidR="00B44D67" w:rsidRPr="00BA050E" w:rsidRDefault="00B44D67" w:rsidP="00B44D67">
      <w:pPr>
        <w:spacing w:after="0" w:line="240" w:lineRule="auto"/>
        <w:ind w:left="-14" w:right="0" w:firstLine="0"/>
        <w:jc w:val="left"/>
        <w:rPr>
          <w:sz w:val="22"/>
        </w:rPr>
      </w:pPr>
      <w:r w:rsidRPr="00BA050E">
        <w:rPr>
          <w:sz w:val="22"/>
        </w:rPr>
        <w:t>Date of CPS (FY14-17): August 9, 2013 (Report No. 79701-MD)</w:t>
      </w:r>
    </w:p>
    <w:p w14:paraId="399472BD" w14:textId="77777777" w:rsidR="00B44D67" w:rsidRPr="00BA050E" w:rsidRDefault="00B44D67" w:rsidP="00B44D67">
      <w:pPr>
        <w:spacing w:after="0" w:line="240" w:lineRule="auto"/>
        <w:ind w:left="-14" w:right="0" w:firstLine="0"/>
        <w:jc w:val="left"/>
        <w:rPr>
          <w:sz w:val="22"/>
        </w:rPr>
      </w:pPr>
      <w:r w:rsidRPr="00BA050E">
        <w:rPr>
          <w:sz w:val="22"/>
        </w:rPr>
        <w:t>Date of CPS Performance and Learning Review: April 25, 2016 (Report No. 105716-MD)</w:t>
      </w:r>
    </w:p>
    <w:p w14:paraId="0F0288A4" w14:textId="77777777" w:rsidR="00B44D67" w:rsidRPr="00BA050E" w:rsidRDefault="00B44D67" w:rsidP="00B44D67">
      <w:pPr>
        <w:spacing w:after="0" w:line="240" w:lineRule="auto"/>
        <w:ind w:left="-14" w:right="0" w:firstLine="0"/>
        <w:jc w:val="left"/>
        <w:rPr>
          <w:sz w:val="22"/>
        </w:rPr>
      </w:pPr>
      <w:r w:rsidRPr="00BA050E">
        <w:rPr>
          <w:sz w:val="22"/>
        </w:rPr>
        <w:t>Period Covered by Completion and Learning Review: July 1, 2013 to June 30, 2017</w:t>
      </w:r>
    </w:p>
    <w:p w14:paraId="6F40B618" w14:textId="77777777" w:rsidR="00B44D67" w:rsidRPr="00BA050E" w:rsidRDefault="00B44D67" w:rsidP="00B44D67">
      <w:pPr>
        <w:spacing w:after="0" w:line="259" w:lineRule="auto"/>
        <w:ind w:left="0" w:right="0" w:firstLine="0"/>
        <w:jc w:val="left"/>
      </w:pPr>
    </w:p>
    <w:p w14:paraId="2096B19A" w14:textId="77777777" w:rsidR="00B44D67" w:rsidRDefault="00B44D67" w:rsidP="006D2153">
      <w:pPr>
        <w:numPr>
          <w:ilvl w:val="0"/>
          <w:numId w:val="28"/>
        </w:numPr>
        <w:tabs>
          <w:tab w:val="center" w:pos="2833"/>
          <w:tab w:val="center" w:pos="5219"/>
        </w:tabs>
        <w:spacing w:after="0" w:line="259" w:lineRule="auto"/>
        <w:ind w:right="0"/>
        <w:contextualSpacing/>
        <w:jc w:val="left"/>
        <w:rPr>
          <w:b/>
        </w:rPr>
      </w:pPr>
      <w:r w:rsidRPr="00BA050E">
        <w:rPr>
          <w:b/>
        </w:rPr>
        <w:t>SUMMARY OF KEY FINDINGS</w:t>
      </w:r>
    </w:p>
    <w:p w14:paraId="50283696" w14:textId="77777777" w:rsidR="00B44D67" w:rsidRPr="00DD2C15" w:rsidRDefault="00B44D67" w:rsidP="00B44D67">
      <w:pPr>
        <w:tabs>
          <w:tab w:val="center" w:pos="2833"/>
          <w:tab w:val="center" w:pos="5219"/>
        </w:tabs>
        <w:spacing w:after="0" w:line="259" w:lineRule="auto"/>
        <w:ind w:right="0"/>
        <w:contextualSpacing/>
        <w:jc w:val="left"/>
        <w:rPr>
          <w:b/>
        </w:rPr>
      </w:pPr>
    </w:p>
    <w:p w14:paraId="31C309EF" w14:textId="77777777" w:rsidR="00B44D67" w:rsidRPr="00BA050E" w:rsidRDefault="00B44D67" w:rsidP="00B44D67">
      <w:pPr>
        <w:numPr>
          <w:ilvl w:val="0"/>
          <w:numId w:val="3"/>
        </w:numPr>
        <w:spacing w:after="0" w:line="240" w:lineRule="auto"/>
        <w:ind w:left="14" w:right="101" w:hanging="14"/>
        <w:rPr>
          <w:sz w:val="22"/>
        </w:rPr>
      </w:pPr>
      <w:r w:rsidRPr="00BA050E">
        <w:rPr>
          <w:b/>
          <w:sz w:val="22"/>
        </w:rPr>
        <w:t>The FY14-17 CPS was prepared in the context of continuing political instability, worsening governance indicators,</w:t>
      </w:r>
      <w:r w:rsidRPr="00BA050E">
        <w:rPr>
          <w:b/>
          <w:sz w:val="20"/>
          <w:vertAlign w:val="superscript"/>
        </w:rPr>
        <w:footnoteReference w:id="5"/>
      </w:r>
      <w:r w:rsidRPr="00BA050E">
        <w:rPr>
          <w:b/>
          <w:sz w:val="22"/>
        </w:rPr>
        <w:t xml:space="preserve"> and an economy that, after growth averaging 5 percent annually since the early 2000s, had slowed and remained vulnerable to euro-zone and other regional challenges, as well as climate-induced droughts and a massive banking fraud.  </w:t>
      </w:r>
      <w:r w:rsidRPr="00BA050E">
        <w:rPr>
          <w:sz w:val="22"/>
        </w:rPr>
        <w:t xml:space="preserve">The CPS was organized around three pillars: </w:t>
      </w:r>
      <w:r w:rsidRPr="00BA050E">
        <w:rPr>
          <w:i/>
          <w:sz w:val="22"/>
        </w:rPr>
        <w:t>Increasing Competitiveness</w:t>
      </w:r>
      <w:r w:rsidRPr="00BA050E">
        <w:rPr>
          <w:sz w:val="22"/>
        </w:rPr>
        <w:t xml:space="preserve">; </w:t>
      </w:r>
      <w:r w:rsidRPr="00BA050E">
        <w:rPr>
          <w:i/>
          <w:sz w:val="22"/>
        </w:rPr>
        <w:t>Enhancing Human Capital and Minimizing Social Risks</w:t>
      </w:r>
      <w:r w:rsidRPr="00BA050E">
        <w:rPr>
          <w:sz w:val="22"/>
        </w:rPr>
        <w:t xml:space="preserve">; and </w:t>
      </w:r>
      <w:r w:rsidRPr="00BA050E">
        <w:rPr>
          <w:i/>
          <w:sz w:val="22"/>
        </w:rPr>
        <w:t>Promoting a Green, Clean, and Resilient Moldova</w:t>
      </w:r>
      <w:r w:rsidRPr="00BA050E">
        <w:rPr>
          <w:sz w:val="22"/>
        </w:rPr>
        <w:t xml:space="preserve">―with </w:t>
      </w:r>
      <w:r w:rsidRPr="00BA050E">
        <w:rPr>
          <w:i/>
          <w:sz w:val="22"/>
        </w:rPr>
        <w:t>Governance</w:t>
      </w:r>
      <w:r w:rsidRPr="00BA050E">
        <w:rPr>
          <w:sz w:val="22"/>
        </w:rPr>
        <w:t>, especially in the public sector, a cross-cutting, underlying theme. Anchored in the country’s National Development Strategy (NDS)―</w:t>
      </w:r>
      <w:r w:rsidRPr="00BA050E">
        <w:rPr>
          <w:i/>
          <w:sz w:val="22"/>
        </w:rPr>
        <w:t>Moldova 2020</w:t>
      </w:r>
      <w:r w:rsidRPr="00BA050E">
        <w:rPr>
          <w:sz w:val="22"/>
        </w:rPr>
        <w:t>, it was also aligned with the government’s agenda for closer relations with Europe, leading to the signing of an Association Agreement (AA) and a Deep and Comprehensive Free Trade Area Agreement (DCFTA) with the European Union (EU) in June 2014.</w:t>
      </w:r>
    </w:p>
    <w:p w14:paraId="2260EFD1" w14:textId="77777777" w:rsidR="00B44D67" w:rsidRPr="00BA050E" w:rsidRDefault="00B44D67" w:rsidP="00B44D67">
      <w:pPr>
        <w:spacing w:after="0" w:line="259" w:lineRule="auto"/>
        <w:ind w:right="0"/>
        <w:jc w:val="left"/>
        <w:rPr>
          <w:sz w:val="22"/>
        </w:rPr>
      </w:pPr>
    </w:p>
    <w:p w14:paraId="7BDCDE2B" w14:textId="77777777" w:rsidR="00B44D67" w:rsidRPr="00BA050E" w:rsidRDefault="00B44D67" w:rsidP="00B44D67">
      <w:pPr>
        <w:numPr>
          <w:ilvl w:val="0"/>
          <w:numId w:val="3"/>
        </w:numPr>
        <w:spacing w:after="0" w:line="240" w:lineRule="auto"/>
        <w:ind w:right="101" w:hanging="14"/>
        <w:rPr>
          <w:sz w:val="22"/>
        </w:rPr>
      </w:pPr>
      <w:r w:rsidRPr="00BA050E">
        <w:rPr>
          <w:b/>
          <w:sz w:val="22"/>
        </w:rPr>
        <w:t>The FY16 Performance and Learning Review (PLR) concluded that the CPS was on track and that its strategic areas of focus remained valid, but cautioned that further progress would depend upon stronger commitment by the authorities to improved governance.</w:t>
      </w:r>
      <w:r w:rsidRPr="00BA050E">
        <w:rPr>
          <w:b/>
          <w:sz w:val="22"/>
          <w:vertAlign w:val="superscript"/>
        </w:rPr>
        <w:footnoteReference w:id="6"/>
      </w:r>
      <w:r w:rsidRPr="00BA050E">
        <w:rPr>
          <w:b/>
          <w:sz w:val="22"/>
        </w:rPr>
        <w:t xml:space="preserve">  </w:t>
      </w:r>
      <w:r w:rsidRPr="00BA050E">
        <w:rPr>
          <w:sz w:val="22"/>
        </w:rPr>
        <w:t>For instance, actions</w:t>
      </w:r>
      <w:r w:rsidRPr="00BA050E">
        <w:rPr>
          <w:b/>
          <w:sz w:val="22"/>
        </w:rPr>
        <w:t xml:space="preserve"> </w:t>
      </w:r>
      <w:r w:rsidRPr="00BA050E">
        <w:rPr>
          <w:sz w:val="22"/>
        </w:rPr>
        <w:t>intended to increase competitiveness were being undermined by systemic corruption, exemplified by the fraud and collapse of three large banks in late 2014 resulting in losses equivalent to about 12 percent of GDP. Other outcomes, such as those relating to the efficiency and quality of education, health, and social assistance services, were at risk because of delayed policy decisions and frequent changes in personnel. Looking ahead, the PLR urged the Bank Group to be less sanguine about institutional integrity and political commitment to reform and, at the same time, to address governance challenges more directly.</w:t>
      </w:r>
    </w:p>
    <w:p w14:paraId="63440F21" w14:textId="77777777" w:rsidR="00B44D67" w:rsidRPr="00BA050E" w:rsidRDefault="00B44D67" w:rsidP="00B44D67">
      <w:pPr>
        <w:spacing w:after="0" w:line="240" w:lineRule="auto"/>
        <w:ind w:left="0" w:right="0" w:firstLine="0"/>
        <w:jc w:val="left"/>
        <w:rPr>
          <w:sz w:val="22"/>
        </w:rPr>
      </w:pPr>
    </w:p>
    <w:p w14:paraId="45055A67" w14:textId="77777777" w:rsidR="00B44D67" w:rsidRPr="00BA050E" w:rsidRDefault="00B44D67" w:rsidP="00B44D67">
      <w:pPr>
        <w:spacing w:after="0" w:line="240" w:lineRule="auto"/>
        <w:ind w:left="-5" w:right="0" w:hanging="10"/>
        <w:jc w:val="left"/>
        <w:rPr>
          <w:sz w:val="22"/>
        </w:rPr>
      </w:pPr>
      <w:r w:rsidRPr="00BA050E">
        <w:rPr>
          <w:b/>
          <w:i/>
          <w:sz w:val="22"/>
        </w:rPr>
        <w:t>Development Outcome</w:t>
      </w:r>
    </w:p>
    <w:p w14:paraId="7969ED18" w14:textId="77777777" w:rsidR="00B44D67" w:rsidRPr="00BA050E" w:rsidRDefault="00B44D67" w:rsidP="00B44D67">
      <w:pPr>
        <w:spacing w:after="0" w:line="259" w:lineRule="auto"/>
        <w:ind w:left="0" w:right="0" w:firstLine="0"/>
        <w:jc w:val="left"/>
        <w:rPr>
          <w:sz w:val="22"/>
        </w:rPr>
      </w:pPr>
    </w:p>
    <w:p w14:paraId="6FB99D17" w14:textId="77777777" w:rsidR="00B44D67" w:rsidRPr="00BA050E" w:rsidRDefault="00B44D67" w:rsidP="00B44D67">
      <w:pPr>
        <w:numPr>
          <w:ilvl w:val="0"/>
          <w:numId w:val="3"/>
        </w:numPr>
        <w:spacing w:after="0" w:line="240" w:lineRule="auto"/>
        <w:ind w:right="101" w:hanging="14"/>
        <w:rPr>
          <w:sz w:val="22"/>
        </w:rPr>
      </w:pPr>
      <w:r w:rsidRPr="00BA050E">
        <w:rPr>
          <w:b/>
          <w:sz w:val="22"/>
        </w:rPr>
        <w:t xml:space="preserve">The development outcome of the FY14-17 CPS overall is rated as </w:t>
      </w:r>
      <w:r w:rsidRPr="00BA050E">
        <w:rPr>
          <w:b/>
          <w:i/>
          <w:sz w:val="22"/>
        </w:rPr>
        <w:t>Moderately</w:t>
      </w:r>
      <w:r w:rsidRPr="00BA050E">
        <w:rPr>
          <w:b/>
          <w:sz w:val="22"/>
        </w:rPr>
        <w:t xml:space="preserve"> </w:t>
      </w:r>
      <w:r w:rsidRPr="00BA050E">
        <w:rPr>
          <w:b/>
          <w:i/>
          <w:sz w:val="22"/>
        </w:rPr>
        <w:t>Satisfactory</w:t>
      </w:r>
      <w:r w:rsidRPr="00BA050E">
        <w:rPr>
          <w:b/>
          <w:sz w:val="22"/>
        </w:rPr>
        <w:t xml:space="preserve">. </w:t>
      </w:r>
      <w:r w:rsidRPr="00BA050E">
        <w:rPr>
          <w:sz w:val="22"/>
        </w:rPr>
        <w:t xml:space="preserve">This assessment is justified by the positive results recorded under the </w:t>
      </w:r>
      <w:r w:rsidRPr="00BA050E">
        <w:rPr>
          <w:i/>
          <w:sz w:val="22"/>
        </w:rPr>
        <w:t>Increasing Competitiveness</w:t>
      </w:r>
      <w:r w:rsidRPr="00BA050E">
        <w:rPr>
          <w:sz w:val="22"/>
        </w:rPr>
        <w:t xml:space="preserve"> and </w:t>
      </w:r>
      <w:r w:rsidRPr="00BA050E">
        <w:rPr>
          <w:i/>
          <w:sz w:val="22"/>
        </w:rPr>
        <w:t xml:space="preserve">Promoting a Green, Clean, and Resilient Moldova </w:t>
      </w:r>
      <w:r w:rsidRPr="00BA050E">
        <w:rPr>
          <w:sz w:val="22"/>
        </w:rPr>
        <w:t xml:space="preserve">pillars, where 10 of 15 outcomes, or two-thirds, were achieved or mostly achieved, and the </w:t>
      </w:r>
      <w:r w:rsidRPr="00BA050E">
        <w:rPr>
          <w:i/>
          <w:sz w:val="22"/>
        </w:rPr>
        <w:t>Governance</w:t>
      </w:r>
      <w:r w:rsidRPr="00BA050E">
        <w:rPr>
          <w:sz w:val="22"/>
        </w:rPr>
        <w:t xml:space="preserve"> theme, where 7 of 13 outcomes, or 54 percent, were achieved or mostly achieved and 5 partially achieved. By contrast, results under </w:t>
      </w:r>
      <w:r w:rsidRPr="00BA050E">
        <w:rPr>
          <w:i/>
          <w:sz w:val="22"/>
        </w:rPr>
        <w:t>Enhancing Human Capital and Minimizing Social Risks</w:t>
      </w:r>
      <w:r w:rsidRPr="00BA050E">
        <w:rPr>
          <w:sz w:val="22"/>
        </w:rPr>
        <w:t xml:space="preserve"> were modest, with only 3 of 6 outcomes partially achieved, due to weak commitment to policy reforms and the frequent changes in key education and health ministry personnel noted in the PLR. On the other hand, these ostensibly disappointing scores do not reflect broader sector-wide progress achieved in the quality of general education, captured in 2015 PISA</w:t>
      </w:r>
      <w:r w:rsidRPr="00BA050E">
        <w:rPr>
          <w:sz w:val="20"/>
          <w:vertAlign w:val="superscript"/>
        </w:rPr>
        <w:footnoteReference w:id="7"/>
      </w:r>
      <w:r w:rsidRPr="00BA050E">
        <w:rPr>
          <w:sz w:val="22"/>
        </w:rPr>
        <w:t xml:space="preserve"> data for example, nor the fact that at least two indicators unrelated to Bank Group activities were arguably inappropriate. Table 1 below summarizes CPS outcome ratings by pillar. No major shortcomings were identified.</w:t>
      </w:r>
    </w:p>
    <w:p w14:paraId="3ECC606F" w14:textId="77777777" w:rsidR="00B44D67" w:rsidRPr="00BA050E" w:rsidRDefault="00B44D67" w:rsidP="00B44D67">
      <w:pPr>
        <w:spacing w:after="12"/>
        <w:ind w:left="0" w:right="0" w:firstLine="0"/>
        <w:jc w:val="center"/>
        <w:rPr>
          <w:sz w:val="22"/>
        </w:rPr>
      </w:pPr>
      <w:r w:rsidRPr="00BA050E">
        <w:rPr>
          <w:b/>
          <w:sz w:val="22"/>
        </w:rPr>
        <w:lastRenderedPageBreak/>
        <w:t>Table 1. Summary of outcome ratings</w:t>
      </w:r>
    </w:p>
    <w:tbl>
      <w:tblPr>
        <w:tblStyle w:val="TableGrid10"/>
        <w:tblW w:w="9152" w:type="dxa"/>
        <w:tblInd w:w="113" w:type="dxa"/>
        <w:tblCellMar>
          <w:top w:w="88" w:type="dxa"/>
          <w:left w:w="80" w:type="dxa"/>
          <w:right w:w="39" w:type="dxa"/>
        </w:tblCellMar>
        <w:tblLook w:val="04A0" w:firstRow="1" w:lastRow="0" w:firstColumn="1" w:lastColumn="0" w:noHBand="0" w:noVBand="1"/>
      </w:tblPr>
      <w:tblGrid>
        <w:gridCol w:w="2402"/>
        <w:gridCol w:w="1260"/>
        <w:gridCol w:w="1080"/>
        <w:gridCol w:w="1170"/>
        <w:gridCol w:w="1170"/>
        <w:gridCol w:w="1023"/>
        <w:gridCol w:w="1047"/>
      </w:tblGrid>
      <w:tr w:rsidR="00B44D67" w:rsidRPr="00BA050E" w14:paraId="09937D1D" w14:textId="77777777" w:rsidTr="00241C66">
        <w:trPr>
          <w:trHeight w:val="775"/>
        </w:trPr>
        <w:tc>
          <w:tcPr>
            <w:tcW w:w="2402" w:type="dxa"/>
            <w:tcBorders>
              <w:top w:val="single" w:sz="4" w:space="0" w:color="000000"/>
              <w:left w:val="single" w:sz="4" w:space="0" w:color="000000"/>
              <w:bottom w:val="single" w:sz="4" w:space="0" w:color="000000"/>
              <w:right w:val="single" w:sz="4" w:space="0" w:color="000000"/>
            </w:tcBorders>
          </w:tcPr>
          <w:p w14:paraId="419C5D83" w14:textId="77777777" w:rsidR="00B44D67" w:rsidRPr="00BA050E" w:rsidRDefault="00B44D67" w:rsidP="00241C66">
            <w:pPr>
              <w:spacing w:after="0" w:line="259" w:lineRule="auto"/>
              <w:ind w:left="0" w:right="0" w:firstLine="0"/>
              <w:jc w:val="center"/>
              <w:rPr>
                <w:sz w:val="22"/>
              </w:rPr>
            </w:pPr>
          </w:p>
          <w:p w14:paraId="26BC469B" w14:textId="77777777" w:rsidR="00B44D67" w:rsidRPr="00BA050E" w:rsidRDefault="00B44D67" w:rsidP="00241C66">
            <w:pPr>
              <w:spacing w:after="0" w:line="259" w:lineRule="auto"/>
              <w:ind w:left="0" w:right="0" w:firstLine="0"/>
              <w:jc w:val="center"/>
              <w:rPr>
                <w:sz w:val="22"/>
              </w:rPr>
            </w:pPr>
            <w:r w:rsidRPr="00BA050E">
              <w:rPr>
                <w:sz w:val="22"/>
              </w:rPr>
              <w:t>Pillar</w:t>
            </w:r>
          </w:p>
        </w:tc>
        <w:tc>
          <w:tcPr>
            <w:tcW w:w="1260" w:type="dxa"/>
            <w:tcBorders>
              <w:top w:val="single" w:sz="4" w:space="0" w:color="000000"/>
              <w:left w:val="single" w:sz="4" w:space="0" w:color="000000"/>
              <w:bottom w:val="single" w:sz="4" w:space="0" w:color="000000"/>
              <w:right w:val="single" w:sz="4" w:space="0" w:color="000000"/>
            </w:tcBorders>
          </w:tcPr>
          <w:p w14:paraId="1FED5DE2" w14:textId="77777777" w:rsidR="00B44D67" w:rsidRPr="00BA050E" w:rsidRDefault="00B44D67" w:rsidP="00241C66">
            <w:pPr>
              <w:spacing w:after="0" w:line="240" w:lineRule="auto"/>
              <w:ind w:left="0" w:right="0" w:firstLine="0"/>
              <w:jc w:val="center"/>
              <w:rPr>
                <w:sz w:val="22"/>
              </w:rPr>
            </w:pPr>
            <w:r w:rsidRPr="00BA050E">
              <w:rPr>
                <w:sz w:val="22"/>
              </w:rPr>
              <w:t>No. of outcomes</w:t>
            </w:r>
            <w:r w:rsidRPr="00BA050E">
              <w:rPr>
                <w:rFonts w:ascii="Arial" w:eastAsia="Arial" w:hAnsi="Arial" w:cs="Arial"/>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0377C11" w14:textId="77777777" w:rsidR="00B44D67" w:rsidRPr="00BA050E" w:rsidRDefault="00B44D67" w:rsidP="00241C66">
            <w:pPr>
              <w:spacing w:after="0" w:line="259" w:lineRule="auto"/>
              <w:ind w:left="0" w:right="40" w:firstLine="0"/>
              <w:jc w:val="center"/>
              <w:rPr>
                <w:sz w:val="22"/>
              </w:rPr>
            </w:pPr>
            <w:r w:rsidRPr="00BA050E">
              <w:rPr>
                <w:sz w:val="22"/>
              </w:rPr>
              <w:t>Achieved</w:t>
            </w:r>
          </w:p>
        </w:tc>
        <w:tc>
          <w:tcPr>
            <w:tcW w:w="1170" w:type="dxa"/>
            <w:tcBorders>
              <w:top w:val="single" w:sz="4" w:space="0" w:color="000000"/>
              <w:left w:val="single" w:sz="4" w:space="0" w:color="000000"/>
              <w:bottom w:val="single" w:sz="4" w:space="0" w:color="000000"/>
              <w:right w:val="single" w:sz="4" w:space="0" w:color="000000"/>
            </w:tcBorders>
          </w:tcPr>
          <w:p w14:paraId="1B9F97A2" w14:textId="77777777" w:rsidR="00B44D67" w:rsidRPr="00BA050E" w:rsidRDefault="00B44D67" w:rsidP="00241C66">
            <w:pPr>
              <w:spacing w:after="0" w:line="240" w:lineRule="auto"/>
              <w:ind w:left="0" w:right="0" w:firstLine="0"/>
              <w:jc w:val="center"/>
              <w:rPr>
                <w:sz w:val="22"/>
              </w:rPr>
            </w:pPr>
            <w:r w:rsidRPr="00BA050E">
              <w:rPr>
                <w:sz w:val="22"/>
              </w:rPr>
              <w:t>Mostly Achieved</w:t>
            </w:r>
            <w:r w:rsidRPr="00BA050E">
              <w:rPr>
                <w:rFonts w:ascii="Arial" w:eastAsia="Arial" w:hAnsi="Arial" w:cs="Arial"/>
                <w:sz w:val="22"/>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488D447" w14:textId="77777777" w:rsidR="00B44D67" w:rsidRPr="00BA050E" w:rsidRDefault="00B44D67" w:rsidP="00241C66">
            <w:pPr>
              <w:spacing w:after="0" w:line="240" w:lineRule="auto"/>
              <w:ind w:left="0" w:right="44" w:firstLine="0"/>
              <w:jc w:val="center"/>
              <w:rPr>
                <w:sz w:val="22"/>
              </w:rPr>
            </w:pPr>
            <w:r w:rsidRPr="00BA050E">
              <w:rPr>
                <w:sz w:val="22"/>
              </w:rPr>
              <w:t xml:space="preserve">Partially </w:t>
            </w:r>
          </w:p>
          <w:p w14:paraId="20448B00" w14:textId="77777777" w:rsidR="00B44D67" w:rsidRPr="00BA050E" w:rsidRDefault="00B44D67" w:rsidP="00241C66">
            <w:pPr>
              <w:spacing w:after="0" w:line="240" w:lineRule="auto"/>
              <w:ind w:left="0" w:right="42" w:firstLine="0"/>
              <w:jc w:val="center"/>
              <w:rPr>
                <w:sz w:val="22"/>
              </w:rPr>
            </w:pPr>
            <w:r w:rsidRPr="00BA050E">
              <w:rPr>
                <w:sz w:val="22"/>
              </w:rPr>
              <w:t>Achieved</w:t>
            </w:r>
            <w:r w:rsidRPr="00BA050E">
              <w:rPr>
                <w:rFonts w:ascii="Arial" w:eastAsia="Arial" w:hAnsi="Arial" w:cs="Arial"/>
                <w:sz w:val="22"/>
              </w:rPr>
              <w:t xml:space="preserve"> </w:t>
            </w:r>
          </w:p>
        </w:tc>
        <w:tc>
          <w:tcPr>
            <w:tcW w:w="1023" w:type="dxa"/>
            <w:tcBorders>
              <w:top w:val="single" w:sz="4" w:space="0" w:color="000000"/>
              <w:left w:val="single" w:sz="4" w:space="0" w:color="000000"/>
              <w:bottom w:val="single" w:sz="4" w:space="0" w:color="000000"/>
              <w:right w:val="single" w:sz="4" w:space="0" w:color="000000"/>
            </w:tcBorders>
          </w:tcPr>
          <w:p w14:paraId="0095455D" w14:textId="77777777" w:rsidR="00B44D67" w:rsidRPr="00BA050E" w:rsidRDefault="00B44D67" w:rsidP="00241C66">
            <w:pPr>
              <w:spacing w:after="0" w:line="259" w:lineRule="auto"/>
              <w:ind w:left="19" w:right="0" w:firstLine="0"/>
              <w:jc w:val="center"/>
              <w:rPr>
                <w:sz w:val="22"/>
              </w:rPr>
            </w:pPr>
            <w:r w:rsidRPr="00BA050E">
              <w:rPr>
                <w:sz w:val="22"/>
              </w:rPr>
              <w:t>Not Achieved</w:t>
            </w:r>
          </w:p>
        </w:tc>
        <w:tc>
          <w:tcPr>
            <w:tcW w:w="1047" w:type="dxa"/>
            <w:tcBorders>
              <w:top w:val="single" w:sz="4" w:space="0" w:color="000000"/>
              <w:left w:val="single" w:sz="4" w:space="0" w:color="000000"/>
              <w:bottom w:val="single" w:sz="4" w:space="0" w:color="000000"/>
              <w:right w:val="single" w:sz="4" w:space="0" w:color="000000"/>
            </w:tcBorders>
          </w:tcPr>
          <w:p w14:paraId="7992A366" w14:textId="77777777" w:rsidR="00B44D67" w:rsidRPr="00BA050E" w:rsidRDefault="00B44D67" w:rsidP="00241C66">
            <w:pPr>
              <w:spacing w:after="0" w:line="259" w:lineRule="auto"/>
              <w:ind w:left="0" w:right="43" w:firstLine="0"/>
              <w:jc w:val="center"/>
              <w:rPr>
                <w:sz w:val="22"/>
              </w:rPr>
            </w:pPr>
            <w:r w:rsidRPr="00BA050E">
              <w:rPr>
                <w:sz w:val="22"/>
              </w:rPr>
              <w:t>Not verified</w:t>
            </w:r>
          </w:p>
        </w:tc>
      </w:tr>
      <w:tr w:rsidR="00B44D67" w:rsidRPr="00BA050E" w14:paraId="0104A352" w14:textId="77777777" w:rsidTr="00241C66">
        <w:trPr>
          <w:trHeight w:val="442"/>
        </w:trPr>
        <w:tc>
          <w:tcPr>
            <w:tcW w:w="2402" w:type="dxa"/>
            <w:tcBorders>
              <w:top w:val="single" w:sz="4" w:space="0" w:color="000000"/>
              <w:left w:val="single" w:sz="4" w:space="0" w:color="000000"/>
              <w:bottom w:val="single" w:sz="4" w:space="0" w:color="000000"/>
              <w:right w:val="single" w:sz="4" w:space="0" w:color="000000"/>
            </w:tcBorders>
          </w:tcPr>
          <w:p w14:paraId="7A3386B1" w14:textId="77777777" w:rsidR="00B44D67" w:rsidRPr="00BA050E" w:rsidRDefault="00B44D67" w:rsidP="00241C66">
            <w:pPr>
              <w:spacing w:after="0" w:line="240" w:lineRule="auto"/>
              <w:ind w:left="0" w:right="0" w:firstLine="0"/>
              <w:jc w:val="center"/>
              <w:rPr>
                <w:sz w:val="22"/>
              </w:rPr>
            </w:pPr>
            <w:r w:rsidRPr="00BA050E">
              <w:rPr>
                <w:sz w:val="22"/>
              </w:rPr>
              <w:t>Improving Competitiveness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5C3273E" w14:textId="77777777" w:rsidR="00B44D67" w:rsidRPr="00BA050E" w:rsidRDefault="00B44D67" w:rsidP="00241C66">
            <w:pPr>
              <w:spacing w:after="0" w:line="259" w:lineRule="auto"/>
              <w:ind w:left="0" w:right="42" w:firstLine="0"/>
              <w:jc w:val="center"/>
              <w:rPr>
                <w:sz w:val="22"/>
              </w:rPr>
            </w:pPr>
            <w:r w:rsidRPr="00BA050E">
              <w:rPr>
                <w:sz w:val="22"/>
              </w:rPr>
              <w:t>9</w:t>
            </w:r>
          </w:p>
        </w:tc>
        <w:tc>
          <w:tcPr>
            <w:tcW w:w="1080" w:type="dxa"/>
            <w:tcBorders>
              <w:top w:val="single" w:sz="4" w:space="0" w:color="000000"/>
              <w:left w:val="single" w:sz="4" w:space="0" w:color="000000"/>
              <w:bottom w:val="single" w:sz="4" w:space="0" w:color="000000"/>
              <w:right w:val="single" w:sz="4" w:space="0" w:color="000000"/>
            </w:tcBorders>
            <w:vAlign w:val="center"/>
          </w:tcPr>
          <w:p w14:paraId="4AC54193" w14:textId="77777777" w:rsidR="00B44D67" w:rsidRPr="00BA050E" w:rsidRDefault="00B44D67" w:rsidP="00241C66">
            <w:pPr>
              <w:spacing w:after="0" w:line="259" w:lineRule="auto"/>
              <w:ind w:left="0" w:right="42" w:firstLine="0"/>
              <w:jc w:val="center"/>
              <w:rPr>
                <w:sz w:val="22"/>
              </w:rPr>
            </w:pPr>
            <w:r w:rsidRPr="00BA050E">
              <w:rPr>
                <w:sz w:val="22"/>
              </w:rPr>
              <w:t>2</w:t>
            </w:r>
          </w:p>
        </w:tc>
        <w:tc>
          <w:tcPr>
            <w:tcW w:w="1170" w:type="dxa"/>
            <w:tcBorders>
              <w:top w:val="single" w:sz="4" w:space="0" w:color="000000"/>
              <w:left w:val="single" w:sz="4" w:space="0" w:color="000000"/>
              <w:bottom w:val="single" w:sz="4" w:space="0" w:color="000000"/>
              <w:right w:val="single" w:sz="4" w:space="0" w:color="000000"/>
            </w:tcBorders>
            <w:vAlign w:val="center"/>
          </w:tcPr>
          <w:p w14:paraId="0C718C42" w14:textId="77777777" w:rsidR="00B44D67" w:rsidRPr="00BA050E" w:rsidRDefault="00B44D67" w:rsidP="00241C66">
            <w:pPr>
              <w:spacing w:after="0" w:line="259" w:lineRule="auto"/>
              <w:ind w:left="0" w:right="43" w:firstLine="0"/>
              <w:jc w:val="center"/>
              <w:rPr>
                <w:sz w:val="22"/>
              </w:rPr>
            </w:pPr>
            <w:r w:rsidRPr="00BA050E">
              <w:rPr>
                <w:sz w:val="22"/>
              </w:rPr>
              <w:t>3</w:t>
            </w:r>
          </w:p>
        </w:tc>
        <w:tc>
          <w:tcPr>
            <w:tcW w:w="1170" w:type="dxa"/>
            <w:tcBorders>
              <w:top w:val="single" w:sz="4" w:space="0" w:color="000000"/>
              <w:left w:val="single" w:sz="4" w:space="0" w:color="000000"/>
              <w:bottom w:val="single" w:sz="4" w:space="0" w:color="000000"/>
              <w:right w:val="single" w:sz="4" w:space="0" w:color="000000"/>
            </w:tcBorders>
            <w:vAlign w:val="center"/>
          </w:tcPr>
          <w:p w14:paraId="7B1E6A02" w14:textId="77777777" w:rsidR="00B44D67" w:rsidRPr="00BA050E" w:rsidRDefault="00B44D67" w:rsidP="00241C66">
            <w:pPr>
              <w:spacing w:after="0" w:line="259" w:lineRule="auto"/>
              <w:ind w:left="0" w:right="43" w:firstLine="0"/>
              <w:jc w:val="center"/>
              <w:rPr>
                <w:sz w:val="22"/>
              </w:rPr>
            </w:pPr>
            <w:r w:rsidRPr="00BA050E">
              <w:rPr>
                <w:sz w:val="22"/>
              </w:rPr>
              <w:t>3</w:t>
            </w:r>
          </w:p>
        </w:tc>
        <w:tc>
          <w:tcPr>
            <w:tcW w:w="1023" w:type="dxa"/>
            <w:tcBorders>
              <w:top w:val="single" w:sz="4" w:space="0" w:color="000000"/>
              <w:left w:val="single" w:sz="4" w:space="0" w:color="000000"/>
              <w:bottom w:val="single" w:sz="4" w:space="0" w:color="000000"/>
              <w:right w:val="single" w:sz="4" w:space="0" w:color="000000"/>
            </w:tcBorders>
            <w:vAlign w:val="center"/>
          </w:tcPr>
          <w:p w14:paraId="58D5CB1B" w14:textId="77777777" w:rsidR="00B44D67" w:rsidRPr="00BA050E" w:rsidRDefault="00B44D67" w:rsidP="00241C66">
            <w:pPr>
              <w:spacing w:after="0" w:line="259" w:lineRule="auto"/>
              <w:ind w:left="0" w:right="42" w:firstLine="0"/>
              <w:jc w:val="center"/>
              <w:rPr>
                <w:sz w:val="22"/>
              </w:rPr>
            </w:pPr>
            <w:r w:rsidRPr="00BA050E">
              <w:rPr>
                <w:sz w:val="22"/>
              </w:rPr>
              <w:t>1</w:t>
            </w:r>
          </w:p>
        </w:tc>
        <w:tc>
          <w:tcPr>
            <w:tcW w:w="1047" w:type="dxa"/>
            <w:tcBorders>
              <w:top w:val="single" w:sz="4" w:space="0" w:color="000000"/>
              <w:left w:val="single" w:sz="4" w:space="0" w:color="000000"/>
              <w:bottom w:val="single" w:sz="4" w:space="0" w:color="000000"/>
              <w:right w:val="single" w:sz="4" w:space="0" w:color="000000"/>
            </w:tcBorders>
            <w:vAlign w:val="center"/>
          </w:tcPr>
          <w:p w14:paraId="1CDDB8BB" w14:textId="77777777" w:rsidR="00B44D67" w:rsidRPr="00BA050E" w:rsidRDefault="00B44D67" w:rsidP="00241C66">
            <w:pPr>
              <w:spacing w:after="0" w:line="259" w:lineRule="auto"/>
              <w:ind w:left="0" w:right="42" w:firstLine="0"/>
              <w:jc w:val="center"/>
              <w:rPr>
                <w:sz w:val="22"/>
              </w:rPr>
            </w:pPr>
            <w:r w:rsidRPr="00BA050E">
              <w:rPr>
                <w:sz w:val="22"/>
              </w:rPr>
              <w:t>0</w:t>
            </w:r>
          </w:p>
        </w:tc>
      </w:tr>
      <w:tr w:rsidR="00B44D67" w:rsidRPr="00BA050E" w14:paraId="6318BA55" w14:textId="77777777" w:rsidTr="00241C66">
        <w:trPr>
          <w:trHeight w:val="712"/>
        </w:trPr>
        <w:tc>
          <w:tcPr>
            <w:tcW w:w="2402" w:type="dxa"/>
            <w:tcBorders>
              <w:top w:val="single" w:sz="4" w:space="0" w:color="000000"/>
              <w:left w:val="single" w:sz="4" w:space="0" w:color="000000"/>
              <w:bottom w:val="single" w:sz="4" w:space="0" w:color="000000"/>
              <w:right w:val="single" w:sz="4" w:space="0" w:color="000000"/>
            </w:tcBorders>
          </w:tcPr>
          <w:p w14:paraId="29FA3BE9" w14:textId="77777777" w:rsidR="00B44D67" w:rsidRPr="00BA050E" w:rsidRDefault="00B44D67" w:rsidP="00241C66">
            <w:pPr>
              <w:spacing w:after="0" w:line="240" w:lineRule="auto"/>
              <w:ind w:left="0" w:right="0" w:firstLine="0"/>
              <w:jc w:val="center"/>
              <w:rPr>
                <w:sz w:val="22"/>
              </w:rPr>
            </w:pPr>
            <w:r w:rsidRPr="00BA050E">
              <w:rPr>
                <w:sz w:val="22"/>
              </w:rPr>
              <w:t>Enhancing Human Capital &amp; Minimizing Social Risks</w:t>
            </w:r>
          </w:p>
        </w:tc>
        <w:tc>
          <w:tcPr>
            <w:tcW w:w="1260" w:type="dxa"/>
            <w:tcBorders>
              <w:top w:val="single" w:sz="4" w:space="0" w:color="000000"/>
              <w:left w:val="single" w:sz="4" w:space="0" w:color="000000"/>
              <w:bottom w:val="single" w:sz="4" w:space="0" w:color="000000"/>
              <w:right w:val="single" w:sz="4" w:space="0" w:color="000000"/>
            </w:tcBorders>
            <w:vAlign w:val="center"/>
          </w:tcPr>
          <w:p w14:paraId="7FD9192E" w14:textId="77777777" w:rsidR="00B44D67" w:rsidRPr="00BA050E" w:rsidRDefault="00B44D67" w:rsidP="00241C66">
            <w:pPr>
              <w:spacing w:after="0" w:line="259" w:lineRule="auto"/>
              <w:ind w:left="0" w:right="41" w:firstLine="0"/>
              <w:jc w:val="center"/>
              <w:rPr>
                <w:sz w:val="22"/>
              </w:rPr>
            </w:pPr>
            <w:r w:rsidRPr="00BA050E">
              <w:rPr>
                <w:sz w:val="22"/>
              </w:rPr>
              <w:t>6</w:t>
            </w:r>
          </w:p>
        </w:tc>
        <w:tc>
          <w:tcPr>
            <w:tcW w:w="1080" w:type="dxa"/>
            <w:tcBorders>
              <w:top w:val="single" w:sz="4" w:space="0" w:color="000000"/>
              <w:left w:val="single" w:sz="4" w:space="0" w:color="000000"/>
              <w:bottom w:val="single" w:sz="4" w:space="0" w:color="000000"/>
              <w:right w:val="single" w:sz="4" w:space="0" w:color="000000"/>
            </w:tcBorders>
            <w:vAlign w:val="center"/>
          </w:tcPr>
          <w:p w14:paraId="46A8069D" w14:textId="77777777" w:rsidR="00B44D67" w:rsidRPr="00BA050E" w:rsidRDefault="00B44D67" w:rsidP="00241C66">
            <w:pPr>
              <w:spacing w:after="0" w:line="259" w:lineRule="auto"/>
              <w:ind w:left="0" w:right="42" w:firstLine="0"/>
              <w:jc w:val="center"/>
              <w:rPr>
                <w:sz w:val="22"/>
              </w:rPr>
            </w:pPr>
            <w:r w:rsidRPr="00BA050E">
              <w:rPr>
                <w:sz w:val="22"/>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371291DF" w14:textId="77777777" w:rsidR="00B44D67" w:rsidRPr="00BA050E" w:rsidRDefault="00B44D67" w:rsidP="00241C66">
            <w:pPr>
              <w:spacing w:after="0" w:line="259" w:lineRule="auto"/>
              <w:ind w:left="0" w:right="42" w:firstLine="0"/>
              <w:jc w:val="center"/>
              <w:rPr>
                <w:sz w:val="22"/>
              </w:rPr>
            </w:pPr>
            <w:r w:rsidRPr="00BA050E">
              <w:rPr>
                <w:sz w:val="22"/>
              </w:rPr>
              <w:t>0</w:t>
            </w:r>
          </w:p>
        </w:tc>
        <w:tc>
          <w:tcPr>
            <w:tcW w:w="1170" w:type="dxa"/>
            <w:tcBorders>
              <w:top w:val="single" w:sz="4" w:space="0" w:color="000000"/>
              <w:left w:val="single" w:sz="4" w:space="0" w:color="000000"/>
              <w:bottom w:val="single" w:sz="4" w:space="0" w:color="000000"/>
              <w:right w:val="single" w:sz="4" w:space="0" w:color="000000"/>
            </w:tcBorders>
            <w:vAlign w:val="center"/>
          </w:tcPr>
          <w:p w14:paraId="5E72F3DF" w14:textId="77777777" w:rsidR="00B44D67" w:rsidRPr="00BA050E" w:rsidRDefault="00B44D67" w:rsidP="00241C66">
            <w:pPr>
              <w:spacing w:after="0" w:line="259" w:lineRule="auto"/>
              <w:ind w:left="0" w:right="43" w:firstLine="0"/>
              <w:jc w:val="center"/>
              <w:rPr>
                <w:sz w:val="22"/>
              </w:rPr>
            </w:pPr>
            <w:r w:rsidRPr="00BA050E">
              <w:rPr>
                <w:sz w:val="22"/>
              </w:rPr>
              <w:t>3</w:t>
            </w:r>
          </w:p>
        </w:tc>
        <w:tc>
          <w:tcPr>
            <w:tcW w:w="1023" w:type="dxa"/>
            <w:tcBorders>
              <w:top w:val="single" w:sz="4" w:space="0" w:color="000000"/>
              <w:left w:val="single" w:sz="4" w:space="0" w:color="000000"/>
              <w:bottom w:val="single" w:sz="4" w:space="0" w:color="000000"/>
              <w:right w:val="single" w:sz="4" w:space="0" w:color="000000"/>
            </w:tcBorders>
            <w:vAlign w:val="center"/>
          </w:tcPr>
          <w:p w14:paraId="7B02A65F" w14:textId="77777777" w:rsidR="00B44D67" w:rsidRPr="00BA050E" w:rsidRDefault="00B44D67" w:rsidP="00241C66">
            <w:pPr>
              <w:spacing w:after="0" w:line="259" w:lineRule="auto"/>
              <w:ind w:left="0" w:right="42" w:firstLine="0"/>
              <w:jc w:val="center"/>
              <w:rPr>
                <w:sz w:val="22"/>
              </w:rPr>
            </w:pPr>
            <w:r w:rsidRPr="00BA050E">
              <w:rPr>
                <w:sz w:val="22"/>
              </w:rPr>
              <w:t>1</w:t>
            </w:r>
          </w:p>
        </w:tc>
        <w:tc>
          <w:tcPr>
            <w:tcW w:w="1047" w:type="dxa"/>
            <w:tcBorders>
              <w:top w:val="single" w:sz="4" w:space="0" w:color="000000"/>
              <w:left w:val="single" w:sz="4" w:space="0" w:color="000000"/>
              <w:bottom w:val="single" w:sz="4" w:space="0" w:color="000000"/>
              <w:right w:val="single" w:sz="4" w:space="0" w:color="000000"/>
            </w:tcBorders>
            <w:vAlign w:val="center"/>
          </w:tcPr>
          <w:p w14:paraId="2FB58E16" w14:textId="77777777" w:rsidR="00B44D67" w:rsidRPr="00BA050E" w:rsidRDefault="00B44D67" w:rsidP="00241C66">
            <w:pPr>
              <w:spacing w:after="0" w:line="259" w:lineRule="auto"/>
              <w:ind w:left="0" w:right="43" w:firstLine="0"/>
              <w:jc w:val="center"/>
              <w:rPr>
                <w:sz w:val="22"/>
              </w:rPr>
            </w:pPr>
            <w:r w:rsidRPr="00BA050E">
              <w:rPr>
                <w:sz w:val="22"/>
              </w:rPr>
              <w:t>1</w:t>
            </w:r>
          </w:p>
        </w:tc>
      </w:tr>
      <w:tr w:rsidR="00B44D67" w:rsidRPr="00BA050E" w14:paraId="4FDFA96D" w14:textId="77777777" w:rsidTr="00241C66">
        <w:trPr>
          <w:trHeight w:val="595"/>
        </w:trPr>
        <w:tc>
          <w:tcPr>
            <w:tcW w:w="2402" w:type="dxa"/>
            <w:tcBorders>
              <w:top w:val="single" w:sz="4" w:space="0" w:color="000000"/>
              <w:left w:val="single" w:sz="4" w:space="0" w:color="000000"/>
              <w:bottom w:val="single" w:sz="4" w:space="0" w:color="000000"/>
              <w:right w:val="single" w:sz="4" w:space="0" w:color="000000"/>
            </w:tcBorders>
          </w:tcPr>
          <w:p w14:paraId="46B12EA3" w14:textId="77777777" w:rsidR="00B44D67" w:rsidRPr="00BA050E" w:rsidRDefault="00B44D67" w:rsidP="00241C66">
            <w:pPr>
              <w:spacing w:after="0" w:line="240" w:lineRule="auto"/>
              <w:ind w:left="0" w:right="0" w:firstLine="0"/>
              <w:jc w:val="center"/>
              <w:rPr>
                <w:sz w:val="22"/>
              </w:rPr>
            </w:pPr>
            <w:r w:rsidRPr="00BA050E">
              <w:rPr>
                <w:sz w:val="22"/>
              </w:rPr>
              <w:t>Promoting a Green, Clean, and Resilient Moldova</w:t>
            </w:r>
          </w:p>
        </w:tc>
        <w:tc>
          <w:tcPr>
            <w:tcW w:w="1260" w:type="dxa"/>
            <w:tcBorders>
              <w:top w:val="single" w:sz="4" w:space="0" w:color="000000"/>
              <w:left w:val="single" w:sz="4" w:space="0" w:color="000000"/>
              <w:bottom w:val="single" w:sz="4" w:space="0" w:color="000000"/>
              <w:right w:val="single" w:sz="4" w:space="0" w:color="000000"/>
            </w:tcBorders>
            <w:vAlign w:val="center"/>
          </w:tcPr>
          <w:p w14:paraId="1657024D" w14:textId="77777777" w:rsidR="00B44D67" w:rsidRPr="00BA050E" w:rsidRDefault="00B44D67" w:rsidP="00241C66">
            <w:pPr>
              <w:spacing w:after="0" w:line="259" w:lineRule="auto"/>
              <w:ind w:left="0" w:right="41" w:firstLine="0"/>
              <w:jc w:val="center"/>
              <w:rPr>
                <w:sz w:val="22"/>
              </w:rPr>
            </w:pPr>
            <w:r w:rsidRPr="00BA050E">
              <w:rPr>
                <w:sz w:val="22"/>
              </w:rPr>
              <w:t>6</w:t>
            </w:r>
          </w:p>
        </w:tc>
        <w:tc>
          <w:tcPr>
            <w:tcW w:w="1080" w:type="dxa"/>
            <w:tcBorders>
              <w:top w:val="single" w:sz="4" w:space="0" w:color="000000"/>
              <w:left w:val="single" w:sz="4" w:space="0" w:color="000000"/>
              <w:bottom w:val="single" w:sz="4" w:space="0" w:color="000000"/>
              <w:right w:val="single" w:sz="4" w:space="0" w:color="000000"/>
            </w:tcBorders>
            <w:vAlign w:val="center"/>
          </w:tcPr>
          <w:p w14:paraId="23000AB5" w14:textId="77777777" w:rsidR="00B44D67" w:rsidRPr="00BA050E" w:rsidRDefault="00B44D67" w:rsidP="00241C66">
            <w:pPr>
              <w:spacing w:after="0" w:line="259" w:lineRule="auto"/>
              <w:ind w:left="0" w:right="42" w:firstLine="0"/>
              <w:jc w:val="center"/>
              <w:rPr>
                <w:sz w:val="22"/>
              </w:rPr>
            </w:pPr>
            <w:r w:rsidRPr="00BA050E">
              <w:rPr>
                <w:sz w:val="22"/>
              </w:rPr>
              <w:t>3</w:t>
            </w:r>
          </w:p>
        </w:tc>
        <w:tc>
          <w:tcPr>
            <w:tcW w:w="1170" w:type="dxa"/>
            <w:tcBorders>
              <w:top w:val="single" w:sz="4" w:space="0" w:color="000000"/>
              <w:left w:val="single" w:sz="4" w:space="0" w:color="000000"/>
              <w:bottom w:val="single" w:sz="4" w:space="0" w:color="000000"/>
              <w:right w:val="single" w:sz="4" w:space="0" w:color="000000"/>
            </w:tcBorders>
            <w:vAlign w:val="center"/>
          </w:tcPr>
          <w:p w14:paraId="53A78736" w14:textId="77777777" w:rsidR="00B44D67" w:rsidRPr="00BA050E" w:rsidRDefault="00B44D67" w:rsidP="00241C66">
            <w:pPr>
              <w:spacing w:after="0" w:line="259" w:lineRule="auto"/>
              <w:ind w:left="0" w:right="43" w:firstLine="0"/>
              <w:jc w:val="center"/>
              <w:rPr>
                <w:sz w:val="22"/>
              </w:rPr>
            </w:pPr>
            <w:r w:rsidRPr="00BA050E">
              <w:rPr>
                <w:sz w:val="22"/>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5CFB0B11" w14:textId="77777777" w:rsidR="00B44D67" w:rsidRPr="00BA050E" w:rsidRDefault="00B44D67" w:rsidP="00241C66">
            <w:pPr>
              <w:spacing w:after="0" w:line="259" w:lineRule="auto"/>
              <w:ind w:left="0" w:right="43" w:firstLine="0"/>
              <w:jc w:val="center"/>
              <w:rPr>
                <w:sz w:val="22"/>
              </w:rPr>
            </w:pPr>
            <w:r w:rsidRPr="00BA050E">
              <w:rPr>
                <w:sz w:val="22"/>
              </w:rPr>
              <w:t>1</w:t>
            </w:r>
          </w:p>
        </w:tc>
        <w:tc>
          <w:tcPr>
            <w:tcW w:w="1023" w:type="dxa"/>
            <w:tcBorders>
              <w:top w:val="single" w:sz="4" w:space="0" w:color="000000"/>
              <w:left w:val="single" w:sz="4" w:space="0" w:color="000000"/>
              <w:bottom w:val="single" w:sz="4" w:space="0" w:color="000000"/>
              <w:right w:val="single" w:sz="4" w:space="0" w:color="000000"/>
            </w:tcBorders>
            <w:vAlign w:val="center"/>
          </w:tcPr>
          <w:p w14:paraId="25E46CF6" w14:textId="77777777" w:rsidR="00B44D67" w:rsidRPr="00BA050E" w:rsidRDefault="00B44D67" w:rsidP="00241C66">
            <w:pPr>
              <w:spacing w:after="0" w:line="259" w:lineRule="auto"/>
              <w:ind w:left="0" w:right="42" w:firstLine="0"/>
              <w:jc w:val="center"/>
              <w:rPr>
                <w:sz w:val="22"/>
              </w:rPr>
            </w:pPr>
            <w:r w:rsidRPr="00BA050E">
              <w:rPr>
                <w:sz w:val="22"/>
              </w:rPr>
              <w:t>1</w:t>
            </w:r>
          </w:p>
        </w:tc>
        <w:tc>
          <w:tcPr>
            <w:tcW w:w="1047" w:type="dxa"/>
            <w:tcBorders>
              <w:top w:val="single" w:sz="4" w:space="0" w:color="000000"/>
              <w:left w:val="single" w:sz="4" w:space="0" w:color="000000"/>
              <w:bottom w:val="single" w:sz="4" w:space="0" w:color="000000"/>
              <w:right w:val="single" w:sz="4" w:space="0" w:color="000000"/>
            </w:tcBorders>
            <w:vAlign w:val="center"/>
          </w:tcPr>
          <w:p w14:paraId="4734CE6B" w14:textId="77777777" w:rsidR="00B44D67" w:rsidRPr="00BA050E" w:rsidRDefault="00B44D67" w:rsidP="00241C66">
            <w:pPr>
              <w:spacing w:after="0" w:line="259" w:lineRule="auto"/>
              <w:ind w:left="0" w:right="43" w:firstLine="0"/>
              <w:jc w:val="center"/>
              <w:rPr>
                <w:sz w:val="22"/>
              </w:rPr>
            </w:pPr>
            <w:r w:rsidRPr="00BA050E">
              <w:rPr>
                <w:sz w:val="22"/>
              </w:rPr>
              <w:t>0</w:t>
            </w:r>
          </w:p>
        </w:tc>
      </w:tr>
      <w:tr w:rsidR="00B44D67" w:rsidRPr="00BA050E" w14:paraId="44D66021" w14:textId="77777777" w:rsidTr="00241C66">
        <w:trPr>
          <w:trHeight w:val="370"/>
        </w:trPr>
        <w:tc>
          <w:tcPr>
            <w:tcW w:w="2402" w:type="dxa"/>
            <w:tcBorders>
              <w:top w:val="single" w:sz="4" w:space="0" w:color="000000"/>
              <w:left w:val="single" w:sz="4" w:space="0" w:color="000000"/>
              <w:bottom w:val="single" w:sz="4" w:space="0" w:color="000000"/>
              <w:right w:val="single" w:sz="4" w:space="0" w:color="000000"/>
            </w:tcBorders>
          </w:tcPr>
          <w:p w14:paraId="52738A2C" w14:textId="77777777" w:rsidR="00B44D67" w:rsidRPr="00BA050E" w:rsidRDefault="00B44D67" w:rsidP="00241C66">
            <w:pPr>
              <w:spacing w:after="0" w:line="259" w:lineRule="auto"/>
              <w:ind w:left="0" w:right="0" w:firstLine="0"/>
              <w:jc w:val="center"/>
              <w:rPr>
                <w:sz w:val="22"/>
              </w:rPr>
            </w:pPr>
            <w:r w:rsidRPr="00BA050E">
              <w:rPr>
                <w:sz w:val="22"/>
              </w:rPr>
              <w:t>Governance</w:t>
            </w:r>
          </w:p>
        </w:tc>
        <w:tc>
          <w:tcPr>
            <w:tcW w:w="1260" w:type="dxa"/>
            <w:tcBorders>
              <w:top w:val="single" w:sz="4" w:space="0" w:color="000000"/>
              <w:left w:val="single" w:sz="4" w:space="0" w:color="000000"/>
              <w:bottom w:val="single" w:sz="4" w:space="0" w:color="000000"/>
              <w:right w:val="single" w:sz="4" w:space="0" w:color="000000"/>
            </w:tcBorders>
            <w:vAlign w:val="center"/>
          </w:tcPr>
          <w:p w14:paraId="35889014" w14:textId="77777777" w:rsidR="00B44D67" w:rsidRPr="00BA050E" w:rsidRDefault="00B44D67" w:rsidP="00241C66">
            <w:pPr>
              <w:spacing w:after="0" w:line="259" w:lineRule="auto"/>
              <w:ind w:left="0" w:right="41" w:firstLine="0"/>
              <w:jc w:val="center"/>
              <w:rPr>
                <w:sz w:val="22"/>
              </w:rPr>
            </w:pPr>
            <w:r w:rsidRPr="00BA050E">
              <w:rPr>
                <w:sz w:val="22"/>
              </w:rPr>
              <w:t>13</w:t>
            </w:r>
          </w:p>
        </w:tc>
        <w:tc>
          <w:tcPr>
            <w:tcW w:w="1080" w:type="dxa"/>
            <w:tcBorders>
              <w:top w:val="single" w:sz="4" w:space="0" w:color="000000"/>
              <w:left w:val="single" w:sz="4" w:space="0" w:color="000000"/>
              <w:bottom w:val="single" w:sz="4" w:space="0" w:color="000000"/>
              <w:right w:val="single" w:sz="4" w:space="0" w:color="000000"/>
            </w:tcBorders>
            <w:vAlign w:val="center"/>
          </w:tcPr>
          <w:p w14:paraId="530C1DCA" w14:textId="77777777" w:rsidR="00B44D67" w:rsidRPr="00BA050E" w:rsidRDefault="00B44D67" w:rsidP="00241C66">
            <w:pPr>
              <w:spacing w:after="0" w:line="259" w:lineRule="auto"/>
              <w:ind w:left="0" w:right="42" w:firstLine="0"/>
              <w:jc w:val="center"/>
              <w:rPr>
                <w:sz w:val="22"/>
              </w:rPr>
            </w:pPr>
            <w:r w:rsidRPr="00BA050E">
              <w:rPr>
                <w:sz w:val="22"/>
              </w:rPr>
              <w:t>6</w:t>
            </w:r>
          </w:p>
        </w:tc>
        <w:tc>
          <w:tcPr>
            <w:tcW w:w="1170" w:type="dxa"/>
            <w:tcBorders>
              <w:top w:val="single" w:sz="4" w:space="0" w:color="000000"/>
              <w:left w:val="single" w:sz="4" w:space="0" w:color="000000"/>
              <w:bottom w:val="single" w:sz="4" w:space="0" w:color="000000"/>
              <w:right w:val="single" w:sz="4" w:space="0" w:color="000000"/>
            </w:tcBorders>
            <w:vAlign w:val="center"/>
          </w:tcPr>
          <w:p w14:paraId="12DFB603" w14:textId="77777777" w:rsidR="00B44D67" w:rsidRPr="00BA050E" w:rsidRDefault="00B44D67" w:rsidP="00241C66">
            <w:pPr>
              <w:spacing w:after="0" w:line="259" w:lineRule="auto"/>
              <w:ind w:left="0" w:right="43" w:firstLine="0"/>
              <w:jc w:val="center"/>
              <w:rPr>
                <w:sz w:val="22"/>
              </w:rPr>
            </w:pPr>
            <w:r w:rsidRPr="00BA050E">
              <w:rPr>
                <w:sz w:val="22"/>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2B564C96" w14:textId="77777777" w:rsidR="00B44D67" w:rsidRPr="00BA050E" w:rsidRDefault="00B44D67" w:rsidP="00241C66">
            <w:pPr>
              <w:spacing w:after="0" w:line="259" w:lineRule="auto"/>
              <w:ind w:left="0" w:right="43" w:firstLine="0"/>
              <w:jc w:val="center"/>
              <w:rPr>
                <w:sz w:val="22"/>
              </w:rPr>
            </w:pPr>
            <w:r w:rsidRPr="00BA050E">
              <w:rPr>
                <w:sz w:val="22"/>
              </w:rPr>
              <w:t>6</w:t>
            </w:r>
          </w:p>
        </w:tc>
        <w:tc>
          <w:tcPr>
            <w:tcW w:w="1023" w:type="dxa"/>
            <w:tcBorders>
              <w:top w:val="single" w:sz="4" w:space="0" w:color="000000"/>
              <w:left w:val="single" w:sz="4" w:space="0" w:color="000000"/>
              <w:bottom w:val="single" w:sz="4" w:space="0" w:color="000000"/>
              <w:right w:val="single" w:sz="4" w:space="0" w:color="000000"/>
            </w:tcBorders>
            <w:vAlign w:val="center"/>
          </w:tcPr>
          <w:p w14:paraId="28C4D283" w14:textId="77777777" w:rsidR="00B44D67" w:rsidRPr="00BA050E" w:rsidRDefault="00B44D67" w:rsidP="00241C66">
            <w:pPr>
              <w:spacing w:after="0" w:line="259" w:lineRule="auto"/>
              <w:ind w:left="0" w:right="42" w:firstLine="0"/>
              <w:jc w:val="center"/>
              <w:rPr>
                <w:sz w:val="22"/>
              </w:rPr>
            </w:pPr>
            <w:r w:rsidRPr="00BA050E">
              <w:rPr>
                <w:sz w:val="22"/>
              </w:rPr>
              <w:t>0</w:t>
            </w:r>
          </w:p>
        </w:tc>
        <w:tc>
          <w:tcPr>
            <w:tcW w:w="1047" w:type="dxa"/>
            <w:tcBorders>
              <w:top w:val="single" w:sz="4" w:space="0" w:color="000000"/>
              <w:left w:val="single" w:sz="4" w:space="0" w:color="000000"/>
              <w:bottom w:val="single" w:sz="4" w:space="0" w:color="000000"/>
              <w:right w:val="single" w:sz="4" w:space="0" w:color="000000"/>
            </w:tcBorders>
            <w:vAlign w:val="center"/>
          </w:tcPr>
          <w:p w14:paraId="21CCB206" w14:textId="77777777" w:rsidR="00B44D67" w:rsidRPr="00BA050E" w:rsidRDefault="00B44D67" w:rsidP="00241C66">
            <w:pPr>
              <w:spacing w:after="0" w:line="259" w:lineRule="auto"/>
              <w:ind w:left="0" w:right="43" w:firstLine="0"/>
              <w:jc w:val="center"/>
              <w:rPr>
                <w:sz w:val="22"/>
              </w:rPr>
            </w:pPr>
            <w:r w:rsidRPr="00BA050E">
              <w:rPr>
                <w:sz w:val="22"/>
              </w:rPr>
              <w:t>0</w:t>
            </w:r>
          </w:p>
        </w:tc>
      </w:tr>
      <w:tr w:rsidR="00B44D67" w:rsidRPr="00BA050E" w14:paraId="262F85BB" w14:textId="77777777" w:rsidTr="00241C66">
        <w:trPr>
          <w:trHeight w:val="577"/>
        </w:trPr>
        <w:tc>
          <w:tcPr>
            <w:tcW w:w="2402" w:type="dxa"/>
            <w:tcBorders>
              <w:top w:val="single" w:sz="4" w:space="0" w:color="000000"/>
              <w:left w:val="single" w:sz="4" w:space="0" w:color="000000"/>
              <w:bottom w:val="single" w:sz="4" w:space="0" w:color="000000"/>
              <w:right w:val="single" w:sz="4" w:space="0" w:color="000000"/>
            </w:tcBorders>
          </w:tcPr>
          <w:p w14:paraId="6F32A48F" w14:textId="77777777" w:rsidR="00B44D67" w:rsidRDefault="00B44D67" w:rsidP="00241C66">
            <w:pPr>
              <w:spacing w:after="0" w:line="259" w:lineRule="auto"/>
              <w:ind w:left="0" w:right="0" w:firstLine="0"/>
              <w:jc w:val="center"/>
              <w:rPr>
                <w:sz w:val="22"/>
              </w:rPr>
            </w:pPr>
          </w:p>
          <w:p w14:paraId="04DFE23C" w14:textId="77777777" w:rsidR="00B44D67" w:rsidRPr="00BA050E" w:rsidRDefault="00B44D67" w:rsidP="00241C66">
            <w:pPr>
              <w:spacing w:after="0" w:line="259" w:lineRule="auto"/>
              <w:ind w:left="0" w:right="0" w:firstLine="0"/>
              <w:jc w:val="center"/>
              <w:rPr>
                <w:sz w:val="22"/>
              </w:rPr>
            </w:pPr>
            <w:r w:rsidRPr="00BA050E">
              <w:rPr>
                <w:sz w:val="22"/>
              </w:rPr>
              <w:t>TOTALS:</w:t>
            </w:r>
          </w:p>
        </w:tc>
        <w:tc>
          <w:tcPr>
            <w:tcW w:w="1260" w:type="dxa"/>
            <w:tcBorders>
              <w:top w:val="single" w:sz="4" w:space="0" w:color="000000"/>
              <w:left w:val="single" w:sz="4" w:space="0" w:color="000000"/>
              <w:bottom w:val="single" w:sz="4" w:space="0" w:color="000000"/>
              <w:right w:val="single" w:sz="4" w:space="0" w:color="000000"/>
            </w:tcBorders>
            <w:vAlign w:val="center"/>
          </w:tcPr>
          <w:p w14:paraId="1BF6DB03" w14:textId="77777777" w:rsidR="00B44D67" w:rsidRPr="00BA050E" w:rsidRDefault="00B44D67" w:rsidP="00241C66">
            <w:pPr>
              <w:spacing w:after="0" w:line="240" w:lineRule="auto"/>
              <w:ind w:left="0" w:right="0" w:firstLine="0"/>
              <w:jc w:val="center"/>
              <w:rPr>
                <w:sz w:val="22"/>
              </w:rPr>
            </w:pPr>
            <w:r w:rsidRPr="00BA050E">
              <w:rPr>
                <w:sz w:val="22"/>
              </w:rPr>
              <w:t>34</w:t>
            </w:r>
          </w:p>
          <w:p w14:paraId="683CB2F1" w14:textId="77777777" w:rsidR="00B44D67" w:rsidRPr="00BA050E" w:rsidRDefault="00B44D67" w:rsidP="00241C66">
            <w:pPr>
              <w:spacing w:after="0" w:line="240" w:lineRule="auto"/>
              <w:ind w:left="28" w:right="0" w:firstLine="0"/>
              <w:jc w:val="center"/>
              <w:rPr>
                <w:sz w:val="22"/>
              </w:rPr>
            </w:pPr>
            <w:r w:rsidRPr="00BA050E">
              <w:rPr>
                <w:sz w:val="22"/>
              </w:rPr>
              <w:t>(100%)</w:t>
            </w:r>
          </w:p>
        </w:tc>
        <w:tc>
          <w:tcPr>
            <w:tcW w:w="1080" w:type="dxa"/>
            <w:tcBorders>
              <w:top w:val="single" w:sz="4" w:space="0" w:color="000000"/>
              <w:left w:val="single" w:sz="4" w:space="0" w:color="000000"/>
              <w:bottom w:val="single" w:sz="4" w:space="0" w:color="000000"/>
              <w:right w:val="single" w:sz="4" w:space="0" w:color="000000"/>
            </w:tcBorders>
            <w:vAlign w:val="center"/>
          </w:tcPr>
          <w:p w14:paraId="7BA9B1DF" w14:textId="77777777" w:rsidR="00B44D67" w:rsidRPr="00BA050E" w:rsidRDefault="00B44D67" w:rsidP="00241C66">
            <w:pPr>
              <w:spacing w:after="0" w:line="240" w:lineRule="auto"/>
              <w:ind w:left="0" w:right="43" w:firstLine="0"/>
              <w:rPr>
                <w:sz w:val="22"/>
              </w:rPr>
            </w:pPr>
            <w:r w:rsidRPr="00BA050E">
              <w:rPr>
                <w:sz w:val="22"/>
              </w:rPr>
              <w:t xml:space="preserve">        12</w:t>
            </w:r>
          </w:p>
          <w:p w14:paraId="3819AE8D" w14:textId="77777777" w:rsidR="00B44D67" w:rsidRPr="00BA050E" w:rsidRDefault="00B44D67" w:rsidP="00241C66">
            <w:pPr>
              <w:spacing w:after="0" w:line="240" w:lineRule="auto"/>
              <w:ind w:left="0" w:right="43" w:firstLine="0"/>
              <w:jc w:val="center"/>
              <w:rPr>
                <w:sz w:val="22"/>
              </w:rPr>
            </w:pPr>
            <w:r w:rsidRPr="00BA050E">
              <w:rPr>
                <w:sz w:val="22"/>
              </w:rPr>
              <w:t xml:space="preserve"> (35%)</w:t>
            </w:r>
            <w:r w:rsidRPr="00BA050E">
              <w:rPr>
                <w:rFonts w:ascii="Arial" w:eastAsia="Arial" w:hAnsi="Arial" w:cs="Arial"/>
                <w:sz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4C4A187C" w14:textId="77777777" w:rsidR="00B44D67" w:rsidRPr="00BA050E" w:rsidRDefault="00B44D67" w:rsidP="00241C66">
            <w:pPr>
              <w:spacing w:after="0" w:line="240" w:lineRule="auto"/>
              <w:ind w:left="0" w:right="44" w:firstLine="0"/>
              <w:jc w:val="center"/>
              <w:rPr>
                <w:sz w:val="22"/>
              </w:rPr>
            </w:pPr>
            <w:r w:rsidRPr="00BA050E">
              <w:rPr>
                <w:sz w:val="22"/>
              </w:rPr>
              <w:t>5</w:t>
            </w:r>
          </w:p>
          <w:p w14:paraId="519A2EE7" w14:textId="77777777" w:rsidR="00B44D67" w:rsidRPr="00BA050E" w:rsidRDefault="00B44D67" w:rsidP="00241C66">
            <w:pPr>
              <w:spacing w:after="0" w:line="240" w:lineRule="auto"/>
              <w:ind w:left="0" w:right="44" w:firstLine="0"/>
              <w:jc w:val="center"/>
              <w:rPr>
                <w:sz w:val="22"/>
              </w:rPr>
            </w:pPr>
            <w:r w:rsidRPr="00BA050E">
              <w:rPr>
                <w:sz w:val="22"/>
              </w:rPr>
              <w:t>(15%)</w:t>
            </w:r>
            <w:r w:rsidRPr="00BA050E">
              <w:rPr>
                <w:rFonts w:ascii="Arial" w:eastAsia="Arial" w:hAnsi="Arial" w:cs="Arial"/>
                <w:sz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2306364D" w14:textId="77777777" w:rsidR="00B44D67" w:rsidRPr="00BA050E" w:rsidRDefault="00B44D67" w:rsidP="00241C66">
            <w:pPr>
              <w:spacing w:after="0" w:line="240" w:lineRule="auto"/>
              <w:ind w:left="0" w:right="43" w:firstLine="0"/>
              <w:rPr>
                <w:sz w:val="22"/>
              </w:rPr>
            </w:pPr>
            <w:r w:rsidRPr="00BA050E">
              <w:rPr>
                <w:sz w:val="22"/>
              </w:rPr>
              <w:t xml:space="preserve">        13</w:t>
            </w:r>
          </w:p>
          <w:p w14:paraId="405DEE68" w14:textId="77777777" w:rsidR="00B44D67" w:rsidRPr="00BA050E" w:rsidRDefault="00B44D67" w:rsidP="00241C66">
            <w:pPr>
              <w:spacing w:after="0" w:line="240" w:lineRule="auto"/>
              <w:ind w:left="0" w:right="43" w:firstLine="0"/>
              <w:jc w:val="center"/>
              <w:rPr>
                <w:sz w:val="22"/>
              </w:rPr>
            </w:pPr>
            <w:r w:rsidRPr="00BA050E">
              <w:rPr>
                <w:sz w:val="22"/>
              </w:rPr>
              <w:t xml:space="preserve"> (38%)</w:t>
            </w:r>
            <w:r w:rsidRPr="00BA050E">
              <w:rPr>
                <w:rFonts w:ascii="Arial" w:eastAsia="Arial" w:hAnsi="Arial" w:cs="Arial"/>
                <w:sz w:val="22"/>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14:paraId="6E8FDBBA" w14:textId="77777777" w:rsidR="00B44D67" w:rsidRPr="00BA050E" w:rsidRDefault="00B44D67" w:rsidP="00241C66">
            <w:pPr>
              <w:spacing w:after="0" w:line="240" w:lineRule="auto"/>
              <w:ind w:left="0" w:right="43" w:firstLine="0"/>
              <w:jc w:val="center"/>
              <w:rPr>
                <w:sz w:val="22"/>
              </w:rPr>
            </w:pPr>
            <w:r w:rsidRPr="00BA050E">
              <w:rPr>
                <w:sz w:val="22"/>
              </w:rPr>
              <w:t>3</w:t>
            </w:r>
          </w:p>
          <w:p w14:paraId="1FED6782" w14:textId="77777777" w:rsidR="00B44D67" w:rsidRPr="00BA050E" w:rsidRDefault="00B44D67" w:rsidP="00241C66">
            <w:pPr>
              <w:spacing w:after="0" w:line="240" w:lineRule="auto"/>
              <w:ind w:left="0" w:right="43" w:firstLine="0"/>
              <w:jc w:val="center"/>
              <w:rPr>
                <w:sz w:val="22"/>
              </w:rPr>
            </w:pPr>
            <w:r w:rsidRPr="00BA050E">
              <w:rPr>
                <w:sz w:val="22"/>
              </w:rPr>
              <w:t xml:space="preserve"> (9%)</w:t>
            </w:r>
            <w:r w:rsidRPr="00BA050E">
              <w:rPr>
                <w:rFonts w:ascii="Arial" w:eastAsia="Arial" w:hAnsi="Arial" w:cs="Arial"/>
                <w:sz w:val="22"/>
              </w:rPr>
              <w:t xml:space="preserve"> </w:t>
            </w:r>
          </w:p>
        </w:tc>
        <w:tc>
          <w:tcPr>
            <w:tcW w:w="1047" w:type="dxa"/>
            <w:tcBorders>
              <w:top w:val="single" w:sz="4" w:space="0" w:color="000000"/>
              <w:left w:val="single" w:sz="4" w:space="0" w:color="000000"/>
              <w:bottom w:val="single" w:sz="4" w:space="0" w:color="000000"/>
              <w:right w:val="single" w:sz="4" w:space="0" w:color="000000"/>
            </w:tcBorders>
            <w:vAlign w:val="center"/>
          </w:tcPr>
          <w:p w14:paraId="71A8A04B" w14:textId="77777777" w:rsidR="00B44D67" w:rsidRPr="00BA050E" w:rsidRDefault="00B44D67" w:rsidP="00241C66">
            <w:pPr>
              <w:spacing w:after="0" w:line="240" w:lineRule="auto"/>
              <w:ind w:left="0" w:right="44" w:firstLine="0"/>
              <w:jc w:val="center"/>
              <w:rPr>
                <w:rFonts w:ascii="Arial" w:eastAsia="Arial" w:hAnsi="Arial" w:cs="Arial"/>
                <w:sz w:val="22"/>
              </w:rPr>
            </w:pPr>
            <w:r w:rsidRPr="00BA050E">
              <w:rPr>
                <w:sz w:val="22"/>
              </w:rPr>
              <w:t>1</w:t>
            </w:r>
            <w:r w:rsidRPr="00BA050E">
              <w:rPr>
                <w:rFonts w:ascii="Arial" w:eastAsia="Arial" w:hAnsi="Arial" w:cs="Arial"/>
                <w:sz w:val="22"/>
              </w:rPr>
              <w:t xml:space="preserve"> </w:t>
            </w:r>
          </w:p>
          <w:p w14:paraId="6D1A54AE" w14:textId="77777777" w:rsidR="00B44D67" w:rsidRPr="00BA050E" w:rsidRDefault="00B44D67" w:rsidP="00241C66">
            <w:pPr>
              <w:spacing w:after="0" w:line="240" w:lineRule="auto"/>
              <w:ind w:left="0" w:right="44" w:firstLine="0"/>
              <w:jc w:val="center"/>
              <w:rPr>
                <w:sz w:val="22"/>
              </w:rPr>
            </w:pPr>
            <w:r w:rsidRPr="00BA050E">
              <w:rPr>
                <w:rFonts w:eastAsia="Arial"/>
                <w:sz w:val="22"/>
              </w:rPr>
              <w:t>(3%)</w:t>
            </w:r>
          </w:p>
        </w:tc>
      </w:tr>
    </w:tbl>
    <w:p w14:paraId="082A2DC7" w14:textId="77777777" w:rsidR="00B44D67" w:rsidRPr="00BA050E" w:rsidRDefault="00B44D67" w:rsidP="00B44D67">
      <w:pPr>
        <w:spacing w:after="0" w:line="332" w:lineRule="auto"/>
        <w:ind w:left="0" w:right="9360" w:firstLine="0"/>
        <w:jc w:val="left"/>
        <w:rPr>
          <w:sz w:val="22"/>
        </w:rPr>
      </w:pPr>
    </w:p>
    <w:p w14:paraId="552AF2C6" w14:textId="050465A8" w:rsidR="00B44D67" w:rsidRPr="00BA050E" w:rsidRDefault="00B44D67" w:rsidP="00B44D67">
      <w:pPr>
        <w:numPr>
          <w:ilvl w:val="0"/>
          <w:numId w:val="3"/>
        </w:numPr>
        <w:spacing w:after="0" w:line="240" w:lineRule="auto"/>
        <w:ind w:right="105" w:firstLine="0"/>
        <w:rPr>
          <w:sz w:val="22"/>
        </w:rPr>
      </w:pPr>
      <w:r w:rsidRPr="00BA050E">
        <w:rPr>
          <w:b/>
          <w:sz w:val="22"/>
        </w:rPr>
        <w:t xml:space="preserve">During FY14-17, Bank Group commitments totaled US$330 million for seven new projects and additional financing for three ongoing operations―US$196 million on IDA and US$134 million on IBRD terms.  </w:t>
      </w:r>
      <w:r w:rsidRPr="00BA050E">
        <w:rPr>
          <w:sz w:val="22"/>
        </w:rPr>
        <w:t xml:space="preserve">In addition, bilateral and multilateral trust funds supported key institutional reforms and project implementation in the energy, financial, and governance sectors. Advisory </w:t>
      </w:r>
      <w:r>
        <w:rPr>
          <w:sz w:val="22"/>
        </w:rPr>
        <w:t xml:space="preserve">Services </w:t>
      </w:r>
      <w:r w:rsidRPr="00BA050E">
        <w:rPr>
          <w:sz w:val="22"/>
        </w:rPr>
        <w:t xml:space="preserve">and </w:t>
      </w:r>
      <w:r>
        <w:rPr>
          <w:sz w:val="22"/>
        </w:rPr>
        <w:t>A</w:t>
      </w:r>
      <w:r w:rsidRPr="00BA050E">
        <w:rPr>
          <w:sz w:val="22"/>
        </w:rPr>
        <w:t>nalytics (A</w:t>
      </w:r>
      <w:r>
        <w:rPr>
          <w:sz w:val="22"/>
        </w:rPr>
        <w:t>S</w:t>
      </w:r>
      <w:r w:rsidRPr="00BA050E">
        <w:rPr>
          <w:sz w:val="22"/>
        </w:rPr>
        <w:t xml:space="preserve">A), besides monitoring macro-and socio-economic trends, included economic and sector work on land governance, public administration and expenditure, trade, transport, and water. Meanwhile, IFC’s committed investment portfolio comprises 12 operations totaling US$53.8 million, about 95 percent in loans and 5 percent in equity. In addition, IFC and the Bank, through </w:t>
      </w:r>
      <w:r>
        <w:rPr>
          <w:sz w:val="22"/>
        </w:rPr>
        <w:t xml:space="preserve">the </w:t>
      </w:r>
      <w:r w:rsidRPr="00375570">
        <w:rPr>
          <w:sz w:val="22"/>
        </w:rPr>
        <w:t>T&amp;C and F&amp;M practices</w:t>
      </w:r>
      <w:r>
        <w:rPr>
          <w:sz w:val="22"/>
        </w:rPr>
        <w:t>,</w:t>
      </w:r>
      <w:r w:rsidRPr="00375570">
        <w:rPr>
          <w:sz w:val="22"/>
        </w:rPr>
        <w:t xml:space="preserve"> </w:t>
      </w:r>
      <w:r>
        <w:rPr>
          <w:sz w:val="22"/>
        </w:rPr>
        <w:t xml:space="preserve">have been </w:t>
      </w:r>
      <w:r w:rsidRPr="003A1F25">
        <w:rPr>
          <w:sz w:val="22"/>
        </w:rPr>
        <w:t>assisting the Government’s re</w:t>
      </w:r>
      <w:r>
        <w:rPr>
          <w:sz w:val="22"/>
        </w:rPr>
        <w:t xml:space="preserve">gulatory reform agenda </w:t>
      </w:r>
      <w:r w:rsidRPr="003A1F25">
        <w:rPr>
          <w:sz w:val="22"/>
        </w:rPr>
        <w:t xml:space="preserve">to improve the business enabling environment </w:t>
      </w:r>
      <w:r>
        <w:rPr>
          <w:sz w:val="22"/>
        </w:rPr>
        <w:t xml:space="preserve">through IFC’s Investment Climate Reform (ICR) project and the Bank-financed Competitiveness Enhancement II (CEP II) project, </w:t>
      </w:r>
      <w:r w:rsidRPr="003A1F25">
        <w:rPr>
          <w:sz w:val="22"/>
        </w:rPr>
        <w:t>and deepen the country’s f</w:t>
      </w:r>
      <w:r>
        <w:rPr>
          <w:sz w:val="22"/>
        </w:rPr>
        <w:t>inancial infrastructure with a</w:t>
      </w:r>
      <w:r w:rsidRPr="003A1F25">
        <w:rPr>
          <w:sz w:val="22"/>
        </w:rPr>
        <w:t xml:space="preserve"> focus on credit reporting </w:t>
      </w:r>
      <w:r>
        <w:rPr>
          <w:sz w:val="22"/>
        </w:rPr>
        <w:t xml:space="preserve">through the </w:t>
      </w:r>
      <w:r w:rsidRPr="003A1F25">
        <w:rPr>
          <w:sz w:val="22"/>
        </w:rPr>
        <w:t xml:space="preserve">Balkans-Armenia Financial Infrastructure </w:t>
      </w:r>
      <w:r>
        <w:rPr>
          <w:sz w:val="22"/>
        </w:rPr>
        <w:t>(</w:t>
      </w:r>
      <w:r w:rsidRPr="003A1F25">
        <w:rPr>
          <w:sz w:val="22"/>
        </w:rPr>
        <w:t>BAFI</w:t>
      </w:r>
      <w:r>
        <w:rPr>
          <w:sz w:val="22"/>
        </w:rPr>
        <w:t>)</w:t>
      </w:r>
      <w:r w:rsidRPr="003A1F25">
        <w:rPr>
          <w:sz w:val="22"/>
        </w:rPr>
        <w:t xml:space="preserve"> </w:t>
      </w:r>
      <w:r>
        <w:rPr>
          <w:sz w:val="22"/>
        </w:rPr>
        <w:t>p</w:t>
      </w:r>
      <w:r w:rsidRPr="003A1F25">
        <w:rPr>
          <w:sz w:val="22"/>
        </w:rPr>
        <w:t>roject</w:t>
      </w:r>
      <w:r w:rsidRPr="00BA050E">
        <w:rPr>
          <w:szCs w:val="24"/>
        </w:rPr>
        <w:t>. Finally</w:t>
      </w:r>
      <w:r w:rsidRPr="00BA050E">
        <w:rPr>
          <w:sz w:val="22"/>
        </w:rPr>
        <w:t>, MIGA’s g</w:t>
      </w:r>
      <w:r w:rsidR="00797C58">
        <w:rPr>
          <w:sz w:val="22"/>
        </w:rPr>
        <w:t>ross exposure amounts to US$25.4</w:t>
      </w:r>
      <w:r w:rsidRPr="00BA050E">
        <w:rPr>
          <w:sz w:val="22"/>
        </w:rPr>
        <w:t xml:space="preserve"> million for three projects that support foreign bank subsidiaries in Moldova, including leasing and micro-finance activities.</w:t>
      </w:r>
    </w:p>
    <w:p w14:paraId="6BB07AB5" w14:textId="77777777" w:rsidR="00B44D67" w:rsidRPr="00BA050E" w:rsidRDefault="00B44D67" w:rsidP="00B44D67">
      <w:pPr>
        <w:spacing w:after="0" w:line="240" w:lineRule="auto"/>
        <w:ind w:left="0" w:right="105" w:firstLine="0"/>
        <w:rPr>
          <w:sz w:val="22"/>
        </w:rPr>
      </w:pPr>
    </w:p>
    <w:p w14:paraId="6C60575B" w14:textId="77777777" w:rsidR="00B44D67" w:rsidRPr="003637CC" w:rsidRDefault="00B44D67" w:rsidP="00B44D67">
      <w:pPr>
        <w:numPr>
          <w:ilvl w:val="0"/>
          <w:numId w:val="3"/>
        </w:numPr>
        <w:spacing w:after="0" w:line="240" w:lineRule="auto"/>
        <w:ind w:left="-14" w:right="101" w:firstLine="0"/>
        <w:rPr>
          <w:sz w:val="22"/>
        </w:rPr>
      </w:pPr>
      <w:r w:rsidRPr="003637CC">
        <w:rPr>
          <w:b/>
          <w:sz w:val="22"/>
        </w:rPr>
        <w:t xml:space="preserve">The CPS program was broadly aligned with </w:t>
      </w:r>
      <w:r w:rsidRPr="0049114A">
        <w:rPr>
          <w:b/>
          <w:sz w:val="22"/>
        </w:rPr>
        <w:t xml:space="preserve">Bank Group corporate goals to end extreme poverty and boost shared prosperity in a sustainable manner. </w:t>
      </w:r>
      <w:r w:rsidRPr="0049114A">
        <w:rPr>
          <w:sz w:val="22"/>
        </w:rPr>
        <w:t>Specifically, activities under the second pillar supported better access to, and improved quality of general education and public health services, as well as more equitable and fiscally sustainable pension and social assistance systems, which benefitted mostly the population in rural areas given that poverty is particularly a rural phenomenon. The relevance of these activities to corporate goals was also underlined by the results of both the 2016 poverty assessment</w:t>
      </w:r>
      <w:r w:rsidRPr="0049114A">
        <w:rPr>
          <w:rStyle w:val="FootnoteReference"/>
          <w:rFonts w:eastAsiaTheme="majorEastAsia"/>
          <w:sz w:val="22"/>
        </w:rPr>
        <w:footnoteReference w:id="8"/>
      </w:r>
      <w:r w:rsidRPr="0049114A">
        <w:rPr>
          <w:sz w:val="22"/>
        </w:rPr>
        <w:t xml:space="preserve"> and the subsequent Systematic Country Diagnostic (SCD)</w:t>
      </w:r>
      <w:r w:rsidRPr="0049114A">
        <w:rPr>
          <w:rStyle w:val="FootnoteReference"/>
          <w:rFonts w:eastAsiaTheme="majorEastAsia"/>
          <w:sz w:val="22"/>
        </w:rPr>
        <w:footnoteReference w:id="9"/>
      </w:r>
      <w:r w:rsidRPr="0049114A">
        <w:rPr>
          <w:sz w:val="22"/>
        </w:rPr>
        <w:t>. The</w:t>
      </w:r>
      <w:r w:rsidRPr="003637CC">
        <w:rPr>
          <w:sz w:val="22"/>
        </w:rPr>
        <w:t xml:space="preserve"> program also reflected the Europe and Central Asia (ECA) region’s commitment under IDA17 to support a climate change adaptation program in Moldova. In addition, reviews of citizen engagement and gender were commissioned in FY17 to verify the CPS’ alignment with Bank Group priorities in these areas.</w:t>
      </w:r>
    </w:p>
    <w:p w14:paraId="47042396" w14:textId="77777777" w:rsidR="00B44D67" w:rsidRDefault="00B44D67" w:rsidP="00B44D67">
      <w:pPr>
        <w:spacing w:after="0" w:line="259" w:lineRule="auto"/>
        <w:ind w:left="-5" w:right="0" w:hanging="10"/>
        <w:jc w:val="left"/>
        <w:rPr>
          <w:b/>
          <w:i/>
          <w:sz w:val="22"/>
        </w:rPr>
      </w:pPr>
    </w:p>
    <w:p w14:paraId="04D61021" w14:textId="77777777" w:rsidR="00B44D67" w:rsidRDefault="00B44D67" w:rsidP="00B44D67">
      <w:pPr>
        <w:spacing w:after="0" w:line="259" w:lineRule="auto"/>
        <w:ind w:left="-5" w:right="0" w:hanging="10"/>
        <w:jc w:val="left"/>
        <w:rPr>
          <w:b/>
          <w:i/>
          <w:sz w:val="22"/>
        </w:rPr>
      </w:pPr>
    </w:p>
    <w:p w14:paraId="23358547" w14:textId="77777777" w:rsidR="00B44D67" w:rsidRDefault="00B44D67" w:rsidP="00B44D67">
      <w:pPr>
        <w:spacing w:after="0" w:line="259" w:lineRule="auto"/>
        <w:ind w:left="-5" w:right="0" w:hanging="10"/>
        <w:jc w:val="left"/>
        <w:rPr>
          <w:b/>
          <w:i/>
          <w:sz w:val="22"/>
        </w:rPr>
      </w:pPr>
    </w:p>
    <w:p w14:paraId="5746AC9D" w14:textId="77777777" w:rsidR="00B44D67" w:rsidRPr="00BA050E" w:rsidRDefault="00B44D67" w:rsidP="00B44D67">
      <w:pPr>
        <w:spacing w:after="0" w:line="259" w:lineRule="auto"/>
        <w:ind w:left="-5" w:right="0" w:hanging="10"/>
        <w:jc w:val="left"/>
        <w:rPr>
          <w:sz w:val="22"/>
        </w:rPr>
      </w:pPr>
      <w:r w:rsidRPr="00BA050E">
        <w:rPr>
          <w:b/>
          <w:i/>
          <w:sz w:val="22"/>
        </w:rPr>
        <w:lastRenderedPageBreak/>
        <w:t>Bank Group Performance</w:t>
      </w:r>
    </w:p>
    <w:p w14:paraId="4D58E93D" w14:textId="77777777" w:rsidR="00B44D67" w:rsidRPr="00BA050E" w:rsidRDefault="00B44D67" w:rsidP="00B44D67">
      <w:pPr>
        <w:spacing w:after="0" w:line="259" w:lineRule="auto"/>
        <w:ind w:left="0" w:right="0" w:firstLine="0"/>
        <w:jc w:val="left"/>
        <w:rPr>
          <w:sz w:val="22"/>
        </w:rPr>
      </w:pPr>
    </w:p>
    <w:p w14:paraId="66F899B5" w14:textId="77777777" w:rsidR="00B44D67" w:rsidRPr="00BA050E" w:rsidRDefault="00B44D67" w:rsidP="00B44D67">
      <w:pPr>
        <w:numPr>
          <w:ilvl w:val="0"/>
          <w:numId w:val="3"/>
        </w:numPr>
        <w:spacing w:after="0" w:line="240" w:lineRule="auto"/>
        <w:ind w:right="101" w:hanging="14"/>
        <w:rPr>
          <w:sz w:val="22"/>
        </w:rPr>
      </w:pPr>
      <w:r w:rsidRPr="00BA050E">
        <w:rPr>
          <w:b/>
          <w:sz w:val="22"/>
        </w:rPr>
        <w:t xml:space="preserve">The Bank Group’s overall performance in designing and implementing the CPS program is rated as </w:t>
      </w:r>
      <w:r w:rsidRPr="00BA050E">
        <w:rPr>
          <w:b/>
          <w:i/>
          <w:sz w:val="22"/>
        </w:rPr>
        <w:t>Good</w:t>
      </w:r>
      <w:r w:rsidRPr="00BA050E">
        <w:rPr>
          <w:sz w:val="22"/>
        </w:rPr>
        <w:t>. This assessment takes into account: (a) the CPS’ alignment with the government’s NDS―</w:t>
      </w:r>
      <w:r w:rsidRPr="00BA050E">
        <w:rPr>
          <w:i/>
          <w:sz w:val="22"/>
        </w:rPr>
        <w:t>Moldova 2020</w:t>
      </w:r>
      <w:r w:rsidRPr="00BA050E">
        <w:rPr>
          <w:sz w:val="22"/>
        </w:rPr>
        <w:t>, including its agenda for closer relations with Europe; (b) the deployment of a balanced mix of investment lending, A</w:t>
      </w:r>
      <w:r>
        <w:rPr>
          <w:sz w:val="22"/>
        </w:rPr>
        <w:t>S</w:t>
      </w:r>
      <w:r w:rsidRPr="00BA050E">
        <w:rPr>
          <w:sz w:val="22"/>
        </w:rPr>
        <w:t>A, and technical assistance, bolstered by frank, intensive policy dialogue and a dynamic external communications strategy; (c) the agility of the Bank Group’s response to changing client needs, including during the PLR; and (d) the proactive management and oversight of the portfolio, characterized partly by a disbursement ratio averaging over 25 percent during the period, above the ECA regional and Bank-wide average.</w:t>
      </w:r>
    </w:p>
    <w:p w14:paraId="6A2D98B5" w14:textId="77777777" w:rsidR="00B44D67" w:rsidRPr="00BA050E" w:rsidRDefault="00B44D67" w:rsidP="00B44D67">
      <w:pPr>
        <w:spacing w:after="0" w:line="240" w:lineRule="auto"/>
        <w:ind w:left="0" w:right="101" w:firstLine="0"/>
        <w:rPr>
          <w:sz w:val="22"/>
        </w:rPr>
      </w:pPr>
    </w:p>
    <w:p w14:paraId="72483D6E" w14:textId="77777777" w:rsidR="00B44D67" w:rsidRDefault="00B44D67" w:rsidP="006D2153">
      <w:pPr>
        <w:pStyle w:val="ListParagraph"/>
        <w:numPr>
          <w:ilvl w:val="0"/>
          <w:numId w:val="28"/>
        </w:numPr>
        <w:tabs>
          <w:tab w:val="center" w:pos="2816"/>
          <w:tab w:val="center" w:pos="5219"/>
        </w:tabs>
        <w:spacing w:after="0" w:line="259" w:lineRule="auto"/>
        <w:ind w:right="0"/>
        <w:rPr>
          <w:b/>
        </w:rPr>
      </w:pPr>
      <w:r w:rsidRPr="00364002">
        <w:rPr>
          <w:b/>
        </w:rPr>
        <w:t>HIGHLIGHTS OF ASSESSMENT</w:t>
      </w:r>
    </w:p>
    <w:p w14:paraId="58699175" w14:textId="77777777" w:rsidR="00B44D67" w:rsidRPr="0009426C" w:rsidRDefault="00B44D67" w:rsidP="00B44D67">
      <w:pPr>
        <w:tabs>
          <w:tab w:val="center" w:pos="2816"/>
          <w:tab w:val="center" w:pos="5219"/>
        </w:tabs>
        <w:spacing w:after="0" w:line="259" w:lineRule="auto"/>
        <w:ind w:right="0"/>
        <w:rPr>
          <w:b/>
          <w:i/>
          <w:sz w:val="22"/>
        </w:rPr>
      </w:pPr>
      <w:r w:rsidRPr="0009426C">
        <w:rPr>
          <w:b/>
          <w:i/>
          <w:sz w:val="22"/>
        </w:rPr>
        <w:t>Background</w:t>
      </w:r>
    </w:p>
    <w:p w14:paraId="64FE0FF1" w14:textId="77777777" w:rsidR="00B44D67" w:rsidRPr="00364002" w:rsidRDefault="00B44D67" w:rsidP="00B44D67">
      <w:pPr>
        <w:tabs>
          <w:tab w:val="center" w:pos="2816"/>
          <w:tab w:val="center" w:pos="5219"/>
        </w:tabs>
        <w:spacing w:after="0" w:line="259" w:lineRule="auto"/>
        <w:ind w:right="0"/>
        <w:rPr>
          <w:b/>
        </w:rPr>
      </w:pPr>
    </w:p>
    <w:p w14:paraId="01B6739C" w14:textId="77777777" w:rsidR="00B44D67" w:rsidRPr="00E950F7" w:rsidRDefault="00B44D67" w:rsidP="00B44D67">
      <w:pPr>
        <w:pStyle w:val="ListParagraph"/>
        <w:numPr>
          <w:ilvl w:val="0"/>
          <w:numId w:val="3"/>
        </w:numPr>
        <w:spacing w:after="0" w:line="240" w:lineRule="auto"/>
        <w:ind w:left="-14" w:right="0" w:firstLine="0"/>
        <w:rPr>
          <w:rFonts w:asciiTheme="minorHAnsi" w:hAnsiTheme="minorHAnsi" w:cstheme="minorBidi"/>
          <w:b/>
        </w:rPr>
      </w:pPr>
      <w:r w:rsidRPr="00E950F7">
        <w:rPr>
          <w:b/>
          <w:sz w:val="22"/>
        </w:rPr>
        <w:t>After</w:t>
      </w:r>
      <w:r w:rsidRPr="00E950F7">
        <w:rPr>
          <w:b/>
        </w:rPr>
        <w:t xml:space="preserve"> growth</w:t>
      </w:r>
      <w:r w:rsidRPr="00E950F7">
        <w:rPr>
          <w:b/>
          <w:sz w:val="22"/>
        </w:rPr>
        <w:t xml:space="preserve"> averaging 5 percent annually</w:t>
      </w:r>
      <w:r w:rsidRPr="00E950F7">
        <w:rPr>
          <w:b/>
        </w:rPr>
        <w:t xml:space="preserve"> </w:t>
      </w:r>
      <w:r w:rsidRPr="00E950F7">
        <w:rPr>
          <w:b/>
          <w:sz w:val="22"/>
        </w:rPr>
        <w:t>since the early 2000s</w:t>
      </w:r>
      <w:r w:rsidRPr="00E950F7">
        <w:rPr>
          <w:b/>
        </w:rPr>
        <w:t xml:space="preserve"> and poverty declining </w:t>
      </w:r>
      <w:r w:rsidRPr="00E950F7">
        <w:rPr>
          <w:b/>
          <w:sz w:val="22"/>
        </w:rPr>
        <w:t>from 26 percent in 2007 to 11 percent in 2014, deteriorating external conditions and increased</w:t>
      </w:r>
      <w:r w:rsidRPr="00E950F7">
        <w:rPr>
          <w:b/>
        </w:rPr>
        <w:t xml:space="preserve"> governance challenges </w:t>
      </w:r>
      <w:r w:rsidRPr="00E950F7">
        <w:rPr>
          <w:b/>
          <w:sz w:val="22"/>
        </w:rPr>
        <w:t xml:space="preserve">slowed </w:t>
      </w:r>
      <w:r w:rsidRPr="00E950F7">
        <w:rPr>
          <w:b/>
        </w:rPr>
        <w:t xml:space="preserve">the economy during the CPS. </w:t>
      </w:r>
      <w:r w:rsidRPr="00E950F7">
        <w:rPr>
          <w:sz w:val="22"/>
        </w:rPr>
        <w:t>In 2015,</w:t>
      </w:r>
      <w:r w:rsidRPr="00E950F7">
        <w:rPr>
          <w:b/>
          <w:sz w:val="22"/>
        </w:rPr>
        <w:t xml:space="preserve"> </w:t>
      </w:r>
      <w:r w:rsidRPr="00E950F7">
        <w:t xml:space="preserve">it </w:t>
      </w:r>
      <w:r w:rsidRPr="00E950F7">
        <w:rPr>
          <w:sz w:val="22"/>
        </w:rPr>
        <w:t>contracted by 0.5 percent, due to: adverse external factors that reduced remittances from</w:t>
      </w:r>
      <w:r w:rsidRPr="00E950F7">
        <w:t>,</w:t>
      </w:r>
      <w:r w:rsidRPr="00E950F7">
        <w:rPr>
          <w:sz w:val="22"/>
        </w:rPr>
        <w:t xml:space="preserve"> and halved exports to Russia; a summer drought; </w:t>
      </w:r>
      <w:r w:rsidRPr="00E950F7">
        <w:t xml:space="preserve">and the banking system crisis noted above. </w:t>
      </w:r>
      <w:r w:rsidRPr="00E950F7">
        <w:rPr>
          <w:sz w:val="22"/>
        </w:rPr>
        <w:t>In 2016, agriculture</w:t>
      </w:r>
      <w:r w:rsidRPr="00E950F7">
        <w:t xml:space="preserve"> recovered and the economy expanded </w:t>
      </w:r>
      <w:r w:rsidRPr="00E950F7">
        <w:rPr>
          <w:sz w:val="22"/>
        </w:rPr>
        <w:t>3.3 percent year-on-year in the first three quarters. However, investmen</w:t>
      </w:r>
      <w:r w:rsidRPr="00E950F7">
        <w:t xml:space="preserve">t was </w:t>
      </w:r>
      <w:r w:rsidRPr="00E950F7">
        <w:rPr>
          <w:sz w:val="22"/>
        </w:rPr>
        <w:t xml:space="preserve">subdued due to high interest rates and only slowly emerging confidence in </w:t>
      </w:r>
      <w:r w:rsidRPr="00E950F7">
        <w:t xml:space="preserve">the government’s </w:t>
      </w:r>
      <w:r w:rsidRPr="00E950F7">
        <w:rPr>
          <w:sz w:val="22"/>
        </w:rPr>
        <w:t xml:space="preserve">anti-corruption measures and investment climate reforms. </w:t>
      </w:r>
      <w:r w:rsidRPr="00E950F7">
        <w:t>In 2017</w:t>
      </w:r>
      <w:r w:rsidRPr="00E950F7">
        <w:rPr>
          <w:sz w:val="22"/>
        </w:rPr>
        <w:t>, GDP growth is expected to pick up gradually, but remain below the pre-2014 average of 5 percent</w:t>
      </w:r>
      <w:r w:rsidRPr="00E950F7">
        <w:t xml:space="preserve">. Meanwhile, Moldova remains vulnerable to changes in external demand and climate shocks. It is also at risk due to its high external debt and a legacy of political instability. </w:t>
      </w:r>
    </w:p>
    <w:p w14:paraId="4F7DE018" w14:textId="77777777" w:rsidR="00B44D67" w:rsidRPr="00E950F7" w:rsidRDefault="00B44D67" w:rsidP="00B44D67">
      <w:pPr>
        <w:pStyle w:val="ListParagraph"/>
        <w:spacing w:after="0" w:line="240" w:lineRule="auto"/>
        <w:ind w:left="-14" w:right="0" w:firstLine="0"/>
        <w:rPr>
          <w:rFonts w:asciiTheme="minorHAnsi" w:hAnsiTheme="minorHAnsi" w:cstheme="minorBidi"/>
          <w:b/>
        </w:rPr>
      </w:pPr>
    </w:p>
    <w:p w14:paraId="2B0AC9F2" w14:textId="77777777" w:rsidR="00B44D67" w:rsidRPr="00E950F7" w:rsidRDefault="00B44D67" w:rsidP="00B44D67">
      <w:pPr>
        <w:pStyle w:val="ListParagraph"/>
        <w:numPr>
          <w:ilvl w:val="0"/>
          <w:numId w:val="3"/>
        </w:numPr>
        <w:spacing w:after="0" w:line="240" w:lineRule="auto"/>
        <w:ind w:right="0" w:firstLine="0"/>
        <w:rPr>
          <w:sz w:val="22"/>
        </w:rPr>
      </w:pPr>
      <w:r w:rsidRPr="00E950F7">
        <w:rPr>
          <w:b/>
          <w:sz w:val="22"/>
        </w:rPr>
        <w:t xml:space="preserve">Moldova’s achievements in poverty reduction and shared prosperity are impressive, especially relative to other countries in the ECA region. </w:t>
      </w:r>
      <w:r w:rsidRPr="00E950F7">
        <w:rPr>
          <w:sz w:val="22"/>
        </w:rPr>
        <w:t xml:space="preserve">Besides the 15-point fall in poverty between 2007-14, inequality measured by the </w:t>
      </w:r>
      <w:r w:rsidRPr="00E950F7">
        <w:rPr>
          <w:i/>
          <w:sz w:val="22"/>
        </w:rPr>
        <w:t xml:space="preserve">Gini </w:t>
      </w:r>
      <w:r w:rsidRPr="00E950F7">
        <w:rPr>
          <w:sz w:val="22"/>
        </w:rPr>
        <w:t>coefficient also declined from 0.3 to 0.23 during the same period. However, the principal determinants of past progress—remittances mainly to poor rural areas and pensions mainly to in urban areas—are unsustainable, underlining the need for a more balanced growth model. This will involve creating more and better jobs and enhancing access to improved education, health and other services enabling individuals to enter productive employment. At the same time, structural issues such as the burgeoning economic dependency ratio and regional and group disparities will need to be addressed.</w:t>
      </w:r>
    </w:p>
    <w:p w14:paraId="57F20F7F" w14:textId="77777777" w:rsidR="00B44D67" w:rsidRPr="008D031C" w:rsidRDefault="00B44D67" w:rsidP="00B44D67">
      <w:pPr>
        <w:pStyle w:val="ListParagraph"/>
        <w:spacing w:after="0" w:line="240" w:lineRule="auto"/>
        <w:ind w:left="0" w:right="0" w:firstLine="0"/>
        <w:rPr>
          <w:sz w:val="22"/>
        </w:rPr>
      </w:pPr>
    </w:p>
    <w:p w14:paraId="7C495905" w14:textId="77777777" w:rsidR="00B44D67" w:rsidRPr="00BA050E" w:rsidRDefault="00B44D67" w:rsidP="00B44D67">
      <w:pPr>
        <w:numPr>
          <w:ilvl w:val="0"/>
          <w:numId w:val="3"/>
        </w:numPr>
        <w:spacing w:after="0" w:line="240" w:lineRule="auto"/>
        <w:ind w:right="105"/>
        <w:rPr>
          <w:sz w:val="22"/>
        </w:rPr>
      </w:pPr>
      <w:r w:rsidRPr="00BA050E">
        <w:rPr>
          <w:b/>
          <w:sz w:val="22"/>
        </w:rPr>
        <w:t xml:space="preserve">This self-assessment summarizes outcomes as of June 30, 2017―the end date of the CPS―based on its results framework as </w:t>
      </w:r>
      <w:r>
        <w:rPr>
          <w:b/>
          <w:sz w:val="22"/>
        </w:rPr>
        <w:t xml:space="preserve">revised and updated in the PLR.  </w:t>
      </w:r>
      <w:r w:rsidRPr="00BA050E">
        <w:rPr>
          <w:sz w:val="22"/>
        </w:rPr>
        <w:t>Detailed indicators of results achieved</w:t>
      </w:r>
      <w:r>
        <w:rPr>
          <w:sz w:val="22"/>
        </w:rPr>
        <w:t>—derived mainly from the project development objectives of individual investment operations, technical assistance activities, or ASA—</w:t>
      </w:r>
      <w:r w:rsidRPr="00BA050E">
        <w:rPr>
          <w:sz w:val="22"/>
        </w:rPr>
        <w:t xml:space="preserve">are provided in Attachment 1: </w:t>
      </w:r>
      <w:r w:rsidRPr="00BA050E">
        <w:rPr>
          <w:i/>
          <w:sz w:val="22"/>
        </w:rPr>
        <w:t>Summary of FY14-17 Program Self-Evaluation</w:t>
      </w:r>
      <w:r>
        <w:rPr>
          <w:sz w:val="22"/>
        </w:rPr>
        <w:t>. Paragraphs 11-14</w:t>
      </w:r>
      <w:r w:rsidRPr="00BA050E">
        <w:rPr>
          <w:sz w:val="22"/>
        </w:rPr>
        <w:t xml:space="preserve"> below review the main highlights, including Bank Group activities that contributed directly or indirectly. </w:t>
      </w:r>
      <w:r w:rsidRPr="00E950F7">
        <w:rPr>
          <w:sz w:val="22"/>
        </w:rPr>
        <w:t xml:space="preserve">The principal data sources for individual investment operations are </w:t>
      </w:r>
      <w:r w:rsidRPr="00E950F7">
        <w:rPr>
          <w:i/>
          <w:sz w:val="22"/>
        </w:rPr>
        <w:t xml:space="preserve">aide-memoires </w:t>
      </w:r>
      <w:r w:rsidRPr="00E950F7">
        <w:rPr>
          <w:sz w:val="22"/>
        </w:rPr>
        <w:t>and/or implementation status reports (ISRs) for the last two years; and for technical assistance and A</w:t>
      </w:r>
      <w:r>
        <w:rPr>
          <w:sz w:val="22"/>
        </w:rPr>
        <w:t>S</w:t>
      </w:r>
      <w:r w:rsidRPr="00E950F7">
        <w:rPr>
          <w:sz w:val="22"/>
        </w:rPr>
        <w:t>A activities information provided by the Bank Group staff concerned.</w:t>
      </w:r>
      <w:r>
        <w:rPr>
          <w:sz w:val="22"/>
        </w:rPr>
        <w:t xml:space="preserve"> </w:t>
      </w:r>
      <w:r w:rsidRPr="00BA050E">
        <w:rPr>
          <w:sz w:val="22"/>
        </w:rPr>
        <w:t>Sections III-V below evaluate the Bank Group’s performance and indicate lessons learned relevant to the next CPF.</w:t>
      </w:r>
    </w:p>
    <w:p w14:paraId="24E90583" w14:textId="77777777" w:rsidR="00B44D67" w:rsidRPr="00BA050E" w:rsidRDefault="00B44D67" w:rsidP="00B44D67">
      <w:pPr>
        <w:spacing w:after="0" w:line="240" w:lineRule="auto"/>
        <w:ind w:left="0" w:right="0" w:firstLine="0"/>
        <w:jc w:val="left"/>
        <w:rPr>
          <w:sz w:val="22"/>
        </w:rPr>
      </w:pPr>
    </w:p>
    <w:p w14:paraId="1A852D43" w14:textId="77777777" w:rsidR="00B44D67" w:rsidRPr="004A2C90" w:rsidRDefault="00B44D67" w:rsidP="00B44D67">
      <w:pPr>
        <w:numPr>
          <w:ilvl w:val="0"/>
          <w:numId w:val="3"/>
        </w:numPr>
        <w:spacing w:line="240" w:lineRule="auto"/>
        <w:ind w:right="105"/>
        <w:rPr>
          <w:sz w:val="22"/>
        </w:rPr>
      </w:pPr>
      <w:r w:rsidRPr="00BA050E">
        <w:rPr>
          <w:b/>
          <w:sz w:val="22"/>
        </w:rPr>
        <w:t xml:space="preserve">The overall development outcome of the FY14-17 CPS program is rated as </w:t>
      </w:r>
      <w:r w:rsidRPr="00BA050E">
        <w:rPr>
          <w:b/>
          <w:i/>
          <w:sz w:val="22"/>
        </w:rPr>
        <w:t>Moderately Satisfactory</w:t>
      </w:r>
      <w:r w:rsidRPr="00BA050E">
        <w:rPr>
          <w:b/>
          <w:sz w:val="22"/>
        </w:rPr>
        <w:t xml:space="preserve">.  </w:t>
      </w:r>
      <w:r w:rsidRPr="00BA050E">
        <w:rPr>
          <w:sz w:val="22"/>
        </w:rPr>
        <w:t xml:space="preserve">This assessment is based on an analysis of its three strategic pillars and one cross-cutting theme—comprising 34 planned outcomes measured relative to 52 individual indicators—of which two pillars and the cross-cutting theme are judged </w:t>
      </w:r>
      <w:r w:rsidRPr="00BA050E">
        <w:rPr>
          <w:b/>
          <w:i/>
          <w:sz w:val="22"/>
        </w:rPr>
        <w:t>moderately satisfactory</w:t>
      </w:r>
      <w:r w:rsidRPr="00BA050E">
        <w:rPr>
          <w:sz w:val="22"/>
        </w:rPr>
        <w:t xml:space="preserve"> and one pillar—</w:t>
      </w:r>
      <w:r w:rsidRPr="00BA050E">
        <w:rPr>
          <w:i/>
          <w:sz w:val="22"/>
        </w:rPr>
        <w:t xml:space="preserve">Enhancing Human </w:t>
      </w:r>
      <w:r w:rsidRPr="00BA050E">
        <w:rPr>
          <w:i/>
          <w:sz w:val="22"/>
        </w:rPr>
        <w:lastRenderedPageBreak/>
        <w:t>Capital and Minimizing Social Risks—</w:t>
      </w:r>
      <w:r w:rsidRPr="00BA050E">
        <w:rPr>
          <w:sz w:val="22"/>
        </w:rPr>
        <w:t xml:space="preserve">is considered </w:t>
      </w:r>
      <w:r w:rsidRPr="00BA050E">
        <w:rPr>
          <w:i/>
          <w:sz w:val="22"/>
        </w:rPr>
        <w:t>moderately unsatisfactory.</w:t>
      </w:r>
      <w:r>
        <w:rPr>
          <w:sz w:val="22"/>
        </w:rPr>
        <w:t xml:space="preserve"> </w:t>
      </w:r>
      <w:r w:rsidRPr="004A2C90">
        <w:rPr>
          <w:sz w:val="22"/>
        </w:rPr>
        <w:t xml:space="preserve">In this connection, the large number of outcomes and individual indicators relative to the modest size of the program and portfolio—9-10 operations totaling about US$320 million—may have created expectations about the CPS’ potential impact that exceeded its ability to deliver. In other words, the scope of a results framework should be proportionate to that of the program. This issue, including the need for greater clarity, focus, and selectivity, is discussed further below (paras. 17 and 28).    </w:t>
      </w:r>
    </w:p>
    <w:p w14:paraId="02261F70" w14:textId="77777777" w:rsidR="00B44D67" w:rsidRDefault="00B44D67" w:rsidP="00B44D67">
      <w:pPr>
        <w:spacing w:after="10" w:line="249" w:lineRule="auto"/>
        <w:ind w:left="10" w:right="0" w:hanging="10"/>
        <w:jc w:val="left"/>
        <w:rPr>
          <w:b/>
          <w:sz w:val="22"/>
        </w:rPr>
      </w:pPr>
    </w:p>
    <w:p w14:paraId="0B90B2BB" w14:textId="77777777" w:rsidR="00B44D67" w:rsidRPr="00BA050E" w:rsidRDefault="00B44D67" w:rsidP="00B44D67">
      <w:pPr>
        <w:spacing w:after="10" w:line="249" w:lineRule="auto"/>
        <w:ind w:left="10" w:right="0" w:hanging="10"/>
        <w:jc w:val="left"/>
        <w:rPr>
          <w:sz w:val="22"/>
        </w:rPr>
      </w:pPr>
      <w:r w:rsidRPr="00BA050E">
        <w:rPr>
          <w:b/>
          <w:sz w:val="22"/>
        </w:rPr>
        <w:t>Pillar 1: Increasing Competitiveness</w:t>
      </w:r>
    </w:p>
    <w:p w14:paraId="49255566" w14:textId="77777777" w:rsidR="00B44D67" w:rsidRPr="00BA050E" w:rsidRDefault="00B44D67" w:rsidP="00B44D67">
      <w:pPr>
        <w:spacing w:after="0" w:line="259" w:lineRule="auto"/>
        <w:ind w:left="0" w:right="0" w:firstLine="0"/>
        <w:jc w:val="left"/>
        <w:rPr>
          <w:sz w:val="22"/>
        </w:rPr>
      </w:pPr>
    </w:p>
    <w:p w14:paraId="384A13FF" w14:textId="77777777" w:rsidR="00B44D67" w:rsidRPr="00286284" w:rsidRDefault="00B44D67" w:rsidP="00B44D67">
      <w:pPr>
        <w:numPr>
          <w:ilvl w:val="0"/>
          <w:numId w:val="3"/>
        </w:numPr>
        <w:spacing w:after="0" w:line="240" w:lineRule="auto"/>
        <w:ind w:right="0" w:firstLine="0"/>
        <w:contextualSpacing/>
        <w:rPr>
          <w:sz w:val="22"/>
        </w:rPr>
      </w:pPr>
      <w:r w:rsidRPr="00BA050E">
        <w:rPr>
          <w:b/>
          <w:sz w:val="22"/>
        </w:rPr>
        <w:t xml:space="preserve">Bank Group activities under this pillar―in particular the </w:t>
      </w:r>
      <w:r w:rsidRPr="00BA050E">
        <w:rPr>
          <w:b/>
          <w:i/>
          <w:sz w:val="22"/>
        </w:rPr>
        <w:t>2</w:t>
      </w:r>
      <w:r w:rsidRPr="00BA050E">
        <w:rPr>
          <w:b/>
          <w:i/>
          <w:sz w:val="22"/>
          <w:vertAlign w:val="superscript"/>
        </w:rPr>
        <w:t>nd</w:t>
      </w:r>
      <w:r w:rsidRPr="00BA050E">
        <w:rPr>
          <w:b/>
          <w:i/>
          <w:sz w:val="22"/>
        </w:rPr>
        <w:t xml:space="preserve"> Competitiveness Enhancement</w:t>
      </w:r>
      <w:r w:rsidRPr="00BA050E">
        <w:rPr>
          <w:b/>
          <w:sz w:val="22"/>
        </w:rPr>
        <w:t xml:space="preserve"> project and </w:t>
      </w:r>
      <w:r w:rsidRPr="00BA050E">
        <w:rPr>
          <w:rFonts w:eastAsia="SimSun"/>
          <w:b/>
          <w:sz w:val="22"/>
        </w:rPr>
        <w:t xml:space="preserve">IFC’s </w:t>
      </w:r>
      <w:r w:rsidRPr="002F47AF">
        <w:rPr>
          <w:rFonts w:eastAsia="SimSun"/>
          <w:b/>
          <w:sz w:val="22"/>
        </w:rPr>
        <w:t>ICR</w:t>
      </w:r>
      <w:r w:rsidRPr="00BA050E">
        <w:rPr>
          <w:rFonts w:eastAsia="SimSun"/>
          <w:b/>
          <w:sz w:val="22"/>
        </w:rPr>
        <w:t xml:space="preserve"> project―</w:t>
      </w:r>
      <w:r w:rsidRPr="00BA050E">
        <w:rPr>
          <w:b/>
          <w:sz w:val="22"/>
        </w:rPr>
        <w:t xml:space="preserve">aimed to support progress towards two strategic objectives: an improved business environment, including better access to finance for private businesses; and increased competitiveness in agriculture.  </w:t>
      </w:r>
      <w:r w:rsidRPr="00BA050E">
        <w:rPr>
          <w:sz w:val="22"/>
        </w:rPr>
        <w:t xml:space="preserve">Progress was assessed relative to nine outcomes―six for the business environment and three for increased competitiveness in agriculture―and the attainment or otherwise of up to 17 indicators. With five of nine outcomes achieved (2) or mostly achieved (3), three partially achieved, and one not achieved, the overall outcome of this pillar is rated </w:t>
      </w:r>
      <w:r w:rsidRPr="00BA050E">
        <w:rPr>
          <w:b/>
          <w:i/>
          <w:sz w:val="22"/>
        </w:rPr>
        <w:t>moderately satisfactory</w:t>
      </w:r>
      <w:r w:rsidRPr="00BA050E">
        <w:rPr>
          <w:sz w:val="22"/>
        </w:rPr>
        <w:t xml:space="preserve">. </w:t>
      </w:r>
      <w:r w:rsidRPr="00286284">
        <w:rPr>
          <w:sz w:val="22"/>
        </w:rPr>
        <w:t>However, given the systemic impact of the massive fraud and collapse of three large banks in late 2014, the financial and technical assistance provided in the context of the 2</w:t>
      </w:r>
      <w:r w:rsidRPr="00286284">
        <w:rPr>
          <w:sz w:val="22"/>
          <w:vertAlign w:val="superscript"/>
        </w:rPr>
        <w:t>nd</w:t>
      </w:r>
      <w:r w:rsidRPr="00286284">
        <w:rPr>
          <w:sz w:val="22"/>
        </w:rPr>
        <w:t xml:space="preserve"> Development Policy Operation (DPO</w:t>
      </w:r>
      <w:r>
        <w:rPr>
          <w:sz w:val="22"/>
        </w:rPr>
        <w:t>-2</w:t>
      </w:r>
      <w:r w:rsidRPr="00286284">
        <w:rPr>
          <w:sz w:val="22"/>
        </w:rPr>
        <w:t>)</w:t>
      </w:r>
      <w:r>
        <w:rPr>
          <w:sz w:val="22"/>
        </w:rPr>
        <w:t xml:space="preserve"> and a series of trust-funded activities </w:t>
      </w:r>
      <w:r w:rsidRPr="00286284">
        <w:rPr>
          <w:sz w:val="22"/>
        </w:rPr>
        <w:t xml:space="preserve">in late 2016 in support of the fifth objective below—strengthened capital markets—was arguably the CPS’ single most important </w:t>
      </w:r>
      <w:r>
        <w:rPr>
          <w:rFonts w:eastAsia="SimSun"/>
          <w:sz w:val="22"/>
        </w:rPr>
        <w:t>contribution</w:t>
      </w:r>
      <w:r w:rsidRPr="00286284">
        <w:rPr>
          <w:rFonts w:eastAsia="SimSun"/>
          <w:sz w:val="22"/>
        </w:rPr>
        <w:t>.</w:t>
      </w:r>
    </w:p>
    <w:p w14:paraId="0CEDE20D" w14:textId="77777777" w:rsidR="00B44D67" w:rsidRPr="00BA050E" w:rsidRDefault="00B44D67" w:rsidP="00B44D67">
      <w:pPr>
        <w:spacing w:after="0" w:line="240" w:lineRule="auto"/>
        <w:ind w:left="0" w:right="0" w:firstLine="0"/>
        <w:contextualSpacing/>
        <w:rPr>
          <w:b/>
          <w:sz w:val="22"/>
        </w:rPr>
      </w:pPr>
    </w:p>
    <w:p w14:paraId="1D05B9FB" w14:textId="77777777" w:rsidR="00B44D67" w:rsidRPr="00BA050E" w:rsidRDefault="00B44D67" w:rsidP="006D2153">
      <w:pPr>
        <w:numPr>
          <w:ilvl w:val="0"/>
          <w:numId w:val="17"/>
        </w:numPr>
        <w:spacing w:after="0" w:line="240" w:lineRule="auto"/>
        <w:ind w:right="0"/>
        <w:contextualSpacing/>
        <w:rPr>
          <w:sz w:val="22"/>
        </w:rPr>
      </w:pPr>
      <w:r w:rsidRPr="00BA050E">
        <w:rPr>
          <w:b/>
          <w:sz w:val="22"/>
        </w:rPr>
        <w:t>Improved business environment and access to finance</w:t>
      </w:r>
    </w:p>
    <w:p w14:paraId="7FBCA0EE" w14:textId="77777777" w:rsidR="00B44D67" w:rsidRPr="00BA050E" w:rsidRDefault="00B44D67" w:rsidP="00B44D67">
      <w:pPr>
        <w:ind w:left="0" w:right="105" w:firstLine="0"/>
        <w:rPr>
          <w:sz w:val="22"/>
        </w:rPr>
      </w:pPr>
    </w:p>
    <w:p w14:paraId="0276C6FF" w14:textId="77777777" w:rsidR="00B44D67" w:rsidRPr="00BA050E" w:rsidRDefault="00B44D67" w:rsidP="006D2153">
      <w:pPr>
        <w:numPr>
          <w:ilvl w:val="0"/>
          <w:numId w:val="16"/>
        </w:numPr>
        <w:spacing w:after="100" w:afterAutospacing="1"/>
        <w:ind w:left="630" w:right="105" w:hanging="630"/>
        <w:contextualSpacing/>
        <w:rPr>
          <w:sz w:val="22"/>
        </w:rPr>
      </w:pPr>
      <w:r w:rsidRPr="00BA050E">
        <w:rPr>
          <w:rFonts w:eastAsia="SimSun"/>
          <w:b/>
          <w:sz w:val="22"/>
        </w:rPr>
        <w:t xml:space="preserve">Streamlined, more transparent customs procedures – </w:t>
      </w:r>
      <w:r w:rsidRPr="00BA050E">
        <w:rPr>
          <w:rFonts w:eastAsia="SimSun"/>
          <w:b/>
          <w:i/>
          <w:sz w:val="22"/>
        </w:rPr>
        <w:t>Achieved</w:t>
      </w:r>
      <w:r w:rsidRPr="00BA050E">
        <w:rPr>
          <w:rFonts w:eastAsia="SimSun"/>
          <w:sz w:val="22"/>
        </w:rPr>
        <w:t>. Following the introduction of electronic filing supported by IFC’s ICR, the time required to prepare export documentation was reduced to three hours for border compliance and 48 hours for documentary compliance, according to the 2017 Doing Business (Trading Across Borders).</w:t>
      </w:r>
    </w:p>
    <w:p w14:paraId="21BCD3EB" w14:textId="77777777" w:rsidR="00B44D67" w:rsidRPr="00BA050E" w:rsidRDefault="00B44D67" w:rsidP="00B44D67">
      <w:pPr>
        <w:spacing w:after="100" w:afterAutospacing="1"/>
        <w:ind w:left="630" w:right="105" w:hanging="630"/>
        <w:contextualSpacing/>
        <w:rPr>
          <w:sz w:val="22"/>
        </w:rPr>
      </w:pPr>
    </w:p>
    <w:p w14:paraId="641AA973" w14:textId="77777777" w:rsidR="00B44D67" w:rsidRPr="00BA050E" w:rsidRDefault="00B44D67" w:rsidP="006D2153">
      <w:pPr>
        <w:numPr>
          <w:ilvl w:val="0"/>
          <w:numId w:val="16"/>
        </w:numPr>
        <w:spacing w:after="100" w:afterAutospacing="1"/>
        <w:ind w:left="630" w:right="105" w:hanging="630"/>
        <w:contextualSpacing/>
        <w:rPr>
          <w:sz w:val="22"/>
        </w:rPr>
      </w:pPr>
      <w:r w:rsidRPr="00BA050E">
        <w:rPr>
          <w:rFonts w:eastAsia="SimSun"/>
          <w:b/>
          <w:sz w:val="22"/>
        </w:rPr>
        <w:t xml:space="preserve">Reduced regulatory burden on enterprises – </w:t>
      </w:r>
      <w:r w:rsidRPr="00BA050E">
        <w:rPr>
          <w:rFonts w:eastAsia="SimSun"/>
          <w:b/>
          <w:i/>
          <w:sz w:val="22"/>
        </w:rPr>
        <w:t xml:space="preserve">Partially Achieved. </w:t>
      </w:r>
      <w:r w:rsidRPr="00BA050E">
        <w:rPr>
          <w:rFonts w:eastAsia="SimSun"/>
          <w:sz w:val="22"/>
        </w:rPr>
        <w:t xml:space="preserve">One of three indicators for this outcome―reduced management time for regulatory compliance—was achieved and one—the introduction of targeted risk-based methodologies for inspections―was </w:t>
      </w:r>
      <w:r w:rsidRPr="00BA050E">
        <w:rPr>
          <w:rFonts w:eastAsia="SimSun"/>
          <w:i/>
          <w:sz w:val="22"/>
        </w:rPr>
        <w:t>not achieved</w:t>
      </w:r>
      <w:r w:rsidRPr="00BA050E">
        <w:rPr>
          <w:rFonts w:eastAsia="SimSun"/>
          <w:sz w:val="22"/>
        </w:rPr>
        <w:t>, the latter due to inadeq</w:t>
      </w:r>
      <w:bookmarkStart w:id="12" w:name="_GoBack"/>
      <w:bookmarkEnd w:id="12"/>
      <w:r w:rsidRPr="00BA050E">
        <w:rPr>
          <w:rFonts w:eastAsia="SimSun"/>
          <w:sz w:val="22"/>
        </w:rPr>
        <w:t xml:space="preserve">uate information systems and data reporting. However, 110 licenses and permits were eliminated in mid-2016 and 306 are under review for submission to the government and legislature during 2017 and thus the third indicator is considered </w:t>
      </w:r>
      <w:r w:rsidRPr="00BA050E">
        <w:rPr>
          <w:rFonts w:eastAsia="SimSun"/>
          <w:i/>
          <w:sz w:val="22"/>
        </w:rPr>
        <w:t>partially achieved</w:t>
      </w:r>
      <w:r w:rsidRPr="00BA050E">
        <w:rPr>
          <w:rFonts w:eastAsia="SimSun"/>
          <w:sz w:val="22"/>
        </w:rPr>
        <w:t>.</w:t>
      </w:r>
    </w:p>
    <w:p w14:paraId="6DE391C4" w14:textId="77777777" w:rsidR="00B44D67" w:rsidRPr="00BA050E" w:rsidRDefault="00B44D67" w:rsidP="00B44D67">
      <w:pPr>
        <w:ind w:left="630" w:hanging="630"/>
        <w:contextualSpacing/>
        <w:rPr>
          <w:sz w:val="22"/>
        </w:rPr>
      </w:pPr>
    </w:p>
    <w:p w14:paraId="4E5C091C" w14:textId="77777777" w:rsidR="00B44D67" w:rsidRPr="00BA050E" w:rsidRDefault="00B44D67" w:rsidP="006D2153">
      <w:pPr>
        <w:numPr>
          <w:ilvl w:val="0"/>
          <w:numId w:val="16"/>
        </w:numPr>
        <w:spacing w:after="100" w:afterAutospacing="1"/>
        <w:ind w:left="630" w:right="105" w:hanging="630"/>
        <w:contextualSpacing/>
        <w:rPr>
          <w:sz w:val="22"/>
        </w:rPr>
      </w:pPr>
      <w:r w:rsidRPr="00BA050E">
        <w:rPr>
          <w:rFonts w:eastAsia="SimSun"/>
          <w:b/>
          <w:sz w:val="22"/>
        </w:rPr>
        <w:t>Business development services to small- and medium-sized enterprises (SMEs)―</w:t>
      </w:r>
      <w:r w:rsidRPr="00BA050E">
        <w:rPr>
          <w:rFonts w:eastAsia="SimSun"/>
          <w:b/>
          <w:i/>
          <w:sz w:val="22"/>
        </w:rPr>
        <w:t>Achieved</w:t>
      </w:r>
      <w:r w:rsidRPr="00BA050E">
        <w:rPr>
          <w:rFonts w:eastAsia="SimSun"/>
          <w:sz w:val="22"/>
        </w:rPr>
        <w:t>. From a zero baseline in 2013, 522 business development services had been approved by end-2016, of which 99 were fully developed, comfortably exceeding the 2017 target of 240. This achievement is attributed to intensive outreach to SMEs supported by a matching grants program designed to address their specific needs.</w:t>
      </w:r>
    </w:p>
    <w:p w14:paraId="3BD64938" w14:textId="77777777" w:rsidR="00B44D67" w:rsidRPr="00BA050E" w:rsidRDefault="00B44D67" w:rsidP="00B44D67">
      <w:pPr>
        <w:ind w:left="630" w:hanging="630"/>
        <w:contextualSpacing/>
        <w:rPr>
          <w:sz w:val="22"/>
        </w:rPr>
      </w:pPr>
    </w:p>
    <w:p w14:paraId="26C3BF37" w14:textId="77777777" w:rsidR="00B44D67" w:rsidRPr="00BA050E" w:rsidRDefault="00B44D67" w:rsidP="006D2153">
      <w:pPr>
        <w:numPr>
          <w:ilvl w:val="0"/>
          <w:numId w:val="16"/>
        </w:numPr>
        <w:ind w:left="630" w:right="105" w:hanging="630"/>
        <w:contextualSpacing/>
        <w:rPr>
          <w:color w:val="auto"/>
          <w:sz w:val="22"/>
        </w:rPr>
      </w:pPr>
      <w:r w:rsidRPr="00BA050E">
        <w:rPr>
          <w:b/>
          <w:sz w:val="22"/>
        </w:rPr>
        <w:t xml:space="preserve">Improved private enterprise access to formal sources of finance – </w:t>
      </w:r>
      <w:r w:rsidRPr="00BA050E">
        <w:rPr>
          <w:b/>
          <w:i/>
          <w:sz w:val="22"/>
        </w:rPr>
        <w:t xml:space="preserve">Not Achieved. </w:t>
      </w:r>
      <w:r w:rsidRPr="00BA050E">
        <w:rPr>
          <w:sz w:val="22"/>
        </w:rPr>
        <w:t xml:space="preserve">After falling to 35 percent of GDP in 2015, following the banking fraud and insolvency of three large banks, private sector credit as of end-September 2016 was about 41 percent, compared to the 2013 baseline of 42 percent. Access to finance since 2013 has been constrained </w:t>
      </w:r>
      <w:r w:rsidRPr="00BA050E">
        <w:rPr>
          <w:i/>
          <w:sz w:val="22"/>
        </w:rPr>
        <w:t>inter alia</w:t>
      </w:r>
      <w:r w:rsidRPr="00BA050E">
        <w:rPr>
          <w:sz w:val="22"/>
        </w:rPr>
        <w:t xml:space="preserve"> by the macro-and micro impact of the banking fraud, by the central bank’s tight monetary policy, and by fewer financial services access points or bank branches. </w:t>
      </w:r>
      <w:r w:rsidRPr="00BA050E">
        <w:rPr>
          <w:color w:val="auto"/>
          <w:sz w:val="22"/>
        </w:rPr>
        <w:t>Engagements under the BAF</w:t>
      </w:r>
      <w:r>
        <w:rPr>
          <w:color w:val="auto"/>
          <w:sz w:val="22"/>
        </w:rPr>
        <w:t>I</w:t>
      </w:r>
      <w:r w:rsidRPr="00BA050E">
        <w:rPr>
          <w:color w:val="auto"/>
          <w:sz w:val="22"/>
        </w:rPr>
        <w:t xml:space="preserve"> project were also affected by adverse financial market conditions.</w:t>
      </w:r>
    </w:p>
    <w:p w14:paraId="3E8B5A9A" w14:textId="77777777" w:rsidR="00B44D67" w:rsidRPr="00BA050E" w:rsidRDefault="00B44D67" w:rsidP="00B44D67">
      <w:pPr>
        <w:ind w:left="720"/>
        <w:contextualSpacing/>
        <w:rPr>
          <w:sz w:val="22"/>
        </w:rPr>
      </w:pPr>
    </w:p>
    <w:p w14:paraId="031F9393" w14:textId="77777777" w:rsidR="00B44D67" w:rsidRPr="00BA050E" w:rsidRDefault="00B44D67" w:rsidP="006D2153">
      <w:pPr>
        <w:numPr>
          <w:ilvl w:val="0"/>
          <w:numId w:val="16"/>
        </w:numPr>
        <w:ind w:left="630" w:right="105" w:hanging="630"/>
        <w:contextualSpacing/>
        <w:rPr>
          <w:sz w:val="22"/>
        </w:rPr>
      </w:pPr>
      <w:r w:rsidRPr="00BA050E">
        <w:rPr>
          <w:b/>
          <w:sz w:val="22"/>
        </w:rPr>
        <w:lastRenderedPageBreak/>
        <w:t xml:space="preserve">Strengthened capital markets – </w:t>
      </w:r>
      <w:r w:rsidRPr="00BA050E">
        <w:rPr>
          <w:b/>
          <w:i/>
          <w:sz w:val="22"/>
        </w:rPr>
        <w:t>Mostly Achieved</w:t>
      </w:r>
      <w:r w:rsidRPr="00BA050E">
        <w:rPr>
          <w:b/>
          <w:sz w:val="22"/>
        </w:rPr>
        <w:t xml:space="preserve">. </w:t>
      </w:r>
      <w:r w:rsidRPr="00BA050E">
        <w:rPr>
          <w:sz w:val="22"/>
        </w:rPr>
        <w:t xml:space="preserve">Three of four indicators for this outcome―the resolution of three insolvent banks, the special audit and restructuring of three additional ‘at risk’ banks, and the legal framework for timely intervention in distressed banks―were </w:t>
      </w:r>
      <w:r w:rsidRPr="00BA050E">
        <w:rPr>
          <w:i/>
          <w:sz w:val="22"/>
        </w:rPr>
        <w:t>achieved</w:t>
      </w:r>
      <w:r w:rsidRPr="00BA050E">
        <w:rPr>
          <w:sz w:val="22"/>
        </w:rPr>
        <w:t xml:space="preserve">. The fourth, relating to the listing and trading of government bonds on the stock exchange, was </w:t>
      </w:r>
      <w:r w:rsidRPr="00BA050E">
        <w:rPr>
          <w:i/>
          <w:sz w:val="22"/>
        </w:rPr>
        <w:t>not achieved</w:t>
      </w:r>
      <w:r w:rsidRPr="00BA050E">
        <w:rPr>
          <w:sz w:val="22"/>
        </w:rPr>
        <w:t>. While the National Commission on Financial Markets (NCFM) and the Ministry of Finance (MOF) have approved regulations to this end, they have not yet been implemented. Meanwhile, the central bank has drafted a new law establishing a Centralized Securities Depository (CSD). The three agencies concerned have agreed that the trading of government bonds on the stock exchange will begin once the CSD is fully functional.</w:t>
      </w:r>
      <w:r>
        <w:rPr>
          <w:sz w:val="22"/>
        </w:rPr>
        <w:t xml:space="preserve"> In addition to DPO-2, recommendations produced by FSAP and activities covered under Programmatic Financial Sector TA, </w:t>
      </w:r>
      <w:r w:rsidRPr="00BA050E">
        <w:rPr>
          <w:sz w:val="22"/>
        </w:rPr>
        <w:t xml:space="preserve">FIRST </w:t>
      </w:r>
      <w:r>
        <w:rPr>
          <w:sz w:val="22"/>
        </w:rPr>
        <w:t>and</w:t>
      </w:r>
      <w:r>
        <w:rPr>
          <w:color w:val="auto"/>
          <w:sz w:val="22"/>
        </w:rPr>
        <w:t xml:space="preserve"> FinSAC TFs contributed to the critical mass of support provided in the financial sector, mainly through advice</w:t>
      </w:r>
      <w:r w:rsidRPr="00BA050E">
        <w:rPr>
          <w:color w:val="auto"/>
          <w:sz w:val="22"/>
        </w:rPr>
        <w:t xml:space="preserve"> on resolving the three defrauded banks and addressing </w:t>
      </w:r>
      <w:r>
        <w:rPr>
          <w:color w:val="auto"/>
          <w:sz w:val="22"/>
        </w:rPr>
        <w:t xml:space="preserve">issues in </w:t>
      </w:r>
      <w:r w:rsidRPr="00BA050E">
        <w:rPr>
          <w:color w:val="auto"/>
          <w:sz w:val="22"/>
        </w:rPr>
        <w:t>three additional distressed banks</w:t>
      </w:r>
      <w:r>
        <w:rPr>
          <w:color w:val="auto"/>
          <w:sz w:val="22"/>
        </w:rPr>
        <w:t>, including shareholder transparency</w:t>
      </w:r>
      <w:r>
        <w:rPr>
          <w:sz w:val="22"/>
        </w:rPr>
        <w:t>.</w:t>
      </w:r>
    </w:p>
    <w:p w14:paraId="6D6D28C5" w14:textId="77777777" w:rsidR="00B44D67" w:rsidRPr="00BA050E" w:rsidRDefault="00B44D67" w:rsidP="00B44D67">
      <w:pPr>
        <w:ind w:left="720" w:hanging="810"/>
        <w:contextualSpacing/>
        <w:rPr>
          <w:sz w:val="22"/>
        </w:rPr>
      </w:pPr>
    </w:p>
    <w:p w14:paraId="0FC1FA85" w14:textId="77777777" w:rsidR="00B44D67" w:rsidRPr="00BA050E" w:rsidRDefault="00B44D67" w:rsidP="006D2153">
      <w:pPr>
        <w:numPr>
          <w:ilvl w:val="0"/>
          <w:numId w:val="16"/>
        </w:numPr>
        <w:spacing w:after="0"/>
        <w:ind w:left="630" w:right="105" w:hanging="630"/>
        <w:contextualSpacing/>
        <w:rPr>
          <w:sz w:val="22"/>
        </w:rPr>
      </w:pPr>
      <w:r w:rsidRPr="00BA050E">
        <w:rPr>
          <w:b/>
          <w:sz w:val="22"/>
        </w:rPr>
        <w:t xml:space="preserve">Alignment of corporate financial reporting legislation and practices with EU standards – </w:t>
      </w:r>
      <w:r w:rsidRPr="00BA050E">
        <w:rPr>
          <w:b/>
          <w:i/>
          <w:sz w:val="22"/>
        </w:rPr>
        <w:t>Mostly Achieved.</w:t>
      </w:r>
      <w:r w:rsidRPr="00BA050E">
        <w:rPr>
          <w:b/>
          <w:sz w:val="22"/>
        </w:rPr>
        <w:t xml:space="preserve"> </w:t>
      </w:r>
      <w:r w:rsidRPr="00BA050E">
        <w:rPr>
          <w:sz w:val="22"/>
        </w:rPr>
        <w:t>While overall progress in aligning Moldova’s legislation and practices in this area with EU (</w:t>
      </w:r>
      <w:r w:rsidRPr="00BA050E">
        <w:rPr>
          <w:i/>
          <w:sz w:val="22"/>
        </w:rPr>
        <w:t>acquis</w:t>
      </w:r>
      <w:r w:rsidRPr="00BA050E">
        <w:rPr>
          <w:sz w:val="22"/>
        </w:rPr>
        <w:t>)</w:t>
      </w:r>
      <w:r w:rsidRPr="00BA050E">
        <w:rPr>
          <w:i/>
          <w:sz w:val="22"/>
        </w:rPr>
        <w:t xml:space="preserve"> </w:t>
      </w:r>
      <w:r w:rsidRPr="00BA050E">
        <w:rPr>
          <w:sz w:val="22"/>
        </w:rPr>
        <w:t xml:space="preserve">standards is satisfactory, enactment and implementation were delayed owing to the change in government in early 2016. Two of four indicators are rated </w:t>
      </w:r>
      <w:r w:rsidRPr="00BA050E">
        <w:rPr>
          <w:i/>
          <w:sz w:val="22"/>
        </w:rPr>
        <w:t>mostly achieved</w:t>
      </w:r>
      <w:r w:rsidRPr="00BA050E">
        <w:rPr>
          <w:sz w:val="22"/>
        </w:rPr>
        <w:t xml:space="preserve">, where draft legislation is ready for approval by parliament in 2017, and two are rated </w:t>
      </w:r>
      <w:r w:rsidRPr="00BA050E">
        <w:rPr>
          <w:i/>
          <w:sz w:val="22"/>
        </w:rPr>
        <w:t>partially achieved</w:t>
      </w:r>
      <w:r w:rsidRPr="00BA050E">
        <w:rPr>
          <w:sz w:val="22"/>
        </w:rPr>
        <w:t>, where additional actions are pending.</w:t>
      </w:r>
    </w:p>
    <w:p w14:paraId="1FB4688E" w14:textId="77777777" w:rsidR="00B44D67" w:rsidRPr="00BA050E" w:rsidRDefault="00B44D67" w:rsidP="00B44D67">
      <w:pPr>
        <w:spacing w:after="0" w:line="240" w:lineRule="auto"/>
        <w:ind w:left="0" w:right="0" w:firstLine="0"/>
        <w:rPr>
          <w:sz w:val="22"/>
        </w:rPr>
      </w:pPr>
    </w:p>
    <w:p w14:paraId="671BD7D1" w14:textId="77777777" w:rsidR="00B44D67" w:rsidRPr="00BA050E" w:rsidRDefault="00B44D67" w:rsidP="006D2153">
      <w:pPr>
        <w:numPr>
          <w:ilvl w:val="0"/>
          <w:numId w:val="17"/>
        </w:numPr>
        <w:spacing w:after="0" w:line="240" w:lineRule="auto"/>
        <w:ind w:right="0"/>
        <w:rPr>
          <w:rFonts w:eastAsia="SimSun"/>
          <w:sz w:val="22"/>
        </w:rPr>
      </w:pPr>
      <w:r w:rsidRPr="00BA050E">
        <w:rPr>
          <w:b/>
          <w:sz w:val="22"/>
        </w:rPr>
        <w:t>Improved competitiveness in agriculture</w:t>
      </w:r>
    </w:p>
    <w:p w14:paraId="32334AAA" w14:textId="77777777" w:rsidR="00B44D67" w:rsidRPr="00BA050E" w:rsidRDefault="00B44D67" w:rsidP="00B44D67">
      <w:pPr>
        <w:spacing w:after="0" w:line="240" w:lineRule="auto"/>
        <w:ind w:right="0"/>
        <w:rPr>
          <w:rFonts w:eastAsia="SimSun"/>
          <w:sz w:val="22"/>
        </w:rPr>
      </w:pPr>
    </w:p>
    <w:p w14:paraId="74C41826" w14:textId="77777777" w:rsidR="00B44D67" w:rsidRPr="00BA050E" w:rsidRDefault="00B44D67" w:rsidP="006D2153">
      <w:pPr>
        <w:numPr>
          <w:ilvl w:val="0"/>
          <w:numId w:val="18"/>
        </w:numPr>
        <w:spacing w:after="0" w:line="240" w:lineRule="auto"/>
        <w:ind w:left="630" w:right="0" w:hanging="630"/>
        <w:contextualSpacing/>
        <w:rPr>
          <w:rFonts w:eastAsia="SimSun"/>
          <w:b/>
          <w:sz w:val="22"/>
        </w:rPr>
      </w:pPr>
      <w:r w:rsidRPr="00BA050E">
        <w:rPr>
          <w:rFonts w:eastAsia="SimSun"/>
          <w:b/>
          <w:sz w:val="22"/>
        </w:rPr>
        <w:t xml:space="preserve">Enhanced competitiveness of agro-food sector – </w:t>
      </w:r>
      <w:r w:rsidRPr="00BA050E">
        <w:rPr>
          <w:rFonts w:eastAsia="SimSun"/>
          <w:b/>
          <w:i/>
          <w:sz w:val="22"/>
        </w:rPr>
        <w:t xml:space="preserve">Mostly Achieved. </w:t>
      </w:r>
      <w:r w:rsidRPr="00BA050E">
        <w:rPr>
          <w:sz w:val="22"/>
        </w:rPr>
        <w:t>A single Food Safety Agency (FSA), a pre-condition for Moldova’s signing of the AA/DCFTA with the EU, has been established and its capacity enhanced by the training of staff responsible for inspections using the risk-based inspections approach. Meanwhile, with almost 90 percent of the actions required to align Moldova’s food safety standards with EU sanitary and phytosanitary criteria, the country has made solid progress in upgrading its legislative and regulatory framework, which will not only facilitate its access to EU markets but also modernize its food safety system.</w:t>
      </w:r>
    </w:p>
    <w:p w14:paraId="21DF5315" w14:textId="77777777" w:rsidR="00B44D67" w:rsidRPr="00BA050E" w:rsidRDefault="00B44D67" w:rsidP="00B44D67">
      <w:pPr>
        <w:spacing w:after="0" w:line="240" w:lineRule="auto"/>
        <w:ind w:left="630" w:right="0" w:hanging="630"/>
        <w:contextualSpacing/>
        <w:rPr>
          <w:rFonts w:eastAsia="SimSun"/>
          <w:b/>
          <w:sz w:val="22"/>
        </w:rPr>
      </w:pPr>
    </w:p>
    <w:p w14:paraId="0F83080D" w14:textId="77777777" w:rsidR="00B44D67" w:rsidRPr="00B26FEC" w:rsidRDefault="00B44D67" w:rsidP="006D2153">
      <w:pPr>
        <w:numPr>
          <w:ilvl w:val="0"/>
          <w:numId w:val="18"/>
        </w:numPr>
        <w:spacing w:after="0" w:line="240" w:lineRule="auto"/>
        <w:ind w:left="630" w:right="0" w:hanging="630"/>
        <w:contextualSpacing/>
        <w:rPr>
          <w:sz w:val="22"/>
        </w:rPr>
      </w:pPr>
      <w:r w:rsidRPr="00BA050E">
        <w:rPr>
          <w:rFonts w:eastAsia="SimSun"/>
          <w:b/>
          <w:sz w:val="22"/>
        </w:rPr>
        <w:t xml:space="preserve">Increased market access for farmers – </w:t>
      </w:r>
      <w:r w:rsidRPr="00BA050E">
        <w:rPr>
          <w:rFonts w:eastAsia="SimSun"/>
          <w:b/>
          <w:i/>
          <w:sz w:val="22"/>
        </w:rPr>
        <w:t xml:space="preserve">Partially Achieved. </w:t>
      </w:r>
      <w:r w:rsidRPr="00B26FEC">
        <w:rPr>
          <w:sz w:val="22"/>
        </w:rPr>
        <w:t>Though sales by targeted partnerships receiving investment support grants have increased by only 15 percent to date, they are increasing rapidly and are expected to be near the 50 percent target by June 30, 2017. In 2014, IFC provided financing to a leading integrated agro-industrial group (ID 34474) focused on grain origination trading and oilseed crushing. The transaction has had a positive impact on farmers through the procurement of agricultural commodities from around 15,000 farmers in FY15. Furthermore, the transaction provided better opportunities to local farmers by int</w:t>
      </w:r>
      <w:r>
        <w:rPr>
          <w:sz w:val="22"/>
        </w:rPr>
        <w:t>egrating them with higher value-</w:t>
      </w:r>
      <w:r w:rsidRPr="00B26FEC">
        <w:rPr>
          <w:sz w:val="22"/>
        </w:rPr>
        <w:t>added international markets.</w:t>
      </w:r>
    </w:p>
    <w:p w14:paraId="30D88FC6" w14:textId="77777777" w:rsidR="00B44D67" w:rsidRPr="00BA050E" w:rsidRDefault="00B44D67" w:rsidP="00B44D67">
      <w:pPr>
        <w:ind w:left="630" w:hanging="630"/>
        <w:contextualSpacing/>
        <w:rPr>
          <w:rFonts w:eastAsia="SimSun"/>
          <w:b/>
          <w:sz w:val="22"/>
        </w:rPr>
      </w:pPr>
    </w:p>
    <w:p w14:paraId="7F10697B" w14:textId="77777777" w:rsidR="00B44D67" w:rsidRPr="003A1F25" w:rsidRDefault="00B44D67" w:rsidP="006D2153">
      <w:pPr>
        <w:numPr>
          <w:ilvl w:val="0"/>
          <w:numId w:val="18"/>
        </w:numPr>
        <w:spacing w:after="0" w:line="240" w:lineRule="auto"/>
        <w:ind w:left="630" w:right="0" w:hanging="630"/>
        <w:contextualSpacing/>
        <w:rPr>
          <w:rFonts w:eastAsia="SimSun"/>
          <w:b/>
          <w:sz w:val="22"/>
        </w:rPr>
      </w:pPr>
      <w:r w:rsidRPr="00BA050E">
        <w:rPr>
          <w:rFonts w:eastAsia="SimSun"/>
          <w:b/>
          <w:sz w:val="22"/>
        </w:rPr>
        <w:t xml:space="preserve">Stabilized output of apples, grapes and plums – </w:t>
      </w:r>
      <w:r w:rsidRPr="00BA050E">
        <w:rPr>
          <w:rFonts w:eastAsia="SimSun"/>
          <w:b/>
          <w:i/>
          <w:sz w:val="22"/>
        </w:rPr>
        <w:t xml:space="preserve">Mostly Achieved. </w:t>
      </w:r>
      <w:r w:rsidRPr="00BA050E">
        <w:rPr>
          <w:sz w:val="22"/>
        </w:rPr>
        <w:t>Bank support was decisive in stabilizing the output of apples, plums, and grapes during 2015-16 and the target for 2017 is likely be achieved. The Bank-financed compensatory grant program created soon after the 2014 Russian embargo on Moldovan fruits and vegetables was a crucial mitigation measure, allowing thousands of farmers to avoid decapitalization and averting a collapse of the sub-sector.</w:t>
      </w:r>
    </w:p>
    <w:p w14:paraId="33AB899F" w14:textId="77777777" w:rsidR="00B44D67" w:rsidRDefault="00B44D67" w:rsidP="00B44D67">
      <w:pPr>
        <w:pStyle w:val="ListParagraph"/>
        <w:rPr>
          <w:rFonts w:eastAsia="SimSun"/>
          <w:b/>
          <w:sz w:val="22"/>
        </w:rPr>
      </w:pPr>
    </w:p>
    <w:p w14:paraId="56CB6F01" w14:textId="77777777" w:rsidR="00B44D67" w:rsidRPr="00BA050E" w:rsidRDefault="00B44D67" w:rsidP="00B44D67">
      <w:pPr>
        <w:spacing w:after="10" w:line="249" w:lineRule="auto"/>
        <w:ind w:left="10" w:right="0" w:hanging="10"/>
        <w:jc w:val="left"/>
        <w:rPr>
          <w:b/>
          <w:sz w:val="22"/>
        </w:rPr>
      </w:pPr>
      <w:r w:rsidRPr="00BA050E">
        <w:rPr>
          <w:b/>
          <w:sz w:val="22"/>
        </w:rPr>
        <w:t>Pillar 2: Enhancing Human Capital and Minimizing Social Risks</w:t>
      </w:r>
    </w:p>
    <w:p w14:paraId="556E55D3" w14:textId="77777777" w:rsidR="00B44D67" w:rsidRPr="00BA050E" w:rsidRDefault="00B44D67" w:rsidP="00B44D67">
      <w:pPr>
        <w:spacing w:after="10" w:line="249" w:lineRule="auto"/>
        <w:ind w:left="10" w:right="0" w:hanging="10"/>
        <w:jc w:val="left"/>
        <w:rPr>
          <w:b/>
          <w:sz w:val="22"/>
        </w:rPr>
      </w:pPr>
    </w:p>
    <w:p w14:paraId="04DF5F0A" w14:textId="77777777" w:rsidR="00B44D67" w:rsidRPr="00B04DF8" w:rsidRDefault="00B44D67" w:rsidP="00B44D67">
      <w:pPr>
        <w:numPr>
          <w:ilvl w:val="0"/>
          <w:numId w:val="3"/>
        </w:numPr>
        <w:spacing w:after="0" w:line="240" w:lineRule="auto"/>
        <w:ind w:right="0" w:firstLine="0"/>
        <w:contextualSpacing/>
        <w:rPr>
          <w:sz w:val="22"/>
        </w:rPr>
      </w:pPr>
      <w:r w:rsidRPr="00BA050E">
        <w:rPr>
          <w:b/>
          <w:sz w:val="22"/>
        </w:rPr>
        <w:t xml:space="preserve">Bank Group activities under this pillar were designed to support the achievement of two strategic objectives: better access to, and improved quality of education and health services; and </w:t>
      </w:r>
      <w:r w:rsidRPr="00BA050E">
        <w:rPr>
          <w:b/>
          <w:sz w:val="22"/>
        </w:rPr>
        <w:lastRenderedPageBreak/>
        <w:t xml:space="preserve">equitable and fiscally sustainable pension and social assistance systems.  </w:t>
      </w:r>
      <w:r w:rsidRPr="00BA050E">
        <w:rPr>
          <w:sz w:val="22"/>
        </w:rPr>
        <w:t xml:space="preserve">Progress was assessed relative to six outcomes―two each for education, health, and pensions and social assistance―and the attainment or otherwise of up to 14 indicators. With only four of six outcomes mostly (1) or partially (3) achieved, and two not achieved or verified, the overall outcome of this pillar is rated </w:t>
      </w:r>
      <w:r w:rsidRPr="00BA050E">
        <w:rPr>
          <w:b/>
          <w:i/>
          <w:sz w:val="22"/>
        </w:rPr>
        <w:t>moderately unsatisfactory</w:t>
      </w:r>
      <w:r w:rsidRPr="00BA050E">
        <w:rPr>
          <w:sz w:val="22"/>
        </w:rPr>
        <w:t xml:space="preserve">. </w:t>
      </w:r>
      <w:r w:rsidRPr="00BA050E">
        <w:rPr>
          <w:rFonts w:eastAsia="SimSun"/>
          <w:sz w:val="22"/>
        </w:rPr>
        <w:t xml:space="preserve">The main highlights by CPS outcome are </w:t>
      </w:r>
      <w:r w:rsidRPr="00BA050E">
        <w:rPr>
          <w:sz w:val="22"/>
        </w:rPr>
        <w:t>summarized in turn below.</w:t>
      </w:r>
    </w:p>
    <w:p w14:paraId="084DBEE1" w14:textId="77777777" w:rsidR="00B44D67" w:rsidRPr="00BA050E" w:rsidRDefault="00B44D67" w:rsidP="00B44D67">
      <w:pPr>
        <w:spacing w:after="0" w:line="240" w:lineRule="auto"/>
        <w:ind w:left="0" w:right="0" w:firstLine="0"/>
        <w:contextualSpacing/>
        <w:rPr>
          <w:b/>
          <w:sz w:val="22"/>
        </w:rPr>
      </w:pPr>
    </w:p>
    <w:p w14:paraId="29A072B7" w14:textId="77777777" w:rsidR="00B44D67" w:rsidRPr="00BA050E" w:rsidRDefault="00B44D67" w:rsidP="006D2153">
      <w:pPr>
        <w:numPr>
          <w:ilvl w:val="0"/>
          <w:numId w:val="20"/>
        </w:numPr>
        <w:spacing w:after="0" w:line="240" w:lineRule="auto"/>
        <w:ind w:right="0"/>
        <w:contextualSpacing/>
        <w:rPr>
          <w:sz w:val="22"/>
        </w:rPr>
      </w:pPr>
      <w:r w:rsidRPr="00BA050E">
        <w:rPr>
          <w:b/>
          <w:sz w:val="22"/>
        </w:rPr>
        <w:t>Improved access to, and quality of education and health services</w:t>
      </w:r>
    </w:p>
    <w:p w14:paraId="0B5D9A12" w14:textId="77777777" w:rsidR="00B44D67" w:rsidRPr="00BA050E" w:rsidRDefault="00B44D67" w:rsidP="00B44D67">
      <w:pPr>
        <w:spacing w:after="0" w:line="240" w:lineRule="auto"/>
        <w:ind w:left="0" w:right="0" w:firstLine="0"/>
        <w:contextualSpacing/>
        <w:rPr>
          <w:b/>
          <w:sz w:val="22"/>
        </w:rPr>
      </w:pPr>
    </w:p>
    <w:p w14:paraId="20EC51DF" w14:textId="77777777" w:rsidR="00B44D67" w:rsidRPr="00BA050E" w:rsidRDefault="00B44D67" w:rsidP="006D2153">
      <w:pPr>
        <w:numPr>
          <w:ilvl w:val="0"/>
          <w:numId w:val="19"/>
        </w:numPr>
        <w:spacing w:after="100" w:afterAutospacing="1" w:line="240" w:lineRule="auto"/>
        <w:ind w:left="630" w:right="0" w:hanging="630"/>
        <w:contextualSpacing/>
        <w:rPr>
          <w:sz w:val="22"/>
        </w:rPr>
      </w:pPr>
      <w:r w:rsidRPr="00BA050E">
        <w:rPr>
          <w:b/>
          <w:sz w:val="22"/>
        </w:rPr>
        <w:t xml:space="preserve">Improved quality of education – </w:t>
      </w:r>
      <w:r w:rsidRPr="00BA050E">
        <w:rPr>
          <w:b/>
          <w:i/>
          <w:sz w:val="22"/>
        </w:rPr>
        <w:t xml:space="preserve">Partially Achieved. </w:t>
      </w:r>
      <w:r w:rsidRPr="00BA050E">
        <w:rPr>
          <w:sz w:val="22"/>
        </w:rPr>
        <w:t xml:space="preserve">Despite continuing political instability, general education policies remained constant and the authorities’ medium- and longer-term objectives of improved quality and increased efficiency are being achieved. For example, besides introducing minimum quality assurance standards in schools and an improved national student assessment system under the </w:t>
      </w:r>
      <w:r w:rsidRPr="00BA050E">
        <w:rPr>
          <w:i/>
          <w:sz w:val="22"/>
        </w:rPr>
        <w:t xml:space="preserve">Education Reform </w:t>
      </w:r>
      <w:r w:rsidRPr="00BA050E">
        <w:rPr>
          <w:sz w:val="22"/>
        </w:rPr>
        <w:t xml:space="preserve">project, PISA 2015 data indicate significant progress in terms of learning results compared to 2009. One of two indicators was not achieved: the targeted number of hub schools meeting quality assurance standards proved too optimistic, due to an over-estimation of the Ministry of Education’s implementation capacity for civil works and an under-estimation of the schools’ actual needs—project design flaws that necessitated restructuring the </w:t>
      </w:r>
      <w:r w:rsidRPr="00BA050E">
        <w:rPr>
          <w:i/>
          <w:sz w:val="22"/>
        </w:rPr>
        <w:t xml:space="preserve">Education Reform </w:t>
      </w:r>
      <w:r w:rsidRPr="00BA050E">
        <w:rPr>
          <w:sz w:val="22"/>
        </w:rPr>
        <w:t>project in FY16.</w:t>
      </w:r>
    </w:p>
    <w:p w14:paraId="250DADBB" w14:textId="77777777" w:rsidR="00B44D67" w:rsidRPr="00BA050E" w:rsidRDefault="00B44D67" w:rsidP="00B44D67">
      <w:pPr>
        <w:spacing w:after="100" w:afterAutospacing="1" w:line="240" w:lineRule="auto"/>
        <w:ind w:left="630" w:right="0" w:hanging="630"/>
        <w:contextualSpacing/>
        <w:rPr>
          <w:sz w:val="22"/>
        </w:rPr>
      </w:pPr>
    </w:p>
    <w:p w14:paraId="18CEB0FC" w14:textId="77777777" w:rsidR="00B44D67" w:rsidRPr="00BA050E" w:rsidRDefault="00B44D67" w:rsidP="006D2153">
      <w:pPr>
        <w:numPr>
          <w:ilvl w:val="0"/>
          <w:numId w:val="19"/>
        </w:numPr>
        <w:spacing w:after="0" w:line="240" w:lineRule="auto"/>
        <w:ind w:left="630" w:right="0" w:hanging="630"/>
        <w:contextualSpacing/>
        <w:rPr>
          <w:sz w:val="22"/>
        </w:rPr>
      </w:pPr>
      <w:r w:rsidRPr="00BA050E">
        <w:rPr>
          <w:b/>
          <w:sz w:val="22"/>
        </w:rPr>
        <w:t xml:space="preserve">Increased efficiency of education – </w:t>
      </w:r>
      <w:r w:rsidRPr="00BA050E">
        <w:rPr>
          <w:b/>
          <w:i/>
          <w:sz w:val="22"/>
        </w:rPr>
        <w:t>Achieved.</w:t>
      </w:r>
      <w:r w:rsidRPr="00BA050E">
        <w:rPr>
          <w:b/>
          <w:sz w:val="22"/>
        </w:rPr>
        <w:t xml:space="preserve"> </w:t>
      </w:r>
      <w:r w:rsidRPr="00BA050E">
        <w:rPr>
          <w:sz w:val="22"/>
        </w:rPr>
        <w:t xml:space="preserve">Following the introduction of </w:t>
      </w:r>
      <w:r w:rsidRPr="00BA050E">
        <w:rPr>
          <w:i/>
          <w:sz w:val="22"/>
        </w:rPr>
        <w:t xml:space="preserve">per capita </w:t>
      </w:r>
      <w:r w:rsidRPr="00BA050E">
        <w:rPr>
          <w:sz w:val="22"/>
        </w:rPr>
        <w:t xml:space="preserve">financing nationwide, the efficiency and transparency of resource allocation have increased, exemplified </w:t>
      </w:r>
      <w:r w:rsidRPr="00BA050E">
        <w:rPr>
          <w:i/>
          <w:sz w:val="22"/>
        </w:rPr>
        <w:t>inter alia</w:t>
      </w:r>
      <w:r w:rsidRPr="00BA050E">
        <w:rPr>
          <w:sz w:val="22"/>
        </w:rPr>
        <w:t xml:space="preserve"> by the total number of primary and general secondary school classes (2,840) reorganized and an increased student-teacher ratio (from 10.85:1 to 11.89:1). However, the sustainability of such interventions often depends on actions that aren’t politically popular, which may raise further concerns.</w:t>
      </w:r>
    </w:p>
    <w:p w14:paraId="4C68630D" w14:textId="77777777" w:rsidR="00B44D67" w:rsidRPr="00BA050E" w:rsidRDefault="00B44D67" w:rsidP="00B44D67">
      <w:pPr>
        <w:spacing w:after="0"/>
        <w:ind w:left="630" w:hanging="630"/>
        <w:contextualSpacing/>
        <w:rPr>
          <w:b/>
          <w:sz w:val="22"/>
        </w:rPr>
      </w:pPr>
    </w:p>
    <w:p w14:paraId="5BACC9B4" w14:textId="77777777" w:rsidR="00B44D67" w:rsidRPr="00BA050E" w:rsidRDefault="00B44D67" w:rsidP="006D2153">
      <w:pPr>
        <w:numPr>
          <w:ilvl w:val="0"/>
          <w:numId w:val="19"/>
        </w:numPr>
        <w:spacing w:after="0" w:line="240" w:lineRule="auto"/>
        <w:ind w:left="630" w:right="0" w:hanging="630"/>
        <w:contextualSpacing/>
        <w:rPr>
          <w:b/>
          <w:sz w:val="22"/>
        </w:rPr>
      </w:pPr>
      <w:r w:rsidRPr="00BA050E">
        <w:rPr>
          <w:b/>
          <w:sz w:val="22"/>
        </w:rPr>
        <w:t xml:space="preserve">Enhanced access to quality health care – </w:t>
      </w:r>
      <w:r w:rsidRPr="00BA050E">
        <w:rPr>
          <w:b/>
          <w:i/>
          <w:sz w:val="22"/>
        </w:rPr>
        <w:t xml:space="preserve">Partially Achieved. </w:t>
      </w:r>
      <w:r w:rsidRPr="00BA050E">
        <w:rPr>
          <w:sz w:val="22"/>
        </w:rPr>
        <w:t>While mandatory health insurance coverage of the population increased from 81 percent in 2013 to almost 86 percent in 2015―one of four indicators under this outcome―this was due mainly to increased uptake by higher income households and has remained unchanged since then.</w:t>
      </w:r>
      <w:r w:rsidRPr="00BA050E">
        <w:rPr>
          <w:b/>
          <w:sz w:val="22"/>
        </w:rPr>
        <w:t xml:space="preserve"> </w:t>
      </w:r>
      <w:r w:rsidRPr="00BA050E">
        <w:rPr>
          <w:sz w:val="22"/>
        </w:rPr>
        <w:t>Moreover, neither this indicator nor that related to reduced out-of-pocket payments as a share of total health expenditures, which increased slightly</w:t>
      </w:r>
      <w:r>
        <w:rPr>
          <w:sz w:val="22"/>
        </w:rPr>
        <w:t xml:space="preserve"> in 2015, were the result of Bank Group</w:t>
      </w:r>
      <w:r w:rsidRPr="00BA050E">
        <w:rPr>
          <w:sz w:val="22"/>
        </w:rPr>
        <w:t xml:space="preserve"> activities. On the other hand, one of two project-specific indicators―annual acute care hospital discharges―was achieved, whereas that for family doctor visits in 2016 declined to below the original 2014 baseline. Finally, like education, </w:t>
      </w:r>
      <w:r w:rsidRPr="00BA050E">
        <w:rPr>
          <w:rFonts w:eastAsia="SimSun"/>
          <w:sz w:val="22"/>
        </w:rPr>
        <w:t>high staff turnover in the Ministry of Health slowed reforms designed to improve health system efficiency and quality.</w:t>
      </w:r>
    </w:p>
    <w:p w14:paraId="0EC2F262" w14:textId="77777777" w:rsidR="00B44D67" w:rsidRPr="00BA050E" w:rsidRDefault="00B44D67" w:rsidP="00B44D67">
      <w:pPr>
        <w:ind w:left="630" w:hanging="630"/>
        <w:contextualSpacing/>
        <w:rPr>
          <w:b/>
          <w:sz w:val="22"/>
        </w:rPr>
      </w:pPr>
    </w:p>
    <w:p w14:paraId="67D953F8" w14:textId="77777777" w:rsidR="00B44D67" w:rsidRPr="00A1392A" w:rsidRDefault="00B44D67" w:rsidP="006D2153">
      <w:pPr>
        <w:numPr>
          <w:ilvl w:val="0"/>
          <w:numId w:val="19"/>
        </w:numPr>
        <w:spacing w:after="0" w:line="240" w:lineRule="auto"/>
        <w:ind w:left="630" w:right="0" w:hanging="630"/>
        <w:contextualSpacing/>
        <w:rPr>
          <w:b/>
          <w:sz w:val="22"/>
        </w:rPr>
      </w:pPr>
      <w:r w:rsidRPr="00BA050E">
        <w:rPr>
          <w:b/>
          <w:sz w:val="22"/>
        </w:rPr>
        <w:t xml:space="preserve">Improved physical access to rural education and health services – </w:t>
      </w:r>
      <w:r w:rsidRPr="00BA050E">
        <w:rPr>
          <w:b/>
          <w:i/>
          <w:sz w:val="22"/>
        </w:rPr>
        <w:t xml:space="preserve">Not Verified. </w:t>
      </w:r>
      <w:r w:rsidRPr="00BA050E">
        <w:rPr>
          <w:sz w:val="22"/>
        </w:rPr>
        <w:t xml:space="preserve">Owing to an almost year-long delay in loan effectiveness, construction under the </w:t>
      </w:r>
      <w:r w:rsidRPr="00BA050E">
        <w:rPr>
          <w:i/>
          <w:sz w:val="22"/>
        </w:rPr>
        <w:t>Local Roads Improvement</w:t>
      </w:r>
      <w:r w:rsidRPr="00BA050E">
        <w:rPr>
          <w:sz w:val="22"/>
        </w:rPr>
        <w:t xml:space="preserve"> Project will not start until the 2017 construction season. This outcome and its two indicators will therefore carry over into the next CPF.</w:t>
      </w:r>
    </w:p>
    <w:p w14:paraId="17773E0B" w14:textId="77777777" w:rsidR="00B44D67" w:rsidRPr="00BA050E" w:rsidRDefault="00B44D67" w:rsidP="00B44D67">
      <w:pPr>
        <w:spacing w:after="0" w:line="240" w:lineRule="auto"/>
        <w:ind w:left="0" w:right="0" w:firstLine="0"/>
        <w:contextualSpacing/>
        <w:rPr>
          <w:b/>
          <w:sz w:val="22"/>
        </w:rPr>
      </w:pPr>
    </w:p>
    <w:p w14:paraId="5493E384" w14:textId="77777777" w:rsidR="00B44D67" w:rsidRPr="00BA050E" w:rsidRDefault="00B44D67" w:rsidP="006D2153">
      <w:pPr>
        <w:numPr>
          <w:ilvl w:val="0"/>
          <w:numId w:val="20"/>
        </w:numPr>
        <w:spacing w:after="0" w:line="240" w:lineRule="auto"/>
        <w:ind w:right="0"/>
        <w:contextualSpacing/>
        <w:rPr>
          <w:b/>
          <w:sz w:val="22"/>
        </w:rPr>
      </w:pPr>
      <w:r w:rsidRPr="00BA050E">
        <w:rPr>
          <w:b/>
          <w:sz w:val="22"/>
        </w:rPr>
        <w:t>Equitable and fiscally sustainable pension and social assistance systems</w:t>
      </w:r>
    </w:p>
    <w:p w14:paraId="488C2FA5" w14:textId="77777777" w:rsidR="00B44D67" w:rsidRPr="00BA050E" w:rsidRDefault="00B44D67" w:rsidP="00B44D67">
      <w:pPr>
        <w:ind w:left="720"/>
        <w:contextualSpacing/>
        <w:rPr>
          <w:b/>
          <w:sz w:val="22"/>
        </w:rPr>
      </w:pPr>
    </w:p>
    <w:p w14:paraId="450CADF9" w14:textId="77777777" w:rsidR="00B44D67" w:rsidRPr="00BA050E" w:rsidRDefault="00B44D67" w:rsidP="006D2153">
      <w:pPr>
        <w:numPr>
          <w:ilvl w:val="0"/>
          <w:numId w:val="21"/>
        </w:numPr>
        <w:spacing w:after="100" w:afterAutospacing="1" w:line="240" w:lineRule="auto"/>
        <w:ind w:left="630" w:right="0" w:hanging="630"/>
        <w:contextualSpacing/>
        <w:rPr>
          <w:b/>
          <w:sz w:val="22"/>
        </w:rPr>
      </w:pPr>
      <w:r w:rsidRPr="00BA050E">
        <w:rPr>
          <w:b/>
          <w:sz w:val="22"/>
        </w:rPr>
        <w:t xml:space="preserve">Fiscally sustainable pension system – Not Achieved. </w:t>
      </w:r>
      <w:r w:rsidRPr="00BA050E">
        <w:rPr>
          <w:sz w:val="22"/>
        </w:rPr>
        <w:t>Neither of two indicators for this outcome―lower spending on pensions (below 8 percent of GDP by 2017) and improved replacement rates (to 30 percent by 2017) – were achieved, despite in the latter case the introduction of pension ‘top-ups’ in 2013. However, it is doubtful whether lower spending on pensions is a realistic objective, given Moldova’s ageing population and the long lag between pension reform and spending impact.</w:t>
      </w:r>
    </w:p>
    <w:p w14:paraId="127B0BEA" w14:textId="77777777" w:rsidR="00B44D67" w:rsidRPr="00BA050E" w:rsidRDefault="00B44D67" w:rsidP="00B44D67">
      <w:pPr>
        <w:spacing w:after="100" w:afterAutospacing="1" w:line="240" w:lineRule="auto"/>
        <w:ind w:left="630" w:right="0" w:hanging="630"/>
        <w:contextualSpacing/>
        <w:rPr>
          <w:b/>
          <w:sz w:val="22"/>
        </w:rPr>
      </w:pPr>
    </w:p>
    <w:p w14:paraId="1584DD69" w14:textId="77777777" w:rsidR="00B44D67" w:rsidRPr="00BA050E" w:rsidRDefault="00B44D67" w:rsidP="006D2153">
      <w:pPr>
        <w:numPr>
          <w:ilvl w:val="0"/>
          <w:numId w:val="21"/>
        </w:numPr>
        <w:spacing w:after="100" w:afterAutospacing="1" w:line="240" w:lineRule="auto"/>
        <w:ind w:left="630" w:right="0" w:hanging="630"/>
        <w:contextualSpacing/>
        <w:rPr>
          <w:b/>
          <w:sz w:val="22"/>
        </w:rPr>
      </w:pPr>
      <w:r w:rsidRPr="00BA050E">
        <w:rPr>
          <w:b/>
          <w:sz w:val="22"/>
        </w:rPr>
        <w:lastRenderedPageBreak/>
        <w:t xml:space="preserve">Improved equity of social assistance – Partially Achieved. </w:t>
      </w:r>
      <w:r w:rsidRPr="00BA050E">
        <w:rPr>
          <w:sz w:val="22"/>
        </w:rPr>
        <w:t>In 2015,</w:t>
      </w:r>
      <w:r w:rsidRPr="00BA050E">
        <w:rPr>
          <w:b/>
          <w:sz w:val="22"/>
        </w:rPr>
        <w:t xml:space="preserve"> </w:t>
      </w:r>
      <w:r w:rsidRPr="00BA050E">
        <w:rPr>
          <w:sz w:val="22"/>
        </w:rPr>
        <w:t xml:space="preserve">the eligibility threshold of the well targeted </w:t>
      </w:r>
      <w:proofErr w:type="spellStart"/>
      <w:r w:rsidRPr="00BA050E">
        <w:rPr>
          <w:i/>
          <w:sz w:val="22"/>
        </w:rPr>
        <w:t>Ajutor</w:t>
      </w:r>
      <w:proofErr w:type="spellEnd"/>
      <w:r w:rsidRPr="00BA050E">
        <w:rPr>
          <w:i/>
          <w:sz w:val="22"/>
        </w:rPr>
        <w:t xml:space="preserve"> Social</w:t>
      </w:r>
      <w:r w:rsidRPr="00BA050E">
        <w:rPr>
          <w:sz w:val="22"/>
        </w:rPr>
        <w:t xml:space="preserve"> program was increased to MDL 900 and coverage amongst the poorest quintile increased to 17.6 percent and is expected to grow further towards the 20 percent target in 2017. At the same time, while the social assistance budget fell by almost one-third in 2012-13, exceeding the indicator of 30 percent by 2017, spending on consolidated categorical benefits started to increase again and in 2015 the social assistance budget was only 11 percent lower than the baseline.</w:t>
      </w:r>
    </w:p>
    <w:p w14:paraId="252ED0F9" w14:textId="77777777" w:rsidR="00B44D67" w:rsidRPr="00BA050E" w:rsidRDefault="00B44D67" w:rsidP="00B44D67">
      <w:pPr>
        <w:spacing w:after="0" w:line="259" w:lineRule="auto"/>
        <w:ind w:left="0" w:right="0" w:firstLine="0"/>
        <w:contextualSpacing/>
        <w:jc w:val="left"/>
        <w:rPr>
          <w:b/>
          <w:i/>
          <w:sz w:val="22"/>
        </w:rPr>
      </w:pPr>
    </w:p>
    <w:p w14:paraId="1013B368" w14:textId="77777777" w:rsidR="00B44D67" w:rsidRPr="00BA050E" w:rsidRDefault="00B44D67" w:rsidP="00B44D67">
      <w:pPr>
        <w:spacing w:after="10" w:line="249" w:lineRule="auto"/>
        <w:ind w:left="10" w:right="0" w:hanging="10"/>
        <w:jc w:val="left"/>
        <w:rPr>
          <w:b/>
          <w:sz w:val="22"/>
        </w:rPr>
      </w:pPr>
      <w:r w:rsidRPr="00BA050E">
        <w:rPr>
          <w:b/>
          <w:sz w:val="22"/>
        </w:rPr>
        <w:t>Pillar 3: Promoting a Green, Clean, and Resilient Moldova</w:t>
      </w:r>
    </w:p>
    <w:p w14:paraId="5ED6532D" w14:textId="77777777" w:rsidR="00B44D67" w:rsidRPr="00BA050E" w:rsidRDefault="00B44D67" w:rsidP="00B44D67">
      <w:pPr>
        <w:spacing w:after="0" w:line="259" w:lineRule="auto"/>
        <w:ind w:left="0" w:right="0" w:firstLine="0"/>
        <w:jc w:val="left"/>
        <w:rPr>
          <w:b/>
          <w:i/>
          <w:sz w:val="22"/>
        </w:rPr>
      </w:pPr>
    </w:p>
    <w:p w14:paraId="5F41E09A" w14:textId="77777777" w:rsidR="00B44D67" w:rsidRPr="00BA050E" w:rsidRDefault="00B44D67" w:rsidP="00B44D67">
      <w:pPr>
        <w:numPr>
          <w:ilvl w:val="0"/>
          <w:numId w:val="3"/>
        </w:numPr>
        <w:spacing w:after="0" w:line="240" w:lineRule="auto"/>
        <w:ind w:right="0" w:firstLine="0"/>
        <w:contextualSpacing/>
        <w:rPr>
          <w:sz w:val="22"/>
        </w:rPr>
      </w:pPr>
      <w:r w:rsidRPr="00BA050E">
        <w:rPr>
          <w:b/>
          <w:sz w:val="22"/>
        </w:rPr>
        <w:t xml:space="preserve">Bank Group activities under this pillar were designed to support progress towards the achievement of three strategic objectives: greater adaptation and resilience to climate change; improved natural resources management; and increased energy efficiency and security. </w:t>
      </w:r>
      <w:r w:rsidRPr="00BA050E">
        <w:rPr>
          <w:sz w:val="22"/>
        </w:rPr>
        <w:t xml:space="preserve">Progress was assessed relative to six outcomes―one relating to climate change, two to natural resources, and four to energy―and the attainment or otherwise of up to 10 indicators. With three of six outcomes achieved, and one mostly and one partly achieved, the overall outcome of this pillar is rated </w:t>
      </w:r>
      <w:r w:rsidRPr="00BA050E">
        <w:rPr>
          <w:b/>
          <w:i/>
          <w:sz w:val="22"/>
        </w:rPr>
        <w:t>moderately satisfactory</w:t>
      </w:r>
      <w:r w:rsidRPr="00BA050E">
        <w:rPr>
          <w:sz w:val="22"/>
        </w:rPr>
        <w:t xml:space="preserve">. </w:t>
      </w:r>
      <w:r w:rsidRPr="00BA050E">
        <w:rPr>
          <w:rFonts w:eastAsia="SimSun"/>
          <w:sz w:val="22"/>
        </w:rPr>
        <w:t xml:space="preserve">The main highlights by CPS outcome are </w:t>
      </w:r>
      <w:r w:rsidRPr="00BA050E">
        <w:rPr>
          <w:sz w:val="22"/>
        </w:rPr>
        <w:t>summarized in turn below.</w:t>
      </w:r>
    </w:p>
    <w:p w14:paraId="7D526C6D" w14:textId="77777777" w:rsidR="00B44D67" w:rsidRPr="00BA050E" w:rsidRDefault="00B44D67" w:rsidP="00B44D67">
      <w:pPr>
        <w:spacing w:after="0" w:line="240" w:lineRule="auto"/>
        <w:ind w:left="0" w:right="0" w:firstLine="0"/>
        <w:contextualSpacing/>
        <w:rPr>
          <w:b/>
          <w:sz w:val="22"/>
        </w:rPr>
      </w:pPr>
    </w:p>
    <w:p w14:paraId="5E1694CC" w14:textId="77777777" w:rsidR="00B44D67" w:rsidRPr="00BA050E" w:rsidRDefault="00B44D67" w:rsidP="006D2153">
      <w:pPr>
        <w:numPr>
          <w:ilvl w:val="0"/>
          <w:numId w:val="22"/>
        </w:numPr>
        <w:spacing w:after="0" w:line="240" w:lineRule="auto"/>
        <w:ind w:right="0"/>
        <w:contextualSpacing/>
        <w:rPr>
          <w:sz w:val="22"/>
        </w:rPr>
      </w:pPr>
      <w:r w:rsidRPr="00BA050E">
        <w:rPr>
          <w:b/>
          <w:sz w:val="22"/>
        </w:rPr>
        <w:t>Greater adaptation and resilience to climate change</w:t>
      </w:r>
    </w:p>
    <w:p w14:paraId="2357320C" w14:textId="77777777" w:rsidR="00B44D67" w:rsidRPr="00BA050E" w:rsidRDefault="00B44D67" w:rsidP="00B44D67">
      <w:pPr>
        <w:spacing w:after="0" w:line="240" w:lineRule="auto"/>
        <w:ind w:left="720" w:right="0" w:firstLine="0"/>
        <w:rPr>
          <w:sz w:val="22"/>
        </w:rPr>
      </w:pPr>
    </w:p>
    <w:p w14:paraId="6327CB54" w14:textId="77777777" w:rsidR="00B44D67" w:rsidRPr="00BA050E" w:rsidRDefault="00B44D67" w:rsidP="006D2153">
      <w:pPr>
        <w:numPr>
          <w:ilvl w:val="0"/>
          <w:numId w:val="24"/>
        </w:numPr>
        <w:spacing w:after="0" w:line="240" w:lineRule="auto"/>
        <w:ind w:left="630" w:right="0" w:hanging="630"/>
        <w:contextualSpacing/>
        <w:rPr>
          <w:sz w:val="22"/>
        </w:rPr>
      </w:pPr>
      <w:r w:rsidRPr="00BA050E">
        <w:rPr>
          <w:b/>
          <w:sz w:val="22"/>
        </w:rPr>
        <w:t xml:space="preserve">Strengthened weather forecasting and ability to respond to natural disasters – </w:t>
      </w:r>
      <w:r w:rsidRPr="00BA050E">
        <w:rPr>
          <w:b/>
          <w:i/>
          <w:sz w:val="22"/>
        </w:rPr>
        <w:t xml:space="preserve">Achieved. </w:t>
      </w:r>
      <w:r w:rsidRPr="00BA050E">
        <w:rPr>
          <w:sz w:val="22"/>
        </w:rPr>
        <w:t xml:space="preserve">Thanks partly to the </w:t>
      </w:r>
      <w:r w:rsidRPr="00BA050E">
        <w:rPr>
          <w:i/>
          <w:sz w:val="22"/>
        </w:rPr>
        <w:t>Disaster and Climate Risk Management</w:t>
      </w:r>
      <w:r w:rsidRPr="00BA050E">
        <w:rPr>
          <w:sz w:val="22"/>
        </w:rPr>
        <w:t xml:space="preserve"> project, the State Hydro-meteorological Service’s ability to forecast severe weather and Moldova’s capacity to prepare for and respond to natural disasters have been strengthened. For example, the scale of weather forecasts has been reduced to 300 km2, the lead time for warnings of adverse weather has been lengthened (demonstrated recently during the January 2017 blizzard), and, through the creation of an Emergency Command Center and comprehensive technical assistance, the country’s capacity to coordinate and strengthen emergency responses has been strengthened.</w:t>
      </w:r>
    </w:p>
    <w:p w14:paraId="08B02E9C" w14:textId="77777777" w:rsidR="00B44D67" w:rsidRPr="00BA050E" w:rsidRDefault="00B44D67" w:rsidP="00B44D67">
      <w:pPr>
        <w:spacing w:after="0" w:line="240" w:lineRule="auto"/>
        <w:ind w:left="720" w:right="0" w:firstLine="0"/>
        <w:rPr>
          <w:b/>
          <w:sz w:val="22"/>
        </w:rPr>
      </w:pPr>
    </w:p>
    <w:p w14:paraId="69F8C905" w14:textId="77777777" w:rsidR="00B44D67" w:rsidRPr="00BA050E" w:rsidRDefault="00B44D67" w:rsidP="006D2153">
      <w:pPr>
        <w:numPr>
          <w:ilvl w:val="0"/>
          <w:numId w:val="22"/>
        </w:numPr>
        <w:spacing w:after="0" w:line="240" w:lineRule="auto"/>
        <w:ind w:right="0"/>
        <w:contextualSpacing/>
        <w:rPr>
          <w:b/>
          <w:sz w:val="22"/>
        </w:rPr>
      </w:pPr>
      <w:r w:rsidRPr="00BA050E">
        <w:rPr>
          <w:b/>
          <w:sz w:val="22"/>
        </w:rPr>
        <w:t>Improved natural resources management</w:t>
      </w:r>
    </w:p>
    <w:p w14:paraId="0844C76C" w14:textId="77777777" w:rsidR="00B44D67" w:rsidRPr="00BA050E" w:rsidRDefault="00B44D67" w:rsidP="00B44D67">
      <w:pPr>
        <w:spacing w:after="0" w:line="240" w:lineRule="auto"/>
        <w:ind w:left="720" w:right="0" w:firstLine="0"/>
        <w:rPr>
          <w:b/>
          <w:sz w:val="22"/>
        </w:rPr>
      </w:pPr>
    </w:p>
    <w:p w14:paraId="51A31E59" w14:textId="77777777" w:rsidR="00B44D67" w:rsidRPr="00BA050E" w:rsidRDefault="00B44D67" w:rsidP="006D2153">
      <w:pPr>
        <w:numPr>
          <w:ilvl w:val="0"/>
          <w:numId w:val="25"/>
        </w:numPr>
        <w:spacing w:after="0" w:line="240" w:lineRule="auto"/>
        <w:ind w:left="630" w:right="0" w:hanging="630"/>
        <w:contextualSpacing/>
        <w:rPr>
          <w:b/>
          <w:sz w:val="22"/>
        </w:rPr>
      </w:pPr>
      <w:r w:rsidRPr="00BA050E">
        <w:rPr>
          <w:b/>
          <w:sz w:val="22"/>
        </w:rPr>
        <w:t xml:space="preserve">Sequestration of CO2 through afforestation of degraded lands – </w:t>
      </w:r>
      <w:r w:rsidRPr="00BA050E">
        <w:rPr>
          <w:b/>
          <w:i/>
          <w:sz w:val="22"/>
        </w:rPr>
        <w:t>Achieved</w:t>
      </w:r>
      <w:r w:rsidRPr="00BA050E">
        <w:rPr>
          <w:b/>
          <w:sz w:val="22"/>
        </w:rPr>
        <w:t xml:space="preserve">. </w:t>
      </w:r>
      <w:r w:rsidRPr="00BA050E">
        <w:rPr>
          <w:sz w:val="22"/>
        </w:rPr>
        <w:t xml:space="preserve">The 2017 target of 0.8 million tons of sequestered CO2 through afforestation of degraded lands was fully </w:t>
      </w:r>
      <w:r w:rsidRPr="00BA050E">
        <w:rPr>
          <w:i/>
          <w:sz w:val="22"/>
        </w:rPr>
        <w:t>achieved</w:t>
      </w:r>
      <w:r w:rsidRPr="00BA050E">
        <w:rPr>
          <w:b/>
          <w:sz w:val="22"/>
        </w:rPr>
        <w:t xml:space="preserve">. </w:t>
      </w:r>
      <w:r w:rsidRPr="00BA050E">
        <w:rPr>
          <w:sz w:val="22"/>
        </w:rPr>
        <w:t xml:space="preserve">In fact, with afforestation of almost 29,000 ha under the </w:t>
      </w:r>
      <w:r w:rsidRPr="00BA050E">
        <w:rPr>
          <w:i/>
          <w:sz w:val="22"/>
        </w:rPr>
        <w:t>Soil Conservation</w:t>
      </w:r>
      <w:r w:rsidRPr="00BA050E">
        <w:rPr>
          <w:sz w:val="22"/>
        </w:rPr>
        <w:t xml:space="preserve"> and </w:t>
      </w:r>
      <w:r w:rsidRPr="00BA050E">
        <w:rPr>
          <w:i/>
          <w:sz w:val="22"/>
        </w:rPr>
        <w:t>Community Forestry</w:t>
      </w:r>
      <w:r w:rsidRPr="00BA050E">
        <w:rPr>
          <w:sz w:val="22"/>
        </w:rPr>
        <w:t xml:space="preserve"> projects, total CO2 sequestration under both operations is estimated at over 1.2 million tons (including 250,000 tons in 2017). Afforestation activities play an important role not only in adapting to, and mitigating climate change, but also in increasing agricultural competitiveness through soil conservation, as well as helping create jobs in poor rural areas.</w:t>
      </w:r>
    </w:p>
    <w:p w14:paraId="79D02B4C" w14:textId="77777777" w:rsidR="00B44D67" w:rsidRPr="00BA050E" w:rsidRDefault="00B44D67" w:rsidP="00B44D67">
      <w:pPr>
        <w:spacing w:after="0" w:line="240" w:lineRule="auto"/>
        <w:ind w:left="630" w:right="0" w:hanging="630"/>
        <w:contextualSpacing/>
        <w:rPr>
          <w:b/>
          <w:sz w:val="22"/>
        </w:rPr>
      </w:pPr>
    </w:p>
    <w:p w14:paraId="421A0330" w14:textId="77777777" w:rsidR="00B44D67" w:rsidRPr="00BA050E" w:rsidRDefault="00B44D67" w:rsidP="006D2153">
      <w:pPr>
        <w:numPr>
          <w:ilvl w:val="0"/>
          <w:numId w:val="25"/>
        </w:numPr>
        <w:spacing w:after="0"/>
        <w:ind w:left="630" w:right="0" w:hanging="630"/>
        <w:contextualSpacing/>
        <w:rPr>
          <w:b/>
          <w:sz w:val="22"/>
        </w:rPr>
      </w:pPr>
      <w:r w:rsidRPr="00BA050E">
        <w:rPr>
          <w:b/>
          <w:sz w:val="22"/>
        </w:rPr>
        <w:t xml:space="preserve">Enhanced competitiveness of agro-food sector - </w:t>
      </w:r>
      <w:r w:rsidRPr="00BA050E">
        <w:rPr>
          <w:b/>
          <w:i/>
          <w:sz w:val="22"/>
        </w:rPr>
        <w:t>Mostly achieved</w:t>
      </w:r>
      <w:r w:rsidRPr="00BA050E">
        <w:rPr>
          <w:b/>
          <w:sz w:val="22"/>
        </w:rPr>
        <w:t xml:space="preserve">. </w:t>
      </w:r>
      <w:r w:rsidRPr="00BA050E">
        <w:rPr>
          <w:sz w:val="22"/>
        </w:rPr>
        <w:t xml:space="preserve">Both indicators for enhanced competitiveness of Moldova’s agro-food sector through the mainstreaming of agro-environmental and sustainable land management practices were fully </w:t>
      </w:r>
      <w:r w:rsidRPr="00BA050E">
        <w:rPr>
          <w:i/>
          <w:sz w:val="22"/>
        </w:rPr>
        <w:t>achieved</w:t>
      </w:r>
      <w:r w:rsidRPr="00BA050E">
        <w:rPr>
          <w:b/>
          <w:i/>
          <w:sz w:val="22"/>
        </w:rPr>
        <w:t xml:space="preserve">. </w:t>
      </w:r>
      <w:r w:rsidRPr="00BA050E">
        <w:rPr>
          <w:sz w:val="22"/>
        </w:rPr>
        <w:t>Farm areas benefiting from sustainable land management practices total more than 34,000 ha, three times the 2017 target, while areas protected by anti-erosion belts increased to 45,000 ha, only 5,000 short of the 50,000 target. Prospects for exceeding both 2017 targets by June 30, 2017 are good.</w:t>
      </w:r>
    </w:p>
    <w:p w14:paraId="7AF91696" w14:textId="77777777" w:rsidR="00B44D67" w:rsidRPr="00BA050E" w:rsidRDefault="00B44D67" w:rsidP="00B44D67">
      <w:pPr>
        <w:spacing w:after="0"/>
        <w:ind w:left="0" w:right="0" w:firstLine="0"/>
        <w:rPr>
          <w:b/>
          <w:sz w:val="22"/>
        </w:rPr>
      </w:pPr>
    </w:p>
    <w:p w14:paraId="40E463A4" w14:textId="77777777" w:rsidR="00B44D67" w:rsidRPr="00BA050E" w:rsidRDefault="00B44D67" w:rsidP="006D2153">
      <w:pPr>
        <w:numPr>
          <w:ilvl w:val="0"/>
          <w:numId w:val="22"/>
        </w:numPr>
        <w:spacing w:after="0" w:line="240" w:lineRule="auto"/>
        <w:ind w:right="0"/>
        <w:contextualSpacing/>
        <w:rPr>
          <w:b/>
          <w:sz w:val="22"/>
        </w:rPr>
      </w:pPr>
      <w:r w:rsidRPr="00BA050E">
        <w:rPr>
          <w:b/>
          <w:sz w:val="22"/>
        </w:rPr>
        <w:t>Increased energy efficiency and security</w:t>
      </w:r>
    </w:p>
    <w:p w14:paraId="14CF5AD4" w14:textId="77777777" w:rsidR="00B44D67" w:rsidRPr="00BA050E" w:rsidRDefault="00B44D67" w:rsidP="00B44D67">
      <w:pPr>
        <w:spacing w:after="0" w:line="240" w:lineRule="auto"/>
        <w:ind w:left="720" w:right="0" w:firstLine="0"/>
        <w:rPr>
          <w:b/>
          <w:sz w:val="22"/>
        </w:rPr>
      </w:pPr>
    </w:p>
    <w:p w14:paraId="71DC3F18" w14:textId="77777777" w:rsidR="00B44D67" w:rsidRPr="00BA050E" w:rsidRDefault="00B44D67" w:rsidP="006D2153">
      <w:pPr>
        <w:numPr>
          <w:ilvl w:val="0"/>
          <w:numId w:val="23"/>
        </w:numPr>
        <w:spacing w:after="0"/>
        <w:ind w:left="630" w:right="0" w:hanging="630"/>
        <w:contextualSpacing/>
        <w:rPr>
          <w:b/>
          <w:sz w:val="22"/>
        </w:rPr>
      </w:pPr>
      <w:r w:rsidRPr="00BA050E">
        <w:rPr>
          <w:b/>
          <w:sz w:val="22"/>
        </w:rPr>
        <w:t xml:space="preserve">Lower costs, improved quality, and increased affordability of Chisinau’s heating supply – </w:t>
      </w:r>
      <w:r w:rsidRPr="00BA050E">
        <w:rPr>
          <w:b/>
          <w:i/>
          <w:sz w:val="22"/>
        </w:rPr>
        <w:t>Partially Achieved</w:t>
      </w:r>
      <w:r w:rsidRPr="00BA050E">
        <w:rPr>
          <w:b/>
          <w:sz w:val="22"/>
        </w:rPr>
        <w:t xml:space="preserve">. </w:t>
      </w:r>
      <w:r w:rsidRPr="00BA050E">
        <w:rPr>
          <w:sz w:val="22"/>
        </w:rPr>
        <w:t xml:space="preserve">While results for the first indicator―the number of people with access to more </w:t>
      </w:r>
      <w:r w:rsidRPr="00BA050E">
        <w:rPr>
          <w:sz w:val="22"/>
        </w:rPr>
        <w:lastRenderedPageBreak/>
        <w:t xml:space="preserve">efficient cooking and/or heating facilities―will not be available until the 2017/18 heating season, fuel savings in terms of lower gas needs for heat production totaling 26,379 </w:t>
      </w:r>
      <w:proofErr w:type="spellStart"/>
      <w:r w:rsidRPr="00BA050E">
        <w:rPr>
          <w:sz w:val="22"/>
        </w:rPr>
        <w:t>Gcal</w:t>
      </w:r>
      <w:proofErr w:type="spellEnd"/>
      <w:r w:rsidRPr="00BA050E">
        <w:rPr>
          <w:sz w:val="22"/>
        </w:rPr>
        <w:t xml:space="preserve"> in 2016 reached about half the second target for 2017.</w:t>
      </w:r>
    </w:p>
    <w:p w14:paraId="296D71E2" w14:textId="77777777" w:rsidR="00B44D67" w:rsidRPr="00BA050E" w:rsidRDefault="00B44D67" w:rsidP="00B44D67">
      <w:pPr>
        <w:spacing w:after="0" w:line="240" w:lineRule="auto"/>
        <w:ind w:left="1080" w:right="0" w:firstLine="0"/>
        <w:contextualSpacing/>
        <w:rPr>
          <w:b/>
          <w:sz w:val="22"/>
        </w:rPr>
      </w:pPr>
    </w:p>
    <w:p w14:paraId="66B6AFCF" w14:textId="77777777" w:rsidR="00B44D67" w:rsidRPr="00BA050E" w:rsidRDefault="00B44D67" w:rsidP="006D2153">
      <w:pPr>
        <w:numPr>
          <w:ilvl w:val="0"/>
          <w:numId w:val="23"/>
        </w:numPr>
        <w:spacing w:after="0" w:line="240" w:lineRule="auto"/>
        <w:ind w:left="630" w:right="0" w:hanging="630"/>
        <w:contextualSpacing/>
        <w:rPr>
          <w:b/>
          <w:sz w:val="22"/>
        </w:rPr>
      </w:pPr>
      <w:r w:rsidRPr="00BA050E">
        <w:rPr>
          <w:b/>
          <w:sz w:val="22"/>
        </w:rPr>
        <w:t xml:space="preserve">Restructuring of Chisinau District Heating Company debt – </w:t>
      </w:r>
      <w:r w:rsidRPr="00BA050E">
        <w:rPr>
          <w:b/>
          <w:i/>
          <w:sz w:val="22"/>
        </w:rPr>
        <w:t>Not Achieved</w:t>
      </w:r>
      <w:r w:rsidRPr="00BA050E">
        <w:rPr>
          <w:b/>
          <w:sz w:val="22"/>
        </w:rPr>
        <w:t xml:space="preserve">. </w:t>
      </w:r>
      <w:r w:rsidRPr="00BA050E">
        <w:rPr>
          <w:sz w:val="22"/>
        </w:rPr>
        <w:t xml:space="preserve">Despite significant progress in restructuring Chisinau District Heating Company’s debt during 2016, the target of signing an agreement with </w:t>
      </w:r>
      <w:proofErr w:type="spellStart"/>
      <w:r w:rsidRPr="00BA050E">
        <w:rPr>
          <w:i/>
          <w:sz w:val="22"/>
        </w:rPr>
        <w:t>Moldovagaz</w:t>
      </w:r>
      <w:proofErr w:type="spellEnd"/>
      <w:r w:rsidRPr="00BA050E">
        <w:rPr>
          <w:sz w:val="22"/>
        </w:rPr>
        <w:t xml:space="preserve"> by 2017 was not achieved. A Memorandum of Understanding between </w:t>
      </w:r>
      <w:proofErr w:type="spellStart"/>
      <w:r w:rsidRPr="00BA050E">
        <w:rPr>
          <w:i/>
          <w:sz w:val="22"/>
        </w:rPr>
        <w:t>Termoelectrica</w:t>
      </w:r>
      <w:proofErr w:type="spellEnd"/>
      <w:r w:rsidRPr="00BA050E">
        <w:rPr>
          <w:sz w:val="22"/>
        </w:rPr>
        <w:t xml:space="preserve">, </w:t>
      </w:r>
      <w:proofErr w:type="spellStart"/>
      <w:r w:rsidRPr="00BA050E">
        <w:rPr>
          <w:i/>
          <w:sz w:val="22"/>
        </w:rPr>
        <w:t>Moldovagaz</w:t>
      </w:r>
      <w:proofErr w:type="spellEnd"/>
      <w:r w:rsidRPr="00BA050E">
        <w:rPr>
          <w:sz w:val="22"/>
        </w:rPr>
        <w:t xml:space="preserve">, and the Ministry of Economy outlining the agreed amount of the debt and terms and conditions for its restructuring was submitted to </w:t>
      </w:r>
      <w:r w:rsidRPr="00BA050E">
        <w:rPr>
          <w:i/>
          <w:sz w:val="22"/>
        </w:rPr>
        <w:t>Gazprom</w:t>
      </w:r>
      <w:r w:rsidRPr="00BA050E">
        <w:rPr>
          <w:sz w:val="22"/>
        </w:rPr>
        <w:t xml:space="preserve"> (as majority shareholder of </w:t>
      </w:r>
      <w:proofErr w:type="spellStart"/>
      <w:r w:rsidRPr="00BA050E">
        <w:rPr>
          <w:i/>
          <w:sz w:val="22"/>
        </w:rPr>
        <w:t>Moldovagaz</w:t>
      </w:r>
      <w:proofErr w:type="spellEnd"/>
      <w:r w:rsidRPr="00BA050E">
        <w:rPr>
          <w:sz w:val="22"/>
        </w:rPr>
        <w:t>) for its approval, but this has not been forthcoming.</w:t>
      </w:r>
    </w:p>
    <w:p w14:paraId="098387B2" w14:textId="77777777" w:rsidR="00B44D67" w:rsidRPr="00BA050E" w:rsidRDefault="00B44D67" w:rsidP="00B44D67">
      <w:pPr>
        <w:spacing w:after="0" w:line="240" w:lineRule="auto"/>
        <w:ind w:left="630" w:right="0" w:hanging="630"/>
        <w:contextualSpacing/>
        <w:rPr>
          <w:b/>
          <w:sz w:val="22"/>
        </w:rPr>
      </w:pPr>
    </w:p>
    <w:p w14:paraId="15F975EF" w14:textId="77777777" w:rsidR="00B44D67" w:rsidRPr="00BA050E" w:rsidRDefault="00B44D67" w:rsidP="006D2153">
      <w:pPr>
        <w:numPr>
          <w:ilvl w:val="0"/>
          <w:numId w:val="23"/>
        </w:numPr>
        <w:spacing w:after="0" w:line="240" w:lineRule="auto"/>
        <w:ind w:left="630" w:right="0" w:hanging="630"/>
        <w:contextualSpacing/>
        <w:rPr>
          <w:b/>
          <w:sz w:val="22"/>
        </w:rPr>
      </w:pPr>
      <w:r w:rsidRPr="00BA050E">
        <w:rPr>
          <w:b/>
          <w:sz w:val="22"/>
        </w:rPr>
        <w:t xml:space="preserve">Identification of options for diversifying electricity supply – </w:t>
      </w:r>
      <w:r w:rsidRPr="00BA050E">
        <w:rPr>
          <w:b/>
          <w:i/>
          <w:sz w:val="22"/>
        </w:rPr>
        <w:t>Achieved</w:t>
      </w:r>
      <w:r w:rsidRPr="00BA050E">
        <w:rPr>
          <w:b/>
          <w:sz w:val="22"/>
        </w:rPr>
        <w:t xml:space="preserve">. </w:t>
      </w:r>
      <w:r w:rsidRPr="00BA050E">
        <w:rPr>
          <w:sz w:val="22"/>
        </w:rPr>
        <w:t>An electric power market options study of options for diversifying the supply of electricity, completed in 2015, recommended an asynchronous inter-connection with Romania, which the Bank Group plans to finance in FY18.</w:t>
      </w:r>
    </w:p>
    <w:p w14:paraId="1E2E0321" w14:textId="77777777" w:rsidR="00B44D67" w:rsidRPr="00BA050E" w:rsidRDefault="00B44D67" w:rsidP="00B44D67">
      <w:pPr>
        <w:ind w:left="0" w:right="0" w:firstLine="0"/>
        <w:rPr>
          <w:sz w:val="22"/>
        </w:rPr>
      </w:pPr>
    </w:p>
    <w:p w14:paraId="663AD065" w14:textId="77777777" w:rsidR="00B44D67" w:rsidRPr="00BA050E" w:rsidRDefault="00B44D67" w:rsidP="00B44D67">
      <w:pPr>
        <w:ind w:left="0" w:right="0" w:firstLine="0"/>
        <w:rPr>
          <w:b/>
          <w:sz w:val="22"/>
        </w:rPr>
      </w:pPr>
      <w:r w:rsidRPr="00BA050E">
        <w:rPr>
          <w:b/>
          <w:sz w:val="22"/>
        </w:rPr>
        <w:t>Governance as Cross-Cutting Theme</w:t>
      </w:r>
    </w:p>
    <w:p w14:paraId="79599080" w14:textId="77777777" w:rsidR="00B44D67" w:rsidRPr="00BA050E" w:rsidRDefault="00B44D67" w:rsidP="00B44D67">
      <w:pPr>
        <w:ind w:left="0" w:right="0" w:firstLine="0"/>
        <w:rPr>
          <w:b/>
          <w:sz w:val="22"/>
        </w:rPr>
      </w:pPr>
    </w:p>
    <w:p w14:paraId="7C096838" w14:textId="77777777" w:rsidR="00B44D67" w:rsidRPr="00BA050E" w:rsidRDefault="00B44D67" w:rsidP="00B44D67">
      <w:pPr>
        <w:numPr>
          <w:ilvl w:val="0"/>
          <w:numId w:val="3"/>
        </w:numPr>
        <w:spacing w:after="0" w:line="240" w:lineRule="auto"/>
        <w:ind w:right="0" w:firstLine="0"/>
        <w:contextualSpacing/>
        <w:rPr>
          <w:sz w:val="22"/>
        </w:rPr>
      </w:pPr>
      <w:r w:rsidRPr="00BA050E">
        <w:rPr>
          <w:b/>
          <w:sz w:val="22"/>
        </w:rPr>
        <w:t xml:space="preserve">Bank Group activities under the governance cross-cutting theme reflected national priorities to combat corruption, enhance transparency, and advance accountability, especially in the public sector. </w:t>
      </w:r>
      <w:r>
        <w:rPr>
          <w:sz w:val="22"/>
        </w:rPr>
        <w:t>M</w:t>
      </w:r>
      <w:r w:rsidRPr="008720B5">
        <w:rPr>
          <w:sz w:val="22"/>
        </w:rPr>
        <w:t xml:space="preserve">ost regulatory reforms supported by CEP-II, the ICR project, the programmatic Financial Sector TA and the DPO series </w:t>
      </w:r>
      <w:r>
        <w:rPr>
          <w:sz w:val="22"/>
        </w:rPr>
        <w:t>explicitly aimed at</w:t>
      </w:r>
      <w:r w:rsidRPr="008720B5">
        <w:rPr>
          <w:sz w:val="22"/>
        </w:rPr>
        <w:t xml:space="preserve"> </w:t>
      </w:r>
      <w:r>
        <w:rPr>
          <w:sz w:val="22"/>
        </w:rPr>
        <w:t xml:space="preserve">addressing these priorities by </w:t>
      </w:r>
      <w:r w:rsidRPr="008720B5">
        <w:rPr>
          <w:sz w:val="22"/>
        </w:rPr>
        <w:t>improv</w:t>
      </w:r>
      <w:r>
        <w:rPr>
          <w:sz w:val="22"/>
        </w:rPr>
        <w:t xml:space="preserve">ing </w:t>
      </w:r>
      <w:r w:rsidRPr="008720B5">
        <w:rPr>
          <w:sz w:val="22"/>
        </w:rPr>
        <w:t xml:space="preserve">private sector profitability </w:t>
      </w:r>
      <w:r>
        <w:rPr>
          <w:sz w:val="22"/>
        </w:rPr>
        <w:t xml:space="preserve">through </w:t>
      </w:r>
      <w:r w:rsidRPr="008720B5">
        <w:rPr>
          <w:sz w:val="22"/>
        </w:rPr>
        <w:t>reduc</w:t>
      </w:r>
      <w:r>
        <w:rPr>
          <w:sz w:val="22"/>
        </w:rPr>
        <w:t xml:space="preserve">ed </w:t>
      </w:r>
      <w:r w:rsidRPr="008720B5">
        <w:rPr>
          <w:sz w:val="22"/>
        </w:rPr>
        <w:t>rent-seeking opportunities for state institutions</w:t>
      </w:r>
      <w:r>
        <w:rPr>
          <w:sz w:val="22"/>
        </w:rPr>
        <w:t>. The Governance e-Transformation project contributed to improved service delivery in the public sector and reduced opportunities for corruption and t</w:t>
      </w:r>
      <w:r w:rsidRPr="008720B5">
        <w:rPr>
          <w:sz w:val="22"/>
        </w:rPr>
        <w:t>he Public Investment Management TA has recommended processes for transparency and rules-based decision-making</w:t>
      </w:r>
      <w:r>
        <w:rPr>
          <w:sz w:val="22"/>
        </w:rPr>
        <w:t xml:space="preserve">. The </w:t>
      </w:r>
      <w:r w:rsidRPr="008720B5">
        <w:rPr>
          <w:sz w:val="22"/>
        </w:rPr>
        <w:t xml:space="preserve">TAs </w:t>
      </w:r>
      <w:r>
        <w:rPr>
          <w:sz w:val="22"/>
        </w:rPr>
        <w:t xml:space="preserve">financed from the </w:t>
      </w:r>
      <w:r w:rsidRPr="008720B5">
        <w:rPr>
          <w:sz w:val="22"/>
        </w:rPr>
        <w:t xml:space="preserve">UK’s “Good Governance and Investment Climate” TF: Tax Legislation Revision, State Owned Enterprise Reform, Justice Sector Reform, and Government Reform Scorecard </w:t>
      </w:r>
      <w:r>
        <w:rPr>
          <w:sz w:val="22"/>
        </w:rPr>
        <w:t xml:space="preserve">build up a solid block of advisory work on governance, which will be continued in the next CPF cycle as the impact of such reforms is gradual and necessarily requires time. </w:t>
      </w:r>
      <w:r w:rsidRPr="00BA050E">
        <w:rPr>
          <w:sz w:val="22"/>
        </w:rPr>
        <w:t xml:space="preserve">These were illustrated in the number and wide range of planned outcomes: thirteen, ranging from professionalizing Moldova’s civil service management to confidence-building between Moldova and Transnistria. Progress was assessed relative to the thirteen outcomes and the attainment or otherwise of up to seventeen indicators. With six outcomes achieved, one mostly achieved, and six partially achieved, the overall outcome of this cross-cutting theme is rated </w:t>
      </w:r>
      <w:r w:rsidRPr="00BA050E">
        <w:rPr>
          <w:b/>
          <w:i/>
          <w:sz w:val="22"/>
        </w:rPr>
        <w:t>moderately satisfactory</w:t>
      </w:r>
      <w:r w:rsidRPr="00BA050E">
        <w:rPr>
          <w:sz w:val="22"/>
        </w:rPr>
        <w:t xml:space="preserve">. </w:t>
      </w:r>
      <w:r w:rsidRPr="00BA050E">
        <w:rPr>
          <w:rFonts w:eastAsia="SimSun"/>
          <w:sz w:val="22"/>
        </w:rPr>
        <w:t xml:space="preserve">The main highlights by CPS outcome are </w:t>
      </w:r>
      <w:r w:rsidRPr="00BA050E">
        <w:rPr>
          <w:sz w:val="22"/>
        </w:rPr>
        <w:t>summarized in turn below.</w:t>
      </w:r>
    </w:p>
    <w:p w14:paraId="0FF037F0" w14:textId="77777777" w:rsidR="00B44D67" w:rsidRPr="00BA050E" w:rsidRDefault="00B44D67" w:rsidP="00B44D67">
      <w:pPr>
        <w:ind w:right="0" w:firstLine="0"/>
        <w:contextualSpacing/>
        <w:rPr>
          <w:b/>
          <w:sz w:val="22"/>
          <w:highlight w:val="yellow"/>
        </w:rPr>
      </w:pPr>
    </w:p>
    <w:p w14:paraId="0D9EB4F4" w14:textId="77777777" w:rsidR="00B44D67" w:rsidRPr="00BA050E" w:rsidRDefault="00B44D67" w:rsidP="006D2153">
      <w:pPr>
        <w:numPr>
          <w:ilvl w:val="0"/>
          <w:numId w:val="26"/>
        </w:numPr>
        <w:spacing w:after="80"/>
        <w:ind w:left="630" w:right="0" w:hanging="630"/>
        <w:contextualSpacing/>
        <w:rPr>
          <w:sz w:val="22"/>
        </w:rPr>
      </w:pPr>
      <w:r w:rsidRPr="00BA050E">
        <w:rPr>
          <w:b/>
          <w:sz w:val="22"/>
        </w:rPr>
        <w:t xml:space="preserve">Professionalization of the civil service through implementation of state secretaries’ positions – </w:t>
      </w:r>
      <w:r w:rsidRPr="00BA050E">
        <w:rPr>
          <w:b/>
          <w:i/>
          <w:sz w:val="22"/>
        </w:rPr>
        <w:t>Mostly achieved</w:t>
      </w:r>
      <w:r w:rsidRPr="00BA050E">
        <w:rPr>
          <w:sz w:val="22"/>
        </w:rPr>
        <w:t xml:space="preserve">. Most ministries―13 of 16, or 80 percent―are now led by non-political, professional state secretaries. In addition, a professional development program comprising six modules has been approved and is in place and all 13 state secretaries have completed at least one module. However, though a step in the right direction, it is doubtful whether creation of the state secretary function </w:t>
      </w:r>
      <w:r w:rsidRPr="00BA050E">
        <w:rPr>
          <w:i/>
          <w:sz w:val="22"/>
        </w:rPr>
        <w:t>per se</w:t>
      </w:r>
      <w:r w:rsidRPr="00BA050E">
        <w:rPr>
          <w:sz w:val="22"/>
        </w:rPr>
        <w:t xml:space="preserve"> constitutes ‘professionalization of the civil service.’</w:t>
      </w:r>
    </w:p>
    <w:p w14:paraId="1C90A20D" w14:textId="77777777" w:rsidR="00B44D67" w:rsidRPr="00BA050E" w:rsidRDefault="00B44D67" w:rsidP="00B44D67">
      <w:pPr>
        <w:spacing w:after="80"/>
        <w:ind w:left="720" w:right="0" w:hanging="720"/>
        <w:contextualSpacing/>
        <w:rPr>
          <w:sz w:val="22"/>
        </w:rPr>
      </w:pPr>
    </w:p>
    <w:p w14:paraId="73A5830B" w14:textId="77777777" w:rsidR="00B44D67" w:rsidRPr="00BA050E" w:rsidRDefault="00B44D67" w:rsidP="006D2153">
      <w:pPr>
        <w:numPr>
          <w:ilvl w:val="0"/>
          <w:numId w:val="26"/>
        </w:numPr>
        <w:ind w:left="630" w:right="0" w:hanging="630"/>
        <w:contextualSpacing/>
        <w:rPr>
          <w:sz w:val="22"/>
        </w:rPr>
      </w:pPr>
      <w:r w:rsidRPr="00BA050E">
        <w:rPr>
          <w:b/>
          <w:sz w:val="22"/>
        </w:rPr>
        <w:t xml:space="preserve">Improved legislative framework for tax administration – </w:t>
      </w:r>
      <w:r w:rsidRPr="00BA050E">
        <w:rPr>
          <w:b/>
          <w:i/>
          <w:sz w:val="22"/>
        </w:rPr>
        <w:t>Partially Achieved</w:t>
      </w:r>
      <w:r w:rsidRPr="00BA050E">
        <w:rPr>
          <w:b/>
          <w:sz w:val="22"/>
        </w:rPr>
        <w:t xml:space="preserve">. </w:t>
      </w:r>
      <w:r w:rsidRPr="00BA050E">
        <w:rPr>
          <w:sz w:val="22"/>
        </w:rPr>
        <w:t>Eight working groups comprising government and civil society representatives coordinated by the MOF are currently finalizing revisions to the Tax Code (aligned with EU-Moldova AA requirements) which are expected to be approved during 2017.</w:t>
      </w:r>
    </w:p>
    <w:p w14:paraId="2FA13149" w14:textId="77777777" w:rsidR="00B44D67" w:rsidRPr="00BA050E" w:rsidRDefault="00B44D67" w:rsidP="00B44D67">
      <w:pPr>
        <w:ind w:left="630" w:hanging="630"/>
        <w:contextualSpacing/>
        <w:rPr>
          <w:sz w:val="22"/>
        </w:rPr>
      </w:pPr>
    </w:p>
    <w:p w14:paraId="55EC93C3" w14:textId="77777777" w:rsidR="00B44D67" w:rsidRPr="00BA050E" w:rsidRDefault="00B44D67" w:rsidP="006D2153">
      <w:pPr>
        <w:numPr>
          <w:ilvl w:val="0"/>
          <w:numId w:val="26"/>
        </w:numPr>
        <w:ind w:left="630" w:right="0" w:hanging="630"/>
        <w:contextualSpacing/>
        <w:rPr>
          <w:sz w:val="22"/>
        </w:rPr>
      </w:pPr>
      <w:r w:rsidRPr="00BA050E">
        <w:rPr>
          <w:b/>
          <w:sz w:val="22"/>
        </w:rPr>
        <w:t xml:space="preserve">Strengthened capacity to monitor implementation of governance reform – </w:t>
      </w:r>
      <w:r w:rsidRPr="00BA050E">
        <w:rPr>
          <w:b/>
          <w:i/>
          <w:sz w:val="22"/>
        </w:rPr>
        <w:t>Partially Achieved</w:t>
      </w:r>
      <w:r w:rsidRPr="00BA050E">
        <w:rPr>
          <w:b/>
          <w:sz w:val="22"/>
        </w:rPr>
        <w:t xml:space="preserve">. </w:t>
      </w:r>
      <w:r w:rsidRPr="00BA050E">
        <w:rPr>
          <w:sz w:val="22"/>
        </w:rPr>
        <w:t>An</w:t>
      </w:r>
      <w:r w:rsidRPr="00BA050E">
        <w:rPr>
          <w:b/>
          <w:sz w:val="22"/>
        </w:rPr>
        <w:t xml:space="preserve"> </w:t>
      </w:r>
      <w:r w:rsidRPr="00BA050E">
        <w:rPr>
          <w:sz w:val="22"/>
        </w:rPr>
        <w:t xml:space="preserve">initial Governance Scorecard covering three dimensions―public administration reform, cost of </w:t>
      </w:r>
      <w:r w:rsidRPr="00BA050E">
        <w:rPr>
          <w:sz w:val="22"/>
        </w:rPr>
        <w:lastRenderedPageBreak/>
        <w:t>doing business, and social assistance―was approved on December 1, 2016 and will be published in June 2017. It will be included in the results framework of the next CPF.</w:t>
      </w:r>
    </w:p>
    <w:p w14:paraId="6FED7C4C" w14:textId="77777777" w:rsidR="00B44D67" w:rsidRPr="00BA050E" w:rsidRDefault="00B44D67" w:rsidP="00B44D67">
      <w:pPr>
        <w:ind w:left="720"/>
        <w:contextualSpacing/>
        <w:rPr>
          <w:sz w:val="22"/>
        </w:rPr>
      </w:pPr>
    </w:p>
    <w:p w14:paraId="04C6755C" w14:textId="77777777" w:rsidR="00B44D67" w:rsidRDefault="00B44D67" w:rsidP="006D2153">
      <w:pPr>
        <w:numPr>
          <w:ilvl w:val="0"/>
          <w:numId w:val="26"/>
        </w:numPr>
        <w:ind w:left="630" w:right="0" w:hanging="630"/>
        <w:contextualSpacing/>
        <w:rPr>
          <w:sz w:val="22"/>
        </w:rPr>
      </w:pPr>
      <w:r w:rsidRPr="00BA050E">
        <w:rPr>
          <w:b/>
          <w:sz w:val="22"/>
        </w:rPr>
        <w:t xml:space="preserve">Public investment monitoring to improve strategic decision-making and resource allocation – </w:t>
      </w:r>
      <w:r w:rsidRPr="00BA050E">
        <w:rPr>
          <w:b/>
          <w:i/>
          <w:sz w:val="22"/>
        </w:rPr>
        <w:t>Partially Achieved</w:t>
      </w:r>
      <w:r w:rsidRPr="00BA050E">
        <w:rPr>
          <w:b/>
          <w:sz w:val="22"/>
        </w:rPr>
        <w:t xml:space="preserve">. A </w:t>
      </w:r>
      <w:r w:rsidRPr="00BA050E">
        <w:rPr>
          <w:sz w:val="22"/>
        </w:rPr>
        <w:t>public investment monitoring methodology was developed, including a related legal framework, and the MOF completed a database for ongoing and proposed public investments for the 2015 and 2016 state budgets. However, these methodologies have not yet been implemented.</w:t>
      </w:r>
    </w:p>
    <w:p w14:paraId="4C9106BD" w14:textId="77777777" w:rsidR="00B44D67" w:rsidRDefault="00B44D67" w:rsidP="00B44D67">
      <w:pPr>
        <w:pStyle w:val="ListParagraph"/>
        <w:ind w:left="630" w:hanging="630"/>
        <w:rPr>
          <w:sz w:val="22"/>
        </w:rPr>
      </w:pPr>
    </w:p>
    <w:p w14:paraId="72BC62F7" w14:textId="77777777" w:rsidR="00B44D67" w:rsidRPr="00BA050E" w:rsidRDefault="00B44D67" w:rsidP="006D2153">
      <w:pPr>
        <w:numPr>
          <w:ilvl w:val="0"/>
          <w:numId w:val="26"/>
        </w:numPr>
        <w:ind w:left="630" w:right="0" w:hanging="630"/>
        <w:contextualSpacing/>
        <w:rPr>
          <w:sz w:val="22"/>
        </w:rPr>
      </w:pPr>
      <w:r w:rsidRPr="00BA050E">
        <w:rPr>
          <w:b/>
          <w:sz w:val="22"/>
        </w:rPr>
        <w:t xml:space="preserve">Improved accountability for public investment through access to information – </w:t>
      </w:r>
      <w:r w:rsidRPr="00BA050E">
        <w:rPr>
          <w:b/>
          <w:i/>
          <w:sz w:val="22"/>
        </w:rPr>
        <w:t>Partially Achieved</w:t>
      </w:r>
      <w:r w:rsidRPr="00BA050E">
        <w:rPr>
          <w:b/>
          <w:sz w:val="22"/>
        </w:rPr>
        <w:t xml:space="preserve">. </w:t>
      </w:r>
      <w:r w:rsidRPr="00BA050E">
        <w:rPr>
          <w:sz w:val="22"/>
        </w:rPr>
        <w:t xml:space="preserve">Government Resolution 1029 dated December 19, 2013 established a project evaluation mechanism and the MOF’s Order 185 </w:t>
      </w:r>
      <w:r w:rsidRPr="00BA050E">
        <w:rPr>
          <w:i/>
          <w:sz w:val="22"/>
        </w:rPr>
        <w:t>Guidelines for Public Investment Project Preparation &amp; Appraisal</w:t>
      </w:r>
      <w:r w:rsidRPr="00BA050E">
        <w:rPr>
          <w:sz w:val="22"/>
        </w:rPr>
        <w:t xml:space="preserve"> supports line ministry staff in project preparation appraisal, and evaluation. However, implementation has been slow and incomplete, partly due to limited budget resources.</w:t>
      </w:r>
    </w:p>
    <w:p w14:paraId="402D838F" w14:textId="77777777" w:rsidR="00B44D67" w:rsidRPr="00BA050E" w:rsidRDefault="00B44D67" w:rsidP="00B44D67">
      <w:pPr>
        <w:ind w:left="630" w:hanging="630"/>
        <w:contextualSpacing/>
        <w:rPr>
          <w:sz w:val="22"/>
        </w:rPr>
      </w:pPr>
    </w:p>
    <w:p w14:paraId="2D1CD918" w14:textId="77777777" w:rsidR="00B44D67" w:rsidRPr="00BA050E" w:rsidRDefault="00B44D67" w:rsidP="006D2153">
      <w:pPr>
        <w:numPr>
          <w:ilvl w:val="0"/>
          <w:numId w:val="26"/>
        </w:numPr>
        <w:ind w:left="630" w:right="0" w:hanging="630"/>
        <w:contextualSpacing/>
        <w:rPr>
          <w:sz w:val="22"/>
        </w:rPr>
      </w:pPr>
      <w:r w:rsidRPr="00BA050E">
        <w:rPr>
          <w:b/>
          <w:sz w:val="22"/>
        </w:rPr>
        <w:t xml:space="preserve">Improved capacity for oversight of public expenditure – </w:t>
      </w:r>
      <w:r w:rsidRPr="00BA050E">
        <w:rPr>
          <w:b/>
          <w:i/>
          <w:sz w:val="22"/>
        </w:rPr>
        <w:t>Achieved</w:t>
      </w:r>
      <w:r w:rsidRPr="00BA050E">
        <w:rPr>
          <w:b/>
          <w:sz w:val="22"/>
        </w:rPr>
        <w:t xml:space="preserve">. </w:t>
      </w:r>
      <w:r w:rsidRPr="00BA050E">
        <w:rPr>
          <w:sz w:val="22"/>
        </w:rPr>
        <w:t xml:space="preserve">Three projects were audited by the Supreme Audit Institution: </w:t>
      </w:r>
      <w:r w:rsidRPr="00BA050E">
        <w:rPr>
          <w:i/>
          <w:sz w:val="22"/>
        </w:rPr>
        <w:t>Strengthening Effectiveness of Social Safety Net, Education Reform, and Health Transformation</w:t>
      </w:r>
      <w:r w:rsidRPr="00BA050E">
        <w:rPr>
          <w:sz w:val="22"/>
        </w:rPr>
        <w:t>. The quality of the audits was assessed as satisfactory and in accordance with international standards.</w:t>
      </w:r>
    </w:p>
    <w:p w14:paraId="46C146E2" w14:textId="77777777" w:rsidR="00B44D67" w:rsidRPr="00BA050E" w:rsidRDefault="00B44D67" w:rsidP="00B44D67">
      <w:pPr>
        <w:ind w:left="630" w:hanging="630"/>
        <w:contextualSpacing/>
        <w:rPr>
          <w:sz w:val="22"/>
        </w:rPr>
      </w:pPr>
    </w:p>
    <w:p w14:paraId="7FC92BC8" w14:textId="77777777" w:rsidR="00B44D67" w:rsidRPr="00BA050E" w:rsidRDefault="00B44D67" w:rsidP="006D2153">
      <w:pPr>
        <w:numPr>
          <w:ilvl w:val="0"/>
          <w:numId w:val="26"/>
        </w:numPr>
        <w:ind w:left="630" w:right="0" w:hanging="630"/>
        <w:contextualSpacing/>
        <w:rPr>
          <w:sz w:val="22"/>
        </w:rPr>
      </w:pPr>
      <w:r w:rsidRPr="00BA050E">
        <w:rPr>
          <w:b/>
          <w:sz w:val="22"/>
        </w:rPr>
        <w:t xml:space="preserve">Improved Treasury system business processes – </w:t>
      </w:r>
      <w:r w:rsidRPr="00BA050E">
        <w:rPr>
          <w:b/>
          <w:i/>
          <w:sz w:val="22"/>
        </w:rPr>
        <w:t>Achieved</w:t>
      </w:r>
      <w:r w:rsidRPr="00BA050E">
        <w:rPr>
          <w:b/>
          <w:sz w:val="22"/>
        </w:rPr>
        <w:t xml:space="preserve">. </w:t>
      </w:r>
      <w:r w:rsidRPr="00BA050E">
        <w:rPr>
          <w:sz w:val="22"/>
        </w:rPr>
        <w:t>Commencing January 1, 2016, Treasury system business processes allow electronic processing of payments prepared by project implementation units (PIUs).</w:t>
      </w:r>
    </w:p>
    <w:p w14:paraId="63A19622" w14:textId="77777777" w:rsidR="00B44D67" w:rsidRPr="00BA050E" w:rsidRDefault="00B44D67" w:rsidP="00B44D67">
      <w:pPr>
        <w:ind w:left="630" w:hanging="630"/>
        <w:contextualSpacing/>
        <w:rPr>
          <w:sz w:val="22"/>
        </w:rPr>
      </w:pPr>
    </w:p>
    <w:p w14:paraId="49098791" w14:textId="77777777" w:rsidR="00B44D67" w:rsidRPr="00BA050E" w:rsidRDefault="00B44D67" w:rsidP="006D2153">
      <w:pPr>
        <w:numPr>
          <w:ilvl w:val="0"/>
          <w:numId w:val="26"/>
        </w:numPr>
        <w:spacing w:after="0" w:line="240" w:lineRule="auto"/>
        <w:ind w:left="630" w:right="0" w:hanging="630"/>
        <w:contextualSpacing/>
        <w:rPr>
          <w:b/>
          <w:sz w:val="22"/>
        </w:rPr>
      </w:pPr>
      <w:r w:rsidRPr="00BA050E">
        <w:rPr>
          <w:b/>
          <w:sz w:val="22"/>
        </w:rPr>
        <w:t xml:space="preserve">Improved functionality and uptake of electronic procurement system – </w:t>
      </w:r>
      <w:r w:rsidRPr="00BA050E">
        <w:rPr>
          <w:b/>
          <w:i/>
          <w:sz w:val="22"/>
        </w:rPr>
        <w:t>Partially Achieved</w:t>
      </w:r>
      <w:r w:rsidRPr="00BA050E">
        <w:rPr>
          <w:sz w:val="22"/>
        </w:rPr>
        <w:t>. Roll-out of e-procurement to all contracting authorities was only partially achieved due to missing electronic bid submission functionality; technical specifications, catalogues and guidance notes have been developed, but not all standard bidding documents; all contracting authorities are staffed with at least one certified procurement officer and certified procurement officers are placed in the Public Procurement Agency’s (PPA) regional offices.</w:t>
      </w:r>
    </w:p>
    <w:p w14:paraId="0DA2B120" w14:textId="77777777" w:rsidR="00B44D67" w:rsidRPr="00BA050E" w:rsidRDefault="00B44D67" w:rsidP="00B44D67">
      <w:pPr>
        <w:spacing w:after="0" w:line="240" w:lineRule="auto"/>
        <w:ind w:left="630" w:right="0" w:hanging="630"/>
        <w:rPr>
          <w:b/>
          <w:sz w:val="22"/>
        </w:rPr>
      </w:pPr>
    </w:p>
    <w:p w14:paraId="3571DE3C" w14:textId="77777777" w:rsidR="00B44D67" w:rsidRPr="00BA050E" w:rsidRDefault="00B44D67" w:rsidP="006D2153">
      <w:pPr>
        <w:numPr>
          <w:ilvl w:val="0"/>
          <w:numId w:val="26"/>
        </w:numPr>
        <w:ind w:left="630" w:right="0" w:hanging="630"/>
        <w:contextualSpacing/>
        <w:rPr>
          <w:sz w:val="22"/>
        </w:rPr>
      </w:pPr>
      <w:r w:rsidRPr="00BA050E">
        <w:rPr>
          <w:b/>
          <w:sz w:val="22"/>
        </w:rPr>
        <w:t xml:space="preserve">Improved social accountability environment – </w:t>
      </w:r>
      <w:r w:rsidRPr="00BA050E">
        <w:rPr>
          <w:b/>
          <w:i/>
          <w:sz w:val="22"/>
        </w:rPr>
        <w:t>Achieved</w:t>
      </w:r>
      <w:r w:rsidRPr="00BA050E">
        <w:rPr>
          <w:b/>
          <w:sz w:val="22"/>
        </w:rPr>
        <w:t xml:space="preserve">. </w:t>
      </w:r>
      <w:r w:rsidRPr="00BA050E">
        <w:rPr>
          <w:sz w:val="22"/>
        </w:rPr>
        <w:t>Over</w:t>
      </w:r>
      <w:r w:rsidRPr="00BA050E">
        <w:rPr>
          <w:b/>
          <w:sz w:val="22"/>
        </w:rPr>
        <w:t xml:space="preserve"> </w:t>
      </w:r>
      <w:r w:rsidRPr="00BA050E">
        <w:rPr>
          <w:sz w:val="22"/>
        </w:rPr>
        <w:t>900 government data sets, including on public expenditure, are now publicly available through the Open Data Portal.</w:t>
      </w:r>
    </w:p>
    <w:p w14:paraId="6C6773D1" w14:textId="77777777" w:rsidR="00B44D67" w:rsidRPr="00BA050E" w:rsidRDefault="00B44D67" w:rsidP="00B44D67">
      <w:pPr>
        <w:ind w:left="630" w:hanging="630"/>
        <w:contextualSpacing/>
        <w:rPr>
          <w:sz w:val="22"/>
        </w:rPr>
      </w:pPr>
    </w:p>
    <w:p w14:paraId="57D318D4" w14:textId="77777777" w:rsidR="00B44D67" w:rsidRPr="00BA050E" w:rsidRDefault="00B44D67" w:rsidP="006D2153">
      <w:pPr>
        <w:numPr>
          <w:ilvl w:val="0"/>
          <w:numId w:val="26"/>
        </w:numPr>
        <w:ind w:left="630" w:right="0" w:hanging="630"/>
        <w:contextualSpacing/>
        <w:rPr>
          <w:sz w:val="22"/>
        </w:rPr>
      </w:pPr>
      <w:r w:rsidRPr="00BA050E">
        <w:rPr>
          <w:b/>
          <w:sz w:val="22"/>
        </w:rPr>
        <w:t xml:space="preserve">Better participation in decision-making processes and enhanced quality of public debate – </w:t>
      </w:r>
      <w:r w:rsidRPr="00BA050E">
        <w:rPr>
          <w:b/>
          <w:i/>
          <w:sz w:val="22"/>
        </w:rPr>
        <w:t>Achieved</w:t>
      </w:r>
      <w:r w:rsidRPr="00BA050E">
        <w:rPr>
          <w:b/>
          <w:sz w:val="22"/>
        </w:rPr>
        <w:t xml:space="preserve">. </w:t>
      </w:r>
      <w:r w:rsidRPr="00BA050E">
        <w:rPr>
          <w:sz w:val="22"/>
        </w:rPr>
        <w:t xml:space="preserve">In 2016, 60 communities participating in the </w:t>
      </w:r>
      <w:r w:rsidRPr="00BA050E">
        <w:rPr>
          <w:i/>
          <w:sz w:val="22"/>
        </w:rPr>
        <w:t>Global Partnership for Social Accountability</w:t>
      </w:r>
      <w:r w:rsidRPr="00BA050E">
        <w:rPr>
          <w:sz w:val="22"/>
        </w:rPr>
        <w:t xml:space="preserve"> project applied social accountability tools in secondary education. For example, students, teachers, parents and representatives of local and regional authorities review school budgets and performance, discuss school development priorities, and take collective decisions to improve the learning environment. Moreover, 26 schools applied selected social accountability tools without formal participation in project activities.</w:t>
      </w:r>
    </w:p>
    <w:p w14:paraId="586C5940" w14:textId="77777777" w:rsidR="00B44D67" w:rsidRPr="00BA050E" w:rsidRDefault="00B44D67" w:rsidP="00B44D67">
      <w:pPr>
        <w:ind w:left="630" w:hanging="630"/>
        <w:contextualSpacing/>
        <w:rPr>
          <w:sz w:val="22"/>
        </w:rPr>
      </w:pPr>
    </w:p>
    <w:p w14:paraId="4FA8DD17" w14:textId="77777777" w:rsidR="00B44D67" w:rsidRPr="00BA050E" w:rsidRDefault="00B44D67" w:rsidP="006D2153">
      <w:pPr>
        <w:numPr>
          <w:ilvl w:val="0"/>
          <w:numId w:val="26"/>
        </w:numPr>
        <w:ind w:left="630" w:right="0" w:hanging="630"/>
        <w:contextualSpacing/>
        <w:rPr>
          <w:sz w:val="22"/>
        </w:rPr>
      </w:pPr>
      <w:r w:rsidRPr="00BA050E">
        <w:rPr>
          <w:b/>
          <w:sz w:val="22"/>
        </w:rPr>
        <w:t xml:space="preserve">Increased uptake of government e-services, including by females – </w:t>
      </w:r>
      <w:r w:rsidRPr="00BA050E">
        <w:rPr>
          <w:b/>
          <w:i/>
          <w:sz w:val="22"/>
        </w:rPr>
        <w:t>Achieved</w:t>
      </w:r>
      <w:r w:rsidRPr="00BA050E">
        <w:rPr>
          <w:b/>
          <w:sz w:val="22"/>
        </w:rPr>
        <w:t xml:space="preserve">. </w:t>
      </w:r>
      <w:r w:rsidRPr="00BA050E">
        <w:rPr>
          <w:sz w:val="22"/>
        </w:rPr>
        <w:t>The </w:t>
      </w:r>
      <w:r w:rsidRPr="00BA050E">
        <w:rPr>
          <w:i/>
          <w:sz w:val="22"/>
        </w:rPr>
        <w:t>Governance e-Transformation</w:t>
      </w:r>
      <w:r w:rsidRPr="00BA050E">
        <w:rPr>
          <w:sz w:val="22"/>
        </w:rPr>
        <w:t xml:space="preserve"> project reached 617,354 beneficiaries, of which 51.8 percent were women.</w:t>
      </w:r>
    </w:p>
    <w:p w14:paraId="1C36AA54" w14:textId="77777777" w:rsidR="00B44D67" w:rsidRPr="00BA050E" w:rsidRDefault="00B44D67" w:rsidP="00B44D67">
      <w:pPr>
        <w:ind w:left="630" w:hanging="630"/>
        <w:contextualSpacing/>
        <w:rPr>
          <w:sz w:val="22"/>
        </w:rPr>
      </w:pPr>
    </w:p>
    <w:p w14:paraId="78310C5D" w14:textId="77777777" w:rsidR="00B44D67" w:rsidRPr="00BA050E" w:rsidRDefault="00B44D67" w:rsidP="006D2153">
      <w:pPr>
        <w:numPr>
          <w:ilvl w:val="0"/>
          <w:numId w:val="26"/>
        </w:numPr>
        <w:ind w:left="630" w:right="0" w:hanging="630"/>
        <w:contextualSpacing/>
        <w:rPr>
          <w:sz w:val="22"/>
        </w:rPr>
      </w:pPr>
      <w:r w:rsidRPr="00BA050E">
        <w:rPr>
          <w:b/>
          <w:sz w:val="22"/>
        </w:rPr>
        <w:t xml:space="preserve">Increased favorable citizen perception of public service quality – </w:t>
      </w:r>
      <w:r w:rsidRPr="00BA050E">
        <w:rPr>
          <w:b/>
          <w:i/>
          <w:sz w:val="22"/>
        </w:rPr>
        <w:t>Achieved</w:t>
      </w:r>
      <w:r w:rsidRPr="00BA050E">
        <w:rPr>
          <w:b/>
          <w:sz w:val="22"/>
        </w:rPr>
        <w:t xml:space="preserve">. </w:t>
      </w:r>
      <w:r w:rsidRPr="00BA050E">
        <w:rPr>
          <w:sz w:val="22"/>
        </w:rPr>
        <w:t xml:space="preserve">Recent surveys under the </w:t>
      </w:r>
      <w:r w:rsidRPr="00BA050E">
        <w:rPr>
          <w:i/>
          <w:sz w:val="22"/>
        </w:rPr>
        <w:t>Governance e-Transformation</w:t>
      </w:r>
      <w:r w:rsidRPr="00BA050E">
        <w:rPr>
          <w:sz w:val="22"/>
        </w:rPr>
        <w:t xml:space="preserve"> project indicate 66 percent satisfaction with overall quality of transaction processing on main Government Services Portal.</w:t>
      </w:r>
    </w:p>
    <w:p w14:paraId="0CB4404D" w14:textId="77777777" w:rsidR="00B44D67" w:rsidRPr="00BA050E" w:rsidRDefault="00B44D67" w:rsidP="00B44D67">
      <w:pPr>
        <w:ind w:left="720"/>
        <w:contextualSpacing/>
        <w:rPr>
          <w:sz w:val="22"/>
        </w:rPr>
      </w:pPr>
    </w:p>
    <w:p w14:paraId="7A138ED4" w14:textId="77777777" w:rsidR="00B44D67" w:rsidRDefault="00B44D67" w:rsidP="006D2153">
      <w:pPr>
        <w:numPr>
          <w:ilvl w:val="0"/>
          <w:numId w:val="26"/>
        </w:numPr>
        <w:spacing w:after="80"/>
        <w:ind w:left="630" w:right="0" w:hanging="630"/>
        <w:contextualSpacing/>
        <w:rPr>
          <w:sz w:val="22"/>
        </w:rPr>
      </w:pPr>
      <w:r w:rsidRPr="00BA050E">
        <w:rPr>
          <w:b/>
          <w:sz w:val="22"/>
        </w:rPr>
        <w:lastRenderedPageBreak/>
        <w:t xml:space="preserve">Improved interaction and strengthened understanding of development challenges between representatives of both banks of Nistru river – </w:t>
      </w:r>
      <w:r w:rsidRPr="00BA050E">
        <w:rPr>
          <w:b/>
          <w:i/>
          <w:sz w:val="22"/>
        </w:rPr>
        <w:t>Not Achieved</w:t>
      </w:r>
      <w:r w:rsidRPr="00BA050E">
        <w:rPr>
          <w:b/>
          <w:sz w:val="22"/>
        </w:rPr>
        <w:t xml:space="preserve">. </w:t>
      </w:r>
      <w:r w:rsidRPr="00BA050E">
        <w:rPr>
          <w:sz w:val="22"/>
        </w:rPr>
        <w:t>While quantitative indicators were achieved, implementation of the Korean Trust Fund Knowledge Program was slow, with only one of four pilot sub-projects―not involving significant interactions between representatives of both banks of the river―completed by end-2016. Implementation of the remaining sub-projects is unlikely because of concerns from the Transnistrian side, though a new sub-project on Transnistria’s investment climate may be feasible.</w:t>
      </w:r>
    </w:p>
    <w:p w14:paraId="5B5B5872" w14:textId="77777777" w:rsidR="00B44D67" w:rsidRPr="00FD1E6D" w:rsidRDefault="00B44D67" w:rsidP="00B44D67">
      <w:pPr>
        <w:spacing w:after="80"/>
        <w:ind w:right="0"/>
        <w:contextualSpacing/>
        <w:rPr>
          <w:sz w:val="22"/>
        </w:rPr>
      </w:pPr>
    </w:p>
    <w:p w14:paraId="5A5CE9F3" w14:textId="77777777" w:rsidR="00B44D67" w:rsidRPr="00BA050E" w:rsidRDefault="00B44D67" w:rsidP="00B44D67">
      <w:pPr>
        <w:pStyle w:val="ListParagraph"/>
        <w:tabs>
          <w:tab w:val="center" w:pos="2387"/>
          <w:tab w:val="center" w:pos="5219"/>
        </w:tabs>
        <w:spacing w:after="12"/>
        <w:ind w:left="0" w:right="0" w:firstLine="0"/>
        <w:jc w:val="center"/>
        <w:rPr>
          <w:b/>
        </w:rPr>
      </w:pPr>
      <w:r w:rsidRPr="00BA050E">
        <w:rPr>
          <w:b/>
        </w:rPr>
        <w:t>III. WORLD BANK GROUP PERFORMANCE</w:t>
      </w:r>
    </w:p>
    <w:p w14:paraId="3987F5A1" w14:textId="77777777" w:rsidR="00B44D67" w:rsidRPr="00BA050E" w:rsidRDefault="00B44D67" w:rsidP="00B44D67">
      <w:pPr>
        <w:spacing w:after="0" w:line="259" w:lineRule="auto"/>
        <w:ind w:left="0" w:right="0" w:firstLine="0"/>
        <w:jc w:val="left"/>
      </w:pPr>
    </w:p>
    <w:p w14:paraId="2FE6FFF9" w14:textId="77777777" w:rsidR="00B44D67" w:rsidRPr="00BA050E" w:rsidRDefault="00B44D67" w:rsidP="00B44D67">
      <w:pPr>
        <w:numPr>
          <w:ilvl w:val="0"/>
          <w:numId w:val="3"/>
        </w:numPr>
        <w:spacing w:after="0"/>
        <w:ind w:right="0"/>
        <w:contextualSpacing/>
        <w:rPr>
          <w:sz w:val="22"/>
        </w:rPr>
      </w:pPr>
      <w:r w:rsidRPr="00BA050E">
        <w:rPr>
          <w:b/>
          <w:sz w:val="22"/>
        </w:rPr>
        <w:t xml:space="preserve">The Bank Group’s overall performance in designing and implementing the CPS is considered </w:t>
      </w:r>
      <w:r w:rsidRPr="00BA050E">
        <w:rPr>
          <w:b/>
          <w:i/>
          <w:sz w:val="22"/>
        </w:rPr>
        <w:t>Good</w:t>
      </w:r>
      <w:r w:rsidRPr="00BA050E">
        <w:rPr>
          <w:b/>
          <w:sz w:val="22"/>
        </w:rPr>
        <w:t xml:space="preserve">. </w:t>
      </w:r>
      <w:r w:rsidRPr="00BA050E">
        <w:rPr>
          <w:sz w:val="22"/>
        </w:rPr>
        <w:t>The following summary explains this assessment.</w:t>
      </w:r>
    </w:p>
    <w:p w14:paraId="4BF6CF2B" w14:textId="77777777" w:rsidR="00B44D67" w:rsidRPr="00BA050E" w:rsidRDefault="00B44D67" w:rsidP="00B44D67">
      <w:pPr>
        <w:spacing w:after="0"/>
        <w:ind w:left="0" w:right="0" w:firstLine="0"/>
        <w:contextualSpacing/>
        <w:rPr>
          <w:sz w:val="22"/>
        </w:rPr>
      </w:pPr>
    </w:p>
    <w:p w14:paraId="56768B0C" w14:textId="77777777" w:rsidR="00B44D67" w:rsidRPr="00BA050E" w:rsidRDefault="00B44D67" w:rsidP="006D2153">
      <w:pPr>
        <w:keepNext/>
        <w:keepLines/>
        <w:numPr>
          <w:ilvl w:val="0"/>
          <w:numId w:val="27"/>
        </w:numPr>
        <w:spacing w:after="0" w:line="259" w:lineRule="auto"/>
        <w:ind w:right="0"/>
        <w:jc w:val="left"/>
        <w:outlineLvl w:val="3"/>
        <w:rPr>
          <w:b/>
          <w:i/>
          <w:sz w:val="22"/>
        </w:rPr>
      </w:pPr>
      <w:r w:rsidRPr="00BA050E">
        <w:rPr>
          <w:b/>
          <w:i/>
          <w:sz w:val="22"/>
        </w:rPr>
        <w:t>Design</w:t>
      </w:r>
    </w:p>
    <w:p w14:paraId="1CC130D1" w14:textId="77777777" w:rsidR="00B44D67" w:rsidRPr="00BA050E" w:rsidRDefault="00B44D67" w:rsidP="00B44D67">
      <w:pPr>
        <w:ind w:left="-15" w:firstLine="0"/>
      </w:pPr>
    </w:p>
    <w:p w14:paraId="3A7A7328" w14:textId="77777777" w:rsidR="00B44D67" w:rsidRPr="00BA050E" w:rsidRDefault="00B44D67" w:rsidP="00B44D67">
      <w:pPr>
        <w:numPr>
          <w:ilvl w:val="0"/>
          <w:numId w:val="3"/>
        </w:numPr>
        <w:spacing w:after="0" w:line="240" w:lineRule="auto"/>
        <w:ind w:right="105"/>
        <w:contextualSpacing/>
        <w:rPr>
          <w:sz w:val="22"/>
        </w:rPr>
      </w:pPr>
      <w:r w:rsidRPr="00BA050E">
        <w:rPr>
          <w:b/>
          <w:sz w:val="22"/>
        </w:rPr>
        <w:t xml:space="preserve">CPS objectives, anchored in Moldova’s NDS – </w:t>
      </w:r>
      <w:r w:rsidRPr="00BA050E">
        <w:rPr>
          <w:b/>
          <w:i/>
          <w:sz w:val="22"/>
        </w:rPr>
        <w:t xml:space="preserve">Moldova 2020, </w:t>
      </w:r>
      <w:r w:rsidRPr="00BA050E">
        <w:rPr>
          <w:b/>
          <w:sz w:val="22"/>
        </w:rPr>
        <w:t xml:space="preserve">were relevant to the country’s development goals and, re-firmed during the PLR, remained valid throughout the period. </w:t>
      </w:r>
      <w:r w:rsidRPr="00BA050E">
        <w:rPr>
          <w:sz w:val="22"/>
        </w:rPr>
        <w:t>Its pillars and cross-cutting theme addressed eight development priorities stipulated in the NDS, which calls for a shift from the country’s current consumption-based growth model to one based on raising investments, increasing competitiveness and productivity, developing export industries, and promoting a knowledge-based society, thereby ensuring more sustainable economic growth and continued poverty reduction. Several CPS outcomes matched the stated national priorities directly, including: improving the business climate; ensuring equitable access to education, health, and social assistance, and strengthening the rule of law and combatting corruption.</w:t>
      </w:r>
    </w:p>
    <w:p w14:paraId="06A085F9" w14:textId="77777777" w:rsidR="00B44D67" w:rsidRPr="00BA050E" w:rsidRDefault="00B44D67" w:rsidP="00B44D67">
      <w:pPr>
        <w:spacing w:after="0" w:line="240" w:lineRule="auto"/>
        <w:ind w:left="10" w:right="105" w:firstLine="0"/>
        <w:rPr>
          <w:sz w:val="22"/>
        </w:rPr>
      </w:pPr>
    </w:p>
    <w:p w14:paraId="57405D06" w14:textId="77777777" w:rsidR="00B44D67" w:rsidRPr="00BA050E" w:rsidRDefault="00B44D67" w:rsidP="00B44D67">
      <w:pPr>
        <w:numPr>
          <w:ilvl w:val="0"/>
          <w:numId w:val="3"/>
        </w:numPr>
        <w:spacing w:after="0" w:line="240" w:lineRule="auto"/>
        <w:ind w:right="105" w:hanging="10"/>
        <w:rPr>
          <w:sz w:val="22"/>
        </w:rPr>
      </w:pPr>
      <w:r w:rsidRPr="00BA050E">
        <w:rPr>
          <w:b/>
          <w:sz w:val="22"/>
        </w:rPr>
        <w:t xml:space="preserve">CPS outcomes and indicators were mainly clear and well selected but, relative to the size of the country and program, their number was probably excessive. </w:t>
      </w:r>
      <w:r w:rsidRPr="00BA050E">
        <w:rPr>
          <w:sz w:val="22"/>
        </w:rPr>
        <w:t>While most related directly to and were commensurate with ongoing and proposed Bank Group activities, a few were not (</w:t>
      </w:r>
      <w:r w:rsidRPr="00BA050E">
        <w:rPr>
          <w:i/>
          <w:sz w:val="22"/>
        </w:rPr>
        <w:t>e.g.</w:t>
      </w:r>
      <w:r w:rsidRPr="00BA050E">
        <w:rPr>
          <w:sz w:val="22"/>
        </w:rPr>
        <w:t xml:space="preserve"> mandatory</w:t>
      </w:r>
      <w:r w:rsidRPr="00BA050E">
        <w:rPr>
          <w:i/>
          <w:sz w:val="22"/>
        </w:rPr>
        <w:t xml:space="preserve"> </w:t>
      </w:r>
      <w:r w:rsidRPr="00BA050E">
        <w:rPr>
          <w:sz w:val="22"/>
        </w:rPr>
        <w:t>health insurance coverage and out-of-pocket payments), others were not measurable during the current CPS (</w:t>
      </w:r>
      <w:r w:rsidRPr="00BA050E">
        <w:rPr>
          <w:i/>
          <w:sz w:val="22"/>
        </w:rPr>
        <w:t xml:space="preserve">e.g. </w:t>
      </w:r>
      <w:r w:rsidRPr="00BA050E">
        <w:rPr>
          <w:sz w:val="22"/>
        </w:rPr>
        <w:t>regulatory burden on enterprises), and some assumed mistakenly that financing was available to support implementation of related reforms (</w:t>
      </w:r>
      <w:r w:rsidRPr="00BA050E">
        <w:rPr>
          <w:i/>
          <w:sz w:val="22"/>
        </w:rPr>
        <w:t xml:space="preserve">e.g. </w:t>
      </w:r>
      <w:r w:rsidRPr="00BA050E">
        <w:rPr>
          <w:sz w:val="22"/>
        </w:rPr>
        <w:t>alignment of corporate financial reporting legislation with EU norms). More broadly, several indicators, especially under the governance cross-cutting theme, comprised approval or enactment of laws or regulations, rather than an evaluation of their implementation or impact, which may have overstated the real outcome. Finally, with a country portfolio of 9-10 operations averaging US$320 million, the number of outcomes (34) and indicators (52) included in the results matrix was disproportionate, risking a diffusion of focus and priority.</w:t>
      </w:r>
    </w:p>
    <w:p w14:paraId="5B3D9887" w14:textId="77777777" w:rsidR="00B44D67" w:rsidRPr="00BA050E" w:rsidRDefault="00B44D67" w:rsidP="00B44D67">
      <w:pPr>
        <w:spacing w:after="0" w:line="240" w:lineRule="auto"/>
        <w:ind w:left="0" w:firstLine="0"/>
        <w:rPr>
          <w:sz w:val="22"/>
        </w:rPr>
      </w:pPr>
    </w:p>
    <w:p w14:paraId="65115BB7" w14:textId="77777777" w:rsidR="00B44D67" w:rsidRPr="00BA050E" w:rsidRDefault="00B44D67" w:rsidP="00B44D67">
      <w:pPr>
        <w:numPr>
          <w:ilvl w:val="0"/>
          <w:numId w:val="3"/>
        </w:numPr>
        <w:spacing w:after="0" w:line="240" w:lineRule="auto"/>
        <w:ind w:right="105" w:hanging="10"/>
        <w:rPr>
          <w:sz w:val="22"/>
        </w:rPr>
      </w:pPr>
      <w:r w:rsidRPr="00BA050E">
        <w:rPr>
          <w:b/>
          <w:sz w:val="22"/>
        </w:rPr>
        <w:t xml:space="preserve">CPS activities adjusted to the changing country environment. </w:t>
      </w:r>
      <w:r w:rsidRPr="00BA050E">
        <w:rPr>
          <w:sz w:val="22"/>
        </w:rPr>
        <w:t>Political instability, the slow pace of decision-making on key policy issues, and protracted parliamentary ratification procedures</w:t>
      </w:r>
      <w:r w:rsidRPr="00BA050E">
        <w:rPr>
          <w:rFonts w:eastAsia="SimSun"/>
          <w:sz w:val="22"/>
        </w:rPr>
        <w:t xml:space="preserve"> together delayed the processing of several lending operations, including the </w:t>
      </w:r>
      <w:r w:rsidRPr="00BA050E">
        <w:rPr>
          <w:rFonts w:eastAsia="SimSun"/>
          <w:i/>
          <w:sz w:val="22"/>
        </w:rPr>
        <w:t>Local Roads Improvement</w:t>
      </w:r>
      <w:r w:rsidRPr="00BA050E">
        <w:rPr>
          <w:rFonts w:eastAsia="SimSun"/>
          <w:sz w:val="22"/>
        </w:rPr>
        <w:t xml:space="preserve"> project (the largest in the portfolio) and the second in a series of two </w:t>
      </w:r>
      <w:r w:rsidRPr="00BA050E">
        <w:rPr>
          <w:rFonts w:eastAsia="SimSun"/>
          <w:i/>
          <w:sz w:val="22"/>
        </w:rPr>
        <w:t xml:space="preserve">Development Policy Operations </w:t>
      </w:r>
      <w:r w:rsidRPr="00BA050E">
        <w:rPr>
          <w:rFonts w:eastAsia="SimSun"/>
          <w:sz w:val="22"/>
        </w:rPr>
        <w:t xml:space="preserve">(DPOs) until December 2016. </w:t>
      </w:r>
      <w:r w:rsidRPr="00BA050E">
        <w:rPr>
          <w:sz w:val="22"/>
        </w:rPr>
        <w:t>Moreover, the authorities’ commitment to education, health and social protection reforms remained ambiguous;</w:t>
      </w:r>
      <w:r w:rsidRPr="00BA050E">
        <w:rPr>
          <w:rFonts w:eastAsia="SimSun"/>
          <w:sz w:val="22"/>
        </w:rPr>
        <w:t xml:space="preserve"> the energy regulator’s slow progress in applying approved tariff methodologies blocked approval of a district heating guarantee; and a project preparation grant for local roads was lost due to the authorities’ failure to sign the agreement in time. Against this background, the</w:t>
      </w:r>
      <w:r w:rsidRPr="00BA050E">
        <w:rPr>
          <w:sz w:val="22"/>
        </w:rPr>
        <w:t xml:space="preserve"> portfolio and pipeline required adjustments to accommodate funding constraints, protect A</w:t>
      </w:r>
      <w:r>
        <w:rPr>
          <w:sz w:val="22"/>
        </w:rPr>
        <w:t>S</w:t>
      </w:r>
      <w:r w:rsidRPr="00BA050E">
        <w:rPr>
          <w:sz w:val="22"/>
        </w:rPr>
        <w:t xml:space="preserve">A activities, and maximize the limited administrative resources. Bank budget constraints necessitated the dropping of planned forestry and public administration reform projects, though related activities were incorporated into the planned FY17 </w:t>
      </w:r>
      <w:r w:rsidRPr="00BA050E">
        <w:rPr>
          <w:i/>
          <w:sz w:val="22"/>
        </w:rPr>
        <w:t>Climate Adaptation and Resilience</w:t>
      </w:r>
      <w:r w:rsidRPr="00BA050E">
        <w:rPr>
          <w:sz w:val="22"/>
        </w:rPr>
        <w:t xml:space="preserve"> project and the proposed FY18 </w:t>
      </w:r>
      <w:r w:rsidRPr="00BA050E">
        <w:rPr>
          <w:i/>
          <w:sz w:val="22"/>
        </w:rPr>
        <w:t xml:space="preserve">Modernization </w:t>
      </w:r>
      <w:r w:rsidRPr="00BA050E">
        <w:rPr>
          <w:i/>
          <w:sz w:val="22"/>
        </w:rPr>
        <w:lastRenderedPageBreak/>
        <w:t>of Government Services</w:t>
      </w:r>
      <w:r w:rsidRPr="00BA050E">
        <w:rPr>
          <w:sz w:val="22"/>
        </w:rPr>
        <w:t xml:space="preserve"> project (MGSP). Uncertainty as to whether political instability would prevent processing of the MGSP and the 2</w:t>
      </w:r>
      <w:r w:rsidRPr="00BA050E">
        <w:rPr>
          <w:sz w:val="22"/>
          <w:vertAlign w:val="superscript"/>
        </w:rPr>
        <w:t>nd</w:t>
      </w:r>
      <w:r w:rsidRPr="00BA050E">
        <w:rPr>
          <w:sz w:val="22"/>
        </w:rPr>
        <w:t xml:space="preserve"> DPO led to an increased IDA allocation for </w:t>
      </w:r>
      <w:r w:rsidRPr="00BA050E">
        <w:rPr>
          <w:i/>
          <w:sz w:val="22"/>
        </w:rPr>
        <w:t>Local Roads Improvement</w:t>
      </w:r>
      <w:r w:rsidRPr="00BA050E">
        <w:rPr>
          <w:sz w:val="22"/>
        </w:rPr>
        <w:t xml:space="preserve">, which in turn dictated the slippage of MGSP into IDA18. Implementation delays of the </w:t>
      </w:r>
      <w:r w:rsidRPr="00BA050E">
        <w:rPr>
          <w:i/>
          <w:sz w:val="22"/>
        </w:rPr>
        <w:t>Education Reform Project</w:t>
      </w:r>
      <w:r w:rsidRPr="00BA050E">
        <w:rPr>
          <w:sz w:val="22"/>
        </w:rPr>
        <w:t xml:space="preserve"> and procurement concerns led to </w:t>
      </w:r>
      <w:r w:rsidRPr="00BA050E">
        <w:rPr>
          <w:i/>
          <w:sz w:val="22"/>
        </w:rPr>
        <w:t>Education Additional Financing</w:t>
      </w:r>
      <w:r w:rsidRPr="00BA050E">
        <w:rPr>
          <w:sz w:val="22"/>
        </w:rPr>
        <w:t xml:space="preserve"> slipping into FY18 and agreement on the </w:t>
      </w:r>
      <w:r w:rsidRPr="00BA050E">
        <w:rPr>
          <w:i/>
          <w:sz w:val="22"/>
        </w:rPr>
        <w:t>District Heating Partial Risk Guarantee</w:t>
      </w:r>
      <w:r w:rsidRPr="00BA050E">
        <w:rPr>
          <w:sz w:val="22"/>
        </w:rPr>
        <w:t xml:space="preserve"> was not forthcoming. The PLR was used to adjust the results framework, reflecting changes in the timing and scope of planned outcomes.</w:t>
      </w:r>
    </w:p>
    <w:p w14:paraId="65F8722A" w14:textId="77777777" w:rsidR="00B44D67" w:rsidRPr="00BA050E" w:rsidRDefault="00B44D67" w:rsidP="00B44D67">
      <w:pPr>
        <w:spacing w:after="0" w:line="240" w:lineRule="auto"/>
        <w:ind w:left="0" w:firstLine="0"/>
        <w:rPr>
          <w:sz w:val="22"/>
        </w:rPr>
      </w:pPr>
    </w:p>
    <w:p w14:paraId="0740AAAD" w14:textId="77777777" w:rsidR="00B44D67" w:rsidRPr="0049114A" w:rsidRDefault="00B44D67" w:rsidP="00B44D67">
      <w:pPr>
        <w:numPr>
          <w:ilvl w:val="0"/>
          <w:numId w:val="3"/>
        </w:numPr>
        <w:spacing w:after="0" w:line="240" w:lineRule="auto"/>
        <w:ind w:right="105" w:hanging="10"/>
        <w:rPr>
          <w:sz w:val="22"/>
        </w:rPr>
      </w:pPr>
      <w:r w:rsidRPr="00BA050E">
        <w:rPr>
          <w:b/>
          <w:sz w:val="22"/>
        </w:rPr>
        <w:t>A citizen engagement review was undertaken to inform this CLR and the upcoming CPF, with c</w:t>
      </w:r>
      <w:r w:rsidRPr="00BA050E">
        <w:rPr>
          <w:rFonts w:eastAsia="Calibri"/>
          <w:b/>
          <w:sz w:val="22"/>
        </w:rPr>
        <w:t xml:space="preserve">onsultations with citizens and project beneficiaries undertaken across all three pillars. </w:t>
      </w:r>
      <w:r w:rsidRPr="00BA050E">
        <w:rPr>
          <w:rFonts w:eastAsia="Calibri"/>
          <w:i/>
          <w:sz w:val="22"/>
        </w:rPr>
        <w:t>Compliance</w:t>
      </w:r>
      <w:r w:rsidRPr="00BA050E">
        <w:rPr>
          <w:rFonts w:eastAsia="Calibri"/>
          <w:b/>
          <w:sz w:val="22"/>
        </w:rPr>
        <w:t xml:space="preserve"> </w:t>
      </w:r>
      <w:r w:rsidRPr="00BA050E">
        <w:rPr>
          <w:rFonts w:eastAsia="Calibri"/>
          <w:sz w:val="22"/>
        </w:rPr>
        <w:t xml:space="preserve">with the corporate indicators is mixed: low results for ‘citizen-oriented design’ was probably due to inadequate treatment of citizen engagement in FY15 project appraisal documents—corrected by FY16 when the portfolio achieved full compliance. </w:t>
      </w:r>
      <w:r w:rsidRPr="00BA050E">
        <w:rPr>
          <w:bCs/>
          <w:sz w:val="22"/>
        </w:rPr>
        <w:t xml:space="preserve">Regarding the </w:t>
      </w:r>
      <w:r w:rsidRPr="00BA050E">
        <w:rPr>
          <w:bCs/>
          <w:i/>
          <w:sz w:val="22"/>
        </w:rPr>
        <w:t>quality</w:t>
      </w:r>
      <w:r w:rsidRPr="00BA050E">
        <w:rPr>
          <w:b/>
          <w:bCs/>
          <w:sz w:val="22"/>
        </w:rPr>
        <w:t xml:space="preserve"> </w:t>
      </w:r>
      <w:r w:rsidRPr="00BA050E">
        <w:rPr>
          <w:bCs/>
          <w:sz w:val="22"/>
        </w:rPr>
        <w:t xml:space="preserve">of </w:t>
      </w:r>
      <w:r w:rsidRPr="00BA050E">
        <w:rPr>
          <w:sz w:val="22"/>
        </w:rPr>
        <w:t xml:space="preserve">citizen engagement, two-thirds of projects have two or more channels. The portfolio also scored well on frequency of feedback, with 70 percent of projects facilitating feedback at least once annually. The </w:t>
      </w:r>
      <w:r w:rsidRPr="00BA050E">
        <w:rPr>
          <w:i/>
          <w:sz w:val="22"/>
        </w:rPr>
        <w:t>level of implementation</w:t>
      </w:r>
      <w:r w:rsidRPr="00BA050E">
        <w:rPr>
          <w:b/>
          <w:i/>
          <w:sz w:val="22"/>
          <w:vertAlign w:val="superscript"/>
        </w:rPr>
        <w:footnoteReference w:id="10"/>
      </w:r>
      <w:r w:rsidRPr="00BA050E">
        <w:rPr>
          <w:sz w:val="22"/>
        </w:rPr>
        <w:t xml:space="preserve"> of </w:t>
      </w:r>
      <w:r w:rsidRPr="0049114A">
        <w:rPr>
          <w:sz w:val="22"/>
        </w:rPr>
        <w:t>citizen engagement in in the Moldova portfolio is among the strongest in 12 ECA countries over the last 12 months. In addition, progress reporting and transparent monitoring is high, implying an overall commitment to implementation of citizens’ engagement activities and to making projects accountable for commitments made at approval. A summary of the citizen engagement review is at Attachment 2.</w:t>
      </w:r>
    </w:p>
    <w:p w14:paraId="56E05429" w14:textId="77777777" w:rsidR="00B44D67" w:rsidRPr="0049114A" w:rsidRDefault="00B44D67" w:rsidP="00B44D67">
      <w:pPr>
        <w:spacing w:after="0" w:line="240" w:lineRule="auto"/>
        <w:ind w:left="0" w:firstLine="0"/>
        <w:rPr>
          <w:sz w:val="22"/>
        </w:rPr>
      </w:pPr>
    </w:p>
    <w:p w14:paraId="77099444" w14:textId="77777777" w:rsidR="00B44D67" w:rsidRPr="0049114A" w:rsidRDefault="00B44D67" w:rsidP="00B44D67">
      <w:pPr>
        <w:numPr>
          <w:ilvl w:val="0"/>
          <w:numId w:val="3"/>
        </w:numPr>
        <w:spacing w:after="0" w:line="240" w:lineRule="auto"/>
        <w:ind w:right="105" w:hanging="10"/>
        <w:rPr>
          <w:sz w:val="22"/>
        </w:rPr>
      </w:pPr>
      <w:r w:rsidRPr="0049114A">
        <w:rPr>
          <w:b/>
          <w:sz w:val="22"/>
        </w:rPr>
        <w:t>The CPS adopted a gender lens and, informed by a formal country assessment in 2014, aimed at mainstreaming gender issues across the portfolio</w:t>
      </w:r>
      <w:r w:rsidRPr="0049114A">
        <w:rPr>
          <w:sz w:val="22"/>
        </w:rPr>
        <w:t xml:space="preserve">. The design of two-thirds of 15 projects active during FY14-17 incorporated some form of gender analysis and most include gender indicators in their results frameworks. While fewer include gender-specific actions and targets, 80 percent are considered gender-informed, </w:t>
      </w:r>
      <w:r w:rsidRPr="0049114A">
        <w:rPr>
          <w:i/>
          <w:sz w:val="22"/>
        </w:rPr>
        <w:t>i.e.</w:t>
      </w:r>
      <w:r w:rsidRPr="0049114A">
        <w:rPr>
          <w:sz w:val="22"/>
        </w:rPr>
        <w:t xml:space="preserve"> they satisfy at least two of three criteria: gender analysis, actions, and/or monitoring. Attention to gender in the Moldova portfolio is thus high and growing. However, only one operation includes an explicit gender target and gender monitoring consists mainly of tracking male/female beneficiaries. A summary of the gender review of the portfolio is in Attachment 3. Overall, the CPS advanced knowledge on gender gaps and the</w:t>
      </w:r>
      <w:r w:rsidRPr="0049114A">
        <w:rPr>
          <w:rFonts w:eastAsia="Calibri"/>
          <w:color w:val="auto"/>
          <w:sz w:val="22"/>
        </w:rPr>
        <w:t xml:space="preserve"> Moldova Country Gender Action Plan (CGAP) in FY17 prioritizes gender issues and identifies entry points through which the new CPF</w:t>
      </w:r>
      <w:r>
        <w:rPr>
          <w:rFonts w:eastAsia="Calibri"/>
          <w:color w:val="auto"/>
          <w:sz w:val="22"/>
        </w:rPr>
        <w:t xml:space="preserve"> </w:t>
      </w:r>
      <w:r w:rsidRPr="0049114A">
        <w:rPr>
          <w:rFonts w:eastAsia="Calibri"/>
          <w:color w:val="auto"/>
          <w:sz w:val="22"/>
        </w:rPr>
        <w:t xml:space="preserve">can be both more gender-responsive and contribute to advancing gender equality goals, </w:t>
      </w:r>
      <w:r w:rsidRPr="0049114A">
        <w:rPr>
          <w:sz w:val="22"/>
        </w:rPr>
        <w:t xml:space="preserve">to take account of and reflect appropriately other priority issues highlighted in the SCD, especially governance, private sector-led job creation, and rural poverty. On the other hand, the CGAP notes that not all projects can advance gender equality outcomes and the process of achieving a truly transformational impact will necessarily be gradual. </w:t>
      </w:r>
    </w:p>
    <w:p w14:paraId="4589D9B5" w14:textId="77777777" w:rsidR="00B44D67" w:rsidRPr="00BA050E" w:rsidRDefault="00B44D67" w:rsidP="00B44D67">
      <w:pPr>
        <w:spacing w:after="0" w:line="240" w:lineRule="auto"/>
        <w:ind w:left="0" w:firstLine="0"/>
        <w:rPr>
          <w:sz w:val="22"/>
        </w:rPr>
      </w:pPr>
    </w:p>
    <w:p w14:paraId="5471C8E6" w14:textId="77777777" w:rsidR="00B44D67" w:rsidRDefault="00B44D67" w:rsidP="00B44D67">
      <w:pPr>
        <w:numPr>
          <w:ilvl w:val="0"/>
          <w:numId w:val="3"/>
        </w:numPr>
        <w:spacing w:after="0" w:line="240" w:lineRule="auto"/>
        <w:ind w:right="105" w:hanging="10"/>
        <w:rPr>
          <w:sz w:val="22"/>
        </w:rPr>
      </w:pPr>
      <w:r w:rsidRPr="00BA050E">
        <w:rPr>
          <w:b/>
          <w:sz w:val="22"/>
        </w:rPr>
        <w:t xml:space="preserve">The CPS’ design and content reflected the </w:t>
      </w:r>
      <w:r w:rsidRPr="00BA050E">
        <w:rPr>
          <w:b/>
          <w:i/>
          <w:sz w:val="22"/>
        </w:rPr>
        <w:t>de facto</w:t>
      </w:r>
      <w:r w:rsidRPr="00BA050E">
        <w:rPr>
          <w:b/>
          <w:sz w:val="22"/>
        </w:rPr>
        <w:t xml:space="preserve"> division of labor between Moldova’s key development partners based on comparative advantage and the Bank Group’s </w:t>
      </w:r>
      <w:r w:rsidRPr="00BA050E">
        <w:rPr>
          <w:rFonts w:eastAsia="Calibri"/>
          <w:b/>
          <w:sz w:val="22"/>
        </w:rPr>
        <w:t>leadership role in promoting aid coordination and effectiveness</w:t>
      </w:r>
      <w:r w:rsidRPr="00BA050E">
        <w:rPr>
          <w:b/>
          <w:sz w:val="22"/>
        </w:rPr>
        <w:t xml:space="preserve">.  </w:t>
      </w:r>
      <w:r w:rsidRPr="00BA050E">
        <w:rPr>
          <w:sz w:val="22"/>
        </w:rPr>
        <w:t>During the political instability of FY15-16, the ‘Briefing Book Group’ of eight development partners convened by the Bank presented common positions on reform priorities. In FY17, the Bank initiated a development partners’ policy forum, to be co-chaired with the UN, which will facilitate the coordination of policy dialogue. The Bank Group is the principal voice on energy and governance issues and, together with the EU Delegation, the EU Commission and EU member states, ensures consistency of development partners’ views on, for example, budget support. It also leads a transport sector group, is establishing a similar arrangement for energy, and informally coordinates health sector development partners. It participates in all government sector councils and hosts monthly meetings of development partners and the government.</w:t>
      </w:r>
    </w:p>
    <w:p w14:paraId="2C34F8B9" w14:textId="77777777" w:rsidR="00B44D67" w:rsidRDefault="00B44D67" w:rsidP="00B44D67">
      <w:pPr>
        <w:pStyle w:val="ListParagraph"/>
        <w:rPr>
          <w:sz w:val="22"/>
        </w:rPr>
      </w:pPr>
    </w:p>
    <w:p w14:paraId="07368A88" w14:textId="77777777" w:rsidR="00B44D67" w:rsidRPr="00BA050E" w:rsidRDefault="00B44D67" w:rsidP="00B44D67">
      <w:pPr>
        <w:numPr>
          <w:ilvl w:val="0"/>
          <w:numId w:val="3"/>
        </w:numPr>
        <w:spacing w:after="0" w:line="240" w:lineRule="auto"/>
        <w:ind w:right="105" w:hanging="10"/>
        <w:rPr>
          <w:sz w:val="22"/>
        </w:rPr>
      </w:pPr>
      <w:r w:rsidRPr="00BA050E">
        <w:rPr>
          <w:b/>
          <w:sz w:val="22"/>
        </w:rPr>
        <w:t>Trust funds enabled a robust A</w:t>
      </w:r>
      <w:r>
        <w:rPr>
          <w:b/>
          <w:sz w:val="22"/>
        </w:rPr>
        <w:t>S</w:t>
      </w:r>
      <w:r w:rsidRPr="00BA050E">
        <w:rPr>
          <w:b/>
          <w:sz w:val="22"/>
        </w:rPr>
        <w:t xml:space="preserve">A program that provided diagnostic and intellectual underpinning to the CPS and responded flexibly to government priorities. </w:t>
      </w:r>
      <w:r w:rsidRPr="00BA050E">
        <w:rPr>
          <w:sz w:val="22"/>
        </w:rPr>
        <w:t xml:space="preserve">In </w:t>
      </w:r>
      <w:r w:rsidRPr="00BA050E">
        <w:rPr>
          <w:i/>
          <w:sz w:val="22"/>
        </w:rPr>
        <w:t>energy</w:t>
      </w:r>
      <w:r w:rsidRPr="00BA050E">
        <w:rPr>
          <w:sz w:val="22"/>
        </w:rPr>
        <w:t xml:space="preserve">, for example, </w:t>
      </w:r>
      <w:r w:rsidRPr="00BA050E">
        <w:rPr>
          <w:sz w:val="22"/>
        </w:rPr>
        <w:lastRenderedPageBreak/>
        <w:t xml:space="preserve">Korean, Swedish, and multi-donor trust funds supported restructuring of district heating and informed the design of the subsequent investment project; and in the </w:t>
      </w:r>
      <w:r w:rsidRPr="00BA050E">
        <w:rPr>
          <w:i/>
          <w:sz w:val="22"/>
        </w:rPr>
        <w:t>financial sector</w:t>
      </w:r>
      <w:r w:rsidRPr="00BA050E">
        <w:rPr>
          <w:sz w:val="22"/>
        </w:rPr>
        <w:t xml:space="preserve">, FIRST trust funds helped strengthen the National Commission for Financial Markets’ (NCFM) and advise on financial sector regulation. </w:t>
      </w:r>
      <w:r w:rsidRPr="00BA050E">
        <w:rPr>
          <w:color w:val="auto"/>
          <w:sz w:val="22"/>
        </w:rPr>
        <w:t xml:space="preserve">The NCFM was also supported by the BAFI </w:t>
      </w:r>
      <w:r>
        <w:rPr>
          <w:color w:val="auto"/>
          <w:sz w:val="22"/>
        </w:rPr>
        <w:t>p</w:t>
      </w:r>
      <w:r w:rsidRPr="00BA050E">
        <w:rPr>
          <w:color w:val="auto"/>
          <w:sz w:val="22"/>
        </w:rPr>
        <w:t xml:space="preserve">roject, which helped create the legal framework for credit reporting and supervision of private credit bureaus—an engagement that resulted in inclusion of the largest MFIs in the credit reporting system and a memorandum of understanding between the NCFM and Moldova’s central bank to collaborate in supervising banks’ credit reporting. Meanwhile, the Austrian-financed Financial Sector Advisor Center (FinSAC) provided two grants to advise on resolving the three defrauded banks and addressing three additional distressed banks. </w:t>
      </w:r>
      <w:r w:rsidRPr="00BA050E">
        <w:rPr>
          <w:sz w:val="22"/>
        </w:rPr>
        <w:t xml:space="preserve">The United Kingdom’s Good Governance Trust Fund supported Bank Group activities under the </w:t>
      </w:r>
      <w:r w:rsidRPr="00BA050E">
        <w:rPr>
          <w:i/>
          <w:sz w:val="22"/>
        </w:rPr>
        <w:t>governance</w:t>
      </w:r>
      <w:r w:rsidRPr="00BA050E">
        <w:rPr>
          <w:sz w:val="22"/>
        </w:rPr>
        <w:t xml:space="preserve"> cross-cutting theme; and IFC trust funds assisted </w:t>
      </w:r>
      <w:r w:rsidRPr="00BA050E">
        <w:rPr>
          <w:i/>
          <w:sz w:val="22"/>
        </w:rPr>
        <w:t>private sector development</w:t>
      </w:r>
      <w:r w:rsidRPr="00BA050E">
        <w:rPr>
          <w:sz w:val="22"/>
        </w:rPr>
        <w:t xml:space="preserve"> through regulatory and business environment reform. Finally, besides monitoring macro-fiscal, financial and socio-economic trends and ongoing IFC advisory support for the investment climate, A</w:t>
      </w:r>
      <w:r>
        <w:rPr>
          <w:sz w:val="22"/>
        </w:rPr>
        <w:t>S</w:t>
      </w:r>
      <w:r w:rsidRPr="00BA050E">
        <w:rPr>
          <w:sz w:val="22"/>
        </w:rPr>
        <w:t>A activities also included work on road financing, water sector regionalization, a water and wastewater status note, public expenditure, land governance, trade, and activities supporting public sector capacity.</w:t>
      </w:r>
    </w:p>
    <w:p w14:paraId="526D3528" w14:textId="77777777" w:rsidR="00B44D67" w:rsidRPr="00BA050E" w:rsidRDefault="00B44D67" w:rsidP="00B44D67">
      <w:pPr>
        <w:ind w:left="0" w:firstLine="0"/>
        <w:rPr>
          <w:sz w:val="22"/>
        </w:rPr>
      </w:pPr>
    </w:p>
    <w:p w14:paraId="429D30C0" w14:textId="77777777" w:rsidR="00B44D67" w:rsidRPr="00BA050E" w:rsidRDefault="00B44D67" w:rsidP="00B44D67">
      <w:pPr>
        <w:numPr>
          <w:ilvl w:val="0"/>
          <w:numId w:val="3"/>
        </w:numPr>
        <w:spacing w:after="0" w:line="240" w:lineRule="auto"/>
        <w:ind w:right="101" w:hanging="14"/>
        <w:contextualSpacing/>
        <w:rPr>
          <w:sz w:val="22"/>
        </w:rPr>
      </w:pPr>
      <w:r w:rsidRPr="00BA050E">
        <w:rPr>
          <w:b/>
          <w:sz w:val="22"/>
        </w:rPr>
        <w:t xml:space="preserve">The CPS’ design reflected experience and three key lessons learned during the preceding CPS. </w:t>
      </w:r>
      <w:r w:rsidRPr="00BA050E">
        <w:rPr>
          <w:sz w:val="22"/>
        </w:rPr>
        <w:t>First, it</w:t>
      </w:r>
      <w:r w:rsidRPr="00BA050E">
        <w:rPr>
          <w:b/>
          <w:sz w:val="22"/>
        </w:rPr>
        <w:t xml:space="preserve"> </w:t>
      </w:r>
      <w:r w:rsidRPr="00BA050E">
        <w:rPr>
          <w:sz w:val="22"/>
        </w:rPr>
        <w:t xml:space="preserve">reflected the view that </w:t>
      </w:r>
      <w:r w:rsidRPr="00BA050E">
        <w:rPr>
          <w:rFonts w:eastAsia="BookAntiqua"/>
          <w:sz w:val="22"/>
        </w:rPr>
        <w:t xml:space="preserve">Bank Group relationships with member countries should be maintained even during periods of economic and/or political uncertainty so that windows of opportunity for reform can be exploited promptly as and when they arise. Second, it exemplified the Bank Group’s convening power, specifically to coordinate, engage and leverage the activities of other development partners. Third, it illustrated the fact that the </w:t>
      </w:r>
      <w:r w:rsidRPr="00BA050E">
        <w:rPr>
          <w:bCs/>
          <w:sz w:val="22"/>
        </w:rPr>
        <w:t>Bank Group is most effective when it combines policy dialogue, knowledge, lending and private sector investment and advice in support of long-term strategic goals. Finally,</w:t>
      </w:r>
      <w:r w:rsidRPr="00BA050E">
        <w:rPr>
          <w:sz w:val="22"/>
        </w:rPr>
        <w:t xml:space="preserve"> the CPS’ three areas of engagement or pillars were the subject of a wide-ranging in-country consultation process that also considered the results of a FY12 client opinion survey.</w:t>
      </w:r>
    </w:p>
    <w:p w14:paraId="2363FAD6" w14:textId="77777777" w:rsidR="00B44D67" w:rsidRDefault="00B44D67" w:rsidP="00B44D67">
      <w:pPr>
        <w:spacing w:after="0" w:line="240" w:lineRule="auto"/>
        <w:ind w:left="0" w:right="101" w:firstLine="0"/>
        <w:contextualSpacing/>
        <w:rPr>
          <w:sz w:val="22"/>
        </w:rPr>
      </w:pPr>
    </w:p>
    <w:p w14:paraId="4D9AA95A" w14:textId="77777777" w:rsidR="00B44D67" w:rsidRPr="00545BB4" w:rsidRDefault="00B44D67" w:rsidP="00B44D67">
      <w:pPr>
        <w:rPr>
          <w:b/>
          <w:i/>
          <w:sz w:val="22"/>
        </w:rPr>
      </w:pPr>
      <w:r w:rsidRPr="00545BB4">
        <w:rPr>
          <w:b/>
          <w:i/>
          <w:sz w:val="22"/>
        </w:rPr>
        <w:t>B.</w:t>
      </w:r>
      <w:r w:rsidRPr="00545BB4">
        <w:rPr>
          <w:rFonts w:eastAsia="Arial"/>
          <w:b/>
          <w:i/>
          <w:sz w:val="22"/>
        </w:rPr>
        <w:t xml:space="preserve"> </w:t>
      </w:r>
      <w:r w:rsidRPr="00545BB4">
        <w:rPr>
          <w:b/>
          <w:i/>
          <w:sz w:val="22"/>
        </w:rPr>
        <w:t>Implementation</w:t>
      </w:r>
    </w:p>
    <w:p w14:paraId="415FB1B8" w14:textId="77777777" w:rsidR="00B44D67" w:rsidRPr="00BA050E" w:rsidRDefault="00B44D67" w:rsidP="00B44D67">
      <w:pPr>
        <w:spacing w:after="0" w:line="240" w:lineRule="auto"/>
        <w:ind w:left="0" w:right="0" w:firstLine="0"/>
        <w:jc w:val="left"/>
        <w:rPr>
          <w:sz w:val="22"/>
        </w:rPr>
      </w:pPr>
    </w:p>
    <w:p w14:paraId="0F31B963" w14:textId="77777777" w:rsidR="00B44D67" w:rsidRPr="00BA050E" w:rsidRDefault="00B44D67" w:rsidP="00B44D67">
      <w:pPr>
        <w:numPr>
          <w:ilvl w:val="0"/>
          <w:numId w:val="3"/>
        </w:numPr>
        <w:spacing w:after="0" w:line="240" w:lineRule="auto"/>
        <w:ind w:right="0"/>
        <w:rPr>
          <w:rFonts w:eastAsia="SimSun"/>
          <w:sz w:val="22"/>
        </w:rPr>
      </w:pPr>
      <w:r>
        <w:rPr>
          <w:rFonts w:eastAsia="SimSun"/>
          <w:b/>
          <w:sz w:val="22"/>
        </w:rPr>
        <w:t xml:space="preserve">Political instability was a major factor affecting portfolio performance until FY16. </w:t>
      </w:r>
      <w:r w:rsidRPr="00BC6E70">
        <w:rPr>
          <w:rFonts w:eastAsia="SimSun"/>
          <w:sz w:val="22"/>
        </w:rPr>
        <w:t>Proactive portfolio management, regular dialogue on required policy decisions, technical portfolio discussions and exceptions monitoring</w:t>
      </w:r>
      <w:r w:rsidRPr="007C7BA1">
        <w:rPr>
          <w:rFonts w:eastAsia="SimSun"/>
          <w:sz w:val="22"/>
        </w:rPr>
        <w:t xml:space="preserve"> resulted in effective program implementation overall.</w:t>
      </w:r>
      <w:r w:rsidRPr="00BA050E">
        <w:rPr>
          <w:rFonts w:eastAsia="SimSun"/>
          <w:sz w:val="22"/>
        </w:rPr>
        <w:t xml:space="preserve"> There are currently nine projects in the portfolio totaling US$333.3 million, of which 64 percent is undisbursed. After a good start in FY14, implementation deteriorated and the number of problem projects—four of eight, or 50 percent—peaked in FY15. After turning these projects around, with 100 percent proactivity throughout the CPS, the disbursement ratio increased to 30.5 percent in FY16, above the ECA regional and Bank-wide average. While there are no problem projects in the current portfolio, half have soft </w:t>
      </w:r>
      <w:r w:rsidRPr="00BA050E">
        <w:rPr>
          <w:rFonts w:eastAsia="SimSun"/>
          <w:i/>
          <w:sz w:val="22"/>
        </w:rPr>
        <w:t>moderately satisfactory</w:t>
      </w:r>
      <w:r w:rsidRPr="00BA050E">
        <w:rPr>
          <w:rFonts w:eastAsia="SimSun"/>
          <w:sz w:val="22"/>
        </w:rPr>
        <w:t xml:space="preserve"> ratings and, with </w:t>
      </w:r>
      <w:r w:rsidRPr="00BA050E">
        <w:rPr>
          <w:sz w:val="22"/>
        </w:rPr>
        <w:t>procurement a continuing area of concern,</w:t>
      </w:r>
      <w:r w:rsidRPr="00BA050E">
        <w:rPr>
          <w:rFonts w:eastAsia="SimSun"/>
          <w:sz w:val="22"/>
        </w:rPr>
        <w:t xml:space="preserve"> </w:t>
      </w:r>
      <w:r w:rsidRPr="00BA050E">
        <w:rPr>
          <w:sz w:val="22"/>
        </w:rPr>
        <w:t>risks to the portfolio remain.</w:t>
      </w:r>
      <w:r w:rsidRPr="00BA050E">
        <w:rPr>
          <w:rFonts w:eastAsia="SimSun"/>
          <w:sz w:val="22"/>
        </w:rPr>
        <w:t xml:space="preserve"> Four restructurings were undertaken during FY14-17 and two-thirds of those closed and evaluated by IEG were rated </w:t>
      </w:r>
      <w:r w:rsidRPr="00BA050E">
        <w:rPr>
          <w:rFonts w:eastAsia="SimSun"/>
          <w:i/>
          <w:sz w:val="22"/>
        </w:rPr>
        <w:t>moderately satisfactory</w:t>
      </w:r>
      <w:r w:rsidRPr="00BA050E">
        <w:rPr>
          <w:rFonts w:eastAsia="SimSun"/>
          <w:sz w:val="22"/>
        </w:rPr>
        <w:t xml:space="preserve"> or </w:t>
      </w:r>
      <w:r w:rsidRPr="00BA050E">
        <w:rPr>
          <w:rFonts w:eastAsia="SimSun"/>
          <w:i/>
          <w:sz w:val="22"/>
        </w:rPr>
        <w:t>satisfactory</w:t>
      </w:r>
      <w:r w:rsidRPr="00BA050E">
        <w:rPr>
          <w:rFonts w:eastAsia="SimSun"/>
          <w:sz w:val="22"/>
        </w:rPr>
        <w:t>.</w:t>
      </w:r>
    </w:p>
    <w:p w14:paraId="01A1C0C4" w14:textId="77777777" w:rsidR="00B44D67" w:rsidRPr="00BA050E" w:rsidRDefault="00B44D67" w:rsidP="00B44D67">
      <w:pPr>
        <w:spacing w:after="0" w:line="240" w:lineRule="auto"/>
        <w:ind w:left="0" w:right="0" w:firstLine="0"/>
        <w:rPr>
          <w:rFonts w:eastAsia="SimSun"/>
          <w:sz w:val="22"/>
        </w:rPr>
      </w:pPr>
    </w:p>
    <w:p w14:paraId="356CE2B7" w14:textId="537AB6F8" w:rsidR="00B44D67" w:rsidRDefault="00B44D67" w:rsidP="00B44D67">
      <w:pPr>
        <w:numPr>
          <w:ilvl w:val="0"/>
          <w:numId w:val="3"/>
        </w:numPr>
        <w:spacing w:after="0" w:line="240" w:lineRule="auto"/>
        <w:ind w:right="0"/>
        <w:rPr>
          <w:rFonts w:eastAsia="SimSun"/>
          <w:sz w:val="22"/>
        </w:rPr>
      </w:pPr>
      <w:r w:rsidRPr="00BA050E">
        <w:rPr>
          <w:rFonts w:eastAsia="SimSun"/>
          <w:b/>
          <w:sz w:val="22"/>
        </w:rPr>
        <w:t xml:space="preserve">During the CPS, Moldova committed its entire IDA16 allocation and expects to utilize its IDA17 allocation in full by June 30, 2017. </w:t>
      </w:r>
      <w:r w:rsidRPr="00BA050E">
        <w:rPr>
          <w:rFonts w:eastAsia="SimSun"/>
          <w:sz w:val="22"/>
        </w:rPr>
        <w:t>Its IDA17 allocation was SDR115.0 million, including SDR4.7 million on hard terms, but in FY1</w:t>
      </w:r>
      <w:r w:rsidR="00A96045">
        <w:rPr>
          <w:rFonts w:eastAsia="SimSun"/>
          <w:sz w:val="22"/>
        </w:rPr>
        <w:t>7</w:t>
      </w:r>
      <w:r w:rsidRPr="00BA050E">
        <w:rPr>
          <w:rFonts w:eastAsia="SimSun"/>
          <w:sz w:val="22"/>
        </w:rPr>
        <w:t xml:space="preserve"> this was reduced to SDR103.</w:t>
      </w:r>
      <w:r w:rsidR="006B5571">
        <w:rPr>
          <w:rFonts w:eastAsia="SimSun"/>
          <w:sz w:val="22"/>
        </w:rPr>
        <w:t>5</w:t>
      </w:r>
      <w:r w:rsidRPr="00BA050E">
        <w:rPr>
          <w:rFonts w:eastAsia="SimSun"/>
          <w:sz w:val="22"/>
        </w:rPr>
        <w:t xml:space="preserve"> million, including SDR4.</w:t>
      </w:r>
      <w:r w:rsidR="006B5571">
        <w:rPr>
          <w:rFonts w:eastAsia="SimSun"/>
          <w:sz w:val="22"/>
        </w:rPr>
        <w:t>2</w:t>
      </w:r>
      <w:r w:rsidRPr="00BA050E">
        <w:rPr>
          <w:rFonts w:eastAsia="SimSun"/>
          <w:sz w:val="22"/>
        </w:rPr>
        <w:t xml:space="preserve"> million on hard terms, </w:t>
      </w:r>
      <w:r w:rsidR="00A96045" w:rsidRPr="00597C69">
        <w:rPr>
          <w:color w:val="auto"/>
        </w:rPr>
        <w:t xml:space="preserve">based on the country’s performance rating, population and GNI per capita compared to other countries. </w:t>
      </w:r>
      <w:r w:rsidRPr="00BA050E">
        <w:rPr>
          <w:rFonts w:eastAsia="SimSun"/>
          <w:sz w:val="22"/>
        </w:rPr>
        <w:t xml:space="preserve">In FY17, however, an additional SDR 8.1 million was made available for the planned </w:t>
      </w:r>
      <w:r w:rsidRPr="00BA050E">
        <w:rPr>
          <w:i/>
          <w:sz w:val="22"/>
        </w:rPr>
        <w:t>Climate Adaptation and Resilience</w:t>
      </w:r>
      <w:r w:rsidRPr="00BA050E">
        <w:rPr>
          <w:sz w:val="22"/>
        </w:rPr>
        <w:t xml:space="preserve"> </w:t>
      </w:r>
      <w:r w:rsidRPr="00BA050E">
        <w:rPr>
          <w:rFonts w:eastAsia="SimSun"/>
          <w:sz w:val="22"/>
        </w:rPr>
        <w:t>project, in recognition of Moldova’s commitment</w:t>
      </w:r>
      <w:r w:rsidRPr="00BA050E">
        <w:rPr>
          <w:sz w:val="22"/>
        </w:rPr>
        <w:t xml:space="preserve"> to a climate change investment program during IDA17.</w:t>
      </w:r>
    </w:p>
    <w:p w14:paraId="2D425336" w14:textId="77777777" w:rsidR="00B44D67" w:rsidRDefault="00B44D67" w:rsidP="00B44D67">
      <w:pPr>
        <w:pStyle w:val="ListParagraph"/>
        <w:rPr>
          <w:rFonts w:eastAsia="SimSun"/>
          <w:sz w:val="22"/>
        </w:rPr>
      </w:pPr>
    </w:p>
    <w:p w14:paraId="647EFD8E" w14:textId="77777777" w:rsidR="00B44D67" w:rsidRPr="00217435" w:rsidRDefault="00B44D67" w:rsidP="00B44D67">
      <w:pPr>
        <w:numPr>
          <w:ilvl w:val="0"/>
          <w:numId w:val="3"/>
        </w:numPr>
        <w:spacing w:after="0" w:line="240" w:lineRule="auto"/>
        <w:ind w:right="105" w:hanging="10"/>
        <w:rPr>
          <w:sz w:val="22"/>
        </w:rPr>
      </w:pPr>
      <w:r w:rsidRPr="00217435">
        <w:rPr>
          <w:b/>
          <w:sz w:val="22"/>
        </w:rPr>
        <w:t xml:space="preserve">Fiduciary </w:t>
      </w:r>
      <w:r>
        <w:rPr>
          <w:b/>
          <w:sz w:val="22"/>
        </w:rPr>
        <w:t xml:space="preserve">and safeguards compliance </w:t>
      </w:r>
      <w:r w:rsidRPr="00217435">
        <w:rPr>
          <w:b/>
          <w:sz w:val="22"/>
        </w:rPr>
        <w:t xml:space="preserve">has been generally good; however, there are a few issues, mainly related to capacity constraints, which will require increased Bank attention in the </w:t>
      </w:r>
      <w:r w:rsidRPr="00217435">
        <w:rPr>
          <w:b/>
          <w:sz w:val="22"/>
        </w:rPr>
        <w:lastRenderedPageBreak/>
        <w:t>next CPF cycle.</w:t>
      </w:r>
      <w:r w:rsidRPr="00217435">
        <w:rPr>
          <w:sz w:val="22"/>
        </w:rPr>
        <w:t xml:space="preserve"> The Bank’s procurement procedures, notably the “No Objection” process, were a critical protection against attempts to interfere in larger tenders. As of November 15, 2016, the Bank has introduced the new Regional (ECA) Prior Review Thresholds to align them with the New Procurement Framework effective July 1, 2016. Procurement capacity in Moldova and quality of procurement documents developed by Project Implementation Units are generally good. There are several projects where procurement remains to be on the Bank</w:t>
      </w:r>
      <w:r>
        <w:rPr>
          <w:sz w:val="22"/>
        </w:rPr>
        <w:t>’s radar. There were</w:t>
      </w:r>
      <w:r w:rsidRPr="00217435">
        <w:rPr>
          <w:sz w:val="22"/>
        </w:rPr>
        <w:t xml:space="preserve"> delays in launching and tendering procurement activities in the Local Roads Improvement Project due to the limited staffing within the State Road Administration and the heavy workload. But with the recently hired Project Management Consulting firm, the institution will receive the much-needed support and this will expedite the process. In the Moldova Education Reform Project, procurement has been an area of concern especially in the selection of consultants. The Bank made several recommendations and confirmed its readiness to provide further guidance on procurement matters. </w:t>
      </w:r>
      <w:r>
        <w:rPr>
          <w:sz w:val="22"/>
        </w:rPr>
        <w:t>F</w:t>
      </w:r>
      <w:r w:rsidRPr="00217435">
        <w:rPr>
          <w:sz w:val="22"/>
        </w:rPr>
        <w:t>inancial management performance throughout this CPS was satisfactory</w:t>
      </w:r>
      <w:r>
        <w:rPr>
          <w:sz w:val="22"/>
        </w:rPr>
        <w:t xml:space="preserve"> and o</w:t>
      </w:r>
      <w:r w:rsidRPr="00217435">
        <w:rPr>
          <w:sz w:val="22"/>
        </w:rPr>
        <w:t>verall</w:t>
      </w:r>
      <w:r>
        <w:rPr>
          <w:sz w:val="22"/>
        </w:rPr>
        <w:t xml:space="preserve"> </w:t>
      </w:r>
      <w:r w:rsidRPr="00217435">
        <w:rPr>
          <w:sz w:val="22"/>
        </w:rPr>
        <w:t xml:space="preserve">compliance with financial reporting and auditing requirements was high. </w:t>
      </w:r>
      <w:r>
        <w:rPr>
          <w:sz w:val="22"/>
        </w:rPr>
        <w:t xml:space="preserve">An </w:t>
      </w:r>
      <w:r w:rsidRPr="00BA050E">
        <w:rPr>
          <w:sz w:val="22"/>
        </w:rPr>
        <w:t>alleged fraud in the fruit growers’ compensation scheme</w:t>
      </w:r>
      <w:r w:rsidRPr="00217435">
        <w:rPr>
          <w:sz w:val="22"/>
        </w:rPr>
        <w:t xml:space="preserve"> </w:t>
      </w:r>
      <w:r>
        <w:rPr>
          <w:sz w:val="22"/>
        </w:rPr>
        <w:t xml:space="preserve">under the Agriculture Competitiveness project was reported; however, neither the latter, nor the </w:t>
      </w:r>
      <w:r w:rsidRPr="00BA050E">
        <w:rPr>
          <w:sz w:val="22"/>
        </w:rPr>
        <w:t>recurrent problems in complying with procurement guidelines in education</w:t>
      </w:r>
      <w:r>
        <w:rPr>
          <w:sz w:val="22"/>
        </w:rPr>
        <w:t xml:space="preserve"> resulted in INT cases. </w:t>
      </w:r>
      <w:r w:rsidRPr="00217435">
        <w:rPr>
          <w:sz w:val="22"/>
        </w:rPr>
        <w:t>There were n</w:t>
      </w:r>
      <w:r>
        <w:rPr>
          <w:sz w:val="22"/>
        </w:rPr>
        <w:t xml:space="preserve">o safeguard-related </w:t>
      </w:r>
      <w:r w:rsidRPr="00217435">
        <w:rPr>
          <w:sz w:val="22"/>
        </w:rPr>
        <w:t>issues observed during that period</w:t>
      </w:r>
      <w:r>
        <w:rPr>
          <w:sz w:val="22"/>
        </w:rPr>
        <w:t>, and safeguard oversight was satisfactory</w:t>
      </w:r>
      <w:r w:rsidRPr="00217435">
        <w:rPr>
          <w:sz w:val="22"/>
        </w:rPr>
        <w:t>.</w:t>
      </w:r>
      <w:r>
        <w:rPr>
          <w:sz w:val="22"/>
        </w:rPr>
        <w:t xml:space="preserve"> </w:t>
      </w:r>
    </w:p>
    <w:p w14:paraId="76D2209A" w14:textId="77777777" w:rsidR="00B44D67" w:rsidRPr="00046D95" w:rsidRDefault="00B44D67" w:rsidP="00B44D67">
      <w:pPr>
        <w:spacing w:after="0" w:line="240" w:lineRule="auto"/>
        <w:ind w:left="0" w:right="0" w:firstLine="0"/>
        <w:rPr>
          <w:rFonts w:eastAsia="SimSun"/>
          <w:sz w:val="22"/>
        </w:rPr>
      </w:pPr>
    </w:p>
    <w:p w14:paraId="7639A2FC" w14:textId="77777777" w:rsidR="00B44D67" w:rsidRPr="00DC18E5" w:rsidRDefault="00B44D67" w:rsidP="00B44D67">
      <w:pPr>
        <w:numPr>
          <w:ilvl w:val="0"/>
          <w:numId w:val="3"/>
        </w:numPr>
        <w:spacing w:after="0" w:line="240" w:lineRule="auto"/>
        <w:ind w:right="0"/>
        <w:contextualSpacing/>
        <w:rPr>
          <w:rFonts w:eastAsia="SimSun"/>
          <w:sz w:val="22"/>
        </w:rPr>
      </w:pPr>
      <w:r w:rsidRPr="00DC18E5">
        <w:rPr>
          <w:rFonts w:eastAsia="SimSun"/>
          <w:b/>
          <w:sz w:val="22"/>
        </w:rPr>
        <w:t>As of March 2017, IFC’s committed portfolio was US$53.8 million, with US$50.9 million outstanding.</w:t>
      </w:r>
      <w:r w:rsidRPr="00DC18E5">
        <w:rPr>
          <w:rFonts w:eastAsia="SimSun"/>
          <w:sz w:val="22"/>
        </w:rPr>
        <w:t xml:space="preserve"> IFC’s portfolio is diversified among various sectors and proportionate relative to the size of the market and complexity of doing business in the country. In FY15, IFC completed a pre-export financing transaction of US$30 million with a major agribusiness group, building on more than a decade of experience in this area. Following a strong delivery record during FY09-13, IFC envisaged an annual program of new investments of about US$30 million during the current CPS. However, significant challenges for IFC to expand its footprint in Moldova stem from the difficult and worsening investment climate in recent years due to governance issues, political uncertainty, and instability in the financial sector. This environment is also reflected in the deteriorating quality of IFC’s portfolio: </w:t>
      </w:r>
      <w:r>
        <w:rPr>
          <w:rFonts w:eastAsia="SimSun"/>
          <w:sz w:val="22"/>
        </w:rPr>
        <w:t>o</w:t>
      </w:r>
      <w:r w:rsidRPr="00DC18E5">
        <w:rPr>
          <w:rFonts w:eastAsia="SimSun"/>
          <w:sz w:val="22"/>
        </w:rPr>
        <w:t>ne of IFC’s projects is facing payment issues, while IFC’s efforts to develop a wind farm project have been slow to produce results as the Government has not progressed in developing the necessary legislation and implementation mechanisms to support renewable energy in Moldova. IFC has been working to address payment issues through loan restructuring, and to assess next steps in the renewable energy space in consultation with the Government and our private sector partner. Governance and transparency, especially in the banking system, need to be addressed if IFC is to help develop local capacity and create a platform for attracting investment. IFC support to the financial sector will depend on decisive action by the Government to tackle these bank ownership issues and to address judicial reforms.</w:t>
      </w:r>
    </w:p>
    <w:p w14:paraId="1C2EA53F" w14:textId="77777777" w:rsidR="00B44D67" w:rsidRPr="00BA050E" w:rsidRDefault="00B44D67" w:rsidP="00B44D67">
      <w:pPr>
        <w:spacing w:after="0" w:line="240" w:lineRule="auto"/>
        <w:ind w:left="0" w:right="0" w:firstLine="0"/>
        <w:rPr>
          <w:rFonts w:eastAsia="SimSun"/>
          <w:sz w:val="22"/>
        </w:rPr>
      </w:pPr>
    </w:p>
    <w:p w14:paraId="44861390" w14:textId="508285A1" w:rsidR="00B44D67" w:rsidRPr="00BA050E" w:rsidRDefault="00B44D67" w:rsidP="00B44D67">
      <w:pPr>
        <w:numPr>
          <w:ilvl w:val="0"/>
          <w:numId w:val="3"/>
        </w:numPr>
        <w:spacing w:after="0" w:line="240" w:lineRule="auto"/>
        <w:ind w:right="0"/>
        <w:contextualSpacing/>
        <w:rPr>
          <w:rFonts w:eastAsia="SimSun"/>
          <w:sz w:val="22"/>
        </w:rPr>
      </w:pPr>
      <w:r w:rsidRPr="00BA050E">
        <w:rPr>
          <w:rFonts w:eastAsia="SimSun"/>
          <w:b/>
          <w:sz w:val="22"/>
        </w:rPr>
        <w:t>MIGA’s gross exposure amo</w:t>
      </w:r>
      <w:r w:rsidR="00797C58">
        <w:rPr>
          <w:rFonts w:eastAsia="SimSun"/>
          <w:b/>
          <w:sz w:val="22"/>
        </w:rPr>
        <w:t>unts to US$25.4</w:t>
      </w:r>
      <w:r>
        <w:rPr>
          <w:rFonts w:eastAsia="SimSun"/>
          <w:b/>
          <w:sz w:val="22"/>
        </w:rPr>
        <w:t xml:space="preserve"> million for three</w:t>
      </w:r>
      <w:r w:rsidRPr="00BA050E">
        <w:rPr>
          <w:rFonts w:eastAsia="SimSun"/>
          <w:b/>
          <w:sz w:val="22"/>
        </w:rPr>
        <w:t xml:space="preserve"> projects—</w:t>
      </w:r>
      <w:r w:rsidRPr="00BA050E">
        <w:rPr>
          <w:rFonts w:eastAsia="SimSun"/>
          <w:sz w:val="22"/>
        </w:rPr>
        <w:t>all supporting foreign bank subsidiaries, including leasing and micro-finance operations. MIGA’s support for these projects signal its efforts to underwrite projects, encourage foreign direct investment, and support the Bank Group’s private sector development strategy in Moldova.</w:t>
      </w:r>
    </w:p>
    <w:p w14:paraId="66A9658F" w14:textId="77777777" w:rsidR="00B44D67" w:rsidRPr="00BA050E" w:rsidRDefault="00B44D67" w:rsidP="00B44D67">
      <w:pPr>
        <w:spacing w:after="0" w:line="240" w:lineRule="auto"/>
        <w:ind w:left="0" w:firstLine="0"/>
        <w:rPr>
          <w:rFonts w:eastAsia="SimSun"/>
          <w:sz w:val="22"/>
        </w:rPr>
      </w:pPr>
    </w:p>
    <w:p w14:paraId="0BAA0E85" w14:textId="77777777" w:rsidR="00B44D67" w:rsidRPr="00BA050E" w:rsidRDefault="00B44D67" w:rsidP="00B44D67">
      <w:pPr>
        <w:numPr>
          <w:ilvl w:val="0"/>
          <w:numId w:val="3"/>
        </w:numPr>
        <w:spacing w:after="0" w:line="240" w:lineRule="auto"/>
        <w:ind w:right="105" w:hanging="10"/>
        <w:rPr>
          <w:sz w:val="22"/>
        </w:rPr>
      </w:pPr>
      <w:r w:rsidRPr="00BA050E">
        <w:rPr>
          <w:b/>
          <w:sz w:val="22"/>
        </w:rPr>
        <w:t xml:space="preserve">The results framework displayed several shortcomings.  </w:t>
      </w:r>
      <w:r w:rsidRPr="00BA050E">
        <w:rPr>
          <w:sz w:val="22"/>
        </w:rPr>
        <w:t>As noted earlier (para. 15), several indicators, especially for governance, consisted of approval or enactment of laws or regulations rather than measures of their implementation or impact, which may have overstated the real outcome. Second, with a country portfolio of 9-10 operations averaging $320 million annually, the number of outcomes (34) and indicators (52) was disproportionate, risking a diffusion of both focus and priority.</w:t>
      </w:r>
    </w:p>
    <w:p w14:paraId="15FBC98E" w14:textId="77777777" w:rsidR="00B44D67" w:rsidRPr="00BA050E" w:rsidRDefault="00B44D67" w:rsidP="00B44D67">
      <w:pPr>
        <w:spacing w:after="0" w:line="240" w:lineRule="auto"/>
        <w:ind w:left="0" w:right="105" w:firstLine="0"/>
        <w:rPr>
          <w:sz w:val="22"/>
        </w:rPr>
      </w:pPr>
    </w:p>
    <w:p w14:paraId="776FF9C4" w14:textId="77777777" w:rsidR="00B44D67" w:rsidRPr="00BA050E" w:rsidRDefault="00B44D67" w:rsidP="00B44D67">
      <w:pPr>
        <w:numPr>
          <w:ilvl w:val="0"/>
          <w:numId w:val="3"/>
        </w:numPr>
        <w:spacing w:after="0" w:line="240" w:lineRule="auto"/>
        <w:ind w:right="101" w:hanging="14"/>
        <w:rPr>
          <w:sz w:val="22"/>
        </w:rPr>
      </w:pPr>
      <w:r w:rsidRPr="00BA050E">
        <w:rPr>
          <w:b/>
          <w:sz w:val="22"/>
        </w:rPr>
        <w:t xml:space="preserve">Risks to program implementation were properly identified in the original CPS and mitigated in the subsequent PLR. </w:t>
      </w:r>
      <w:r w:rsidRPr="00BA050E">
        <w:rPr>
          <w:sz w:val="22"/>
        </w:rPr>
        <w:t xml:space="preserve">Three risks—limited fiduciary and institutional capacity, public procurement, and macroeconomic/structural reforms—materialized to some extent, with the first two impacting the </w:t>
      </w:r>
      <w:r w:rsidRPr="00BA050E">
        <w:rPr>
          <w:sz w:val="22"/>
        </w:rPr>
        <w:lastRenderedPageBreak/>
        <w:t xml:space="preserve">quality of the portfolio. </w:t>
      </w:r>
      <w:r>
        <w:rPr>
          <w:sz w:val="22"/>
        </w:rPr>
        <w:t xml:space="preserve">Environmental risks are directly addressed through a substantial part of the portfolio, through both lending (e.g. disaster risk management and a future climate adaptation project) and a series of ASA. </w:t>
      </w:r>
      <w:r w:rsidRPr="00BA050E">
        <w:rPr>
          <w:sz w:val="22"/>
        </w:rPr>
        <w:t>As for macroeconomic/structural reforms, the authorities’ tardy response to the bank fraud delayed the second of two planned DPOs until December 2016. Nonetheless, despite continuing political instability and the slow pace of some reforms, the authorities’ ownership of the program overall was sufficient to enable its completion largely as planned.</w:t>
      </w:r>
    </w:p>
    <w:p w14:paraId="1DCDC25A" w14:textId="77777777" w:rsidR="00B44D67" w:rsidRPr="00BA050E" w:rsidRDefault="00B44D67" w:rsidP="00B44D67">
      <w:pPr>
        <w:spacing w:after="0" w:line="240" w:lineRule="auto"/>
        <w:ind w:left="0" w:right="105" w:firstLine="0"/>
        <w:rPr>
          <w:sz w:val="22"/>
        </w:rPr>
      </w:pPr>
    </w:p>
    <w:p w14:paraId="79A5AAC4" w14:textId="77777777" w:rsidR="00B44D67" w:rsidRPr="00BA050E" w:rsidRDefault="00B44D67" w:rsidP="00B44D67">
      <w:pPr>
        <w:numPr>
          <w:ilvl w:val="0"/>
          <w:numId w:val="3"/>
        </w:numPr>
        <w:spacing w:after="0" w:line="240" w:lineRule="auto"/>
        <w:ind w:left="10" w:right="105" w:hanging="10"/>
        <w:rPr>
          <w:sz w:val="22"/>
        </w:rPr>
      </w:pPr>
      <w:r w:rsidRPr="00BA050E">
        <w:rPr>
          <w:rFonts w:eastAsia="Calibri"/>
          <w:b/>
          <w:sz w:val="22"/>
        </w:rPr>
        <w:t xml:space="preserve">The Bank Group provided leadership and significant support to enhance development partner coordination, improve aid effectiveness, </w:t>
      </w:r>
      <w:r w:rsidRPr="00BA050E">
        <w:rPr>
          <w:b/>
          <w:sz w:val="22"/>
        </w:rPr>
        <w:t xml:space="preserve">and coordinate common views on key reforms, especially governance including public communications about the latter. </w:t>
      </w:r>
      <w:r w:rsidRPr="00BA050E">
        <w:rPr>
          <w:sz w:val="22"/>
        </w:rPr>
        <w:t xml:space="preserve"> Its common stance on budget support with other partners, especially the IMF and the EU institutions and member countries, spurred enactment and implementation of key structural reforms, for example in the banking system and the financial sector more broadly. In 2015, the Bank Group managed the preparation of a Briefing Book of 28 policy notes setting out partners’ collective recommendations on development policy that provided a platform for dialogue with the government. It also organized a one-day, cabinet-level retreat with the government and three policy dialogues with the political leadership. Finally, Bank Group activities attracted financial support from several partners, including the Global Environment Facility (GEF), the governments of Japan, the Netherlands, Sweden, Switzerland, the United Kingdom, the United Nations Children’s Fund (UNICEF), and the United States Agency for International Development (USAID).</w:t>
      </w:r>
    </w:p>
    <w:p w14:paraId="63952A9F" w14:textId="77777777" w:rsidR="00B44D67" w:rsidRPr="00BA050E" w:rsidRDefault="00B44D67" w:rsidP="00B44D67">
      <w:pPr>
        <w:spacing w:after="0" w:line="240" w:lineRule="auto"/>
        <w:ind w:left="0" w:right="105" w:firstLine="0"/>
        <w:rPr>
          <w:sz w:val="22"/>
        </w:rPr>
      </w:pPr>
    </w:p>
    <w:p w14:paraId="6C90F4B2" w14:textId="77777777" w:rsidR="00B44D67" w:rsidRPr="00BA050E" w:rsidRDefault="00B44D67" w:rsidP="00B44D67">
      <w:pPr>
        <w:tabs>
          <w:tab w:val="center" w:pos="1980"/>
          <w:tab w:val="center" w:pos="5220"/>
        </w:tabs>
        <w:spacing w:after="0" w:line="240" w:lineRule="auto"/>
        <w:ind w:left="0" w:right="0" w:firstLine="0"/>
        <w:jc w:val="center"/>
        <w:rPr>
          <w:b/>
          <w:sz w:val="22"/>
        </w:rPr>
      </w:pPr>
      <w:r w:rsidRPr="00BA050E">
        <w:rPr>
          <w:b/>
          <w:sz w:val="22"/>
        </w:rPr>
        <w:t>IV.</w:t>
      </w:r>
      <w:r w:rsidRPr="00BA050E">
        <w:rPr>
          <w:b/>
          <w:sz w:val="22"/>
        </w:rPr>
        <w:tab/>
        <w:t xml:space="preserve">   ALIGNMENT WITH BANK GROUP CORPORATE STRATEGY</w:t>
      </w:r>
    </w:p>
    <w:p w14:paraId="10082FD4" w14:textId="77777777" w:rsidR="00B44D67" w:rsidRPr="00BA050E" w:rsidRDefault="00B44D67" w:rsidP="00B44D67">
      <w:pPr>
        <w:spacing w:after="0" w:line="240" w:lineRule="auto"/>
        <w:ind w:left="0" w:firstLine="0"/>
        <w:rPr>
          <w:sz w:val="22"/>
        </w:rPr>
      </w:pPr>
    </w:p>
    <w:p w14:paraId="251F7F81" w14:textId="77777777" w:rsidR="00B44D67" w:rsidRPr="00BA050E" w:rsidRDefault="00B44D67" w:rsidP="00B44D67">
      <w:pPr>
        <w:numPr>
          <w:ilvl w:val="0"/>
          <w:numId w:val="3"/>
        </w:numPr>
        <w:spacing w:after="0" w:line="240" w:lineRule="auto"/>
        <w:ind w:right="144"/>
        <w:contextualSpacing/>
        <w:rPr>
          <w:sz w:val="22"/>
        </w:rPr>
      </w:pPr>
      <w:r w:rsidRPr="00BA050E">
        <w:rPr>
          <w:b/>
          <w:sz w:val="22"/>
        </w:rPr>
        <w:t xml:space="preserve">The CPS program was broadly aligned with Bank Group corporate goals to end extreme poverty and boost shared prosperity in a sustainable manner.  </w:t>
      </w:r>
      <w:r w:rsidRPr="00BA050E">
        <w:rPr>
          <w:sz w:val="22"/>
        </w:rPr>
        <w:t>Activities under the second pillar supported better access to, and improved quality of general education and public health services, as well as more equitable and fiscally sustainable pension and social assistance systems. In addition, the CPS’ objectives of raising standards and strengthening institutions with a view towards further EU integration targeted the need for sustainable, inclusive growth. The commitment under IDA17 to support a climate change investment program was delivered and the assessments of the CPS program’s performance on citizen engagement and gender were positive overall.</w:t>
      </w:r>
    </w:p>
    <w:p w14:paraId="446B4723" w14:textId="77777777" w:rsidR="00B44D67" w:rsidRPr="00BA050E" w:rsidRDefault="00B44D67" w:rsidP="00B44D67">
      <w:pPr>
        <w:spacing w:after="0" w:line="240" w:lineRule="auto"/>
        <w:ind w:left="0" w:right="144" w:firstLine="0"/>
        <w:contextualSpacing/>
        <w:rPr>
          <w:sz w:val="22"/>
        </w:rPr>
      </w:pPr>
    </w:p>
    <w:p w14:paraId="6294EA4C" w14:textId="77777777" w:rsidR="00B44D67" w:rsidRPr="00BA050E" w:rsidRDefault="00B44D67" w:rsidP="00B44D67">
      <w:pPr>
        <w:spacing w:after="0" w:line="240" w:lineRule="auto"/>
        <w:ind w:left="0" w:right="144" w:firstLine="0"/>
        <w:jc w:val="center"/>
        <w:rPr>
          <w:b/>
          <w:sz w:val="22"/>
        </w:rPr>
      </w:pPr>
      <w:r w:rsidRPr="00BA050E">
        <w:rPr>
          <w:b/>
          <w:sz w:val="22"/>
        </w:rPr>
        <w:t>V.</w:t>
      </w:r>
      <w:r w:rsidRPr="00BA050E">
        <w:rPr>
          <w:rFonts w:eastAsia="Arial"/>
          <w:b/>
          <w:sz w:val="22"/>
        </w:rPr>
        <w:tab/>
      </w:r>
      <w:r w:rsidRPr="00BA050E">
        <w:rPr>
          <w:b/>
          <w:sz w:val="22"/>
        </w:rPr>
        <w:t>LESSONS LEARNED</w:t>
      </w:r>
    </w:p>
    <w:p w14:paraId="05ED449F" w14:textId="77777777" w:rsidR="00B44D67" w:rsidRPr="00BA050E" w:rsidRDefault="00B44D67" w:rsidP="00B44D67">
      <w:pPr>
        <w:spacing w:after="0" w:line="240" w:lineRule="auto"/>
        <w:ind w:left="0" w:right="144" w:firstLine="0"/>
        <w:jc w:val="center"/>
        <w:rPr>
          <w:b/>
          <w:sz w:val="22"/>
        </w:rPr>
      </w:pPr>
    </w:p>
    <w:p w14:paraId="7A6E4786" w14:textId="77777777" w:rsidR="00B44D67" w:rsidRPr="00BA050E" w:rsidRDefault="00B44D67" w:rsidP="00B44D67">
      <w:pPr>
        <w:numPr>
          <w:ilvl w:val="0"/>
          <w:numId w:val="3"/>
        </w:numPr>
        <w:spacing w:after="0" w:line="240" w:lineRule="auto"/>
        <w:ind w:right="0"/>
        <w:contextualSpacing/>
        <w:rPr>
          <w:b/>
          <w:sz w:val="22"/>
        </w:rPr>
      </w:pPr>
      <w:r w:rsidRPr="00BA050E">
        <w:rPr>
          <w:b/>
          <w:sz w:val="22"/>
        </w:rPr>
        <w:t xml:space="preserve">The main conclusion of this CLR reinforces the most important lesson of the PLR: that political instability and governance challenges slow the pace of reform and frequent personnel changes affect portfolio performance. </w:t>
      </w:r>
      <w:r w:rsidRPr="00BA050E">
        <w:rPr>
          <w:sz w:val="22"/>
        </w:rPr>
        <w:t>Examples of the former include the failure until recently to implement agreed methodologies and increases in district heating tariffs, as well as hospital restructuring. Examples of the latter include recurrent problems in complying with procurement guidelines in education and alleged fraud in the fruit growers’ compensation scheme. Looking ahead, there are grounds for cautious optimism about renewed economic, political, and social stability in the short- and medium term―through November 2018 when parliamentary elections are scheduled―exemplified by the resumption of modest economic growth, the consolidated parliamentary majority, and the recent agreement on an IMF program and related approval of the 2</w:t>
      </w:r>
      <w:r w:rsidRPr="00BA050E">
        <w:rPr>
          <w:sz w:val="22"/>
          <w:vertAlign w:val="superscript"/>
        </w:rPr>
        <w:t>nd</w:t>
      </w:r>
      <w:r w:rsidRPr="00BA050E">
        <w:rPr>
          <w:sz w:val="22"/>
        </w:rPr>
        <w:t xml:space="preserve"> DPO. However, it remains unclear whether the </w:t>
      </w:r>
      <w:r w:rsidRPr="00BA050E">
        <w:rPr>
          <w:i/>
          <w:sz w:val="22"/>
        </w:rPr>
        <w:t>de jure</w:t>
      </w:r>
      <w:r w:rsidRPr="00BA050E">
        <w:rPr>
          <w:sz w:val="22"/>
        </w:rPr>
        <w:t xml:space="preserve"> reforms approved in 2016 will translate into </w:t>
      </w:r>
      <w:r w:rsidRPr="00BA050E">
        <w:rPr>
          <w:i/>
          <w:sz w:val="22"/>
        </w:rPr>
        <w:t>de facto</w:t>
      </w:r>
      <w:r w:rsidRPr="00BA050E">
        <w:rPr>
          <w:sz w:val="22"/>
        </w:rPr>
        <w:t xml:space="preserve"> improvements in governance, absent any real change in institutional behavior and culture.</w:t>
      </w:r>
    </w:p>
    <w:p w14:paraId="73BACF9F" w14:textId="77777777" w:rsidR="00B44D67" w:rsidRPr="00BA050E" w:rsidRDefault="00B44D67" w:rsidP="00B44D67">
      <w:pPr>
        <w:spacing w:after="0" w:line="240" w:lineRule="auto"/>
        <w:ind w:left="0" w:right="0" w:firstLine="0"/>
        <w:contextualSpacing/>
        <w:rPr>
          <w:b/>
          <w:sz w:val="22"/>
        </w:rPr>
      </w:pPr>
    </w:p>
    <w:p w14:paraId="60BBEEFC" w14:textId="77777777" w:rsidR="00B44D67" w:rsidRPr="00286284" w:rsidRDefault="00B44D67" w:rsidP="00B44D67">
      <w:pPr>
        <w:numPr>
          <w:ilvl w:val="0"/>
          <w:numId w:val="3"/>
        </w:numPr>
        <w:spacing w:after="0" w:line="240" w:lineRule="auto"/>
        <w:ind w:right="0"/>
        <w:contextualSpacing/>
        <w:rPr>
          <w:b/>
          <w:sz w:val="22"/>
        </w:rPr>
      </w:pPr>
      <w:r w:rsidRPr="00286284">
        <w:rPr>
          <w:b/>
          <w:sz w:val="22"/>
        </w:rPr>
        <w:t xml:space="preserve">CPS implementation and the PLR and CLR self-assessment processes yielded many lessons learned which are listed in Attachment 1: </w:t>
      </w:r>
      <w:r w:rsidRPr="00286284">
        <w:rPr>
          <w:b/>
          <w:i/>
          <w:sz w:val="22"/>
        </w:rPr>
        <w:t>Summary of FY14-17 Program Self-Evaluation</w:t>
      </w:r>
      <w:r w:rsidRPr="00286284">
        <w:rPr>
          <w:b/>
          <w:sz w:val="22"/>
        </w:rPr>
        <w:t xml:space="preserve">.  </w:t>
      </w:r>
      <w:r w:rsidRPr="00286284">
        <w:rPr>
          <w:sz w:val="22"/>
        </w:rPr>
        <w:t xml:space="preserve">Many are project and/or sector-specific, most are referenced in the narrative in Section II above, and all have been noted and, as needed, acted upon during ongoing project or program implementation. Several more generic </w:t>
      </w:r>
      <w:r w:rsidRPr="00286284">
        <w:rPr>
          <w:sz w:val="22"/>
        </w:rPr>
        <w:lastRenderedPageBreak/>
        <w:t>or higher-level program-wide lessons emerged that are relevant to the design of the next FY18-2</w:t>
      </w:r>
      <w:r>
        <w:rPr>
          <w:sz w:val="22"/>
        </w:rPr>
        <w:t>1</w:t>
      </w:r>
      <w:r w:rsidRPr="00286284">
        <w:rPr>
          <w:sz w:val="22"/>
        </w:rPr>
        <w:t xml:space="preserve"> CPF, including the following:</w:t>
      </w:r>
    </w:p>
    <w:p w14:paraId="24CC2CDD" w14:textId="77777777" w:rsidR="00B44D67" w:rsidRPr="00BA050E" w:rsidRDefault="00B44D67" w:rsidP="00B44D67">
      <w:pPr>
        <w:spacing w:after="0" w:line="240" w:lineRule="auto"/>
        <w:ind w:left="0" w:right="0" w:firstLine="0"/>
        <w:contextualSpacing/>
        <w:rPr>
          <w:b/>
          <w:sz w:val="22"/>
        </w:rPr>
      </w:pPr>
    </w:p>
    <w:p w14:paraId="47E1E2AA" w14:textId="77777777" w:rsidR="00B44D67" w:rsidRPr="00BA050E" w:rsidRDefault="00B44D67" w:rsidP="00B44D67">
      <w:pPr>
        <w:numPr>
          <w:ilvl w:val="0"/>
          <w:numId w:val="4"/>
        </w:numPr>
        <w:spacing w:after="0" w:line="240" w:lineRule="auto"/>
        <w:ind w:left="540" w:right="0" w:hanging="540"/>
        <w:contextualSpacing/>
        <w:rPr>
          <w:sz w:val="22"/>
        </w:rPr>
      </w:pPr>
      <w:r w:rsidRPr="00BA050E">
        <w:rPr>
          <w:sz w:val="22"/>
        </w:rPr>
        <w:t>Risks to implementation from whatever source are amplified when a large share of a relatively small country portfolio and pipeline is policy- and/or program-for-results-based lending, due to weaker institutional capacity exacerb</w:t>
      </w:r>
      <w:r>
        <w:rPr>
          <w:sz w:val="22"/>
        </w:rPr>
        <w:t>ated by frequent staff turnover</w:t>
      </w:r>
      <w:r w:rsidRPr="00BA050E">
        <w:rPr>
          <w:sz w:val="22"/>
        </w:rPr>
        <w:t xml:space="preserve"> and deficient monitoring and fiduciary systems. The pipeline should therefore be kept flexible </w:t>
      </w:r>
      <w:r>
        <w:rPr>
          <w:sz w:val="22"/>
        </w:rPr>
        <w:t xml:space="preserve">and selective </w:t>
      </w:r>
      <w:r w:rsidRPr="00BA050E">
        <w:rPr>
          <w:sz w:val="22"/>
        </w:rPr>
        <w:t>to adapt to changing priorities so that, if needed, resour</w:t>
      </w:r>
      <w:r>
        <w:rPr>
          <w:sz w:val="22"/>
        </w:rPr>
        <w:t>ces can be reallocated promptly, as it happened with the shift from DPOs to IPFs, or movement of some operations to the outer years of the CPS.</w:t>
      </w:r>
    </w:p>
    <w:p w14:paraId="3FC17F6E" w14:textId="77777777" w:rsidR="00B44D67" w:rsidRPr="00BA050E" w:rsidRDefault="00B44D67" w:rsidP="00B44D67">
      <w:pPr>
        <w:spacing w:after="0" w:line="240" w:lineRule="auto"/>
        <w:ind w:left="540" w:right="0" w:hanging="540"/>
        <w:contextualSpacing/>
        <w:rPr>
          <w:sz w:val="22"/>
        </w:rPr>
      </w:pPr>
    </w:p>
    <w:p w14:paraId="7D427979" w14:textId="77777777" w:rsidR="00B44D67" w:rsidRPr="00BA050E" w:rsidRDefault="00B44D67" w:rsidP="00B44D67">
      <w:pPr>
        <w:numPr>
          <w:ilvl w:val="0"/>
          <w:numId w:val="4"/>
        </w:numPr>
        <w:spacing w:after="0" w:line="240" w:lineRule="auto"/>
        <w:ind w:left="540" w:right="0" w:hanging="540"/>
        <w:contextualSpacing/>
        <w:rPr>
          <w:sz w:val="22"/>
        </w:rPr>
      </w:pPr>
      <w:r w:rsidRPr="00BA050E">
        <w:rPr>
          <w:sz w:val="22"/>
        </w:rPr>
        <w:t>Related to this, country strategies in uncertain or unstable country environments should focus on investment project lending that provides direct, politically uncontroversial benefits to the population, leaving support for structural reforms to be delivered through multi-sectoral DPOs as and when circumstances permit.</w:t>
      </w:r>
    </w:p>
    <w:p w14:paraId="7A3B00FA" w14:textId="77777777" w:rsidR="00B44D67" w:rsidRPr="00BA050E" w:rsidRDefault="00B44D67" w:rsidP="00B44D67">
      <w:pPr>
        <w:spacing w:after="0" w:line="240" w:lineRule="auto"/>
        <w:ind w:left="540" w:right="0" w:hanging="540"/>
        <w:rPr>
          <w:sz w:val="22"/>
        </w:rPr>
      </w:pPr>
    </w:p>
    <w:p w14:paraId="44A177EC" w14:textId="77777777" w:rsidR="00B44D67" w:rsidRPr="00BA050E" w:rsidRDefault="00B44D67" w:rsidP="00B44D67">
      <w:pPr>
        <w:numPr>
          <w:ilvl w:val="0"/>
          <w:numId w:val="4"/>
        </w:numPr>
        <w:spacing w:after="0" w:line="240" w:lineRule="auto"/>
        <w:ind w:left="540" w:right="0" w:hanging="540"/>
        <w:contextualSpacing/>
        <w:rPr>
          <w:sz w:val="22"/>
        </w:rPr>
      </w:pPr>
      <w:r w:rsidRPr="00BA050E">
        <w:rPr>
          <w:sz w:val="22"/>
        </w:rPr>
        <w:t>Development partner coordination for budget support is essential for effective influence on key governance issues. Bank Group leadership of the multi-donor Briefing Book and of public communications on anti-corruption and governance helped harmonize the policy stance of development partners – attesting to its convening power and primary role as a knowledge bank.</w:t>
      </w:r>
    </w:p>
    <w:p w14:paraId="01827161" w14:textId="77777777" w:rsidR="00B44D67" w:rsidRPr="00BA050E" w:rsidRDefault="00B44D67" w:rsidP="00B44D67">
      <w:pPr>
        <w:spacing w:after="0" w:line="240" w:lineRule="auto"/>
        <w:ind w:left="540" w:hanging="540"/>
        <w:contextualSpacing/>
        <w:rPr>
          <w:sz w:val="22"/>
        </w:rPr>
      </w:pPr>
    </w:p>
    <w:p w14:paraId="04444526" w14:textId="77777777" w:rsidR="00B44D67" w:rsidRPr="00BA050E" w:rsidRDefault="00B44D67" w:rsidP="00B44D67">
      <w:pPr>
        <w:numPr>
          <w:ilvl w:val="0"/>
          <w:numId w:val="4"/>
        </w:numPr>
        <w:spacing w:after="0" w:line="240" w:lineRule="auto"/>
        <w:ind w:left="540" w:right="0" w:hanging="540"/>
        <w:contextualSpacing/>
        <w:rPr>
          <w:sz w:val="22"/>
        </w:rPr>
      </w:pPr>
      <w:r w:rsidRPr="00BA050E">
        <w:rPr>
          <w:sz w:val="22"/>
        </w:rPr>
        <w:t>IFC’s investment climate research uncovered a widening divergence between reform legislation and reform implementation—the so-called ‘regulatory implementation gap – confirming the importance of monitoring implementation through instruments such as Doing Business surveys and BEEPS.</w:t>
      </w:r>
    </w:p>
    <w:p w14:paraId="4A1D6B0B" w14:textId="77777777" w:rsidR="00B44D67" w:rsidRPr="00BA050E" w:rsidRDefault="00B44D67" w:rsidP="00B44D67">
      <w:pPr>
        <w:ind w:left="540" w:hanging="540"/>
        <w:contextualSpacing/>
        <w:rPr>
          <w:sz w:val="22"/>
        </w:rPr>
      </w:pPr>
    </w:p>
    <w:p w14:paraId="65A058B9" w14:textId="77777777" w:rsidR="00B44D67" w:rsidRPr="00BA050E" w:rsidRDefault="00B44D67" w:rsidP="00B44D67">
      <w:pPr>
        <w:numPr>
          <w:ilvl w:val="0"/>
          <w:numId w:val="4"/>
        </w:numPr>
        <w:spacing w:after="0" w:line="240" w:lineRule="auto"/>
        <w:ind w:left="540" w:right="0" w:hanging="540"/>
        <w:contextualSpacing/>
        <w:rPr>
          <w:sz w:val="22"/>
        </w:rPr>
      </w:pPr>
      <w:r w:rsidRPr="00BA050E">
        <w:rPr>
          <w:sz w:val="22"/>
        </w:rPr>
        <w:t>The Bank Group’s most important impacts may not be captured in the results framework if they were not anticipated when the CPS was prepared or if not directly packaged as lending or A</w:t>
      </w:r>
      <w:r>
        <w:rPr>
          <w:sz w:val="22"/>
        </w:rPr>
        <w:t>S</w:t>
      </w:r>
      <w:r w:rsidRPr="00BA050E">
        <w:rPr>
          <w:sz w:val="22"/>
        </w:rPr>
        <w:t>A. This was demonstrably the case in 2015-16 when the Bank Group employed dialogue, development partner coordination, and public communications to call attention to, and encourage action on fraud in the banking system.</w:t>
      </w:r>
    </w:p>
    <w:p w14:paraId="537895FC" w14:textId="77777777" w:rsidR="00B44D67" w:rsidRPr="00BA050E" w:rsidRDefault="00B44D67" w:rsidP="00B44D67">
      <w:pPr>
        <w:spacing w:after="0" w:line="240" w:lineRule="auto"/>
        <w:ind w:left="540" w:hanging="540"/>
        <w:contextualSpacing/>
        <w:rPr>
          <w:sz w:val="22"/>
        </w:rPr>
      </w:pPr>
    </w:p>
    <w:p w14:paraId="541ECA26" w14:textId="77777777" w:rsidR="00B44D67" w:rsidRPr="00BA050E" w:rsidRDefault="00B44D67" w:rsidP="00B44D67">
      <w:pPr>
        <w:numPr>
          <w:ilvl w:val="0"/>
          <w:numId w:val="4"/>
        </w:numPr>
        <w:spacing w:after="0" w:line="240" w:lineRule="auto"/>
        <w:ind w:left="540" w:right="0" w:hanging="540"/>
        <w:contextualSpacing/>
        <w:rPr>
          <w:sz w:val="22"/>
        </w:rPr>
      </w:pPr>
      <w:r w:rsidRPr="00BA050E">
        <w:rPr>
          <w:sz w:val="22"/>
        </w:rPr>
        <w:t xml:space="preserve">Electronic governance projects should be set within a broad governance reform agenda for maximum impact. While the </w:t>
      </w:r>
      <w:r w:rsidRPr="00BA050E">
        <w:rPr>
          <w:i/>
          <w:sz w:val="22"/>
        </w:rPr>
        <w:t>Governance e-Transformation</w:t>
      </w:r>
      <w:r w:rsidRPr="00BA050E">
        <w:rPr>
          <w:sz w:val="22"/>
        </w:rPr>
        <w:t xml:space="preserve"> project delivered significant benefits, there is scope for further cost-savings and systems integration. The FY17 </w:t>
      </w:r>
      <w:r w:rsidRPr="00BA050E">
        <w:rPr>
          <w:i/>
          <w:sz w:val="22"/>
        </w:rPr>
        <w:t>Modernization of Government Services</w:t>
      </w:r>
      <w:r w:rsidRPr="00BA050E">
        <w:rPr>
          <w:sz w:val="22"/>
        </w:rPr>
        <w:t xml:space="preserve"> project will integrate front-end digitization and back-end process re-engineering.</w:t>
      </w:r>
    </w:p>
    <w:p w14:paraId="3C3DF955" w14:textId="77777777" w:rsidR="00B44D67" w:rsidRPr="00BA050E" w:rsidRDefault="00B44D67" w:rsidP="00B44D67">
      <w:pPr>
        <w:spacing w:after="0" w:line="240" w:lineRule="auto"/>
        <w:ind w:left="540" w:hanging="540"/>
        <w:contextualSpacing/>
        <w:rPr>
          <w:sz w:val="22"/>
        </w:rPr>
      </w:pPr>
    </w:p>
    <w:p w14:paraId="30931071" w14:textId="77777777" w:rsidR="00B44D67" w:rsidRPr="00BA050E" w:rsidRDefault="00B44D67" w:rsidP="00B44D67">
      <w:pPr>
        <w:numPr>
          <w:ilvl w:val="0"/>
          <w:numId w:val="4"/>
        </w:numPr>
        <w:spacing w:after="0" w:line="240" w:lineRule="auto"/>
        <w:ind w:left="540" w:right="0" w:hanging="540"/>
        <w:contextualSpacing/>
        <w:rPr>
          <w:sz w:val="22"/>
        </w:rPr>
      </w:pPr>
      <w:r w:rsidRPr="00BA050E">
        <w:rPr>
          <w:sz w:val="22"/>
        </w:rPr>
        <w:t>Bank Group procurement procedures, notably the ‘prior review’ process, were a critical safeguard against attempts to interfere in tenders, implying</w:t>
      </w:r>
      <w:r w:rsidRPr="00BA050E">
        <w:rPr>
          <w:b/>
          <w:sz w:val="22"/>
        </w:rPr>
        <w:t xml:space="preserve"> </w:t>
      </w:r>
      <w:r w:rsidRPr="00BA050E">
        <w:rPr>
          <w:sz w:val="22"/>
        </w:rPr>
        <w:t>that its fiduciary controls should continue to be used as public procurement reforms proceed</w:t>
      </w:r>
      <w:r w:rsidRPr="00BA050E">
        <w:rPr>
          <w:szCs w:val="24"/>
        </w:rPr>
        <w:t>.</w:t>
      </w:r>
    </w:p>
    <w:p w14:paraId="14EA7B5F" w14:textId="77777777" w:rsidR="00B44D67" w:rsidRPr="00BA050E" w:rsidRDefault="00B44D67" w:rsidP="00B44D67">
      <w:pPr>
        <w:ind w:left="540" w:hanging="540"/>
        <w:contextualSpacing/>
        <w:rPr>
          <w:sz w:val="22"/>
        </w:rPr>
      </w:pPr>
    </w:p>
    <w:p w14:paraId="028BA775" w14:textId="77777777" w:rsidR="00B44D67" w:rsidRDefault="00B44D67" w:rsidP="00B44D67">
      <w:pPr>
        <w:numPr>
          <w:ilvl w:val="0"/>
          <w:numId w:val="4"/>
        </w:numPr>
        <w:spacing w:after="0" w:line="240" w:lineRule="auto"/>
        <w:ind w:left="540" w:right="0" w:hanging="540"/>
        <w:contextualSpacing/>
        <w:rPr>
          <w:sz w:val="22"/>
        </w:rPr>
      </w:pPr>
      <w:r w:rsidRPr="00BA050E">
        <w:rPr>
          <w:sz w:val="22"/>
        </w:rPr>
        <w:t>The ability to use the PLR to adjust the program was essential. While the shelving of two projects was a consequence of unpredictable Bank budget allocations and cost coefficients, over-programming the IDA allocation increased the probability of its full utilization, despite political uncertainty.</w:t>
      </w:r>
    </w:p>
    <w:p w14:paraId="42A3F2F8" w14:textId="77777777" w:rsidR="00B44D67" w:rsidRDefault="00B44D67" w:rsidP="00B44D67">
      <w:pPr>
        <w:pStyle w:val="ListParagraph"/>
        <w:rPr>
          <w:sz w:val="22"/>
        </w:rPr>
      </w:pPr>
    </w:p>
    <w:p w14:paraId="26ACE82B" w14:textId="77777777" w:rsidR="00B44D67" w:rsidRPr="00890515" w:rsidRDefault="00B44D67" w:rsidP="00B44D67">
      <w:pPr>
        <w:numPr>
          <w:ilvl w:val="0"/>
          <w:numId w:val="4"/>
        </w:numPr>
        <w:spacing w:after="0" w:line="240" w:lineRule="auto"/>
        <w:ind w:left="540" w:right="0" w:hanging="540"/>
        <w:contextualSpacing/>
        <w:rPr>
          <w:sz w:val="22"/>
        </w:rPr>
      </w:pPr>
      <w:r w:rsidRPr="00890515">
        <w:rPr>
          <w:sz w:val="22"/>
        </w:rPr>
        <w:t>The Bank Group’s public communications, for example on banking governance and pension reform, are important supplements to investments and technical assistance as an instrument of development partnership.</w:t>
      </w:r>
    </w:p>
    <w:p w14:paraId="52537C75" w14:textId="77777777" w:rsidR="00B44D67" w:rsidRDefault="00B44D67" w:rsidP="00B44D67">
      <w:pPr>
        <w:sectPr w:rsidR="00B44D67" w:rsidSect="00241C66">
          <w:type w:val="continuous"/>
          <w:pgSz w:w="12240" w:h="15840"/>
          <w:pgMar w:top="1440" w:right="1440" w:bottom="1440" w:left="1440" w:header="720" w:footer="720" w:gutter="0"/>
          <w:pgNumType w:start="19"/>
          <w:cols w:space="720"/>
          <w:docGrid w:linePitch="360"/>
        </w:sectPr>
      </w:pPr>
    </w:p>
    <w:p w14:paraId="67DA6F3D" w14:textId="77777777" w:rsidR="00B44D67" w:rsidRPr="00977D54" w:rsidRDefault="00B44D67" w:rsidP="00B44D67">
      <w:pPr>
        <w:spacing w:after="120" w:line="240" w:lineRule="auto"/>
        <w:ind w:left="0" w:right="0" w:firstLine="0"/>
        <w:jc w:val="center"/>
        <w:rPr>
          <w:rFonts w:ascii="Times New Roman Bold" w:hAnsi="Times New Roman Bold"/>
          <w:b/>
          <w:bCs/>
          <w:caps/>
          <w:color w:val="auto"/>
          <w:sz w:val="22"/>
        </w:rPr>
      </w:pPr>
      <w:r w:rsidRPr="00977D54">
        <w:rPr>
          <w:rFonts w:ascii="Times New Roman Bold" w:hAnsi="Times New Roman Bold"/>
          <w:b/>
          <w:bCs/>
          <w:caps/>
          <w:color w:val="auto"/>
          <w:sz w:val="22"/>
        </w:rPr>
        <w:lastRenderedPageBreak/>
        <w:t>A</w:t>
      </w:r>
      <w:r>
        <w:rPr>
          <w:rFonts w:ascii="Times New Roman Bold" w:hAnsi="Times New Roman Bold"/>
          <w:b/>
          <w:bCs/>
          <w:caps/>
          <w:color w:val="auto"/>
          <w:sz w:val="22"/>
        </w:rPr>
        <w:t>ttachment</w:t>
      </w:r>
      <w:r w:rsidRPr="00977D54">
        <w:rPr>
          <w:rFonts w:ascii="Times New Roman Bold" w:hAnsi="Times New Roman Bold"/>
          <w:b/>
          <w:bCs/>
          <w:caps/>
          <w:color w:val="auto"/>
          <w:sz w:val="22"/>
        </w:rPr>
        <w:t xml:space="preserve"> 1:  Summary of FY14-17 Program self-evaluatiON</w:t>
      </w:r>
    </w:p>
    <w:p w14:paraId="41EA7617" w14:textId="77777777" w:rsidR="00B44D67" w:rsidRPr="00BA050E" w:rsidRDefault="00B44D67" w:rsidP="00B44D67">
      <w:pPr>
        <w:spacing w:after="0" w:line="240" w:lineRule="auto"/>
        <w:ind w:left="0" w:right="0" w:firstLine="0"/>
        <w:jc w:val="left"/>
        <w:rPr>
          <w:rFonts w:eastAsia="Calibri"/>
          <w:color w:val="auto"/>
          <w:sz w:val="20"/>
          <w:szCs w:val="20"/>
        </w:rPr>
      </w:pPr>
    </w:p>
    <w:tbl>
      <w:tblPr>
        <w:tblStyle w:val="TableGrid2"/>
        <w:tblpPr w:leftFromText="180" w:rightFromText="180" w:vertAnchor="text" w:tblpY="1"/>
        <w:tblOverlap w:val="never"/>
        <w:tblW w:w="13045" w:type="dxa"/>
        <w:tblLook w:val="01E0" w:firstRow="1" w:lastRow="1" w:firstColumn="1" w:lastColumn="1" w:noHBand="0" w:noVBand="0"/>
      </w:tblPr>
      <w:tblGrid>
        <w:gridCol w:w="3325"/>
        <w:gridCol w:w="3600"/>
        <w:gridCol w:w="2520"/>
        <w:gridCol w:w="3600"/>
      </w:tblGrid>
      <w:tr w:rsidR="00B44D67" w:rsidRPr="00BA050E" w14:paraId="0FA47DB5" w14:textId="77777777" w:rsidTr="00241C66">
        <w:tc>
          <w:tcPr>
            <w:tcW w:w="1274" w:type="pct"/>
            <w:tcBorders>
              <w:top w:val="single" w:sz="4" w:space="0" w:color="auto"/>
              <w:left w:val="single" w:sz="4" w:space="0" w:color="auto"/>
              <w:bottom w:val="single" w:sz="4" w:space="0" w:color="auto"/>
              <w:right w:val="single" w:sz="4" w:space="0" w:color="auto"/>
            </w:tcBorders>
            <w:shd w:val="clear" w:color="auto" w:fill="F2F2F2"/>
            <w:hideMark/>
          </w:tcPr>
          <w:p w14:paraId="5AC11EA7" w14:textId="77777777" w:rsidR="00B44D67" w:rsidRPr="00BA050E" w:rsidRDefault="00B44D67" w:rsidP="00241C66">
            <w:pPr>
              <w:spacing w:after="80" w:line="240" w:lineRule="auto"/>
              <w:ind w:left="0" w:right="0" w:firstLine="0"/>
              <w:jc w:val="center"/>
              <w:rPr>
                <w:rFonts w:eastAsia="Calibri"/>
                <w:b/>
                <w:color w:val="auto"/>
                <w:sz w:val="18"/>
                <w:szCs w:val="18"/>
              </w:rPr>
            </w:pPr>
            <w:r w:rsidRPr="00BA050E">
              <w:rPr>
                <w:rFonts w:eastAsia="Calibri"/>
                <w:b/>
                <w:color w:val="auto"/>
                <w:sz w:val="18"/>
                <w:szCs w:val="18"/>
              </w:rPr>
              <w:t>Outcomes that CPS program expected to influence during period</w:t>
            </w:r>
          </w:p>
        </w:tc>
        <w:tc>
          <w:tcPr>
            <w:tcW w:w="1380" w:type="pct"/>
            <w:tcBorders>
              <w:top w:val="single" w:sz="4" w:space="0" w:color="auto"/>
              <w:left w:val="single" w:sz="4" w:space="0" w:color="auto"/>
              <w:bottom w:val="single" w:sz="4" w:space="0" w:color="auto"/>
              <w:right w:val="single" w:sz="4" w:space="0" w:color="auto"/>
            </w:tcBorders>
            <w:shd w:val="clear" w:color="auto" w:fill="F2F2F2"/>
            <w:hideMark/>
          </w:tcPr>
          <w:p w14:paraId="3DC1E5C1" w14:textId="77777777" w:rsidR="00B44D67" w:rsidRPr="00BA050E" w:rsidRDefault="00B44D67" w:rsidP="00241C66">
            <w:pPr>
              <w:spacing w:after="0" w:line="240" w:lineRule="auto"/>
              <w:ind w:left="0" w:right="0" w:firstLine="0"/>
              <w:jc w:val="center"/>
              <w:rPr>
                <w:rFonts w:eastAsia="Calibri"/>
                <w:b/>
                <w:color w:val="auto"/>
                <w:sz w:val="18"/>
                <w:szCs w:val="18"/>
              </w:rPr>
            </w:pPr>
            <w:r w:rsidRPr="00BA050E">
              <w:rPr>
                <w:rFonts w:eastAsia="Calibri"/>
                <w:b/>
                <w:color w:val="auto"/>
                <w:sz w:val="18"/>
                <w:szCs w:val="18"/>
              </w:rPr>
              <w:t xml:space="preserve">Status of outcomes and </w:t>
            </w:r>
          </w:p>
          <w:p w14:paraId="5297E4F8" w14:textId="77777777" w:rsidR="00B44D67" w:rsidRPr="00BA050E" w:rsidRDefault="00B44D67" w:rsidP="00241C66">
            <w:pPr>
              <w:spacing w:after="0" w:line="240" w:lineRule="auto"/>
              <w:ind w:left="0" w:right="0" w:firstLine="0"/>
              <w:jc w:val="center"/>
              <w:rPr>
                <w:rFonts w:eastAsia="Calibri"/>
                <w:b/>
                <w:color w:val="auto"/>
                <w:sz w:val="18"/>
                <w:szCs w:val="18"/>
              </w:rPr>
            </w:pPr>
            <w:r w:rsidRPr="00BA050E">
              <w:rPr>
                <w:rFonts w:eastAsia="Calibri"/>
                <w:b/>
                <w:color w:val="auto"/>
                <w:sz w:val="18"/>
                <w:szCs w:val="18"/>
              </w:rPr>
              <w:t>summary evaluation</w:t>
            </w:r>
          </w:p>
        </w:tc>
        <w:tc>
          <w:tcPr>
            <w:tcW w:w="966" w:type="pct"/>
            <w:tcBorders>
              <w:top w:val="single" w:sz="4" w:space="0" w:color="auto"/>
              <w:left w:val="single" w:sz="4" w:space="0" w:color="auto"/>
              <w:bottom w:val="single" w:sz="4" w:space="0" w:color="auto"/>
              <w:right w:val="single" w:sz="4" w:space="0" w:color="auto"/>
            </w:tcBorders>
            <w:shd w:val="clear" w:color="auto" w:fill="F2F2F2"/>
            <w:hideMark/>
          </w:tcPr>
          <w:p w14:paraId="2837DF5A" w14:textId="77777777" w:rsidR="00B44D67" w:rsidRPr="00BA050E" w:rsidRDefault="00B44D67" w:rsidP="00241C66">
            <w:pPr>
              <w:spacing w:after="80" w:line="240" w:lineRule="auto"/>
              <w:ind w:left="0" w:right="0" w:firstLine="0"/>
              <w:jc w:val="center"/>
              <w:rPr>
                <w:rFonts w:eastAsia="Calibri"/>
                <w:b/>
                <w:color w:val="auto"/>
                <w:sz w:val="18"/>
                <w:szCs w:val="18"/>
              </w:rPr>
            </w:pPr>
            <w:r w:rsidRPr="00BA050E">
              <w:rPr>
                <w:rFonts w:eastAsia="Calibri"/>
                <w:b/>
                <w:color w:val="auto"/>
                <w:sz w:val="18"/>
                <w:szCs w:val="18"/>
              </w:rPr>
              <w:t>CPS instruments and partners</w:t>
            </w:r>
          </w:p>
        </w:tc>
        <w:tc>
          <w:tcPr>
            <w:tcW w:w="1380" w:type="pct"/>
            <w:tcBorders>
              <w:top w:val="single" w:sz="4" w:space="0" w:color="auto"/>
              <w:left w:val="single" w:sz="4" w:space="0" w:color="auto"/>
              <w:bottom w:val="single" w:sz="4" w:space="0" w:color="auto"/>
              <w:right w:val="single" w:sz="4" w:space="0" w:color="auto"/>
            </w:tcBorders>
            <w:shd w:val="clear" w:color="auto" w:fill="F2F2F2"/>
            <w:hideMark/>
          </w:tcPr>
          <w:p w14:paraId="028050B2" w14:textId="77777777" w:rsidR="00B44D67" w:rsidRPr="00BA050E" w:rsidRDefault="00B44D67" w:rsidP="00241C66">
            <w:pPr>
              <w:spacing w:after="80" w:line="240" w:lineRule="auto"/>
              <w:ind w:left="0" w:right="0" w:firstLine="0"/>
              <w:jc w:val="center"/>
              <w:rPr>
                <w:rFonts w:eastAsia="Calibri"/>
                <w:b/>
                <w:color w:val="auto"/>
                <w:sz w:val="18"/>
                <w:szCs w:val="18"/>
              </w:rPr>
            </w:pPr>
            <w:r w:rsidRPr="00BA050E">
              <w:rPr>
                <w:rFonts w:eastAsia="Calibri"/>
                <w:b/>
                <w:color w:val="auto"/>
                <w:sz w:val="18"/>
                <w:szCs w:val="18"/>
              </w:rPr>
              <w:t>Lessons and suggestions for new CPF</w:t>
            </w:r>
          </w:p>
        </w:tc>
      </w:tr>
      <w:tr w:rsidR="00B44D67" w:rsidRPr="00BA050E" w14:paraId="5B60225A"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14:paraId="34772F58" w14:textId="77777777" w:rsidR="00B44D67" w:rsidRPr="00BA050E" w:rsidRDefault="00B44D67" w:rsidP="00241C66">
            <w:pPr>
              <w:spacing w:after="80" w:line="240" w:lineRule="auto"/>
              <w:ind w:left="0" w:right="0" w:firstLine="0"/>
              <w:jc w:val="center"/>
              <w:rPr>
                <w:rFonts w:eastAsia="Calibri"/>
                <w:b/>
                <w:smallCaps/>
                <w:color w:val="auto"/>
                <w:sz w:val="18"/>
                <w:szCs w:val="18"/>
              </w:rPr>
            </w:pPr>
            <w:r w:rsidRPr="00BA050E">
              <w:rPr>
                <w:rFonts w:eastAsia="Calibri"/>
                <w:b/>
                <w:smallCaps/>
                <w:color w:val="auto"/>
                <w:sz w:val="20"/>
                <w:szCs w:val="18"/>
              </w:rPr>
              <w:t>Pillar I: Improving competitiveness</w:t>
            </w:r>
          </w:p>
        </w:tc>
      </w:tr>
      <w:tr w:rsidR="00B44D67" w:rsidRPr="00BA050E" w14:paraId="735B9A4F"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212B94E" w14:textId="77777777" w:rsidR="00B44D67" w:rsidRPr="00BA050E" w:rsidRDefault="00B44D67" w:rsidP="00241C66">
            <w:pPr>
              <w:spacing w:after="80" w:line="240" w:lineRule="auto"/>
              <w:ind w:left="0" w:right="0" w:firstLine="0"/>
              <w:jc w:val="center"/>
              <w:rPr>
                <w:rFonts w:eastAsia="Calibri"/>
                <w:b/>
                <w:color w:val="auto"/>
                <w:sz w:val="18"/>
                <w:szCs w:val="18"/>
              </w:rPr>
            </w:pPr>
            <w:r w:rsidRPr="00BA050E">
              <w:rPr>
                <w:b/>
                <w:color w:val="auto"/>
                <w:sz w:val="19"/>
                <w:szCs w:val="19"/>
              </w:rPr>
              <w:t>CPS Objective 1.1. Improved business environment and access to finance</w:t>
            </w:r>
          </w:p>
        </w:tc>
      </w:tr>
      <w:tr w:rsidR="00B44D67" w:rsidRPr="00BA050E" w14:paraId="09BEC59E" w14:textId="77777777" w:rsidTr="00241C66">
        <w:tc>
          <w:tcPr>
            <w:tcW w:w="1274" w:type="pct"/>
            <w:tcBorders>
              <w:top w:val="single" w:sz="4" w:space="0" w:color="auto"/>
              <w:left w:val="single" w:sz="4" w:space="0" w:color="auto"/>
              <w:bottom w:val="single" w:sz="4" w:space="0" w:color="auto"/>
              <w:right w:val="single" w:sz="4" w:space="0" w:color="auto"/>
            </w:tcBorders>
            <w:shd w:val="clear" w:color="auto" w:fill="FFFFFF"/>
          </w:tcPr>
          <w:p w14:paraId="1C3BB2A6" w14:textId="77777777" w:rsidR="00B44D67" w:rsidRPr="00BA050E" w:rsidRDefault="00B44D67" w:rsidP="006D2153">
            <w:pPr>
              <w:numPr>
                <w:ilvl w:val="0"/>
                <w:numId w:val="29"/>
              </w:numPr>
              <w:spacing w:after="0" w:line="240" w:lineRule="auto"/>
              <w:ind w:left="247" w:right="0" w:hanging="218"/>
              <w:jc w:val="left"/>
              <w:rPr>
                <w:b/>
                <w:color w:val="auto"/>
                <w:sz w:val="18"/>
                <w:szCs w:val="18"/>
              </w:rPr>
            </w:pPr>
            <w:r w:rsidRPr="00BA050E">
              <w:rPr>
                <w:b/>
                <w:color w:val="auto"/>
                <w:sz w:val="18"/>
                <w:szCs w:val="18"/>
              </w:rPr>
              <w:t>Customs procedures streamlined and made more transparent.</w:t>
            </w:r>
          </w:p>
          <w:p w14:paraId="39415E26" w14:textId="77777777" w:rsidR="00B44D67" w:rsidRPr="00BA050E" w:rsidRDefault="00B44D67" w:rsidP="00241C66">
            <w:pPr>
              <w:spacing w:after="0" w:line="240" w:lineRule="auto"/>
              <w:ind w:left="0" w:right="0" w:firstLine="0"/>
              <w:rPr>
                <w:b/>
                <w:color w:val="auto"/>
                <w:sz w:val="18"/>
                <w:szCs w:val="18"/>
              </w:rPr>
            </w:pPr>
            <w:r w:rsidRPr="00BA050E">
              <w:rPr>
                <w:b/>
                <w:i/>
                <w:color w:val="auto"/>
                <w:sz w:val="18"/>
                <w:szCs w:val="18"/>
              </w:rPr>
              <w:t>Indicator</w:t>
            </w:r>
            <w:r w:rsidRPr="00BA050E">
              <w:rPr>
                <w:i/>
                <w:color w:val="auto"/>
                <w:sz w:val="18"/>
                <w:szCs w:val="18"/>
              </w:rPr>
              <w:t>:</w:t>
            </w:r>
            <w:r w:rsidRPr="00BA050E">
              <w:rPr>
                <w:color w:val="auto"/>
                <w:sz w:val="18"/>
                <w:szCs w:val="18"/>
              </w:rPr>
              <w:t xml:space="preserve"> Number of days to prepare export documents (Trading Across Borders indicator of Doing Business) </w:t>
            </w:r>
          </w:p>
          <w:p w14:paraId="1BC5BB76"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20 (2012)</w:t>
            </w:r>
          </w:p>
          <w:p w14:paraId="0BB567AD" w14:textId="77777777" w:rsidR="00B44D67" w:rsidRPr="00BA050E" w:rsidRDefault="00B44D67" w:rsidP="00241C66">
            <w:pPr>
              <w:spacing w:after="0" w:line="240" w:lineRule="auto"/>
              <w:ind w:left="0" w:right="0" w:firstLine="0"/>
              <w:rPr>
                <w:color w:val="auto"/>
                <w:sz w:val="19"/>
                <w:szCs w:val="19"/>
              </w:rPr>
            </w:pPr>
            <w:r>
              <w:rPr>
                <w:color w:val="auto"/>
                <w:sz w:val="18"/>
                <w:szCs w:val="18"/>
              </w:rPr>
              <w:t>Target:    14</w:t>
            </w:r>
            <w:r w:rsidRPr="00BA050E">
              <w:rPr>
                <w:color w:val="auto"/>
                <w:sz w:val="18"/>
                <w:szCs w:val="18"/>
              </w:rPr>
              <w:t xml:space="preserve"> (201</w:t>
            </w:r>
            <w:r>
              <w:rPr>
                <w:color w:val="auto"/>
                <w:sz w:val="18"/>
                <w:szCs w:val="18"/>
              </w:rPr>
              <w:t>5</w:t>
            </w:r>
            <w:r w:rsidRPr="00BA050E">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14:paraId="4957081A" w14:textId="77777777" w:rsidR="00B44D67" w:rsidRPr="00CF5BC3"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Following introduction of e-filing procedures, number of days to prepare export documents reduced to 2 (and for border compliance to 3 hours), per 2017 Doing Business</w:t>
            </w:r>
            <w:r>
              <w:rPr>
                <w:rFonts w:eastAsia="Calibri"/>
                <w:color w:val="auto"/>
                <w:sz w:val="18"/>
                <w:szCs w:val="18"/>
              </w:rPr>
              <w:t xml:space="preserve"> (DB)</w:t>
            </w:r>
            <w:r w:rsidRPr="00BA050E">
              <w:rPr>
                <w:rFonts w:eastAsia="Calibri"/>
                <w:color w:val="auto"/>
                <w:sz w:val="18"/>
                <w:szCs w:val="18"/>
              </w:rPr>
              <w:t xml:space="preserve">. </w:t>
            </w:r>
            <w:r w:rsidRPr="00CF5BC3">
              <w:rPr>
                <w:rFonts w:eastAsia="Calibri"/>
                <w:color w:val="auto"/>
                <w:sz w:val="18"/>
                <w:szCs w:val="18"/>
              </w:rPr>
              <w:t xml:space="preserve">After </w:t>
            </w:r>
            <w:r>
              <w:rPr>
                <w:rFonts w:eastAsia="Calibri"/>
                <w:color w:val="auto"/>
                <w:sz w:val="18"/>
                <w:szCs w:val="18"/>
              </w:rPr>
              <w:t xml:space="preserve">the </w:t>
            </w:r>
            <w:r w:rsidRPr="00CF5BC3">
              <w:rPr>
                <w:rFonts w:eastAsia="Calibri"/>
                <w:color w:val="auto"/>
                <w:sz w:val="18"/>
                <w:szCs w:val="18"/>
              </w:rPr>
              <w:t>2015 D</w:t>
            </w:r>
            <w:r>
              <w:rPr>
                <w:rFonts w:eastAsia="Calibri"/>
                <w:color w:val="auto"/>
                <w:sz w:val="18"/>
                <w:szCs w:val="18"/>
              </w:rPr>
              <w:t>B</w:t>
            </w:r>
            <w:r w:rsidRPr="00CF5BC3">
              <w:rPr>
                <w:rFonts w:eastAsia="Calibri"/>
                <w:color w:val="auto"/>
                <w:sz w:val="18"/>
                <w:szCs w:val="18"/>
              </w:rPr>
              <w:t xml:space="preserve"> Report stopped tracking the summary information on predefined stages and documents for trading across borders indicator, which included preparatory time and waiting time for documents needed to export and import, </w:t>
            </w:r>
            <w:r>
              <w:rPr>
                <w:rFonts w:eastAsia="Calibri"/>
                <w:color w:val="auto"/>
                <w:sz w:val="18"/>
                <w:szCs w:val="18"/>
              </w:rPr>
              <w:t xml:space="preserve">the monitoring of this indicator, given its importance, continued based on </w:t>
            </w:r>
            <w:r w:rsidRPr="00CF5BC3">
              <w:rPr>
                <w:rFonts w:eastAsia="Calibri"/>
                <w:color w:val="auto"/>
                <w:sz w:val="18"/>
                <w:szCs w:val="18"/>
              </w:rPr>
              <w:t>the annual Cost of Doing Business Survey</w:t>
            </w:r>
            <w:r>
              <w:rPr>
                <w:rFonts w:eastAsia="Calibri"/>
                <w:color w:val="auto"/>
                <w:sz w:val="18"/>
                <w:szCs w:val="18"/>
              </w:rPr>
              <w:t xml:space="preserve"> (CODB)</w:t>
            </w:r>
            <w:r w:rsidRPr="00CF5BC3">
              <w:rPr>
                <w:rFonts w:eastAsia="Calibri"/>
                <w:color w:val="auto"/>
                <w:sz w:val="18"/>
                <w:szCs w:val="18"/>
              </w:rPr>
              <w:t>. Although the CODB Survey is based on interviews with business companies and predominantly measures the busin</w:t>
            </w:r>
            <w:r>
              <w:rPr>
                <w:rFonts w:eastAsia="Calibri"/>
                <w:color w:val="auto"/>
                <w:sz w:val="18"/>
                <w:szCs w:val="18"/>
              </w:rPr>
              <w:t xml:space="preserve">ess community’s perception of </w:t>
            </w:r>
            <w:r w:rsidRPr="00CF5BC3">
              <w:rPr>
                <w:rFonts w:eastAsia="Calibri"/>
                <w:color w:val="auto"/>
                <w:sz w:val="18"/>
                <w:szCs w:val="18"/>
              </w:rPr>
              <w:t xml:space="preserve">certain regulations or procedures, </w:t>
            </w:r>
            <w:r>
              <w:rPr>
                <w:rFonts w:eastAsia="Calibri"/>
                <w:color w:val="auto"/>
                <w:sz w:val="18"/>
                <w:szCs w:val="18"/>
              </w:rPr>
              <w:t xml:space="preserve">it allows to </w:t>
            </w:r>
            <w:r w:rsidRPr="00CF5BC3">
              <w:rPr>
                <w:rFonts w:eastAsia="Calibri"/>
                <w:color w:val="auto"/>
                <w:sz w:val="18"/>
                <w:szCs w:val="18"/>
              </w:rPr>
              <w:t>clearly mon</w:t>
            </w:r>
            <w:r>
              <w:rPr>
                <w:rFonts w:eastAsia="Calibri"/>
                <w:color w:val="auto"/>
                <w:sz w:val="18"/>
                <w:szCs w:val="18"/>
              </w:rPr>
              <w:t>itor the trend. Per</w:t>
            </w:r>
            <w:r w:rsidRPr="00CF5BC3">
              <w:rPr>
                <w:rFonts w:eastAsia="Calibri"/>
                <w:color w:val="auto"/>
                <w:sz w:val="18"/>
                <w:szCs w:val="18"/>
              </w:rPr>
              <w:t xml:space="preserve"> </w:t>
            </w:r>
            <w:r>
              <w:rPr>
                <w:rFonts w:eastAsia="Calibri"/>
                <w:color w:val="auto"/>
                <w:sz w:val="18"/>
                <w:szCs w:val="18"/>
              </w:rPr>
              <w:t xml:space="preserve">2015 </w:t>
            </w:r>
            <w:r w:rsidRPr="00CF5BC3">
              <w:rPr>
                <w:rFonts w:eastAsia="Calibri"/>
                <w:color w:val="auto"/>
                <w:sz w:val="18"/>
                <w:szCs w:val="18"/>
              </w:rPr>
              <w:t xml:space="preserve">COBD Survey, waiting time to get documents needed for </w:t>
            </w:r>
            <w:r>
              <w:rPr>
                <w:rFonts w:eastAsia="Calibri"/>
                <w:color w:val="auto"/>
                <w:sz w:val="18"/>
                <w:szCs w:val="18"/>
              </w:rPr>
              <w:t xml:space="preserve">export </w:t>
            </w:r>
            <w:r w:rsidRPr="00CF5BC3">
              <w:rPr>
                <w:rFonts w:eastAsia="Calibri"/>
                <w:color w:val="auto"/>
                <w:sz w:val="18"/>
                <w:szCs w:val="18"/>
              </w:rPr>
              <w:t>took 14 days (source: CODB Survey 2015, page 37).</w:t>
            </w:r>
          </w:p>
        </w:tc>
        <w:tc>
          <w:tcPr>
            <w:tcW w:w="966" w:type="pct"/>
            <w:tcBorders>
              <w:top w:val="single" w:sz="4" w:space="0" w:color="auto"/>
              <w:left w:val="single" w:sz="4" w:space="0" w:color="auto"/>
              <w:bottom w:val="single" w:sz="4" w:space="0" w:color="auto"/>
              <w:right w:val="single" w:sz="4" w:space="0" w:color="auto"/>
            </w:tcBorders>
            <w:shd w:val="clear" w:color="auto" w:fill="FFFFFF"/>
          </w:tcPr>
          <w:p w14:paraId="2ADEA663" w14:textId="77777777" w:rsidR="00B44D67" w:rsidRPr="00BA050E" w:rsidRDefault="00B44D67" w:rsidP="00241C66">
            <w:pPr>
              <w:spacing w:after="0" w:line="240" w:lineRule="auto"/>
              <w:ind w:left="0" w:right="0" w:firstLine="0"/>
              <w:jc w:val="left"/>
              <w:rPr>
                <w:rFonts w:eastAsia="Calibri"/>
                <w:b/>
                <w:color w:val="auto"/>
                <w:sz w:val="19"/>
                <w:szCs w:val="19"/>
              </w:rPr>
            </w:pPr>
            <w:r w:rsidRPr="00BA050E">
              <w:rPr>
                <w:rFonts w:eastAsia="Calibri"/>
                <w:b/>
                <w:color w:val="auto"/>
                <w:sz w:val="19"/>
                <w:szCs w:val="19"/>
              </w:rPr>
              <w:t>Ongoing:</w:t>
            </w:r>
          </w:p>
          <w:p w14:paraId="3AA1EEBE" w14:textId="77777777" w:rsidR="00B44D67" w:rsidRDefault="00B44D67" w:rsidP="00241C66">
            <w:pPr>
              <w:spacing w:after="0" w:line="240" w:lineRule="auto"/>
              <w:ind w:left="0" w:right="0" w:firstLine="0"/>
              <w:jc w:val="left"/>
              <w:rPr>
                <w:rFonts w:eastAsia="Calibri"/>
                <w:color w:val="auto"/>
                <w:sz w:val="19"/>
                <w:szCs w:val="19"/>
              </w:rPr>
            </w:pPr>
            <w:r w:rsidRPr="00BA050E">
              <w:rPr>
                <w:rFonts w:eastAsia="Calibri"/>
                <w:color w:val="auto"/>
                <w:sz w:val="19"/>
                <w:szCs w:val="19"/>
              </w:rPr>
              <w:t>IFC Investment Climate Reform (ICR) project</w:t>
            </w:r>
            <w:r>
              <w:rPr>
                <w:rFonts w:eastAsia="Calibri"/>
                <w:color w:val="auto"/>
                <w:sz w:val="19"/>
                <w:szCs w:val="19"/>
              </w:rPr>
              <w:t xml:space="preserve"> (ICR AS project #576047)</w:t>
            </w:r>
          </w:p>
          <w:p w14:paraId="7150D380" w14:textId="77777777" w:rsidR="00B44D67" w:rsidRDefault="00B44D67" w:rsidP="00241C66">
            <w:pPr>
              <w:spacing w:after="0" w:line="240" w:lineRule="auto"/>
              <w:ind w:left="0" w:right="0" w:firstLine="0"/>
              <w:jc w:val="left"/>
              <w:rPr>
                <w:rFonts w:eastAsia="Calibri"/>
                <w:color w:val="auto"/>
                <w:sz w:val="19"/>
                <w:szCs w:val="19"/>
              </w:rPr>
            </w:pPr>
            <w:r>
              <w:rPr>
                <w:rFonts w:eastAsia="Calibri"/>
                <w:color w:val="auto"/>
                <w:sz w:val="19"/>
                <w:szCs w:val="19"/>
              </w:rPr>
              <w:t>Cost of Doing Business report (2015)</w:t>
            </w:r>
          </w:p>
          <w:p w14:paraId="44CEC598" w14:textId="77777777" w:rsidR="00B44D67" w:rsidRPr="00BA050E" w:rsidRDefault="00B44D67" w:rsidP="00241C66">
            <w:pPr>
              <w:spacing w:after="0" w:line="240" w:lineRule="auto"/>
              <w:ind w:left="0" w:right="0" w:firstLine="0"/>
              <w:jc w:val="left"/>
              <w:rPr>
                <w:rFonts w:eastAsia="Calibri"/>
                <w:color w:val="auto"/>
                <w:sz w:val="19"/>
                <w:szCs w:val="19"/>
              </w:rPr>
            </w:pPr>
            <w:r>
              <w:rPr>
                <w:rFonts w:eastAsia="Calibri"/>
                <w:color w:val="auto"/>
                <w:sz w:val="19"/>
                <w:szCs w:val="19"/>
              </w:rPr>
              <w:t>Doing Business report (2012)</w:t>
            </w:r>
          </w:p>
          <w:p w14:paraId="4B7F27DE" w14:textId="77777777" w:rsidR="00B44D67" w:rsidRDefault="00B44D67" w:rsidP="00241C66">
            <w:pPr>
              <w:spacing w:after="0" w:line="240" w:lineRule="auto"/>
              <w:ind w:left="0" w:right="0" w:firstLine="0"/>
              <w:jc w:val="left"/>
              <w:rPr>
                <w:b/>
                <w:color w:val="auto"/>
                <w:sz w:val="19"/>
                <w:szCs w:val="19"/>
              </w:rPr>
            </w:pPr>
          </w:p>
          <w:p w14:paraId="68294CB5" w14:textId="77777777" w:rsidR="00B44D67" w:rsidRPr="00BA050E" w:rsidRDefault="00B44D67" w:rsidP="00241C66">
            <w:pPr>
              <w:spacing w:after="0" w:line="240" w:lineRule="auto"/>
              <w:ind w:left="0" w:right="0" w:firstLine="0"/>
              <w:jc w:val="left"/>
              <w:rPr>
                <w:rFonts w:eastAsia="Calibri"/>
                <w:color w:val="auto"/>
                <w:sz w:val="19"/>
                <w:szCs w:val="19"/>
              </w:rPr>
            </w:pPr>
            <w:r w:rsidRPr="00BA050E">
              <w:rPr>
                <w:b/>
                <w:color w:val="auto"/>
                <w:sz w:val="19"/>
                <w:szCs w:val="19"/>
              </w:rPr>
              <w:t>ASA:</w:t>
            </w:r>
            <w:r w:rsidRPr="00BA050E">
              <w:rPr>
                <w:rFonts w:eastAsia="Calibri"/>
                <w:color w:val="auto"/>
                <w:sz w:val="19"/>
                <w:szCs w:val="19"/>
              </w:rPr>
              <w:t xml:space="preserve"> </w:t>
            </w:r>
            <w:r w:rsidRPr="00E973F0">
              <w:rPr>
                <w:rFonts w:eastAsia="Calibri"/>
                <w:color w:val="auto"/>
                <w:sz w:val="19"/>
                <w:szCs w:val="19"/>
              </w:rPr>
              <w:t>Trade Study (P148369)</w:t>
            </w:r>
          </w:p>
          <w:p w14:paraId="1370AC86" w14:textId="77777777" w:rsidR="00B44D67" w:rsidRDefault="00B44D67" w:rsidP="00241C66">
            <w:pPr>
              <w:spacing w:after="0" w:line="240" w:lineRule="auto"/>
              <w:ind w:left="0" w:right="0" w:firstLine="0"/>
              <w:jc w:val="left"/>
              <w:rPr>
                <w:b/>
                <w:color w:val="auto"/>
                <w:sz w:val="19"/>
                <w:szCs w:val="19"/>
              </w:rPr>
            </w:pPr>
          </w:p>
          <w:p w14:paraId="64975251" w14:textId="77777777" w:rsidR="00B44D67" w:rsidRPr="00BA050E" w:rsidRDefault="00B44D67" w:rsidP="00241C66">
            <w:pPr>
              <w:spacing w:after="0" w:line="240" w:lineRule="auto"/>
              <w:ind w:left="0" w:right="0" w:firstLine="0"/>
              <w:jc w:val="left"/>
              <w:rPr>
                <w:b/>
                <w:color w:val="auto"/>
                <w:sz w:val="19"/>
                <w:szCs w:val="19"/>
              </w:rPr>
            </w:pPr>
            <w:r w:rsidRPr="00BA050E">
              <w:rPr>
                <w:b/>
                <w:color w:val="auto"/>
                <w:sz w:val="19"/>
                <w:szCs w:val="19"/>
              </w:rPr>
              <w:t xml:space="preserve">Partners: </w:t>
            </w:r>
            <w:r w:rsidRPr="00BA050E">
              <w:rPr>
                <w:bCs/>
                <w:color w:val="auto"/>
                <w:sz w:val="19"/>
                <w:szCs w:val="19"/>
              </w:rPr>
              <w:t>USAID, EU</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14:paraId="1C3DCBC3" w14:textId="77777777" w:rsidR="00B44D67" w:rsidRPr="00BA050E" w:rsidRDefault="00B44D67" w:rsidP="00241C66">
            <w:pPr>
              <w:spacing w:after="0" w:line="240" w:lineRule="auto"/>
              <w:ind w:left="0" w:right="0" w:firstLine="0"/>
              <w:jc w:val="left"/>
              <w:rPr>
                <w:rFonts w:eastAsia="Calibri"/>
                <w:color w:val="auto"/>
                <w:sz w:val="18"/>
                <w:szCs w:val="18"/>
              </w:rPr>
            </w:pPr>
          </w:p>
        </w:tc>
      </w:tr>
      <w:tr w:rsidR="00B44D67" w:rsidRPr="00BA050E" w14:paraId="35DCD7A6" w14:textId="77777777" w:rsidTr="00241C66">
        <w:tc>
          <w:tcPr>
            <w:tcW w:w="1274" w:type="pct"/>
            <w:tcBorders>
              <w:top w:val="single" w:sz="4" w:space="0" w:color="auto"/>
              <w:left w:val="single" w:sz="4" w:space="0" w:color="auto"/>
              <w:bottom w:val="single" w:sz="4" w:space="0" w:color="auto"/>
              <w:right w:val="single" w:sz="4" w:space="0" w:color="auto"/>
            </w:tcBorders>
            <w:shd w:val="clear" w:color="auto" w:fill="FFFFFF"/>
          </w:tcPr>
          <w:p w14:paraId="76B006B4" w14:textId="77777777" w:rsidR="00B44D67" w:rsidRPr="00BA050E" w:rsidRDefault="00B44D67" w:rsidP="006D2153">
            <w:pPr>
              <w:numPr>
                <w:ilvl w:val="0"/>
                <w:numId w:val="29"/>
              </w:numPr>
              <w:spacing w:after="0" w:line="240" w:lineRule="auto"/>
              <w:ind w:left="247" w:right="0" w:hanging="218"/>
              <w:jc w:val="left"/>
              <w:rPr>
                <w:rFonts w:eastAsia="Calibri"/>
                <w:b/>
                <w:color w:val="auto"/>
                <w:sz w:val="18"/>
                <w:szCs w:val="18"/>
              </w:rPr>
            </w:pPr>
            <w:r w:rsidRPr="00BA050E">
              <w:rPr>
                <w:rFonts w:eastAsia="Calibri"/>
                <w:b/>
                <w:color w:val="auto"/>
                <w:sz w:val="18"/>
                <w:szCs w:val="18"/>
              </w:rPr>
              <w:t xml:space="preserve">Regulatory burden </w:t>
            </w:r>
            <w:r w:rsidRPr="00BA050E">
              <w:rPr>
                <w:b/>
                <w:color w:val="auto"/>
                <w:sz w:val="18"/>
                <w:szCs w:val="18"/>
              </w:rPr>
              <w:t>on</w:t>
            </w:r>
            <w:r w:rsidRPr="00BA050E">
              <w:rPr>
                <w:rFonts w:eastAsia="Calibri"/>
                <w:b/>
                <w:color w:val="auto"/>
                <w:sz w:val="18"/>
                <w:szCs w:val="18"/>
              </w:rPr>
              <w:t xml:space="preserve"> enterprises decreased.</w:t>
            </w:r>
          </w:p>
          <w:p w14:paraId="59FE0C18"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t>Indicator 1</w:t>
            </w:r>
            <w:r w:rsidRPr="00BA050E">
              <w:rPr>
                <w:rFonts w:eastAsia="Calibri"/>
                <w:i/>
                <w:color w:val="auto"/>
                <w:sz w:val="18"/>
                <w:szCs w:val="18"/>
              </w:rPr>
              <w:t>:</w:t>
            </w:r>
            <w:r w:rsidRPr="00BA050E">
              <w:rPr>
                <w:rFonts w:eastAsia="Calibri"/>
                <w:color w:val="auto"/>
                <w:sz w:val="18"/>
                <w:szCs w:val="18"/>
              </w:rPr>
              <w:t xml:space="preserve"> Managers spend less time on regulatory compliance (Cost of Doing Business survey)</w:t>
            </w:r>
          </w:p>
          <w:p w14:paraId="0222D35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Baseline: 10 percent (2012)</w:t>
            </w:r>
          </w:p>
          <w:p w14:paraId="0D130D59"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Target:      8 percent (2017)</w:t>
            </w:r>
          </w:p>
          <w:p w14:paraId="2EF3C728" w14:textId="77777777" w:rsidR="00B44D67" w:rsidRPr="00BA050E" w:rsidRDefault="00B44D67" w:rsidP="00241C66">
            <w:pPr>
              <w:spacing w:after="0" w:line="240" w:lineRule="auto"/>
              <w:ind w:left="0" w:right="0" w:firstLine="0"/>
              <w:rPr>
                <w:rFonts w:eastAsia="Calibri"/>
                <w:b/>
                <w:i/>
                <w:color w:val="auto"/>
                <w:sz w:val="18"/>
                <w:szCs w:val="18"/>
              </w:rPr>
            </w:pPr>
          </w:p>
          <w:p w14:paraId="592C205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t>Indicator 2</w:t>
            </w:r>
            <w:r w:rsidRPr="00BA050E">
              <w:rPr>
                <w:rFonts w:eastAsia="Calibri"/>
                <w:i/>
                <w:color w:val="auto"/>
                <w:sz w:val="18"/>
                <w:szCs w:val="18"/>
              </w:rPr>
              <w:t>:</w:t>
            </w:r>
            <w:r w:rsidRPr="00BA050E">
              <w:rPr>
                <w:rFonts w:eastAsia="Calibri"/>
                <w:b/>
                <w:color w:val="auto"/>
                <w:sz w:val="18"/>
                <w:szCs w:val="18"/>
              </w:rPr>
              <w:t xml:space="preserve"> </w:t>
            </w:r>
          </w:p>
          <w:p w14:paraId="0CE26E63"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Implementation of risk-based inspection methodologies based on clear criteria and approved inspection plan</w:t>
            </w:r>
          </w:p>
          <w:p w14:paraId="65B1789F"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Baseline:   0 percent (2012)</w:t>
            </w:r>
          </w:p>
          <w:p w14:paraId="646D4F7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Target:    40 percent (2017)</w:t>
            </w:r>
          </w:p>
          <w:p w14:paraId="508F658C"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lastRenderedPageBreak/>
              <w:t xml:space="preserve">#  Reduction in </w:t>
            </w:r>
            <w:r w:rsidRPr="00BA050E">
              <w:rPr>
                <w:rFonts w:eastAsia="Calibri"/>
                <w:i/>
                <w:color w:val="auto"/>
                <w:sz w:val="18"/>
                <w:szCs w:val="18"/>
              </w:rPr>
              <w:t>ad-hoc</w:t>
            </w:r>
            <w:r w:rsidRPr="00BA050E">
              <w:rPr>
                <w:rFonts w:eastAsia="Calibri"/>
                <w:color w:val="auto"/>
                <w:sz w:val="18"/>
                <w:szCs w:val="18"/>
              </w:rPr>
              <w:t xml:space="preserve"> inspections from 100 percent (2012) to 7 percent (2017), using clear criteria for unplanned inspections. </w:t>
            </w:r>
          </w:p>
          <w:p w14:paraId="28377E5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100 percent of planned inspections published on e-Government Center’s website.</w:t>
            </w:r>
          </w:p>
          <w:p w14:paraId="73F7425F" w14:textId="77777777" w:rsidR="00B44D67" w:rsidRPr="00BA050E" w:rsidRDefault="00B44D67" w:rsidP="00241C66">
            <w:pPr>
              <w:spacing w:after="0" w:line="240" w:lineRule="auto"/>
              <w:ind w:left="0" w:right="0" w:firstLine="0"/>
              <w:rPr>
                <w:rFonts w:eastAsia="Calibri"/>
                <w:color w:val="auto"/>
                <w:sz w:val="18"/>
                <w:szCs w:val="18"/>
              </w:rPr>
            </w:pPr>
          </w:p>
          <w:p w14:paraId="6FBA2421"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t>Indicator 3</w:t>
            </w:r>
            <w:r w:rsidRPr="00BA050E">
              <w:rPr>
                <w:rFonts w:eastAsia="Calibri"/>
                <w:i/>
                <w:color w:val="auto"/>
                <w:sz w:val="18"/>
                <w:szCs w:val="18"/>
              </w:rPr>
              <w:t>:</w:t>
            </w:r>
            <w:r w:rsidRPr="00BA050E">
              <w:rPr>
                <w:rFonts w:eastAsia="Calibri"/>
                <w:color w:val="auto"/>
                <w:sz w:val="18"/>
                <w:szCs w:val="18"/>
              </w:rPr>
              <w:t xml:space="preserve"> Reduced number of permits and licenses</w:t>
            </w:r>
          </w:p>
          <w:p w14:paraId="5308FC4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xml:space="preserve">       Baseline: 416 (2015)</w:t>
            </w:r>
          </w:p>
          <w:p w14:paraId="1AC3E89F"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xml:space="preserve">       Target:    238 (2017)</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14:paraId="68BFDCA6"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lastRenderedPageBreak/>
              <w:t>Partially achieved</w:t>
            </w:r>
          </w:p>
          <w:p w14:paraId="2380B1AF" w14:textId="77777777" w:rsidR="00B44D67" w:rsidRPr="00BA050E" w:rsidRDefault="00B44D67" w:rsidP="00241C66">
            <w:pPr>
              <w:spacing w:after="0" w:line="240" w:lineRule="auto"/>
              <w:ind w:left="0" w:right="0" w:firstLine="0"/>
              <w:rPr>
                <w:rFonts w:eastAsia="Calibri"/>
                <w:b/>
                <w:color w:val="auto"/>
                <w:sz w:val="18"/>
                <w:szCs w:val="18"/>
              </w:rPr>
            </w:pPr>
          </w:p>
          <w:p w14:paraId="1B2D5733"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Per 2016 Cost of Doing Business, time spent by managers on regulatory compliance declined to 7.9 percent, slightly lower than the 2017 target.</w:t>
            </w:r>
          </w:p>
          <w:p w14:paraId="35770416" w14:textId="77777777" w:rsidR="00B44D67" w:rsidRPr="00BA050E" w:rsidRDefault="00B44D67" w:rsidP="00241C66">
            <w:pPr>
              <w:spacing w:after="0" w:line="240" w:lineRule="auto"/>
              <w:ind w:left="0" w:right="0" w:firstLine="0"/>
              <w:rPr>
                <w:rFonts w:eastAsia="Calibri"/>
                <w:b/>
                <w:color w:val="auto"/>
                <w:sz w:val="18"/>
                <w:szCs w:val="18"/>
              </w:rPr>
            </w:pPr>
          </w:p>
          <w:p w14:paraId="31E4A18D" w14:textId="77777777" w:rsidR="00B44D67" w:rsidRPr="00BA050E" w:rsidRDefault="00B44D67" w:rsidP="00241C66">
            <w:pPr>
              <w:spacing w:after="0" w:line="240" w:lineRule="auto"/>
              <w:ind w:left="0" w:right="0" w:firstLine="0"/>
              <w:rPr>
                <w:rFonts w:eastAsia="Calibri"/>
                <w:b/>
                <w:color w:val="auto"/>
                <w:sz w:val="18"/>
                <w:szCs w:val="18"/>
              </w:rPr>
            </w:pPr>
          </w:p>
          <w:p w14:paraId="2B1664B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Not achieved: </w:t>
            </w:r>
            <w:r w:rsidRPr="00BA050E">
              <w:rPr>
                <w:rFonts w:eastAsia="Calibri"/>
                <w:color w:val="auto"/>
                <w:sz w:val="18"/>
                <w:szCs w:val="18"/>
              </w:rPr>
              <w:t>Based on 2016 Legal and Institutional Review of Inspection Functions, most inspectorates still do not use risk criteria to target inspections, due partly to inadequate information systems and data reporting.</w:t>
            </w:r>
          </w:p>
          <w:p w14:paraId="152330DA" w14:textId="77777777" w:rsidR="00B44D67" w:rsidRPr="00BA050E" w:rsidRDefault="00B44D67" w:rsidP="00241C66">
            <w:pPr>
              <w:spacing w:after="0" w:line="240" w:lineRule="auto"/>
              <w:ind w:left="0" w:right="0" w:firstLine="0"/>
              <w:rPr>
                <w:rFonts w:eastAsia="Calibri"/>
                <w:color w:val="auto"/>
                <w:sz w:val="18"/>
                <w:szCs w:val="18"/>
              </w:rPr>
            </w:pPr>
          </w:p>
          <w:p w14:paraId="0215E9A6" w14:textId="77777777" w:rsidR="00B44D67" w:rsidRPr="00BA050E" w:rsidRDefault="00B44D67" w:rsidP="00241C66">
            <w:pPr>
              <w:spacing w:after="0" w:line="240" w:lineRule="auto"/>
              <w:ind w:left="0" w:right="0" w:firstLine="0"/>
              <w:rPr>
                <w:rFonts w:eastAsia="Calibri"/>
                <w:color w:val="auto"/>
                <w:sz w:val="18"/>
                <w:szCs w:val="18"/>
              </w:rPr>
            </w:pPr>
          </w:p>
          <w:p w14:paraId="1DB13F9A" w14:textId="77777777" w:rsidR="00B44D67" w:rsidRPr="00BA050E" w:rsidRDefault="00B44D67" w:rsidP="00241C66">
            <w:pPr>
              <w:spacing w:after="0" w:line="240" w:lineRule="auto"/>
              <w:ind w:left="0" w:right="0" w:firstLine="0"/>
              <w:rPr>
                <w:rFonts w:eastAsia="Calibri"/>
                <w:color w:val="auto"/>
                <w:sz w:val="18"/>
                <w:szCs w:val="18"/>
              </w:rPr>
            </w:pPr>
          </w:p>
          <w:p w14:paraId="33E1B690" w14:textId="77777777" w:rsidR="00B44D67" w:rsidRPr="00BA050E" w:rsidRDefault="00B44D67" w:rsidP="00241C66">
            <w:pPr>
              <w:spacing w:after="0" w:line="240" w:lineRule="auto"/>
              <w:ind w:left="0" w:right="0" w:firstLine="0"/>
              <w:rPr>
                <w:rFonts w:eastAsia="Calibri"/>
                <w:color w:val="auto"/>
                <w:sz w:val="18"/>
                <w:szCs w:val="18"/>
              </w:rPr>
            </w:pPr>
          </w:p>
          <w:p w14:paraId="752584F5" w14:textId="77777777" w:rsidR="00B44D67" w:rsidRPr="00BA050E" w:rsidRDefault="00B44D67" w:rsidP="00241C66">
            <w:pPr>
              <w:spacing w:after="0" w:line="240" w:lineRule="auto"/>
              <w:ind w:left="0" w:right="0" w:firstLine="0"/>
              <w:rPr>
                <w:rFonts w:eastAsia="Calibri"/>
                <w:b/>
                <w:color w:val="auto"/>
                <w:sz w:val="18"/>
                <w:szCs w:val="18"/>
              </w:rPr>
            </w:pPr>
          </w:p>
          <w:p w14:paraId="3B6A9241" w14:textId="77777777" w:rsidR="00B44D67" w:rsidRPr="00BA050E" w:rsidRDefault="00B44D67" w:rsidP="00241C66">
            <w:pPr>
              <w:spacing w:after="0" w:line="240" w:lineRule="auto"/>
              <w:ind w:left="0" w:right="0" w:firstLine="0"/>
              <w:rPr>
                <w:rFonts w:eastAsia="Calibri"/>
                <w:b/>
                <w:color w:val="auto"/>
                <w:sz w:val="18"/>
                <w:szCs w:val="18"/>
              </w:rPr>
            </w:pPr>
          </w:p>
          <w:p w14:paraId="0279AD25" w14:textId="77777777" w:rsidR="00B44D67" w:rsidRPr="00BA050E" w:rsidRDefault="00B44D67" w:rsidP="00241C66">
            <w:pPr>
              <w:spacing w:after="0" w:line="240" w:lineRule="auto"/>
              <w:ind w:left="0" w:right="0" w:firstLine="0"/>
              <w:rPr>
                <w:rFonts w:eastAsia="Calibri"/>
                <w:b/>
                <w:color w:val="auto"/>
                <w:sz w:val="18"/>
                <w:szCs w:val="18"/>
              </w:rPr>
            </w:pPr>
          </w:p>
          <w:p w14:paraId="10F41CA4" w14:textId="77777777" w:rsidR="00B44D67" w:rsidRPr="00BA050E" w:rsidRDefault="00B44D67" w:rsidP="00241C66">
            <w:pPr>
              <w:spacing w:after="0" w:line="240" w:lineRule="auto"/>
              <w:ind w:left="0" w:right="0" w:firstLine="0"/>
              <w:rPr>
                <w:rFonts w:eastAsia="Calibri"/>
                <w:b/>
                <w:color w:val="auto"/>
                <w:sz w:val="18"/>
                <w:szCs w:val="18"/>
              </w:rPr>
            </w:pPr>
          </w:p>
          <w:p w14:paraId="7FFB7BE5" w14:textId="77777777" w:rsidR="00B44D67" w:rsidRPr="00BA050E" w:rsidRDefault="00B44D67" w:rsidP="00241C66">
            <w:pPr>
              <w:spacing w:after="0" w:line="240" w:lineRule="auto"/>
              <w:ind w:left="0" w:right="0" w:firstLine="0"/>
              <w:rPr>
                <w:rFonts w:eastAsia="Calibri"/>
                <w:b/>
                <w:color w:val="auto"/>
                <w:sz w:val="18"/>
                <w:szCs w:val="18"/>
              </w:rPr>
            </w:pPr>
          </w:p>
          <w:p w14:paraId="6DCCF97F" w14:textId="77777777" w:rsidR="00B44D67" w:rsidRDefault="00B44D67" w:rsidP="00241C66">
            <w:pPr>
              <w:spacing w:after="0" w:line="240" w:lineRule="auto"/>
              <w:ind w:left="0" w:right="0" w:firstLine="0"/>
              <w:rPr>
                <w:rFonts w:eastAsia="Calibri"/>
                <w:b/>
                <w:color w:val="auto"/>
                <w:sz w:val="18"/>
                <w:szCs w:val="18"/>
              </w:rPr>
            </w:pPr>
          </w:p>
          <w:p w14:paraId="6B8C8055"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Partially achieved:</w:t>
            </w:r>
            <w:r w:rsidRPr="00BA050E">
              <w:rPr>
                <w:rFonts w:eastAsia="Calibri"/>
                <w:color w:val="auto"/>
                <w:sz w:val="18"/>
                <w:szCs w:val="18"/>
              </w:rPr>
              <w:t xml:space="preserve"> Following changes to law in July 2016, 110 permits eliminated, with remaining 306 permits to be reviewed and submitted to government &amp; parliament in 2017.</w:t>
            </w:r>
          </w:p>
        </w:tc>
        <w:tc>
          <w:tcPr>
            <w:tcW w:w="966" w:type="pct"/>
            <w:tcBorders>
              <w:top w:val="single" w:sz="4" w:space="0" w:color="auto"/>
              <w:left w:val="single" w:sz="4" w:space="0" w:color="auto"/>
              <w:bottom w:val="single" w:sz="4" w:space="0" w:color="auto"/>
              <w:right w:val="single" w:sz="4" w:space="0" w:color="auto"/>
            </w:tcBorders>
            <w:shd w:val="clear" w:color="auto" w:fill="FFFFFF"/>
          </w:tcPr>
          <w:p w14:paraId="08243F2F" w14:textId="77777777" w:rsidR="00B44D67" w:rsidRPr="00BA050E" w:rsidRDefault="00B44D67" w:rsidP="00241C66">
            <w:pPr>
              <w:spacing w:after="0" w:line="240" w:lineRule="auto"/>
              <w:ind w:left="0" w:right="0" w:firstLine="0"/>
              <w:jc w:val="left"/>
              <w:rPr>
                <w:rFonts w:eastAsia="Calibri"/>
                <w:b/>
                <w:color w:val="auto"/>
                <w:sz w:val="19"/>
                <w:szCs w:val="19"/>
              </w:rPr>
            </w:pPr>
            <w:r w:rsidRPr="00BA050E">
              <w:rPr>
                <w:rFonts w:eastAsia="Calibri"/>
                <w:b/>
                <w:color w:val="auto"/>
                <w:sz w:val="19"/>
                <w:szCs w:val="19"/>
              </w:rPr>
              <w:lastRenderedPageBreak/>
              <w:t xml:space="preserve">Ongoing: </w:t>
            </w:r>
          </w:p>
          <w:p w14:paraId="71989CC0" w14:textId="77777777" w:rsidR="00B44D67" w:rsidRPr="00BA050E" w:rsidRDefault="00B44D67" w:rsidP="00241C66">
            <w:pPr>
              <w:spacing w:after="0" w:line="240" w:lineRule="auto"/>
              <w:ind w:left="0" w:right="0" w:firstLine="0"/>
              <w:jc w:val="left"/>
              <w:rPr>
                <w:color w:val="auto"/>
                <w:sz w:val="19"/>
                <w:szCs w:val="19"/>
              </w:rPr>
            </w:pPr>
            <w:r w:rsidRPr="00BA050E">
              <w:rPr>
                <w:color w:val="auto"/>
                <w:sz w:val="19"/>
                <w:szCs w:val="19"/>
              </w:rPr>
              <w:t>2</w:t>
            </w:r>
            <w:r w:rsidRPr="00BA050E">
              <w:rPr>
                <w:color w:val="auto"/>
                <w:sz w:val="19"/>
                <w:szCs w:val="19"/>
                <w:vertAlign w:val="superscript"/>
              </w:rPr>
              <w:t>nd</w:t>
            </w:r>
            <w:r w:rsidRPr="00BA050E">
              <w:rPr>
                <w:color w:val="auto"/>
                <w:sz w:val="19"/>
                <w:szCs w:val="19"/>
              </w:rPr>
              <w:t xml:space="preserve"> Competitiveness Enhancement project (CEP-II</w:t>
            </w:r>
            <w:r w:rsidRPr="00526EAD">
              <w:rPr>
                <w:color w:val="auto"/>
                <w:sz w:val="19"/>
                <w:szCs w:val="19"/>
              </w:rPr>
              <w:t xml:space="preserve"> P144103</w:t>
            </w:r>
            <w:r w:rsidRPr="00BA050E">
              <w:rPr>
                <w:color w:val="auto"/>
                <w:sz w:val="19"/>
                <w:szCs w:val="19"/>
              </w:rPr>
              <w:t xml:space="preserve">) </w:t>
            </w:r>
          </w:p>
          <w:p w14:paraId="06C2782D" w14:textId="77777777" w:rsidR="00B44D67" w:rsidRPr="00E00411" w:rsidRDefault="00B44D67" w:rsidP="00241C66">
            <w:pPr>
              <w:spacing w:after="0" w:line="240" w:lineRule="auto"/>
              <w:ind w:left="0" w:right="0" w:firstLine="0"/>
              <w:jc w:val="left"/>
              <w:rPr>
                <w:color w:val="auto"/>
                <w:sz w:val="19"/>
                <w:szCs w:val="19"/>
              </w:rPr>
            </w:pPr>
            <w:r>
              <w:rPr>
                <w:rFonts w:eastAsia="Calibri"/>
                <w:color w:val="auto"/>
                <w:sz w:val="19"/>
                <w:szCs w:val="19"/>
              </w:rPr>
              <w:t xml:space="preserve">IFC ICR </w:t>
            </w:r>
            <w:r w:rsidRPr="00BA050E">
              <w:rPr>
                <w:rFonts w:eastAsia="Calibri"/>
                <w:color w:val="auto"/>
                <w:sz w:val="19"/>
                <w:szCs w:val="19"/>
              </w:rPr>
              <w:t>project</w:t>
            </w:r>
            <w:r>
              <w:rPr>
                <w:rFonts w:eastAsia="Calibri"/>
                <w:color w:val="auto"/>
                <w:sz w:val="19"/>
                <w:szCs w:val="19"/>
              </w:rPr>
              <w:t xml:space="preserve"> </w:t>
            </w:r>
            <w:r w:rsidRPr="00E00411">
              <w:rPr>
                <w:color w:val="auto"/>
                <w:sz w:val="19"/>
                <w:szCs w:val="19"/>
              </w:rPr>
              <w:t>(ICR 576047</w:t>
            </w:r>
            <w:r>
              <w:rPr>
                <w:color w:val="auto"/>
                <w:sz w:val="19"/>
                <w:szCs w:val="19"/>
              </w:rPr>
              <w:t xml:space="preserve"> inspections reform)</w:t>
            </w:r>
          </w:p>
          <w:p w14:paraId="6D8904BA" w14:textId="77777777" w:rsidR="00B44D67" w:rsidRPr="00E00411" w:rsidRDefault="00B44D67" w:rsidP="00241C66">
            <w:pPr>
              <w:spacing w:after="0" w:line="240" w:lineRule="auto"/>
              <w:ind w:left="0" w:right="0" w:firstLine="0"/>
              <w:jc w:val="left"/>
              <w:rPr>
                <w:color w:val="auto"/>
                <w:sz w:val="19"/>
                <w:szCs w:val="19"/>
              </w:rPr>
            </w:pPr>
          </w:p>
          <w:p w14:paraId="3C873E1E" w14:textId="77777777" w:rsidR="00B44D67" w:rsidRPr="00BA050E" w:rsidRDefault="00B44D67" w:rsidP="00241C66">
            <w:pPr>
              <w:spacing w:after="0" w:line="240" w:lineRule="auto"/>
              <w:ind w:left="0" w:right="0" w:firstLine="0"/>
              <w:jc w:val="left"/>
              <w:rPr>
                <w:rFonts w:eastAsia="Calibri"/>
                <w:b/>
                <w:color w:val="auto"/>
                <w:sz w:val="19"/>
                <w:szCs w:val="19"/>
              </w:rPr>
            </w:pPr>
            <w:r w:rsidRPr="00BA050E">
              <w:rPr>
                <w:rFonts w:eastAsia="Calibri"/>
                <w:b/>
                <w:color w:val="auto"/>
                <w:sz w:val="19"/>
                <w:szCs w:val="19"/>
              </w:rPr>
              <w:t>Partner</w:t>
            </w:r>
            <w:r>
              <w:rPr>
                <w:rFonts w:eastAsia="Calibri"/>
                <w:b/>
                <w:color w:val="auto"/>
                <w:sz w:val="19"/>
                <w:szCs w:val="19"/>
              </w:rPr>
              <w:t>s</w:t>
            </w:r>
            <w:r w:rsidRPr="00BA050E">
              <w:rPr>
                <w:rFonts w:eastAsia="Calibri"/>
                <w:b/>
                <w:color w:val="auto"/>
                <w:sz w:val="19"/>
                <w:szCs w:val="19"/>
              </w:rPr>
              <w:t>:</w:t>
            </w:r>
          </w:p>
          <w:p w14:paraId="2B66EA21"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color w:val="auto"/>
                <w:sz w:val="19"/>
                <w:szCs w:val="19"/>
              </w:rPr>
              <w:t>USAID</w:t>
            </w:r>
          </w:p>
        </w:tc>
        <w:tc>
          <w:tcPr>
            <w:tcW w:w="1380" w:type="pct"/>
            <w:tcBorders>
              <w:top w:val="single" w:sz="4" w:space="0" w:color="auto"/>
              <w:left w:val="single" w:sz="4" w:space="0" w:color="auto"/>
              <w:bottom w:val="single" w:sz="4" w:space="0" w:color="auto"/>
              <w:right w:val="single" w:sz="4" w:space="0" w:color="auto"/>
            </w:tcBorders>
            <w:shd w:val="clear" w:color="auto" w:fill="FFFFFF"/>
          </w:tcPr>
          <w:p w14:paraId="2630B6A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Appropriateness of indicators needs to be re-considered. For example, one, based on survey of perceptions, is subjective; and others, though based on reforms implemented during CPS, may not result in measurable improvements until after CPS period</w:t>
            </w:r>
            <w:r>
              <w:rPr>
                <w:rFonts w:eastAsia="Calibri"/>
                <w:color w:val="auto"/>
                <w:sz w:val="18"/>
                <w:szCs w:val="18"/>
              </w:rPr>
              <w:t>.</w:t>
            </w:r>
          </w:p>
        </w:tc>
      </w:tr>
      <w:tr w:rsidR="00B44D67" w:rsidRPr="00BA050E" w14:paraId="70C5DAB0" w14:textId="77777777" w:rsidTr="00241C66">
        <w:trPr>
          <w:trHeight w:val="1079"/>
        </w:trPr>
        <w:tc>
          <w:tcPr>
            <w:tcW w:w="1274" w:type="pct"/>
            <w:tcBorders>
              <w:top w:val="single" w:sz="4" w:space="0" w:color="auto"/>
              <w:left w:val="single" w:sz="4" w:space="0" w:color="auto"/>
              <w:bottom w:val="single" w:sz="4" w:space="0" w:color="auto"/>
              <w:right w:val="single" w:sz="4" w:space="0" w:color="auto"/>
            </w:tcBorders>
          </w:tcPr>
          <w:p w14:paraId="7449DC1C" w14:textId="77777777" w:rsidR="00B44D67" w:rsidRPr="00BA050E" w:rsidRDefault="00B44D67" w:rsidP="006D2153">
            <w:pPr>
              <w:numPr>
                <w:ilvl w:val="0"/>
                <w:numId w:val="29"/>
              </w:numPr>
              <w:spacing w:after="0" w:line="240" w:lineRule="auto"/>
              <w:ind w:left="245" w:right="0" w:hanging="216"/>
              <w:jc w:val="left"/>
              <w:rPr>
                <w:rFonts w:eastAsia="Calibri"/>
                <w:b/>
                <w:color w:val="auto"/>
                <w:sz w:val="18"/>
                <w:szCs w:val="18"/>
              </w:rPr>
            </w:pPr>
            <w:r w:rsidRPr="00BA050E">
              <w:rPr>
                <w:rFonts w:eastAsia="Calibri"/>
                <w:b/>
                <w:color w:val="auto"/>
                <w:sz w:val="18"/>
                <w:szCs w:val="18"/>
              </w:rPr>
              <w:t xml:space="preserve">Increase in </w:t>
            </w:r>
            <w:r w:rsidRPr="00BA050E">
              <w:rPr>
                <w:b/>
                <w:color w:val="auto"/>
                <w:sz w:val="18"/>
                <w:szCs w:val="18"/>
              </w:rPr>
              <w:t>business</w:t>
            </w:r>
            <w:r w:rsidRPr="00BA050E">
              <w:rPr>
                <w:rFonts w:eastAsia="Calibri"/>
                <w:b/>
                <w:color w:val="auto"/>
                <w:sz w:val="18"/>
                <w:szCs w:val="18"/>
              </w:rPr>
              <w:t xml:space="preserve"> development services to small and medium enterprises (SMEs) with WBG support. </w:t>
            </w:r>
          </w:p>
          <w:p w14:paraId="508E1216"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 xml:space="preserve">     Baseline:     0 (2013)</w:t>
            </w:r>
          </w:p>
          <w:p w14:paraId="7558AFD4"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 xml:space="preserve">     Target:    240 (2017)</w:t>
            </w:r>
          </w:p>
        </w:tc>
        <w:tc>
          <w:tcPr>
            <w:tcW w:w="1380" w:type="pct"/>
            <w:tcBorders>
              <w:top w:val="single" w:sz="4" w:space="0" w:color="auto"/>
              <w:left w:val="single" w:sz="4" w:space="0" w:color="auto"/>
              <w:bottom w:val="single" w:sz="4" w:space="0" w:color="auto"/>
              <w:right w:val="single" w:sz="4" w:space="0" w:color="auto"/>
            </w:tcBorders>
          </w:tcPr>
          <w:p w14:paraId="665E500C"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By end-2016, 522 business development services approved, of which 99 fully delivered, mostly due to: intensive outreach to SMEs, and matching grants program designed to meet SME needs.</w:t>
            </w:r>
          </w:p>
        </w:tc>
        <w:tc>
          <w:tcPr>
            <w:tcW w:w="966" w:type="pct"/>
            <w:tcBorders>
              <w:top w:val="single" w:sz="4" w:space="0" w:color="auto"/>
              <w:left w:val="single" w:sz="4" w:space="0" w:color="auto"/>
              <w:bottom w:val="single" w:sz="4" w:space="0" w:color="auto"/>
              <w:right w:val="single" w:sz="4" w:space="0" w:color="auto"/>
            </w:tcBorders>
          </w:tcPr>
          <w:p w14:paraId="4B31DC43"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color w:val="auto"/>
                <w:sz w:val="18"/>
                <w:szCs w:val="18"/>
              </w:rPr>
              <w:t>Ongoing:</w:t>
            </w:r>
          </w:p>
          <w:p w14:paraId="52DBD280"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CEP-II </w:t>
            </w:r>
            <w:r>
              <w:rPr>
                <w:color w:val="auto"/>
                <w:sz w:val="18"/>
                <w:szCs w:val="18"/>
              </w:rPr>
              <w:t>(</w:t>
            </w:r>
            <w:r w:rsidRPr="00526EAD">
              <w:rPr>
                <w:color w:val="auto"/>
                <w:sz w:val="19"/>
                <w:szCs w:val="19"/>
              </w:rPr>
              <w:t>P144103</w:t>
            </w:r>
            <w:r>
              <w:rPr>
                <w:color w:val="auto"/>
                <w:sz w:val="18"/>
                <w:szCs w:val="18"/>
              </w:rPr>
              <w:t>)</w:t>
            </w:r>
          </w:p>
          <w:p w14:paraId="5627625F" w14:textId="77777777" w:rsidR="00B44D67" w:rsidRPr="00BA050E" w:rsidRDefault="00B44D67" w:rsidP="00241C66">
            <w:pPr>
              <w:spacing w:after="0" w:line="240" w:lineRule="auto"/>
              <w:ind w:left="0" w:right="0" w:firstLine="0"/>
              <w:jc w:val="left"/>
              <w:rPr>
                <w:rFonts w:eastAsia="Calibri"/>
                <w:color w:val="auto"/>
                <w:sz w:val="18"/>
                <w:szCs w:val="18"/>
              </w:rPr>
            </w:pPr>
          </w:p>
          <w:p w14:paraId="3FF5C99A" w14:textId="77777777" w:rsidR="00B44D67" w:rsidRPr="00BA050E" w:rsidRDefault="00B44D67" w:rsidP="00241C66">
            <w:pPr>
              <w:spacing w:after="0" w:line="240" w:lineRule="auto"/>
              <w:ind w:left="0" w:right="0" w:firstLine="0"/>
              <w:rPr>
                <w:rFonts w:eastAsia="Calibri"/>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5343F2C9"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Matching grants were effective tool for out-reach: implementation unaffected by political instability and design reflected actual SME needs. Expansion of this type of intervention (size and scope) would help diversify economy, including exports.</w:t>
            </w:r>
          </w:p>
        </w:tc>
      </w:tr>
      <w:tr w:rsidR="00B44D67" w:rsidRPr="00BA050E" w14:paraId="1D34B569" w14:textId="77777777" w:rsidTr="00241C66">
        <w:tc>
          <w:tcPr>
            <w:tcW w:w="1274" w:type="pct"/>
            <w:tcBorders>
              <w:top w:val="single" w:sz="4" w:space="0" w:color="auto"/>
              <w:left w:val="single" w:sz="4" w:space="0" w:color="auto"/>
              <w:bottom w:val="single" w:sz="4" w:space="0" w:color="auto"/>
              <w:right w:val="single" w:sz="4" w:space="0" w:color="auto"/>
            </w:tcBorders>
          </w:tcPr>
          <w:p w14:paraId="716391B0" w14:textId="77777777" w:rsidR="00B44D67" w:rsidRPr="00BA050E" w:rsidRDefault="00B44D67" w:rsidP="006D2153">
            <w:pPr>
              <w:numPr>
                <w:ilvl w:val="0"/>
                <w:numId w:val="29"/>
              </w:numPr>
              <w:spacing w:after="0" w:line="240" w:lineRule="auto"/>
              <w:ind w:left="247" w:right="0" w:hanging="218"/>
              <w:jc w:val="left"/>
              <w:rPr>
                <w:b/>
                <w:color w:val="auto"/>
                <w:sz w:val="18"/>
                <w:szCs w:val="18"/>
              </w:rPr>
            </w:pPr>
            <w:r w:rsidRPr="00BA050E">
              <w:rPr>
                <w:b/>
                <w:color w:val="auto"/>
                <w:sz w:val="18"/>
                <w:szCs w:val="18"/>
              </w:rPr>
              <w:t>Improved private enterprises’ access to formal sources of finance.</w:t>
            </w:r>
          </w:p>
          <w:p w14:paraId="13D9019B" w14:textId="77777777" w:rsidR="00B44D67" w:rsidRPr="00BA050E" w:rsidRDefault="00B44D67" w:rsidP="00241C66">
            <w:pPr>
              <w:spacing w:after="0" w:line="240" w:lineRule="auto"/>
              <w:ind w:left="0" w:right="0" w:firstLine="0"/>
              <w:rPr>
                <w:i/>
                <w:color w:val="auto"/>
                <w:sz w:val="18"/>
                <w:szCs w:val="18"/>
              </w:rPr>
            </w:pPr>
            <w:r w:rsidRPr="00BA050E">
              <w:rPr>
                <w:b/>
                <w:i/>
                <w:color w:val="auto"/>
                <w:sz w:val="18"/>
                <w:szCs w:val="18"/>
              </w:rPr>
              <w:t>Indicator:</w:t>
            </w:r>
            <w:r w:rsidRPr="00BA050E">
              <w:rPr>
                <w:i/>
                <w:color w:val="auto"/>
                <w:sz w:val="18"/>
                <w:szCs w:val="18"/>
              </w:rPr>
              <w:t xml:space="preserve"> </w:t>
            </w:r>
            <w:r w:rsidRPr="00BA050E">
              <w:rPr>
                <w:color w:val="auto"/>
                <w:sz w:val="18"/>
                <w:szCs w:val="18"/>
              </w:rPr>
              <w:t>By 2017, 15% increase in private sector credit as share of GDP compared to 2013</w:t>
            </w:r>
          </w:p>
          <w:p w14:paraId="071F43BF" w14:textId="77777777" w:rsidR="00B44D67" w:rsidRPr="00BA050E" w:rsidRDefault="00B44D67" w:rsidP="00241C66">
            <w:pPr>
              <w:spacing w:after="0" w:line="240" w:lineRule="auto"/>
              <w:ind w:left="0" w:right="0" w:firstLine="0"/>
              <w:rPr>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55769ED9"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Not achieved: </w:t>
            </w:r>
            <w:r w:rsidRPr="00BA050E">
              <w:rPr>
                <w:rFonts w:eastAsia="Calibri"/>
                <w:color w:val="auto"/>
                <w:sz w:val="18"/>
                <w:szCs w:val="18"/>
              </w:rPr>
              <w:t>By end-September 2016, private sector credit was 41.4%, compared to 42.4% in 2013 (after falling to 35% in 2015). Access to finance was constrained due to macro- micro- impact of bank fraud:</w:t>
            </w:r>
          </w:p>
          <w:p w14:paraId="42B8C7F8" w14:textId="77777777" w:rsidR="00B44D67" w:rsidRPr="00BA050E" w:rsidRDefault="00B44D67" w:rsidP="006D2153">
            <w:pPr>
              <w:numPr>
                <w:ilvl w:val="0"/>
                <w:numId w:val="32"/>
              </w:numPr>
              <w:spacing w:after="0" w:line="240" w:lineRule="auto"/>
              <w:ind w:left="360" w:right="0"/>
              <w:jc w:val="left"/>
              <w:rPr>
                <w:rFonts w:eastAsia="Calibri"/>
                <w:color w:val="auto"/>
                <w:sz w:val="18"/>
                <w:szCs w:val="18"/>
              </w:rPr>
            </w:pPr>
            <w:r w:rsidRPr="00BA050E">
              <w:rPr>
                <w:rFonts w:eastAsia="Calibri"/>
                <w:color w:val="auto"/>
                <w:sz w:val="18"/>
                <w:szCs w:val="18"/>
              </w:rPr>
              <w:t>Tighter monetary policy raised base rate and sterilized liquidity;</w:t>
            </w:r>
          </w:p>
          <w:p w14:paraId="45DC4677" w14:textId="77777777" w:rsidR="00B44D67" w:rsidRPr="00BA050E" w:rsidRDefault="00B44D67" w:rsidP="006D2153">
            <w:pPr>
              <w:numPr>
                <w:ilvl w:val="0"/>
                <w:numId w:val="32"/>
              </w:numPr>
              <w:spacing w:after="0" w:line="240" w:lineRule="auto"/>
              <w:ind w:left="360" w:right="0"/>
              <w:jc w:val="left"/>
              <w:rPr>
                <w:rFonts w:eastAsia="Calibri"/>
                <w:color w:val="auto"/>
                <w:sz w:val="18"/>
                <w:szCs w:val="18"/>
              </w:rPr>
            </w:pPr>
            <w:r w:rsidRPr="00BA050E">
              <w:rPr>
                <w:rFonts w:eastAsia="Calibri"/>
                <w:color w:val="auto"/>
                <w:sz w:val="18"/>
                <w:szCs w:val="18"/>
              </w:rPr>
              <w:t>National currency depreciated;</w:t>
            </w:r>
          </w:p>
          <w:p w14:paraId="2E88271C" w14:textId="77777777" w:rsidR="00B44D67" w:rsidRPr="00BA050E" w:rsidRDefault="00B44D67" w:rsidP="006D2153">
            <w:pPr>
              <w:numPr>
                <w:ilvl w:val="0"/>
                <w:numId w:val="32"/>
              </w:numPr>
              <w:spacing w:after="0" w:line="240" w:lineRule="auto"/>
              <w:ind w:left="360" w:right="0"/>
              <w:jc w:val="left"/>
              <w:rPr>
                <w:rFonts w:eastAsia="Calibri"/>
                <w:color w:val="auto"/>
                <w:sz w:val="18"/>
                <w:szCs w:val="18"/>
              </w:rPr>
            </w:pPr>
            <w:r w:rsidRPr="00BA050E">
              <w:rPr>
                <w:rFonts w:eastAsia="Calibri"/>
                <w:color w:val="auto"/>
                <w:sz w:val="18"/>
                <w:szCs w:val="18"/>
              </w:rPr>
              <w:t>Number of access points reduced, as branches of liquidated banks closed.</w:t>
            </w:r>
          </w:p>
        </w:tc>
        <w:tc>
          <w:tcPr>
            <w:tcW w:w="966" w:type="pct"/>
            <w:tcBorders>
              <w:top w:val="single" w:sz="4" w:space="0" w:color="auto"/>
              <w:left w:val="single" w:sz="4" w:space="0" w:color="auto"/>
              <w:right w:val="single" w:sz="4" w:space="0" w:color="auto"/>
            </w:tcBorders>
          </w:tcPr>
          <w:p w14:paraId="38513BE2" w14:textId="77777777" w:rsidR="00B44D67" w:rsidRPr="003E379F" w:rsidRDefault="00B44D67" w:rsidP="00241C66">
            <w:pPr>
              <w:pStyle w:val="CommentText"/>
              <w:spacing w:after="0"/>
              <w:ind w:right="-20"/>
              <w:rPr>
                <w:b/>
                <w:color w:val="auto"/>
                <w:sz w:val="18"/>
                <w:szCs w:val="18"/>
              </w:rPr>
            </w:pPr>
            <w:r w:rsidRPr="003E379F">
              <w:rPr>
                <w:b/>
                <w:color w:val="auto"/>
                <w:sz w:val="18"/>
                <w:szCs w:val="18"/>
              </w:rPr>
              <w:t>Ongoing:</w:t>
            </w:r>
          </w:p>
          <w:p w14:paraId="1F73175C" w14:textId="77777777" w:rsidR="00B44D67" w:rsidRPr="00BA050E" w:rsidRDefault="00B44D67" w:rsidP="00241C66">
            <w:pPr>
              <w:pStyle w:val="CommentText"/>
              <w:spacing w:after="0"/>
              <w:ind w:right="-20"/>
              <w:jc w:val="left"/>
              <w:rPr>
                <w:color w:val="auto"/>
                <w:sz w:val="18"/>
                <w:szCs w:val="18"/>
              </w:rPr>
            </w:pPr>
            <w:r w:rsidRPr="00BA050E">
              <w:rPr>
                <w:color w:val="auto"/>
                <w:sz w:val="18"/>
                <w:szCs w:val="18"/>
              </w:rPr>
              <w:t xml:space="preserve">CEP-II </w:t>
            </w:r>
            <w:r>
              <w:rPr>
                <w:color w:val="auto"/>
                <w:sz w:val="18"/>
                <w:szCs w:val="18"/>
              </w:rPr>
              <w:t>(</w:t>
            </w:r>
            <w:r w:rsidRPr="003E379F">
              <w:rPr>
                <w:color w:val="auto"/>
                <w:sz w:val="18"/>
                <w:szCs w:val="18"/>
              </w:rPr>
              <w:t>P144103</w:t>
            </w:r>
            <w:r>
              <w:rPr>
                <w:color w:val="auto"/>
                <w:sz w:val="18"/>
                <w:szCs w:val="18"/>
              </w:rPr>
              <w:t>)</w:t>
            </w:r>
          </w:p>
          <w:p w14:paraId="1D53D820" w14:textId="77777777" w:rsidR="00B44D67" w:rsidRDefault="00B44D67" w:rsidP="00241C66">
            <w:pPr>
              <w:pStyle w:val="CommentText"/>
              <w:spacing w:after="0"/>
              <w:ind w:right="-20"/>
              <w:jc w:val="left"/>
              <w:rPr>
                <w:color w:val="auto"/>
                <w:sz w:val="18"/>
                <w:szCs w:val="18"/>
              </w:rPr>
            </w:pPr>
            <w:r w:rsidRPr="00BA050E">
              <w:rPr>
                <w:color w:val="auto"/>
                <w:sz w:val="18"/>
                <w:szCs w:val="18"/>
              </w:rPr>
              <w:t>IFC advice on financial sector regulation</w:t>
            </w:r>
          </w:p>
          <w:p w14:paraId="349703D7" w14:textId="77777777" w:rsidR="00B44D67" w:rsidRPr="00DD6239" w:rsidRDefault="00B44D67" w:rsidP="00241C66">
            <w:pPr>
              <w:pStyle w:val="CommentText"/>
              <w:spacing w:after="0"/>
              <w:ind w:right="-20"/>
              <w:jc w:val="left"/>
              <w:rPr>
                <w:color w:val="auto"/>
                <w:sz w:val="18"/>
                <w:szCs w:val="18"/>
              </w:rPr>
            </w:pPr>
            <w:r w:rsidRPr="00DD6239">
              <w:rPr>
                <w:color w:val="auto"/>
                <w:sz w:val="18"/>
                <w:szCs w:val="18"/>
              </w:rPr>
              <w:t>Information reported by the following clients</w:t>
            </w:r>
            <w:r>
              <w:rPr>
                <w:color w:val="auto"/>
                <w:sz w:val="18"/>
                <w:szCs w:val="18"/>
              </w:rPr>
              <w:t>:</w:t>
            </w:r>
            <w:r w:rsidRPr="00DD6239">
              <w:rPr>
                <w:color w:val="auto"/>
                <w:sz w:val="18"/>
                <w:szCs w:val="18"/>
              </w:rPr>
              <w:t xml:space="preserve"> </w:t>
            </w:r>
          </w:p>
          <w:p w14:paraId="207B1C22" w14:textId="77777777" w:rsidR="00B44D67" w:rsidRPr="00DD6239" w:rsidRDefault="00B44D67" w:rsidP="00241C66">
            <w:pPr>
              <w:pStyle w:val="CommentText"/>
              <w:spacing w:after="0"/>
              <w:ind w:right="-20"/>
              <w:jc w:val="left"/>
              <w:rPr>
                <w:color w:val="auto"/>
                <w:sz w:val="18"/>
                <w:szCs w:val="18"/>
              </w:rPr>
            </w:pPr>
            <w:r w:rsidRPr="00DD6239">
              <w:rPr>
                <w:color w:val="auto"/>
                <w:sz w:val="18"/>
                <w:szCs w:val="18"/>
              </w:rPr>
              <w:t>518335</w:t>
            </w:r>
            <w:r>
              <w:rPr>
                <w:color w:val="auto"/>
                <w:sz w:val="18"/>
                <w:szCs w:val="18"/>
              </w:rPr>
              <w:t xml:space="preserve">, </w:t>
            </w:r>
            <w:r w:rsidRPr="00DD6239">
              <w:rPr>
                <w:color w:val="auto"/>
                <w:sz w:val="18"/>
                <w:szCs w:val="18"/>
              </w:rPr>
              <w:t>629306</w:t>
            </w:r>
            <w:r>
              <w:rPr>
                <w:color w:val="auto"/>
                <w:sz w:val="18"/>
                <w:szCs w:val="18"/>
              </w:rPr>
              <w:t xml:space="preserve">, </w:t>
            </w:r>
            <w:r w:rsidRPr="00DD6239">
              <w:rPr>
                <w:color w:val="auto"/>
                <w:sz w:val="18"/>
                <w:szCs w:val="18"/>
              </w:rPr>
              <w:t>631849</w:t>
            </w:r>
            <w:r>
              <w:rPr>
                <w:color w:val="auto"/>
                <w:sz w:val="18"/>
                <w:szCs w:val="18"/>
              </w:rPr>
              <w:t xml:space="preserve"> (DOTS system)</w:t>
            </w:r>
          </w:p>
          <w:p w14:paraId="2DF313B4" w14:textId="77777777" w:rsidR="00B44D67" w:rsidRPr="00297E85" w:rsidRDefault="00B44D67" w:rsidP="00241C66">
            <w:pPr>
              <w:pStyle w:val="CommentText"/>
              <w:spacing w:after="0"/>
              <w:ind w:right="-20"/>
              <w:jc w:val="left"/>
              <w:rPr>
                <w:color w:val="auto"/>
                <w:sz w:val="18"/>
                <w:szCs w:val="18"/>
              </w:rPr>
            </w:pPr>
            <w:r>
              <w:rPr>
                <w:color w:val="auto"/>
                <w:sz w:val="18"/>
                <w:szCs w:val="18"/>
              </w:rPr>
              <w:t>BAFI project</w:t>
            </w:r>
          </w:p>
          <w:p w14:paraId="6147A194" w14:textId="77777777" w:rsidR="00B44D67" w:rsidRPr="00DD6239" w:rsidRDefault="00B44D67" w:rsidP="00241C66">
            <w:pPr>
              <w:pStyle w:val="CommentText"/>
              <w:spacing w:after="0"/>
              <w:ind w:right="-20"/>
              <w:jc w:val="left"/>
              <w:rPr>
                <w:color w:val="auto"/>
                <w:sz w:val="18"/>
                <w:szCs w:val="18"/>
              </w:rPr>
            </w:pPr>
          </w:p>
          <w:p w14:paraId="140E85A8" w14:textId="77777777" w:rsidR="00B44D67" w:rsidRPr="003E379F" w:rsidRDefault="00B44D67" w:rsidP="00241C66">
            <w:pPr>
              <w:pStyle w:val="CommentText"/>
              <w:spacing w:after="0"/>
              <w:ind w:right="-20"/>
              <w:jc w:val="left"/>
              <w:rPr>
                <w:b/>
                <w:color w:val="auto"/>
                <w:sz w:val="18"/>
                <w:szCs w:val="18"/>
              </w:rPr>
            </w:pPr>
            <w:r w:rsidRPr="003E379F">
              <w:rPr>
                <w:b/>
                <w:color w:val="auto"/>
                <w:sz w:val="18"/>
                <w:szCs w:val="18"/>
              </w:rPr>
              <w:t>Pipeline:</w:t>
            </w:r>
          </w:p>
          <w:p w14:paraId="0C2A3E2C" w14:textId="77777777" w:rsidR="00B44D67" w:rsidRPr="00DD6239" w:rsidRDefault="00B44D67" w:rsidP="00241C66">
            <w:pPr>
              <w:pStyle w:val="CommentText"/>
              <w:spacing w:after="0"/>
              <w:ind w:right="-20"/>
              <w:jc w:val="left"/>
              <w:rPr>
                <w:color w:val="auto"/>
                <w:sz w:val="18"/>
                <w:szCs w:val="18"/>
              </w:rPr>
            </w:pPr>
            <w:r w:rsidRPr="00BA050E">
              <w:rPr>
                <w:color w:val="auto"/>
                <w:sz w:val="18"/>
                <w:szCs w:val="18"/>
              </w:rPr>
              <w:t xml:space="preserve">DPO-2 </w:t>
            </w:r>
            <w:r>
              <w:rPr>
                <w:color w:val="auto"/>
                <w:sz w:val="18"/>
                <w:szCs w:val="18"/>
              </w:rPr>
              <w:t>(</w:t>
            </w:r>
            <w:r w:rsidRPr="003E379F">
              <w:rPr>
                <w:color w:val="auto"/>
                <w:sz w:val="18"/>
                <w:szCs w:val="18"/>
              </w:rPr>
              <w:t>P149555</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4B9FE40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Access to finance needs to receive attention in next CPF because it risks again becoming main constraint to private firms’ development. Banks are main source of private sector credit (microfinance credit/GDP is 2%), so continued support for banking system reforms is crucial.</w:t>
            </w:r>
          </w:p>
          <w:p w14:paraId="4FFC4D77"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IFC investments in financial institutions helped increase their outreach to SMEs. In 2014, IFC clients provided loans to 3,300 SMEs and had outstanding loan portfolio of US$ 260 million</w:t>
            </w:r>
          </w:p>
        </w:tc>
      </w:tr>
      <w:tr w:rsidR="00B44D67" w:rsidRPr="00BA050E" w14:paraId="343C7E73" w14:textId="77777777" w:rsidTr="00241C66">
        <w:trPr>
          <w:trHeight w:val="810"/>
        </w:trPr>
        <w:tc>
          <w:tcPr>
            <w:tcW w:w="1274" w:type="pct"/>
            <w:tcBorders>
              <w:top w:val="single" w:sz="4" w:space="0" w:color="auto"/>
              <w:left w:val="single" w:sz="4" w:space="0" w:color="auto"/>
              <w:bottom w:val="single" w:sz="4" w:space="0" w:color="auto"/>
              <w:right w:val="single" w:sz="4" w:space="0" w:color="auto"/>
            </w:tcBorders>
          </w:tcPr>
          <w:p w14:paraId="0A203532" w14:textId="77777777" w:rsidR="00B44D67" w:rsidRPr="00BA050E" w:rsidRDefault="00B44D67" w:rsidP="006D2153">
            <w:pPr>
              <w:numPr>
                <w:ilvl w:val="0"/>
                <w:numId w:val="29"/>
              </w:numPr>
              <w:spacing w:after="0" w:line="240" w:lineRule="auto"/>
              <w:ind w:left="247" w:right="0" w:hanging="218"/>
              <w:jc w:val="left"/>
              <w:rPr>
                <w:b/>
                <w:color w:val="auto"/>
                <w:sz w:val="18"/>
                <w:szCs w:val="18"/>
              </w:rPr>
            </w:pPr>
            <w:r w:rsidRPr="00BA050E">
              <w:rPr>
                <w:b/>
                <w:color w:val="auto"/>
                <w:sz w:val="18"/>
                <w:szCs w:val="18"/>
              </w:rPr>
              <w:t xml:space="preserve">Capital market continues to be strengthened to facilitate increased access to finance. </w:t>
            </w:r>
          </w:p>
          <w:p w14:paraId="10A56D8C"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1</w:t>
            </w:r>
            <w:r w:rsidRPr="00BA050E">
              <w:rPr>
                <w:i/>
                <w:color w:val="auto"/>
                <w:sz w:val="18"/>
                <w:szCs w:val="18"/>
              </w:rPr>
              <w:t xml:space="preserve">: </w:t>
            </w:r>
            <w:r w:rsidRPr="00BA050E">
              <w:rPr>
                <w:color w:val="auto"/>
                <w:sz w:val="18"/>
                <w:szCs w:val="18"/>
              </w:rPr>
              <w:t>Government bonds listed on stock exchange</w:t>
            </w:r>
          </w:p>
          <w:p w14:paraId="3568580C"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Baseline: 0 (2012) </w:t>
            </w:r>
          </w:p>
          <w:p w14:paraId="7F068312"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Target:    By 2017, government bonds with &gt;</w:t>
            </w:r>
            <w:proofErr w:type="gramStart"/>
            <w:r w:rsidRPr="00BA050E">
              <w:rPr>
                <w:color w:val="auto"/>
                <w:sz w:val="18"/>
                <w:szCs w:val="18"/>
              </w:rPr>
              <w:t>1 year</w:t>
            </w:r>
            <w:proofErr w:type="gramEnd"/>
            <w:r w:rsidRPr="00BA050E">
              <w:rPr>
                <w:color w:val="auto"/>
                <w:sz w:val="18"/>
                <w:szCs w:val="18"/>
              </w:rPr>
              <w:t xml:space="preserve"> maturity traded on stock exchange</w:t>
            </w:r>
          </w:p>
          <w:p w14:paraId="37DF4B04"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 </w:t>
            </w:r>
          </w:p>
          <w:p w14:paraId="0C4DAD80"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2</w:t>
            </w:r>
            <w:r w:rsidRPr="00BA050E">
              <w:rPr>
                <w:i/>
                <w:color w:val="auto"/>
                <w:sz w:val="18"/>
                <w:szCs w:val="18"/>
              </w:rPr>
              <w:t>:</w:t>
            </w:r>
            <w:r w:rsidRPr="00BA050E">
              <w:rPr>
                <w:color w:val="auto"/>
                <w:sz w:val="18"/>
                <w:szCs w:val="18"/>
              </w:rPr>
              <w:t xml:space="preserve"> Number of known insolvent banks subject to regulatory forbearance</w:t>
            </w:r>
          </w:p>
          <w:p w14:paraId="1B05C133"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3 insolvent banks still operating</w:t>
            </w:r>
          </w:p>
          <w:p w14:paraId="46D16FC2"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Target:    0 (these banks’ licenses with-drawn and liquidation initiated)</w:t>
            </w:r>
          </w:p>
          <w:p w14:paraId="6BB94216" w14:textId="77777777" w:rsidR="00B44D67" w:rsidRPr="00BA050E" w:rsidRDefault="00B44D67" w:rsidP="00241C66">
            <w:pPr>
              <w:spacing w:after="0" w:line="240" w:lineRule="auto"/>
              <w:ind w:left="0" w:right="0" w:firstLine="0"/>
              <w:jc w:val="left"/>
              <w:rPr>
                <w:color w:val="auto"/>
                <w:sz w:val="18"/>
                <w:szCs w:val="18"/>
              </w:rPr>
            </w:pPr>
          </w:p>
          <w:p w14:paraId="3D293350"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3</w:t>
            </w:r>
            <w:r w:rsidRPr="00BA050E">
              <w:rPr>
                <w:i/>
                <w:color w:val="auto"/>
                <w:sz w:val="18"/>
                <w:szCs w:val="18"/>
              </w:rPr>
              <w:t>:</w:t>
            </w:r>
            <w:r w:rsidRPr="00BA050E">
              <w:rPr>
                <w:color w:val="auto"/>
                <w:sz w:val="18"/>
                <w:szCs w:val="18"/>
              </w:rPr>
              <w:t xml:space="preserve"> Number of at-risk banks subject to special diagnostic audits and/or restructuring</w:t>
            </w:r>
          </w:p>
          <w:p w14:paraId="70A25E80"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0</w:t>
            </w:r>
          </w:p>
          <w:p w14:paraId="2010378F"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Target:  3 banks’ audits and time-bound restructuring plans adopted and initiated</w:t>
            </w:r>
          </w:p>
          <w:p w14:paraId="29302186" w14:textId="77777777" w:rsidR="00B44D67" w:rsidRPr="00BA050E" w:rsidRDefault="00B44D67" w:rsidP="00241C66">
            <w:pPr>
              <w:spacing w:after="0" w:line="240" w:lineRule="auto"/>
              <w:ind w:left="0" w:right="0" w:firstLine="0"/>
              <w:jc w:val="left"/>
              <w:rPr>
                <w:b/>
                <w:i/>
                <w:color w:val="auto"/>
                <w:sz w:val="18"/>
                <w:szCs w:val="18"/>
              </w:rPr>
            </w:pPr>
          </w:p>
          <w:p w14:paraId="3682CA7A"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4</w:t>
            </w:r>
            <w:r w:rsidRPr="00BA050E">
              <w:rPr>
                <w:i/>
                <w:color w:val="auto"/>
                <w:sz w:val="18"/>
                <w:szCs w:val="18"/>
              </w:rPr>
              <w:t>:</w:t>
            </w:r>
            <w:r w:rsidRPr="00BA050E">
              <w:rPr>
                <w:color w:val="auto"/>
                <w:sz w:val="18"/>
                <w:szCs w:val="18"/>
              </w:rPr>
              <w:t xml:space="preserve"> Better legal framework for timely intervention in distressed banks</w:t>
            </w:r>
          </w:p>
          <w:p w14:paraId="529E7805"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 xml:space="preserve">Baseline: NBM regulations delayed by </w:t>
            </w:r>
            <w:proofErr w:type="spellStart"/>
            <w:r w:rsidRPr="00BA050E">
              <w:rPr>
                <w:color w:val="auto"/>
                <w:sz w:val="18"/>
                <w:szCs w:val="18"/>
              </w:rPr>
              <w:t>MoJ</w:t>
            </w:r>
            <w:proofErr w:type="spellEnd"/>
            <w:r w:rsidRPr="00BA050E">
              <w:rPr>
                <w:color w:val="auto"/>
                <w:sz w:val="18"/>
                <w:szCs w:val="18"/>
              </w:rPr>
              <w:t xml:space="preserve"> approval process and NBM staff lack immunity for duties carried out in good faith</w:t>
            </w:r>
          </w:p>
          <w:p w14:paraId="246F3F85" w14:textId="77777777" w:rsidR="00B44D67" w:rsidRPr="00BA050E" w:rsidRDefault="00B44D67" w:rsidP="00241C66">
            <w:pPr>
              <w:spacing w:after="0" w:line="240" w:lineRule="auto"/>
              <w:ind w:left="0" w:right="0" w:firstLine="0"/>
              <w:rPr>
                <w:rFonts w:eastAsia="Calibri"/>
                <w:b/>
                <w:color w:val="auto"/>
                <w:sz w:val="18"/>
                <w:szCs w:val="18"/>
              </w:rPr>
            </w:pPr>
            <w:r w:rsidRPr="00BA050E">
              <w:rPr>
                <w:color w:val="auto"/>
                <w:sz w:val="18"/>
                <w:szCs w:val="18"/>
              </w:rPr>
              <w:t xml:space="preserve">Target:  Legal changes eliminate </w:t>
            </w:r>
            <w:proofErr w:type="spellStart"/>
            <w:r w:rsidRPr="00BA050E">
              <w:rPr>
                <w:color w:val="auto"/>
                <w:sz w:val="18"/>
                <w:szCs w:val="18"/>
              </w:rPr>
              <w:t>MoJ</w:t>
            </w:r>
            <w:proofErr w:type="spellEnd"/>
            <w:r w:rsidRPr="00BA050E">
              <w:rPr>
                <w:color w:val="auto"/>
                <w:sz w:val="18"/>
                <w:szCs w:val="18"/>
              </w:rPr>
              <w:t xml:space="preserve"> power to delay registration of NBM regulations, and confer immunity to NBM staff for duties carried out in good faith.</w:t>
            </w:r>
          </w:p>
        </w:tc>
        <w:tc>
          <w:tcPr>
            <w:tcW w:w="1380" w:type="pct"/>
            <w:tcBorders>
              <w:top w:val="single" w:sz="4" w:space="0" w:color="auto"/>
              <w:left w:val="single" w:sz="4" w:space="0" w:color="auto"/>
              <w:bottom w:val="single" w:sz="4" w:space="0" w:color="auto"/>
              <w:right w:val="single" w:sz="4" w:space="0" w:color="auto"/>
            </w:tcBorders>
          </w:tcPr>
          <w:p w14:paraId="5AE493C7"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lastRenderedPageBreak/>
              <w:t>Mostly achieved</w:t>
            </w:r>
          </w:p>
          <w:p w14:paraId="0E06178E" w14:textId="77777777" w:rsidR="00B44D67" w:rsidRPr="00BA050E" w:rsidRDefault="00B44D67" w:rsidP="00241C66">
            <w:pPr>
              <w:spacing w:after="0" w:line="240" w:lineRule="auto"/>
              <w:ind w:left="0" w:right="0" w:firstLine="0"/>
              <w:rPr>
                <w:rFonts w:eastAsia="Calibri"/>
                <w:color w:val="auto"/>
                <w:sz w:val="18"/>
                <w:szCs w:val="18"/>
              </w:rPr>
            </w:pPr>
          </w:p>
          <w:p w14:paraId="1AC26965" w14:textId="77777777" w:rsidR="00B44D67" w:rsidRPr="00BA050E" w:rsidRDefault="00B44D67" w:rsidP="00241C66">
            <w:pPr>
              <w:spacing w:after="0" w:line="240" w:lineRule="auto"/>
              <w:ind w:left="0" w:right="0" w:firstLine="0"/>
              <w:rPr>
                <w:rFonts w:eastAsia="Calibri"/>
                <w:b/>
                <w:color w:val="auto"/>
                <w:sz w:val="18"/>
                <w:szCs w:val="18"/>
              </w:rPr>
            </w:pPr>
          </w:p>
          <w:p w14:paraId="2F52141F"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Not achieved:</w:t>
            </w:r>
            <w:r w:rsidRPr="00BA050E">
              <w:rPr>
                <w:rFonts w:eastAsia="Calibri"/>
                <w:color w:val="auto"/>
                <w:sz w:val="18"/>
                <w:szCs w:val="18"/>
              </w:rPr>
              <w:t xml:space="preserve"> Centralized Securities Depository (CSD) created, NBM, but trading of government bonds will only begin when CSD is fully functional. </w:t>
            </w:r>
          </w:p>
          <w:p w14:paraId="7ADAA739" w14:textId="77777777" w:rsidR="00B44D67" w:rsidRPr="00BA050E" w:rsidRDefault="00B44D67" w:rsidP="00241C66">
            <w:pPr>
              <w:spacing w:after="0" w:line="240" w:lineRule="auto"/>
              <w:ind w:left="0" w:right="0" w:firstLine="0"/>
              <w:rPr>
                <w:rFonts w:eastAsia="Calibri"/>
                <w:b/>
                <w:color w:val="auto"/>
                <w:sz w:val="18"/>
                <w:szCs w:val="18"/>
              </w:rPr>
            </w:pPr>
          </w:p>
          <w:p w14:paraId="314E3E3A" w14:textId="77777777" w:rsidR="00B44D67" w:rsidRPr="00BA050E" w:rsidRDefault="00B44D67" w:rsidP="00241C66">
            <w:pPr>
              <w:spacing w:after="0" w:line="240" w:lineRule="auto"/>
              <w:ind w:left="0" w:right="0" w:firstLine="0"/>
              <w:rPr>
                <w:rFonts w:eastAsia="Calibri"/>
                <w:b/>
                <w:color w:val="auto"/>
                <w:sz w:val="18"/>
                <w:szCs w:val="18"/>
              </w:rPr>
            </w:pPr>
          </w:p>
          <w:p w14:paraId="21B60F1D"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In October 2015, 3 banks (BEM, Unibank, and Banca Sociala) placed into liquidation. After special audits of 3 more, 2 now under special supervision, while 3</w:t>
            </w:r>
            <w:r w:rsidRPr="00BA050E">
              <w:rPr>
                <w:rFonts w:eastAsia="Calibri"/>
                <w:color w:val="auto"/>
                <w:sz w:val="18"/>
                <w:szCs w:val="18"/>
                <w:vertAlign w:val="superscript"/>
              </w:rPr>
              <w:t>rd</w:t>
            </w:r>
            <w:r w:rsidRPr="00BA050E">
              <w:rPr>
                <w:rFonts w:eastAsia="Calibri"/>
                <w:color w:val="auto"/>
                <w:sz w:val="18"/>
                <w:szCs w:val="18"/>
              </w:rPr>
              <w:t xml:space="preserve"> under stronger “early intervention” regime.</w:t>
            </w:r>
          </w:p>
          <w:p w14:paraId="606E8F6B" w14:textId="77777777" w:rsidR="00B44D67" w:rsidRPr="00BA050E" w:rsidRDefault="00B44D67" w:rsidP="00241C66">
            <w:pPr>
              <w:spacing w:after="0" w:line="240" w:lineRule="auto"/>
              <w:ind w:left="0" w:right="0" w:firstLine="0"/>
              <w:rPr>
                <w:rFonts w:eastAsia="Calibri"/>
                <w:b/>
                <w:color w:val="auto"/>
                <w:sz w:val="18"/>
                <w:szCs w:val="18"/>
              </w:rPr>
            </w:pPr>
          </w:p>
          <w:p w14:paraId="0C80EB71"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Three banks (Victoria Bank, </w:t>
            </w:r>
            <w:proofErr w:type="spellStart"/>
            <w:r w:rsidRPr="00BA050E">
              <w:rPr>
                <w:rFonts w:eastAsia="Calibri"/>
                <w:color w:val="auto"/>
                <w:sz w:val="18"/>
                <w:szCs w:val="18"/>
              </w:rPr>
              <w:t>Moldinconbank</w:t>
            </w:r>
            <w:proofErr w:type="spellEnd"/>
            <w:r w:rsidRPr="00BA050E">
              <w:rPr>
                <w:rFonts w:eastAsia="Calibri"/>
                <w:color w:val="auto"/>
                <w:sz w:val="18"/>
                <w:szCs w:val="18"/>
              </w:rPr>
              <w:t xml:space="preserve">, and Moldova </w:t>
            </w:r>
            <w:proofErr w:type="spellStart"/>
            <w:r w:rsidRPr="00BA050E">
              <w:rPr>
                <w:rFonts w:eastAsia="Calibri"/>
                <w:color w:val="auto"/>
                <w:sz w:val="18"/>
                <w:szCs w:val="18"/>
              </w:rPr>
              <w:t>Agroindbank</w:t>
            </w:r>
            <w:proofErr w:type="spellEnd"/>
            <w:r w:rsidRPr="00BA050E">
              <w:rPr>
                <w:rFonts w:eastAsia="Calibri"/>
                <w:color w:val="auto"/>
                <w:sz w:val="18"/>
                <w:szCs w:val="18"/>
              </w:rPr>
              <w:t>) underwent special audits.  Restructuring plans adopted and initiated in all three.</w:t>
            </w:r>
          </w:p>
          <w:p w14:paraId="48D51349" w14:textId="77777777" w:rsidR="00B44D67" w:rsidRPr="00BA050E" w:rsidRDefault="00B44D67" w:rsidP="00241C66">
            <w:pPr>
              <w:spacing w:after="0" w:line="240" w:lineRule="auto"/>
              <w:ind w:left="0" w:right="0" w:firstLine="0"/>
              <w:rPr>
                <w:rFonts w:eastAsia="Calibri"/>
                <w:b/>
                <w:color w:val="auto"/>
                <w:sz w:val="18"/>
                <w:szCs w:val="18"/>
              </w:rPr>
            </w:pPr>
          </w:p>
          <w:p w14:paraId="3151AB11" w14:textId="77777777" w:rsidR="00B44D67" w:rsidRPr="00BA050E" w:rsidRDefault="00B44D67" w:rsidP="00241C66">
            <w:pPr>
              <w:spacing w:after="0" w:line="240" w:lineRule="auto"/>
              <w:ind w:left="0" w:right="0" w:firstLine="0"/>
              <w:rPr>
                <w:rFonts w:eastAsia="Calibri"/>
                <w:b/>
                <w:color w:val="auto"/>
                <w:sz w:val="18"/>
                <w:szCs w:val="18"/>
              </w:rPr>
            </w:pPr>
          </w:p>
          <w:p w14:paraId="251C72F6" w14:textId="77777777" w:rsidR="00B44D67" w:rsidRPr="00BA050E" w:rsidRDefault="00B44D67" w:rsidP="00241C66">
            <w:pPr>
              <w:spacing w:after="0" w:line="240" w:lineRule="auto"/>
              <w:ind w:left="0" w:right="0" w:firstLine="0"/>
              <w:rPr>
                <w:rFonts w:eastAsia="Calibri"/>
                <w:b/>
                <w:color w:val="auto"/>
                <w:sz w:val="18"/>
                <w:szCs w:val="18"/>
              </w:rPr>
            </w:pPr>
          </w:p>
          <w:p w14:paraId="4F72FB4B"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Legal amendments passed in 2016 removed MOJ’s power to approve NBM regulations and gave NBM staff immunity for duties carried out in good faith.</w:t>
            </w:r>
          </w:p>
        </w:tc>
        <w:tc>
          <w:tcPr>
            <w:tcW w:w="966" w:type="pct"/>
            <w:tcBorders>
              <w:left w:val="single" w:sz="4" w:space="0" w:color="auto"/>
              <w:right w:val="single" w:sz="4" w:space="0" w:color="auto"/>
            </w:tcBorders>
          </w:tcPr>
          <w:p w14:paraId="091F415E"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lastRenderedPageBreak/>
              <w:t>Pipeline:</w:t>
            </w:r>
          </w:p>
          <w:p w14:paraId="0F1B73D1" w14:textId="77777777" w:rsidR="00B44D67" w:rsidRPr="00C37815" w:rsidRDefault="00B44D67" w:rsidP="00241C66">
            <w:pPr>
              <w:spacing w:after="0" w:line="240" w:lineRule="auto"/>
              <w:ind w:left="0" w:right="0" w:firstLine="0"/>
              <w:jc w:val="left"/>
              <w:rPr>
                <w:color w:val="auto"/>
                <w:sz w:val="18"/>
                <w:szCs w:val="18"/>
              </w:rPr>
            </w:pPr>
            <w:r w:rsidRPr="00BA050E">
              <w:rPr>
                <w:color w:val="auto"/>
                <w:sz w:val="18"/>
                <w:szCs w:val="18"/>
              </w:rPr>
              <w:t>DPO-2</w:t>
            </w:r>
            <w:r>
              <w:rPr>
                <w:color w:val="auto"/>
                <w:sz w:val="18"/>
                <w:szCs w:val="18"/>
              </w:rPr>
              <w:t xml:space="preserve"> (</w:t>
            </w:r>
            <w:r w:rsidRPr="00C37815">
              <w:rPr>
                <w:color w:val="auto"/>
                <w:sz w:val="18"/>
                <w:szCs w:val="18"/>
              </w:rPr>
              <w:t>P149555)</w:t>
            </w:r>
          </w:p>
          <w:p w14:paraId="2B36C309" w14:textId="77777777" w:rsidR="00B44D67" w:rsidRPr="00C37815" w:rsidRDefault="00B44D67" w:rsidP="00241C66">
            <w:pPr>
              <w:spacing w:after="0" w:line="240" w:lineRule="auto"/>
              <w:ind w:left="0" w:right="0" w:firstLine="0"/>
              <w:jc w:val="left"/>
              <w:rPr>
                <w:b/>
                <w:color w:val="auto"/>
                <w:sz w:val="18"/>
                <w:szCs w:val="18"/>
              </w:rPr>
            </w:pPr>
          </w:p>
          <w:p w14:paraId="6EE50D41" w14:textId="77777777" w:rsidR="00B44D67" w:rsidRPr="00C37815" w:rsidRDefault="00B44D67" w:rsidP="00241C66">
            <w:pPr>
              <w:spacing w:after="0" w:line="240" w:lineRule="auto"/>
              <w:ind w:left="0" w:right="0" w:firstLine="0"/>
              <w:jc w:val="left"/>
              <w:rPr>
                <w:b/>
                <w:color w:val="auto"/>
                <w:sz w:val="18"/>
                <w:szCs w:val="18"/>
              </w:rPr>
            </w:pPr>
            <w:r w:rsidRPr="00C37815">
              <w:rPr>
                <w:b/>
                <w:color w:val="auto"/>
                <w:sz w:val="18"/>
                <w:szCs w:val="18"/>
              </w:rPr>
              <w:t>ASA:</w:t>
            </w:r>
          </w:p>
          <w:p w14:paraId="643A6069" w14:textId="77777777" w:rsidR="00B44D67" w:rsidRPr="00C37815" w:rsidRDefault="00B44D67" w:rsidP="00241C66">
            <w:pPr>
              <w:spacing w:after="0" w:line="240" w:lineRule="auto"/>
              <w:ind w:left="0" w:right="0" w:firstLine="0"/>
              <w:jc w:val="left"/>
              <w:rPr>
                <w:sz w:val="18"/>
                <w:szCs w:val="18"/>
              </w:rPr>
            </w:pPr>
            <w:r w:rsidRPr="00C37815">
              <w:rPr>
                <w:color w:val="auto"/>
                <w:sz w:val="18"/>
                <w:szCs w:val="18"/>
              </w:rPr>
              <w:t xml:space="preserve">Financial Sector Development TA (FY14-16, </w:t>
            </w:r>
            <w:r w:rsidRPr="00C37815">
              <w:rPr>
                <w:sz w:val="18"/>
                <w:szCs w:val="18"/>
              </w:rPr>
              <w:t>P147063)</w:t>
            </w:r>
          </w:p>
          <w:p w14:paraId="2E918844" w14:textId="77777777" w:rsidR="00B44D67" w:rsidRPr="00C37815" w:rsidRDefault="00B44D67" w:rsidP="00241C66">
            <w:pPr>
              <w:spacing w:after="0" w:line="240" w:lineRule="auto"/>
              <w:ind w:left="0" w:right="0" w:firstLine="0"/>
              <w:jc w:val="left"/>
              <w:rPr>
                <w:color w:val="auto"/>
                <w:sz w:val="18"/>
                <w:szCs w:val="18"/>
              </w:rPr>
            </w:pPr>
            <w:r w:rsidRPr="00C37815">
              <w:rPr>
                <w:sz w:val="18"/>
                <w:szCs w:val="18"/>
              </w:rPr>
              <w:t>Financial Sector Monitoring (FY17, P159031)</w:t>
            </w:r>
          </w:p>
          <w:p w14:paraId="202576AA" w14:textId="77777777" w:rsidR="00B44D67" w:rsidRPr="00C37815" w:rsidRDefault="00B44D67" w:rsidP="00241C66">
            <w:pPr>
              <w:spacing w:after="0" w:line="240" w:lineRule="auto"/>
              <w:ind w:left="0" w:right="0" w:firstLine="0"/>
              <w:jc w:val="left"/>
              <w:rPr>
                <w:color w:val="auto"/>
                <w:sz w:val="18"/>
                <w:szCs w:val="18"/>
              </w:rPr>
            </w:pPr>
            <w:r w:rsidRPr="00C37815">
              <w:rPr>
                <w:color w:val="auto"/>
                <w:sz w:val="18"/>
                <w:szCs w:val="18"/>
              </w:rPr>
              <w:t>FSAP Update (FY15, P146486)</w:t>
            </w:r>
          </w:p>
          <w:p w14:paraId="5846290E" w14:textId="77777777" w:rsidR="00B44D67" w:rsidRPr="00C37815" w:rsidRDefault="00B44D67" w:rsidP="00241C66">
            <w:pPr>
              <w:spacing w:after="0" w:line="240" w:lineRule="auto"/>
              <w:ind w:left="0" w:right="0" w:firstLine="0"/>
              <w:jc w:val="left"/>
              <w:rPr>
                <w:b/>
                <w:color w:val="auto"/>
                <w:sz w:val="18"/>
                <w:szCs w:val="18"/>
              </w:rPr>
            </w:pPr>
          </w:p>
          <w:p w14:paraId="16A1DB00" w14:textId="77777777" w:rsidR="00B44D67" w:rsidRPr="00C37815" w:rsidRDefault="00B44D67" w:rsidP="00241C66">
            <w:pPr>
              <w:spacing w:after="0" w:line="240" w:lineRule="auto"/>
              <w:ind w:left="0" w:right="0" w:firstLine="0"/>
              <w:jc w:val="left"/>
              <w:rPr>
                <w:b/>
                <w:color w:val="auto"/>
                <w:sz w:val="18"/>
                <w:szCs w:val="18"/>
              </w:rPr>
            </w:pPr>
            <w:r w:rsidRPr="00C37815">
              <w:rPr>
                <w:b/>
                <w:color w:val="auto"/>
                <w:sz w:val="18"/>
                <w:szCs w:val="18"/>
              </w:rPr>
              <w:t>Partners:</w:t>
            </w:r>
          </w:p>
          <w:p w14:paraId="5A5B4B77" w14:textId="77777777" w:rsidR="00B44D67" w:rsidRPr="00BA050E" w:rsidRDefault="00B44D67" w:rsidP="00241C66">
            <w:pPr>
              <w:spacing w:after="0" w:line="240" w:lineRule="auto"/>
              <w:ind w:left="0" w:right="0"/>
              <w:jc w:val="left"/>
              <w:rPr>
                <w:rFonts w:eastAsia="Calibri"/>
                <w:color w:val="auto"/>
                <w:sz w:val="18"/>
                <w:szCs w:val="18"/>
              </w:rPr>
            </w:pPr>
            <w:r w:rsidRPr="00C37815">
              <w:rPr>
                <w:color w:val="auto"/>
                <w:sz w:val="18"/>
                <w:szCs w:val="18"/>
              </w:rPr>
              <w:t>IMF, EBRD</w:t>
            </w:r>
          </w:p>
        </w:tc>
        <w:tc>
          <w:tcPr>
            <w:tcW w:w="1380" w:type="pct"/>
            <w:tcBorders>
              <w:top w:val="single" w:sz="4" w:space="0" w:color="auto"/>
              <w:left w:val="single" w:sz="4" w:space="0" w:color="auto"/>
              <w:bottom w:val="single" w:sz="4" w:space="0" w:color="auto"/>
              <w:right w:val="single" w:sz="4" w:space="0" w:color="auto"/>
            </w:tcBorders>
          </w:tcPr>
          <w:p w14:paraId="7B6B0478"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DPO conditionality was crucial in encouraging: license withdrawal from defrauded banks; special audits in three next largest banks, which uncovered serious governance issues prompting early intervention by NBM; and legal amendments to eliminate MOJ powers to approve NBM regulations and grant legal immunity to NBM staff carrying out their duties in good faith.</w:t>
            </w:r>
          </w:p>
          <w:p w14:paraId="5397738B" w14:textId="77777777" w:rsidR="00B44D67" w:rsidRPr="00BA050E" w:rsidRDefault="00B44D67" w:rsidP="00241C66">
            <w:pPr>
              <w:spacing w:after="0" w:line="240" w:lineRule="auto"/>
              <w:ind w:left="0" w:right="0" w:firstLine="0"/>
              <w:rPr>
                <w:rFonts w:eastAsia="Calibri"/>
                <w:color w:val="auto"/>
                <w:sz w:val="18"/>
                <w:szCs w:val="18"/>
              </w:rPr>
            </w:pPr>
          </w:p>
          <w:p w14:paraId="74387063"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Since banking governance issues remain and since WBG is key trusted advisor, they should feature prominently in next CPF and next DPO series.</w:t>
            </w:r>
          </w:p>
        </w:tc>
      </w:tr>
      <w:tr w:rsidR="00B44D67" w:rsidRPr="00BA050E" w14:paraId="173AF5EF" w14:textId="77777777" w:rsidTr="00241C66">
        <w:trPr>
          <w:trHeight w:val="4968"/>
        </w:trPr>
        <w:tc>
          <w:tcPr>
            <w:tcW w:w="1274" w:type="pct"/>
            <w:tcBorders>
              <w:top w:val="single" w:sz="4" w:space="0" w:color="auto"/>
              <w:left w:val="single" w:sz="4" w:space="0" w:color="auto"/>
              <w:right w:val="single" w:sz="4" w:space="0" w:color="auto"/>
            </w:tcBorders>
          </w:tcPr>
          <w:p w14:paraId="0FCBDE9E" w14:textId="77777777" w:rsidR="00B44D67" w:rsidRPr="00BA050E" w:rsidRDefault="00B44D67" w:rsidP="006D2153">
            <w:pPr>
              <w:numPr>
                <w:ilvl w:val="0"/>
                <w:numId w:val="29"/>
              </w:numPr>
              <w:spacing w:after="0" w:line="240" w:lineRule="auto"/>
              <w:ind w:left="247" w:right="0" w:hanging="218"/>
              <w:jc w:val="left"/>
              <w:rPr>
                <w:color w:val="auto"/>
                <w:sz w:val="18"/>
                <w:szCs w:val="18"/>
              </w:rPr>
            </w:pPr>
            <w:r w:rsidRPr="00BA050E">
              <w:rPr>
                <w:b/>
                <w:color w:val="auto"/>
                <w:sz w:val="18"/>
                <w:szCs w:val="18"/>
              </w:rPr>
              <w:t xml:space="preserve">Greater alignment of Corporate Financial Reporting (CFR) legislation and practice with EU </w:t>
            </w:r>
            <w:r w:rsidRPr="00BA050E">
              <w:rPr>
                <w:b/>
                <w:i/>
                <w:color w:val="auto"/>
                <w:sz w:val="18"/>
                <w:szCs w:val="18"/>
              </w:rPr>
              <w:t>acquis.</w:t>
            </w:r>
            <w:r w:rsidRPr="00BA050E">
              <w:rPr>
                <w:b/>
                <w:color w:val="auto"/>
                <w:sz w:val="18"/>
                <w:szCs w:val="18"/>
              </w:rPr>
              <w:t xml:space="preserve"> </w:t>
            </w:r>
          </w:p>
          <w:p w14:paraId="1B2808E6" w14:textId="77777777" w:rsidR="00B44D67" w:rsidRPr="00BA050E" w:rsidRDefault="00B44D67" w:rsidP="00241C66">
            <w:pPr>
              <w:spacing w:after="0" w:line="240" w:lineRule="auto"/>
              <w:ind w:left="0" w:right="0" w:firstLine="0"/>
              <w:rPr>
                <w:b/>
                <w:i/>
                <w:color w:val="auto"/>
                <w:sz w:val="18"/>
                <w:szCs w:val="18"/>
              </w:rPr>
            </w:pPr>
          </w:p>
          <w:p w14:paraId="69EA2D8E"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1</w:t>
            </w:r>
            <w:r w:rsidRPr="00BA050E">
              <w:rPr>
                <w:i/>
                <w:color w:val="auto"/>
                <w:sz w:val="18"/>
                <w:szCs w:val="18"/>
              </w:rPr>
              <w:t xml:space="preserve">: </w:t>
            </w:r>
            <w:r w:rsidRPr="00BA050E">
              <w:rPr>
                <w:color w:val="auto"/>
                <w:sz w:val="18"/>
                <w:szCs w:val="18"/>
              </w:rPr>
              <w:t>Not less than 80 percent of Public Interest Entities (PIEs) file and publish IFRS-based financial statements</w:t>
            </w:r>
          </w:p>
          <w:p w14:paraId="57E27DCC" w14:textId="77777777" w:rsidR="00B44D67" w:rsidRPr="00BA050E" w:rsidRDefault="00B44D67" w:rsidP="00241C66">
            <w:pPr>
              <w:spacing w:after="0" w:line="240" w:lineRule="auto"/>
              <w:ind w:left="0" w:right="0" w:firstLine="0"/>
              <w:rPr>
                <w:color w:val="auto"/>
                <w:sz w:val="18"/>
                <w:szCs w:val="18"/>
              </w:rPr>
            </w:pPr>
          </w:p>
          <w:p w14:paraId="2700D374"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2</w:t>
            </w:r>
            <w:r w:rsidRPr="00BA050E">
              <w:rPr>
                <w:i/>
                <w:color w:val="auto"/>
                <w:sz w:val="18"/>
                <w:szCs w:val="18"/>
              </w:rPr>
              <w:t>:</w:t>
            </w:r>
            <w:r w:rsidRPr="00BA050E">
              <w:rPr>
                <w:color w:val="auto"/>
                <w:sz w:val="18"/>
                <w:szCs w:val="18"/>
              </w:rPr>
              <w:t xml:space="preserve"> Provisions of Directive 2006/43/EU transposed in draft Auditing Law and submitted to Parliament for adoption</w:t>
            </w:r>
          </w:p>
          <w:p w14:paraId="65BCC289" w14:textId="77777777" w:rsidR="00B44D67" w:rsidRPr="00BA050E" w:rsidRDefault="00B44D67" w:rsidP="00241C66">
            <w:pPr>
              <w:spacing w:after="0" w:line="240" w:lineRule="auto"/>
              <w:ind w:left="0" w:right="0" w:firstLine="0"/>
              <w:rPr>
                <w:color w:val="auto"/>
                <w:sz w:val="18"/>
                <w:szCs w:val="18"/>
              </w:rPr>
            </w:pPr>
          </w:p>
          <w:p w14:paraId="157FE0DB"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3</w:t>
            </w:r>
            <w:r w:rsidRPr="00BA050E">
              <w:rPr>
                <w:i/>
                <w:color w:val="auto"/>
                <w:sz w:val="18"/>
                <w:szCs w:val="18"/>
              </w:rPr>
              <w:t xml:space="preserve">: </w:t>
            </w:r>
            <w:r w:rsidRPr="00BA050E">
              <w:rPr>
                <w:color w:val="auto"/>
                <w:sz w:val="18"/>
                <w:szCs w:val="18"/>
              </w:rPr>
              <w:t>Provisions of Directive 2013/34/EU transposed in draft Accounting Law and submitted to Parliament for adoption</w:t>
            </w:r>
          </w:p>
          <w:p w14:paraId="65E1F84A" w14:textId="77777777" w:rsidR="00B44D67" w:rsidRPr="00BA050E" w:rsidRDefault="00B44D67" w:rsidP="00241C66">
            <w:pPr>
              <w:spacing w:after="0" w:line="240" w:lineRule="auto"/>
              <w:ind w:left="0" w:right="0" w:firstLine="0"/>
              <w:rPr>
                <w:color w:val="auto"/>
                <w:sz w:val="18"/>
                <w:szCs w:val="18"/>
              </w:rPr>
            </w:pPr>
          </w:p>
          <w:p w14:paraId="28FF1AB5" w14:textId="77777777" w:rsidR="00B44D67" w:rsidRPr="00BA050E" w:rsidRDefault="00B44D67" w:rsidP="00241C66">
            <w:pPr>
              <w:spacing w:after="0" w:line="240" w:lineRule="auto"/>
              <w:ind w:left="0" w:right="0"/>
              <w:rPr>
                <w:b/>
                <w:color w:val="auto"/>
                <w:sz w:val="18"/>
                <w:szCs w:val="18"/>
              </w:rPr>
            </w:pPr>
            <w:r w:rsidRPr="00BA050E">
              <w:rPr>
                <w:b/>
                <w:i/>
                <w:color w:val="auto"/>
                <w:sz w:val="18"/>
                <w:szCs w:val="18"/>
              </w:rPr>
              <w:t>Indicator 4</w:t>
            </w:r>
            <w:r w:rsidRPr="00BA050E">
              <w:rPr>
                <w:i/>
                <w:color w:val="auto"/>
                <w:sz w:val="18"/>
                <w:szCs w:val="18"/>
              </w:rPr>
              <w:t>:</w:t>
            </w:r>
            <w:r w:rsidRPr="00BA050E">
              <w:rPr>
                <w:color w:val="auto"/>
                <w:sz w:val="18"/>
                <w:szCs w:val="18"/>
              </w:rPr>
              <w:t xml:space="preserve"> Public Registry of financial statements fully operational, </w:t>
            </w:r>
            <w:r w:rsidRPr="00BA050E">
              <w:rPr>
                <w:i/>
                <w:color w:val="auto"/>
                <w:sz w:val="18"/>
                <w:szCs w:val="18"/>
              </w:rPr>
              <w:t>i.e.</w:t>
            </w:r>
            <w:r w:rsidRPr="00BA050E">
              <w:rPr>
                <w:color w:val="auto"/>
                <w:sz w:val="18"/>
                <w:szCs w:val="18"/>
              </w:rPr>
              <w:t xml:space="preserve"> enabling collection and availability of financial statements online</w:t>
            </w:r>
          </w:p>
        </w:tc>
        <w:tc>
          <w:tcPr>
            <w:tcW w:w="1380" w:type="pct"/>
            <w:tcBorders>
              <w:top w:val="single" w:sz="4" w:space="0" w:color="auto"/>
              <w:left w:val="single" w:sz="4" w:space="0" w:color="auto"/>
              <w:right w:val="single" w:sz="4" w:space="0" w:color="auto"/>
            </w:tcBorders>
          </w:tcPr>
          <w:p w14:paraId="5DB053D7" w14:textId="77777777" w:rsidR="00B44D67" w:rsidRPr="00BA050E" w:rsidRDefault="00B44D67" w:rsidP="00241C66">
            <w:pPr>
              <w:spacing w:after="0" w:line="240" w:lineRule="auto"/>
              <w:ind w:left="0" w:right="0" w:firstLine="0"/>
              <w:rPr>
                <w:color w:val="auto"/>
                <w:sz w:val="18"/>
                <w:szCs w:val="18"/>
              </w:rPr>
            </w:pPr>
            <w:r w:rsidRPr="00BA050E">
              <w:rPr>
                <w:b/>
                <w:color w:val="auto"/>
                <w:sz w:val="18"/>
                <w:szCs w:val="18"/>
              </w:rPr>
              <w:t>Partially achieved</w:t>
            </w:r>
            <w:r w:rsidRPr="00BA050E">
              <w:rPr>
                <w:color w:val="auto"/>
                <w:sz w:val="18"/>
                <w:szCs w:val="18"/>
              </w:rPr>
              <w:t xml:space="preserve">: Progress made in aligning CFR legislation and practice with EU </w:t>
            </w:r>
            <w:r w:rsidRPr="00BA050E">
              <w:rPr>
                <w:i/>
                <w:color w:val="auto"/>
                <w:sz w:val="18"/>
                <w:szCs w:val="18"/>
              </w:rPr>
              <w:t>acquis</w:t>
            </w:r>
            <w:r w:rsidRPr="00BA050E">
              <w:rPr>
                <w:color w:val="auto"/>
                <w:sz w:val="18"/>
                <w:szCs w:val="18"/>
              </w:rPr>
              <w:t xml:space="preserve">, but more time needed to finalize and approve laws, due to change in government in early 2016. </w:t>
            </w:r>
          </w:p>
          <w:p w14:paraId="508D40E3" w14:textId="77777777" w:rsidR="00B44D67" w:rsidRPr="00BA050E" w:rsidRDefault="00B44D67" w:rsidP="00241C66">
            <w:pPr>
              <w:spacing w:after="0" w:line="240" w:lineRule="auto"/>
              <w:ind w:left="0" w:right="0" w:firstLine="0"/>
              <w:rPr>
                <w:color w:val="auto"/>
                <w:sz w:val="18"/>
                <w:szCs w:val="18"/>
              </w:rPr>
            </w:pPr>
            <w:r w:rsidRPr="00BA050E">
              <w:rPr>
                <w:b/>
                <w:color w:val="auto"/>
                <w:sz w:val="18"/>
                <w:szCs w:val="18"/>
              </w:rPr>
              <w:t xml:space="preserve">Partially achieved. </w:t>
            </w:r>
            <w:r w:rsidRPr="00BA050E">
              <w:rPr>
                <w:color w:val="auto"/>
                <w:sz w:val="18"/>
                <w:szCs w:val="18"/>
              </w:rPr>
              <w:t>PIEs preparing IFRS-based financial statements, but not all are publicly available through Public Registry.</w:t>
            </w:r>
          </w:p>
          <w:p w14:paraId="55FF1FE0" w14:textId="77777777" w:rsidR="00B44D67" w:rsidRPr="00BA050E" w:rsidRDefault="00B44D67" w:rsidP="00241C66">
            <w:pPr>
              <w:spacing w:after="0" w:line="240" w:lineRule="auto"/>
              <w:ind w:left="0" w:right="0" w:firstLine="0"/>
              <w:rPr>
                <w:b/>
                <w:color w:val="auto"/>
                <w:sz w:val="18"/>
                <w:szCs w:val="18"/>
              </w:rPr>
            </w:pPr>
          </w:p>
          <w:p w14:paraId="3776C54B" w14:textId="77777777" w:rsidR="00B44D67" w:rsidRPr="00BA050E" w:rsidRDefault="00B44D67" w:rsidP="00241C66">
            <w:pPr>
              <w:spacing w:after="0" w:line="240" w:lineRule="auto"/>
              <w:ind w:left="0" w:right="0" w:firstLine="0"/>
              <w:rPr>
                <w:color w:val="auto"/>
                <w:sz w:val="18"/>
                <w:szCs w:val="18"/>
              </w:rPr>
            </w:pPr>
            <w:r w:rsidRPr="00BA050E">
              <w:rPr>
                <w:b/>
                <w:color w:val="auto"/>
                <w:sz w:val="18"/>
                <w:szCs w:val="18"/>
              </w:rPr>
              <w:t xml:space="preserve">Mostly achieved. </w:t>
            </w:r>
            <w:r w:rsidRPr="00BA050E">
              <w:rPr>
                <w:color w:val="auto"/>
                <w:sz w:val="18"/>
                <w:szCs w:val="18"/>
              </w:rPr>
              <w:t>Main provisions of Directive 2006/43/EU reflected in draft Auditing Law, which expected to be adopted by Parliament in 2017.</w:t>
            </w:r>
          </w:p>
          <w:p w14:paraId="627B9DD1" w14:textId="77777777" w:rsidR="00B44D67" w:rsidRPr="00BA050E" w:rsidRDefault="00B44D67" w:rsidP="00241C66">
            <w:pPr>
              <w:spacing w:after="0" w:line="240" w:lineRule="auto"/>
              <w:ind w:left="0" w:right="0" w:firstLine="0"/>
              <w:rPr>
                <w:b/>
                <w:color w:val="auto"/>
                <w:sz w:val="18"/>
                <w:szCs w:val="18"/>
              </w:rPr>
            </w:pPr>
          </w:p>
          <w:p w14:paraId="3B625762" w14:textId="77777777" w:rsidR="00B44D67" w:rsidRPr="00BA050E" w:rsidRDefault="00B44D67" w:rsidP="00241C66">
            <w:pPr>
              <w:spacing w:after="0" w:line="240" w:lineRule="auto"/>
              <w:ind w:left="0" w:right="0" w:firstLine="0"/>
              <w:rPr>
                <w:color w:val="auto"/>
                <w:sz w:val="18"/>
                <w:szCs w:val="18"/>
              </w:rPr>
            </w:pPr>
            <w:r w:rsidRPr="00BA050E">
              <w:rPr>
                <w:b/>
                <w:color w:val="auto"/>
                <w:sz w:val="18"/>
                <w:szCs w:val="18"/>
              </w:rPr>
              <w:t xml:space="preserve">Mostly achieved. </w:t>
            </w:r>
            <w:r w:rsidRPr="00BA050E">
              <w:rPr>
                <w:color w:val="auto"/>
                <w:sz w:val="18"/>
                <w:szCs w:val="18"/>
              </w:rPr>
              <w:t xml:space="preserve">Main provisions of Directive 2013/34/EU reflected in draft Accounting Law, which expected to be adopted by Parliament in 2017.  </w:t>
            </w:r>
          </w:p>
          <w:p w14:paraId="46BF1920" w14:textId="77777777" w:rsidR="00B44D67" w:rsidRPr="00BA050E" w:rsidRDefault="00B44D67" w:rsidP="00241C66">
            <w:pPr>
              <w:spacing w:after="0" w:line="240" w:lineRule="auto"/>
              <w:ind w:left="0" w:right="0" w:firstLine="0"/>
              <w:rPr>
                <w:b/>
                <w:color w:val="auto"/>
                <w:sz w:val="18"/>
                <w:szCs w:val="18"/>
              </w:rPr>
            </w:pPr>
          </w:p>
          <w:p w14:paraId="2C33C841" w14:textId="77777777" w:rsidR="00B44D67" w:rsidRDefault="00B44D67" w:rsidP="00241C66">
            <w:pPr>
              <w:spacing w:after="0" w:line="240" w:lineRule="auto"/>
              <w:ind w:left="0" w:right="0"/>
              <w:rPr>
                <w:color w:val="auto"/>
                <w:sz w:val="18"/>
                <w:szCs w:val="18"/>
              </w:rPr>
            </w:pPr>
            <w:r w:rsidRPr="00BA050E">
              <w:rPr>
                <w:b/>
                <w:color w:val="auto"/>
                <w:sz w:val="18"/>
                <w:szCs w:val="18"/>
              </w:rPr>
              <w:t>Partially achieved. T</w:t>
            </w:r>
            <w:r w:rsidRPr="00BA050E">
              <w:rPr>
                <w:color w:val="auto"/>
                <w:sz w:val="18"/>
                <w:szCs w:val="18"/>
              </w:rPr>
              <w:t>echnical specifications for Public Registry developed, but implementation delayed pending government decision on its subordination under National Bureau of Statistics.</w:t>
            </w:r>
          </w:p>
          <w:p w14:paraId="5996211B" w14:textId="77777777" w:rsidR="00B44D67" w:rsidRDefault="00B44D67" w:rsidP="00241C66">
            <w:pPr>
              <w:spacing w:after="0" w:line="240" w:lineRule="auto"/>
              <w:ind w:left="0" w:right="0"/>
              <w:rPr>
                <w:color w:val="auto"/>
                <w:sz w:val="18"/>
                <w:szCs w:val="18"/>
              </w:rPr>
            </w:pPr>
          </w:p>
          <w:p w14:paraId="6F80EB30" w14:textId="77777777" w:rsidR="00B44D67" w:rsidRPr="00BA050E" w:rsidRDefault="00B44D67" w:rsidP="00241C66">
            <w:pPr>
              <w:spacing w:after="0" w:line="240" w:lineRule="auto"/>
              <w:ind w:left="0" w:right="0"/>
              <w:rPr>
                <w:rFonts w:eastAsia="Calibri"/>
                <w:b/>
                <w:color w:val="auto"/>
                <w:sz w:val="18"/>
                <w:szCs w:val="18"/>
              </w:rPr>
            </w:pPr>
          </w:p>
        </w:tc>
        <w:tc>
          <w:tcPr>
            <w:tcW w:w="966" w:type="pct"/>
            <w:tcBorders>
              <w:left w:val="single" w:sz="4" w:space="0" w:color="auto"/>
              <w:right w:val="single" w:sz="4" w:space="0" w:color="auto"/>
            </w:tcBorders>
          </w:tcPr>
          <w:p w14:paraId="3FCB7D3C" w14:textId="77777777" w:rsidR="00B44D67" w:rsidRPr="009B6BC1" w:rsidRDefault="00B44D67" w:rsidP="00241C66">
            <w:pPr>
              <w:spacing w:after="0" w:line="240" w:lineRule="auto"/>
              <w:ind w:left="0" w:right="0" w:firstLine="0"/>
              <w:jc w:val="left"/>
              <w:rPr>
                <w:b/>
                <w:color w:val="auto"/>
                <w:sz w:val="18"/>
                <w:szCs w:val="18"/>
              </w:rPr>
            </w:pPr>
            <w:r w:rsidRPr="009B6BC1">
              <w:rPr>
                <w:b/>
                <w:color w:val="auto"/>
                <w:sz w:val="18"/>
                <w:szCs w:val="18"/>
              </w:rPr>
              <w:t>Partnerships:</w:t>
            </w:r>
          </w:p>
          <w:p w14:paraId="7C9036BE"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Strengthening Auditing &amp; Re-porting in Countries of Eastern Partnership (STAR/ </w:t>
            </w:r>
            <w:proofErr w:type="spellStart"/>
            <w:r w:rsidRPr="00BA050E">
              <w:rPr>
                <w:color w:val="auto"/>
                <w:sz w:val="18"/>
                <w:szCs w:val="18"/>
              </w:rPr>
              <w:t>EaP</w:t>
            </w:r>
            <w:proofErr w:type="spellEnd"/>
            <w:r w:rsidRPr="00BA050E">
              <w:rPr>
                <w:color w:val="auto"/>
                <w:sz w:val="18"/>
                <w:szCs w:val="18"/>
              </w:rPr>
              <w:t xml:space="preserve">) </w:t>
            </w:r>
          </w:p>
          <w:p w14:paraId="43910FF5" w14:textId="77777777" w:rsidR="00B44D67" w:rsidRPr="00BA050E" w:rsidRDefault="00B44D67" w:rsidP="00241C66">
            <w:pPr>
              <w:spacing w:after="0" w:line="240" w:lineRule="auto"/>
              <w:ind w:left="0" w:right="0" w:firstLine="0"/>
              <w:jc w:val="left"/>
              <w:rPr>
                <w:b/>
                <w:color w:val="auto"/>
                <w:sz w:val="18"/>
                <w:szCs w:val="18"/>
              </w:rPr>
            </w:pPr>
            <w:r w:rsidRPr="00BA050E">
              <w:rPr>
                <w:color w:val="auto"/>
                <w:sz w:val="18"/>
                <w:szCs w:val="18"/>
              </w:rPr>
              <w:t>FinSAC (Vienna Center</w:t>
            </w:r>
            <w:r>
              <w:rPr>
                <w:color w:val="auto"/>
                <w:sz w:val="18"/>
                <w:szCs w:val="18"/>
              </w:rPr>
              <w:t>,</w:t>
            </w:r>
            <w:r w:rsidRPr="00B1549E">
              <w:rPr>
                <w:rFonts w:cs="Arial"/>
                <w:sz w:val="20"/>
                <w:szCs w:val="20"/>
              </w:rPr>
              <w:t xml:space="preserve"> P133467</w:t>
            </w:r>
            <w:r w:rsidRPr="00BA050E">
              <w:rPr>
                <w:color w:val="auto"/>
                <w:sz w:val="18"/>
                <w:szCs w:val="18"/>
              </w:rPr>
              <w:t>)</w:t>
            </w:r>
          </w:p>
        </w:tc>
        <w:tc>
          <w:tcPr>
            <w:tcW w:w="1380" w:type="pct"/>
            <w:tcBorders>
              <w:top w:val="single" w:sz="4" w:space="0" w:color="auto"/>
              <w:left w:val="single" w:sz="4" w:space="0" w:color="auto"/>
              <w:right w:val="single" w:sz="4" w:space="0" w:color="auto"/>
            </w:tcBorders>
          </w:tcPr>
          <w:p w14:paraId="2F1E0A70" w14:textId="77777777" w:rsidR="00B44D67" w:rsidRPr="00BA050E" w:rsidRDefault="00B44D67" w:rsidP="006D2153">
            <w:pPr>
              <w:numPr>
                <w:ilvl w:val="0"/>
                <w:numId w:val="31"/>
              </w:numPr>
              <w:spacing w:after="0" w:line="240" w:lineRule="auto"/>
              <w:ind w:left="0" w:right="0"/>
              <w:jc w:val="left"/>
              <w:rPr>
                <w:rFonts w:eastAsia="Calibri"/>
                <w:bCs/>
                <w:sz w:val="18"/>
                <w:szCs w:val="18"/>
              </w:rPr>
            </w:pPr>
            <w:r w:rsidRPr="00BA050E">
              <w:rPr>
                <w:rFonts w:eastAsia="Calibri"/>
                <w:bCs/>
                <w:sz w:val="18"/>
                <w:szCs w:val="18"/>
              </w:rPr>
              <w:t xml:space="preserve">Indicators may need to be more flexible to allow for impact of political instability and/or delays in defining new policies or aligning them to EU </w:t>
            </w:r>
            <w:r w:rsidRPr="00BA050E">
              <w:rPr>
                <w:rFonts w:eastAsia="Calibri"/>
                <w:bCs/>
                <w:i/>
                <w:sz w:val="18"/>
                <w:szCs w:val="18"/>
              </w:rPr>
              <w:t>acquis</w:t>
            </w:r>
            <w:r w:rsidRPr="00BA050E">
              <w:rPr>
                <w:rFonts w:eastAsia="Calibri"/>
                <w:bCs/>
                <w:sz w:val="18"/>
                <w:szCs w:val="18"/>
              </w:rPr>
              <w:t>.</w:t>
            </w:r>
          </w:p>
          <w:p w14:paraId="2E833BC3" w14:textId="77777777" w:rsidR="00B44D67" w:rsidRPr="00BA050E" w:rsidRDefault="00B44D67" w:rsidP="00241C66">
            <w:pPr>
              <w:spacing w:after="0" w:line="240" w:lineRule="auto"/>
              <w:ind w:left="0" w:right="0" w:firstLine="0"/>
              <w:rPr>
                <w:rFonts w:eastAsia="Calibri"/>
                <w:bCs/>
                <w:sz w:val="18"/>
                <w:szCs w:val="18"/>
                <w:highlight w:val="yellow"/>
              </w:rPr>
            </w:pPr>
          </w:p>
          <w:p w14:paraId="7B986FD8" w14:textId="77777777" w:rsidR="00B44D67" w:rsidRPr="00BA050E" w:rsidRDefault="00B44D67" w:rsidP="006D2153">
            <w:pPr>
              <w:numPr>
                <w:ilvl w:val="0"/>
                <w:numId w:val="30"/>
              </w:numPr>
              <w:spacing w:after="0" w:line="240" w:lineRule="auto"/>
              <w:ind w:left="0" w:right="0"/>
              <w:jc w:val="left"/>
              <w:rPr>
                <w:rFonts w:eastAsia="Calibri"/>
                <w:bCs/>
                <w:sz w:val="18"/>
                <w:szCs w:val="18"/>
              </w:rPr>
            </w:pPr>
            <w:r w:rsidRPr="00BA050E">
              <w:rPr>
                <w:rFonts w:eastAsia="Calibri"/>
                <w:bCs/>
                <w:sz w:val="18"/>
                <w:szCs w:val="18"/>
              </w:rPr>
              <w:t>Some outcomes were designed on the assumption that funding would be available to support reforms, which was not always the case. In future, results framework should include only outcomes that are supported by confirmed funding.</w:t>
            </w:r>
          </w:p>
          <w:p w14:paraId="2207A0AA" w14:textId="77777777" w:rsidR="00B44D67" w:rsidRPr="00BA050E" w:rsidRDefault="00B44D67" w:rsidP="00241C66">
            <w:pPr>
              <w:spacing w:after="0" w:line="240" w:lineRule="auto"/>
              <w:ind w:left="0" w:right="0" w:firstLine="0"/>
              <w:rPr>
                <w:rFonts w:eastAsia="Calibri"/>
                <w:bCs/>
                <w:sz w:val="18"/>
                <w:szCs w:val="18"/>
              </w:rPr>
            </w:pPr>
          </w:p>
          <w:p w14:paraId="19AB6284" w14:textId="77777777" w:rsidR="00B44D67" w:rsidRPr="00BA050E" w:rsidRDefault="00B44D67" w:rsidP="00241C66">
            <w:pPr>
              <w:spacing w:after="0" w:line="240" w:lineRule="auto"/>
              <w:ind w:left="0" w:right="0" w:firstLine="0"/>
              <w:rPr>
                <w:rFonts w:eastAsia="Calibri"/>
                <w:bCs/>
                <w:iCs/>
                <w:color w:val="auto"/>
                <w:sz w:val="18"/>
                <w:szCs w:val="18"/>
              </w:rPr>
            </w:pPr>
          </w:p>
          <w:p w14:paraId="5EEF23BD" w14:textId="77777777" w:rsidR="00B44D67" w:rsidRPr="00BA050E" w:rsidRDefault="00B44D67" w:rsidP="00241C66">
            <w:pPr>
              <w:spacing w:after="0" w:line="240" w:lineRule="auto"/>
              <w:ind w:left="0" w:right="0"/>
              <w:rPr>
                <w:rFonts w:eastAsia="Calibri"/>
                <w:color w:val="auto"/>
                <w:sz w:val="18"/>
                <w:szCs w:val="18"/>
              </w:rPr>
            </w:pPr>
          </w:p>
        </w:tc>
      </w:tr>
      <w:tr w:rsidR="00B44D67" w:rsidRPr="00BA050E" w14:paraId="41306D7A"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4BF9975B" w14:textId="77777777" w:rsidR="00B44D67" w:rsidRPr="00BA050E" w:rsidRDefault="00B44D67" w:rsidP="00241C66">
            <w:pPr>
              <w:spacing w:after="80" w:line="240" w:lineRule="auto"/>
              <w:ind w:left="0" w:right="0" w:firstLine="0"/>
              <w:jc w:val="center"/>
              <w:rPr>
                <w:rFonts w:eastAsia="Calibri"/>
                <w:b/>
                <w:i/>
                <w:color w:val="auto"/>
                <w:sz w:val="18"/>
                <w:szCs w:val="18"/>
              </w:rPr>
            </w:pPr>
            <w:r w:rsidRPr="00BA050E">
              <w:rPr>
                <w:b/>
                <w:color w:val="auto"/>
                <w:sz w:val="19"/>
                <w:szCs w:val="19"/>
              </w:rPr>
              <w:lastRenderedPageBreak/>
              <w:t>CPS Objective 1.2. Improved competitiveness in agriculture</w:t>
            </w:r>
          </w:p>
        </w:tc>
      </w:tr>
      <w:tr w:rsidR="00B44D67" w:rsidRPr="00BA050E" w14:paraId="6E9A0C67" w14:textId="77777777" w:rsidTr="00241C66">
        <w:trPr>
          <w:trHeight w:val="260"/>
        </w:trPr>
        <w:tc>
          <w:tcPr>
            <w:tcW w:w="1274" w:type="pct"/>
            <w:tcBorders>
              <w:top w:val="single" w:sz="4" w:space="0" w:color="auto"/>
              <w:left w:val="single" w:sz="4" w:space="0" w:color="auto"/>
              <w:bottom w:val="single" w:sz="4" w:space="0" w:color="auto"/>
              <w:right w:val="single" w:sz="4" w:space="0" w:color="auto"/>
            </w:tcBorders>
          </w:tcPr>
          <w:p w14:paraId="79E4BEFA" w14:textId="77777777" w:rsidR="00B44D67" w:rsidRPr="00BA050E" w:rsidRDefault="00B44D67" w:rsidP="006D2153">
            <w:pPr>
              <w:numPr>
                <w:ilvl w:val="0"/>
                <w:numId w:val="29"/>
              </w:numPr>
              <w:spacing w:after="0" w:line="240" w:lineRule="auto"/>
              <w:ind w:left="247" w:right="0" w:hanging="218"/>
              <w:jc w:val="left"/>
              <w:rPr>
                <w:b/>
                <w:i/>
                <w:sz w:val="18"/>
                <w:szCs w:val="18"/>
              </w:rPr>
            </w:pPr>
            <w:r w:rsidRPr="00BA050E">
              <w:rPr>
                <w:b/>
                <w:sz w:val="18"/>
                <w:szCs w:val="18"/>
              </w:rPr>
              <w:t>Enhanced competitiveness of agro-</w:t>
            </w:r>
            <w:r w:rsidRPr="00BA050E">
              <w:rPr>
                <w:b/>
                <w:color w:val="auto"/>
                <w:sz w:val="18"/>
                <w:szCs w:val="18"/>
              </w:rPr>
              <w:t>food</w:t>
            </w:r>
            <w:r w:rsidRPr="00BA050E">
              <w:rPr>
                <w:b/>
                <w:sz w:val="18"/>
                <w:szCs w:val="18"/>
              </w:rPr>
              <w:t xml:space="preserve"> sector by supporting modernization of food safety management system.</w:t>
            </w:r>
          </w:p>
          <w:p w14:paraId="577F7EF8" w14:textId="77777777" w:rsidR="00B44D67" w:rsidRPr="00BA050E" w:rsidRDefault="00B44D67" w:rsidP="00241C66">
            <w:pPr>
              <w:spacing w:after="0" w:line="240" w:lineRule="auto"/>
              <w:ind w:left="0" w:right="0" w:firstLine="0"/>
              <w:rPr>
                <w:sz w:val="18"/>
                <w:szCs w:val="18"/>
              </w:rPr>
            </w:pPr>
            <w:r w:rsidRPr="00BA050E">
              <w:rPr>
                <w:b/>
                <w:i/>
                <w:sz w:val="18"/>
                <w:szCs w:val="18"/>
              </w:rPr>
              <w:t>Indicator</w:t>
            </w:r>
            <w:r w:rsidRPr="00BA050E">
              <w:rPr>
                <w:i/>
                <w:sz w:val="18"/>
                <w:szCs w:val="18"/>
              </w:rPr>
              <w:t>:</w:t>
            </w:r>
            <w:r w:rsidRPr="00BA050E">
              <w:rPr>
                <w:sz w:val="18"/>
                <w:szCs w:val="18"/>
              </w:rPr>
              <w:t xml:space="preserve"> Completion of targeted food safety actions for approximation to EU Sanitary and Phytosanitary (SPS) requirements</w:t>
            </w:r>
          </w:p>
          <w:p w14:paraId="5136DD90" w14:textId="77777777" w:rsidR="00B44D67" w:rsidRPr="00BA050E" w:rsidRDefault="00B44D67" w:rsidP="00241C66">
            <w:pPr>
              <w:spacing w:after="0" w:line="240" w:lineRule="auto"/>
              <w:ind w:left="0" w:right="0" w:firstLine="0"/>
              <w:jc w:val="left"/>
              <w:rPr>
                <w:sz w:val="18"/>
                <w:szCs w:val="18"/>
              </w:rPr>
            </w:pPr>
            <w:r w:rsidRPr="00BA050E">
              <w:rPr>
                <w:sz w:val="18"/>
                <w:szCs w:val="18"/>
              </w:rPr>
              <w:t>Baseline:   20 percent (2013)</w:t>
            </w:r>
          </w:p>
          <w:p w14:paraId="40DEC59D" w14:textId="77777777" w:rsidR="00B44D67" w:rsidRPr="00BA050E" w:rsidRDefault="00B44D67" w:rsidP="00241C66">
            <w:pPr>
              <w:spacing w:after="0" w:line="240" w:lineRule="auto"/>
              <w:ind w:left="0" w:right="0" w:firstLine="0"/>
              <w:jc w:val="left"/>
              <w:rPr>
                <w:sz w:val="18"/>
                <w:szCs w:val="18"/>
              </w:rPr>
            </w:pPr>
            <w:r w:rsidRPr="00BA050E">
              <w:rPr>
                <w:sz w:val="18"/>
                <w:szCs w:val="18"/>
              </w:rPr>
              <w:t>Target:    100 percent (2017)</w:t>
            </w:r>
          </w:p>
        </w:tc>
        <w:tc>
          <w:tcPr>
            <w:tcW w:w="1380" w:type="pct"/>
            <w:tcBorders>
              <w:top w:val="single" w:sz="4" w:space="0" w:color="auto"/>
              <w:left w:val="single" w:sz="4" w:space="0" w:color="auto"/>
              <w:bottom w:val="single" w:sz="4" w:space="0" w:color="auto"/>
              <w:right w:val="single" w:sz="4" w:space="0" w:color="auto"/>
            </w:tcBorders>
          </w:tcPr>
          <w:p w14:paraId="3D4FEBE1"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color w:val="auto"/>
                <w:sz w:val="18"/>
                <w:szCs w:val="18"/>
              </w:rPr>
              <w:t xml:space="preserve">Mostly achieved </w:t>
            </w:r>
          </w:p>
          <w:p w14:paraId="3E18FA65" w14:textId="77777777" w:rsidR="00B44D67" w:rsidRPr="00BA050E" w:rsidRDefault="00B44D67" w:rsidP="00241C66">
            <w:pPr>
              <w:spacing w:after="0" w:line="240" w:lineRule="auto"/>
              <w:ind w:left="0" w:right="0" w:firstLine="0"/>
              <w:rPr>
                <w:rFonts w:eastAsia="Calibri"/>
                <w:color w:val="auto"/>
                <w:sz w:val="18"/>
                <w:szCs w:val="18"/>
              </w:rPr>
            </w:pPr>
          </w:p>
          <w:p w14:paraId="5F4ABE7F" w14:textId="77777777" w:rsidR="00B44D67" w:rsidRPr="00BA050E" w:rsidRDefault="00B44D67" w:rsidP="00241C66">
            <w:pPr>
              <w:spacing w:after="0" w:line="240" w:lineRule="auto"/>
              <w:ind w:left="0" w:right="0" w:firstLine="0"/>
              <w:rPr>
                <w:rFonts w:eastAsia="Calibri"/>
                <w:color w:val="auto"/>
                <w:sz w:val="18"/>
                <w:szCs w:val="18"/>
              </w:rPr>
            </w:pPr>
          </w:p>
          <w:p w14:paraId="517AE4C1" w14:textId="77777777" w:rsidR="00B44D67" w:rsidRPr="00BA050E" w:rsidRDefault="00B44D67" w:rsidP="00241C66">
            <w:pPr>
              <w:spacing w:after="0" w:line="240" w:lineRule="auto"/>
              <w:ind w:left="0" w:right="0" w:firstLine="0"/>
              <w:rPr>
                <w:rFonts w:eastAsia="Calibri"/>
                <w:color w:val="auto"/>
                <w:sz w:val="18"/>
                <w:szCs w:val="18"/>
              </w:rPr>
            </w:pPr>
          </w:p>
          <w:p w14:paraId="72A6990D" w14:textId="77777777" w:rsidR="00B44D67" w:rsidRPr="00BA050E" w:rsidRDefault="00B44D67" w:rsidP="00241C66">
            <w:pPr>
              <w:spacing w:after="0" w:line="240" w:lineRule="auto"/>
              <w:ind w:left="0" w:right="0" w:firstLine="0"/>
              <w:rPr>
                <w:rFonts w:eastAsia="Calibri"/>
                <w:color w:val="auto"/>
                <w:sz w:val="18"/>
                <w:szCs w:val="18"/>
              </w:rPr>
            </w:pPr>
            <w:r>
              <w:rPr>
                <w:rFonts w:eastAsia="Calibri"/>
                <w:color w:val="auto"/>
                <w:sz w:val="18"/>
                <w:szCs w:val="18"/>
              </w:rPr>
              <w:t>A</w:t>
            </w:r>
            <w:r w:rsidRPr="00BA050E">
              <w:rPr>
                <w:rFonts w:eastAsia="Calibri"/>
                <w:color w:val="auto"/>
                <w:sz w:val="18"/>
                <w:szCs w:val="18"/>
              </w:rPr>
              <w:t xml:space="preserve">lmost 90 percent of targeted food safety actions for approximation with EU SPS norms completed. </w:t>
            </w:r>
          </w:p>
        </w:tc>
        <w:tc>
          <w:tcPr>
            <w:tcW w:w="966" w:type="pct"/>
            <w:vMerge w:val="restart"/>
            <w:tcBorders>
              <w:top w:val="single" w:sz="4" w:space="0" w:color="auto"/>
              <w:left w:val="single" w:sz="4" w:space="0" w:color="auto"/>
              <w:right w:val="single" w:sz="4" w:space="0" w:color="auto"/>
            </w:tcBorders>
          </w:tcPr>
          <w:p w14:paraId="7C4A78DC"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 xml:space="preserve">Ongoing: </w:t>
            </w:r>
          </w:p>
          <w:p w14:paraId="500B9AEA" w14:textId="77777777" w:rsidR="00B44D67" w:rsidRPr="00BA050E" w:rsidRDefault="00B44D67" w:rsidP="00241C66">
            <w:pPr>
              <w:spacing w:after="0" w:line="240" w:lineRule="auto"/>
              <w:ind w:left="0" w:right="0" w:firstLine="0"/>
              <w:jc w:val="left"/>
              <w:rPr>
                <w:sz w:val="18"/>
                <w:szCs w:val="18"/>
              </w:rPr>
            </w:pPr>
            <w:r w:rsidRPr="00BA050E">
              <w:rPr>
                <w:sz w:val="18"/>
                <w:szCs w:val="18"/>
              </w:rPr>
              <w:t>Moldova Agriculture Competitiveness project (MACP</w:t>
            </w:r>
            <w:r>
              <w:rPr>
                <w:sz w:val="18"/>
                <w:szCs w:val="18"/>
              </w:rPr>
              <w:t xml:space="preserve">, </w:t>
            </w:r>
            <w:r w:rsidRPr="002F2910">
              <w:rPr>
                <w:sz w:val="18"/>
                <w:szCs w:val="18"/>
              </w:rPr>
              <w:t>P118518</w:t>
            </w:r>
            <w:r w:rsidRPr="00BA050E">
              <w:rPr>
                <w:sz w:val="18"/>
                <w:szCs w:val="18"/>
              </w:rPr>
              <w:t xml:space="preserve">) </w:t>
            </w:r>
          </w:p>
          <w:p w14:paraId="6842DABF" w14:textId="77777777" w:rsidR="00B44D67" w:rsidRPr="00BA050E" w:rsidRDefault="00B44D67" w:rsidP="00241C66">
            <w:pPr>
              <w:spacing w:after="0" w:line="240" w:lineRule="auto"/>
              <w:ind w:left="0" w:right="0" w:firstLine="0"/>
              <w:jc w:val="left"/>
              <w:rPr>
                <w:sz w:val="18"/>
                <w:szCs w:val="18"/>
              </w:rPr>
            </w:pPr>
          </w:p>
          <w:p w14:paraId="67CEC61F" w14:textId="77777777" w:rsidR="00B44D67" w:rsidRPr="00BA050E" w:rsidRDefault="00B44D67" w:rsidP="00241C66">
            <w:pPr>
              <w:spacing w:after="0" w:line="240" w:lineRule="auto"/>
              <w:ind w:left="0" w:right="0" w:firstLine="0"/>
              <w:jc w:val="left"/>
              <w:rPr>
                <w:sz w:val="18"/>
                <w:szCs w:val="18"/>
              </w:rPr>
            </w:pPr>
            <w:r w:rsidRPr="00BA050E">
              <w:rPr>
                <w:sz w:val="18"/>
                <w:szCs w:val="18"/>
              </w:rPr>
              <w:t>IFC ICR project</w:t>
            </w:r>
          </w:p>
          <w:p w14:paraId="02939351" w14:textId="77777777" w:rsidR="00B44D67" w:rsidRPr="00BA050E" w:rsidRDefault="00B44D67" w:rsidP="00241C66">
            <w:pPr>
              <w:spacing w:after="0" w:line="240" w:lineRule="auto"/>
              <w:ind w:left="0" w:right="0" w:firstLine="0"/>
              <w:jc w:val="left"/>
              <w:rPr>
                <w:sz w:val="18"/>
                <w:szCs w:val="18"/>
              </w:rPr>
            </w:pPr>
            <w:r w:rsidRPr="00BA050E">
              <w:rPr>
                <w:sz w:val="18"/>
                <w:szCs w:val="18"/>
              </w:rPr>
              <w:t>IFC investments in agriculture</w:t>
            </w:r>
            <w:r>
              <w:rPr>
                <w:sz w:val="18"/>
                <w:szCs w:val="18"/>
              </w:rPr>
              <w:t xml:space="preserve"> (including client with ID </w:t>
            </w:r>
            <w:r w:rsidRPr="002F2910">
              <w:rPr>
                <w:sz w:val="18"/>
                <w:szCs w:val="18"/>
              </w:rPr>
              <w:t>34474</w:t>
            </w:r>
            <w:r>
              <w:rPr>
                <w:sz w:val="18"/>
                <w:szCs w:val="18"/>
              </w:rPr>
              <w:t xml:space="preserve">, </w:t>
            </w:r>
            <w:r w:rsidRPr="00E240C0">
              <w:rPr>
                <w:sz w:val="18"/>
                <w:szCs w:val="18"/>
              </w:rPr>
              <w:t>613340</w:t>
            </w:r>
            <w:r>
              <w:rPr>
                <w:sz w:val="18"/>
                <w:szCs w:val="18"/>
              </w:rPr>
              <w:t>)</w:t>
            </w:r>
          </w:p>
          <w:p w14:paraId="72874E28" w14:textId="77777777" w:rsidR="00B44D67" w:rsidRDefault="00B44D67" w:rsidP="00241C66">
            <w:pPr>
              <w:spacing w:after="0" w:line="240" w:lineRule="auto"/>
              <w:ind w:left="0" w:right="0" w:firstLine="0"/>
              <w:jc w:val="left"/>
              <w:rPr>
                <w:b/>
                <w:sz w:val="18"/>
                <w:szCs w:val="18"/>
              </w:rPr>
            </w:pPr>
          </w:p>
          <w:p w14:paraId="4BCE5C87" w14:textId="77777777" w:rsidR="00B44D67" w:rsidRPr="00BA050E" w:rsidRDefault="00B44D67" w:rsidP="00241C66">
            <w:pPr>
              <w:spacing w:after="0" w:line="240" w:lineRule="auto"/>
              <w:ind w:left="0" w:right="0" w:firstLine="0"/>
              <w:jc w:val="left"/>
              <w:rPr>
                <w:b/>
                <w:sz w:val="18"/>
                <w:szCs w:val="18"/>
              </w:rPr>
            </w:pPr>
            <w:r w:rsidRPr="00BA050E">
              <w:rPr>
                <w:b/>
                <w:sz w:val="18"/>
                <w:szCs w:val="18"/>
              </w:rPr>
              <w:t>Pipeline:</w:t>
            </w:r>
          </w:p>
          <w:p w14:paraId="46C08B86" w14:textId="77777777" w:rsidR="00B44D67" w:rsidRPr="00BA050E" w:rsidRDefault="00B44D67" w:rsidP="00241C66">
            <w:pPr>
              <w:spacing w:after="0" w:line="240" w:lineRule="auto"/>
              <w:ind w:left="0" w:right="0" w:firstLine="0"/>
              <w:jc w:val="left"/>
              <w:rPr>
                <w:sz w:val="18"/>
                <w:szCs w:val="18"/>
              </w:rPr>
            </w:pPr>
            <w:r w:rsidRPr="00BA050E">
              <w:rPr>
                <w:sz w:val="18"/>
                <w:szCs w:val="18"/>
              </w:rPr>
              <w:t>MACP 2</w:t>
            </w:r>
            <w:r w:rsidRPr="00BA050E">
              <w:rPr>
                <w:sz w:val="18"/>
                <w:szCs w:val="18"/>
                <w:vertAlign w:val="superscript"/>
              </w:rPr>
              <w:t>nd</w:t>
            </w:r>
            <w:r w:rsidRPr="00BA050E">
              <w:rPr>
                <w:sz w:val="18"/>
                <w:szCs w:val="18"/>
              </w:rPr>
              <w:t xml:space="preserve"> AF</w:t>
            </w:r>
            <w:r>
              <w:rPr>
                <w:sz w:val="18"/>
                <w:szCs w:val="18"/>
              </w:rPr>
              <w:t xml:space="preserve"> (P</w:t>
            </w:r>
            <w:r w:rsidRPr="002F2910">
              <w:rPr>
                <w:sz w:val="18"/>
                <w:szCs w:val="18"/>
              </w:rPr>
              <w:t>157765</w:t>
            </w:r>
            <w:r>
              <w:rPr>
                <w:sz w:val="18"/>
                <w:szCs w:val="18"/>
              </w:rPr>
              <w:t>)</w:t>
            </w:r>
          </w:p>
          <w:p w14:paraId="63B55D68" w14:textId="77777777" w:rsidR="00B44D67" w:rsidRDefault="00B44D67" w:rsidP="00241C66">
            <w:pPr>
              <w:spacing w:after="0" w:line="240" w:lineRule="auto"/>
              <w:ind w:left="0" w:right="0" w:firstLine="0"/>
              <w:jc w:val="left"/>
              <w:rPr>
                <w:b/>
                <w:color w:val="auto"/>
                <w:sz w:val="18"/>
                <w:szCs w:val="18"/>
              </w:rPr>
            </w:pPr>
          </w:p>
          <w:p w14:paraId="3FCD54CB"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TFs:</w:t>
            </w:r>
          </w:p>
          <w:p w14:paraId="433ACCCF" w14:textId="77777777" w:rsidR="00B44D67" w:rsidRPr="00BA050E" w:rsidRDefault="00B44D67" w:rsidP="00241C66">
            <w:pPr>
              <w:spacing w:after="0" w:line="240" w:lineRule="auto"/>
              <w:ind w:left="0" w:right="0" w:firstLine="0"/>
              <w:jc w:val="left"/>
              <w:rPr>
                <w:color w:val="auto"/>
                <w:sz w:val="18"/>
                <w:szCs w:val="18"/>
              </w:rPr>
            </w:pPr>
            <w:r w:rsidRPr="00BA050E">
              <w:rPr>
                <w:sz w:val="18"/>
                <w:szCs w:val="18"/>
              </w:rPr>
              <w:t>MACP GEF</w:t>
            </w:r>
            <w:r>
              <w:rPr>
                <w:sz w:val="18"/>
                <w:szCs w:val="18"/>
              </w:rPr>
              <w:t xml:space="preserve"> (P118518)</w:t>
            </w:r>
          </w:p>
          <w:p w14:paraId="41CFEB9A" w14:textId="77777777" w:rsidR="00B44D67" w:rsidRDefault="00B44D67" w:rsidP="00241C66">
            <w:pPr>
              <w:spacing w:after="0" w:line="240" w:lineRule="auto"/>
              <w:ind w:left="0" w:right="0" w:firstLine="0"/>
              <w:jc w:val="left"/>
              <w:rPr>
                <w:b/>
                <w:color w:val="auto"/>
                <w:sz w:val="18"/>
                <w:szCs w:val="18"/>
              </w:rPr>
            </w:pPr>
          </w:p>
          <w:p w14:paraId="608E5AF2"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ASA:</w:t>
            </w:r>
          </w:p>
          <w:p w14:paraId="5043D440" w14:textId="77777777" w:rsidR="00B44D67" w:rsidRPr="00BA050E" w:rsidRDefault="00B44D67" w:rsidP="00241C66">
            <w:pPr>
              <w:spacing w:after="0" w:line="240" w:lineRule="auto"/>
              <w:ind w:left="0" w:right="0" w:firstLine="0"/>
              <w:jc w:val="left"/>
              <w:rPr>
                <w:sz w:val="18"/>
                <w:szCs w:val="18"/>
              </w:rPr>
            </w:pPr>
            <w:r w:rsidRPr="00BA050E">
              <w:rPr>
                <w:sz w:val="18"/>
                <w:szCs w:val="18"/>
              </w:rPr>
              <w:t>DCFTA Preparation Support in Agriculture TA</w:t>
            </w:r>
            <w:r>
              <w:rPr>
                <w:sz w:val="18"/>
                <w:szCs w:val="18"/>
              </w:rPr>
              <w:t xml:space="preserve"> (</w:t>
            </w:r>
            <w:r w:rsidRPr="002F2910">
              <w:rPr>
                <w:sz w:val="18"/>
                <w:szCs w:val="18"/>
              </w:rPr>
              <w:t>P132866</w:t>
            </w:r>
            <w:r>
              <w:rPr>
                <w:sz w:val="18"/>
                <w:szCs w:val="18"/>
              </w:rPr>
              <w:t>)</w:t>
            </w:r>
          </w:p>
          <w:p w14:paraId="55326906"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sz w:val="18"/>
                <w:szCs w:val="18"/>
              </w:rPr>
              <w:t>Food Security &amp; Agricultural Policy Formulation TA</w:t>
            </w:r>
            <w:r>
              <w:rPr>
                <w:sz w:val="18"/>
                <w:szCs w:val="18"/>
              </w:rPr>
              <w:t xml:space="preserve"> (P124627)</w:t>
            </w:r>
          </w:p>
        </w:tc>
        <w:tc>
          <w:tcPr>
            <w:tcW w:w="1380" w:type="pct"/>
            <w:tcBorders>
              <w:top w:val="single" w:sz="4" w:space="0" w:color="auto"/>
              <w:left w:val="single" w:sz="4" w:space="0" w:color="auto"/>
              <w:bottom w:val="single" w:sz="4" w:space="0" w:color="auto"/>
              <w:right w:val="single" w:sz="4" w:space="0" w:color="auto"/>
            </w:tcBorders>
          </w:tcPr>
          <w:p w14:paraId="09F3F9DA"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Unilateral transposition of legislation and regulations does not work. Harmonization efforts need to be embedded in collaboration between authorities and private sector.</w:t>
            </w:r>
          </w:p>
          <w:p w14:paraId="6FC4DE88"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Harmonization efforts should continue, but with more private sector participation in consultation process, as well as financial support to private sector to facilitate compliance.</w:t>
            </w:r>
          </w:p>
        </w:tc>
      </w:tr>
      <w:tr w:rsidR="00B44D67" w:rsidRPr="00BA050E" w14:paraId="4558DB17" w14:textId="77777777" w:rsidTr="00241C66">
        <w:tc>
          <w:tcPr>
            <w:tcW w:w="1274" w:type="pct"/>
            <w:tcBorders>
              <w:top w:val="single" w:sz="4" w:space="0" w:color="auto"/>
              <w:left w:val="single" w:sz="4" w:space="0" w:color="auto"/>
              <w:bottom w:val="single" w:sz="4" w:space="0" w:color="auto"/>
              <w:right w:val="single" w:sz="4" w:space="0" w:color="auto"/>
            </w:tcBorders>
          </w:tcPr>
          <w:p w14:paraId="26DAB525" w14:textId="77777777" w:rsidR="00B44D67" w:rsidRPr="00BA050E" w:rsidRDefault="00B44D67" w:rsidP="006D2153">
            <w:pPr>
              <w:numPr>
                <w:ilvl w:val="0"/>
                <w:numId w:val="29"/>
              </w:numPr>
              <w:spacing w:after="0" w:line="240" w:lineRule="auto"/>
              <w:ind w:left="247" w:right="0" w:hanging="218"/>
              <w:jc w:val="left"/>
              <w:rPr>
                <w:b/>
                <w:sz w:val="18"/>
                <w:szCs w:val="18"/>
              </w:rPr>
            </w:pPr>
            <w:r w:rsidRPr="00BA050E">
              <w:rPr>
                <w:b/>
                <w:color w:val="auto"/>
                <w:sz w:val="18"/>
                <w:szCs w:val="18"/>
              </w:rPr>
              <w:t>Increased</w:t>
            </w:r>
            <w:r w:rsidRPr="00BA050E">
              <w:rPr>
                <w:b/>
                <w:sz w:val="18"/>
                <w:szCs w:val="18"/>
              </w:rPr>
              <w:t xml:space="preserve"> market access for farmers.</w:t>
            </w:r>
          </w:p>
          <w:p w14:paraId="2F640B4F" w14:textId="77777777" w:rsidR="00B44D67" w:rsidRPr="00BA050E" w:rsidRDefault="00B44D67" w:rsidP="00241C66">
            <w:pPr>
              <w:spacing w:after="0" w:line="240" w:lineRule="auto"/>
              <w:ind w:left="0" w:right="0" w:firstLine="0"/>
              <w:rPr>
                <w:sz w:val="18"/>
                <w:szCs w:val="18"/>
              </w:rPr>
            </w:pPr>
            <w:r w:rsidRPr="00BA050E">
              <w:rPr>
                <w:b/>
                <w:i/>
                <w:sz w:val="18"/>
                <w:szCs w:val="18"/>
              </w:rPr>
              <w:t>Indicator</w:t>
            </w:r>
            <w:r w:rsidRPr="00BA050E">
              <w:rPr>
                <w:i/>
                <w:sz w:val="18"/>
                <w:szCs w:val="18"/>
              </w:rPr>
              <w:t xml:space="preserve">: </w:t>
            </w:r>
            <w:r w:rsidRPr="00BA050E">
              <w:rPr>
                <w:sz w:val="18"/>
                <w:szCs w:val="18"/>
              </w:rPr>
              <w:t>Increased sales (domestic and exports) of high value crops by targeted partnerships receiving investment support grants</w:t>
            </w:r>
          </w:p>
          <w:p w14:paraId="2C129863" w14:textId="77777777" w:rsidR="00B44D67" w:rsidRPr="00BA050E" w:rsidRDefault="00B44D67" w:rsidP="00241C66">
            <w:pPr>
              <w:spacing w:after="0" w:line="240" w:lineRule="auto"/>
              <w:ind w:left="0" w:right="0" w:firstLine="0"/>
              <w:jc w:val="left"/>
              <w:rPr>
                <w:sz w:val="18"/>
                <w:szCs w:val="18"/>
              </w:rPr>
            </w:pPr>
            <w:r w:rsidRPr="00BA050E">
              <w:rPr>
                <w:sz w:val="18"/>
                <w:szCs w:val="18"/>
              </w:rPr>
              <w:t>Baseline: 0 percent (2013)</w:t>
            </w:r>
          </w:p>
          <w:p w14:paraId="606CDAC4" w14:textId="77777777" w:rsidR="00B44D67" w:rsidRPr="00BA050E" w:rsidRDefault="00B44D67" w:rsidP="00241C66">
            <w:pPr>
              <w:spacing w:after="0" w:line="240" w:lineRule="auto"/>
              <w:ind w:left="0" w:right="0" w:firstLine="0"/>
              <w:jc w:val="left"/>
              <w:rPr>
                <w:sz w:val="18"/>
                <w:szCs w:val="18"/>
              </w:rPr>
            </w:pPr>
            <w:r w:rsidRPr="00BA050E">
              <w:rPr>
                <w:sz w:val="18"/>
                <w:szCs w:val="18"/>
              </w:rPr>
              <w:t>Target:  50 percent (2017)</w:t>
            </w:r>
          </w:p>
        </w:tc>
        <w:tc>
          <w:tcPr>
            <w:tcW w:w="1380" w:type="pct"/>
            <w:tcBorders>
              <w:top w:val="single" w:sz="4" w:space="0" w:color="auto"/>
              <w:left w:val="single" w:sz="4" w:space="0" w:color="auto"/>
              <w:bottom w:val="single" w:sz="4" w:space="0" w:color="auto"/>
              <w:right w:val="single" w:sz="4" w:space="0" w:color="auto"/>
            </w:tcBorders>
          </w:tcPr>
          <w:p w14:paraId="4B117203"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color w:val="auto"/>
                <w:sz w:val="18"/>
                <w:szCs w:val="18"/>
              </w:rPr>
              <w:t>Partially achieved</w:t>
            </w:r>
          </w:p>
          <w:p w14:paraId="774FAAA3"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Per latest data, sales by targeted partnerships have increased by only 15 percent. However, the volume is increasing rapidly, as more productive partnerships supported by financing complete their investments.</w:t>
            </w:r>
          </w:p>
        </w:tc>
        <w:tc>
          <w:tcPr>
            <w:tcW w:w="966" w:type="pct"/>
            <w:vMerge/>
            <w:tcBorders>
              <w:left w:val="single" w:sz="4" w:space="0" w:color="auto"/>
              <w:right w:val="single" w:sz="4" w:space="0" w:color="auto"/>
            </w:tcBorders>
          </w:tcPr>
          <w:p w14:paraId="46522F58" w14:textId="77777777" w:rsidR="00B44D67" w:rsidRPr="00BA050E" w:rsidRDefault="00B44D67" w:rsidP="00241C66">
            <w:pPr>
              <w:spacing w:after="0" w:line="240" w:lineRule="auto"/>
              <w:ind w:left="0" w:right="0" w:firstLine="0"/>
              <w:jc w:val="left"/>
              <w:rPr>
                <w:rFonts w:eastAsia="Calibri"/>
                <w:b/>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59EF0DD2"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xml:space="preserve">Process of moving farmers from individual businesses to working in productive partnerships is arduous, and challenges should not be underestimated. </w:t>
            </w:r>
          </w:p>
          <w:p w14:paraId="42F21CB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Besides financing, equal emphasis must be placed on support for understanding and helping farmers to learn to work collaboratively.</w:t>
            </w:r>
          </w:p>
          <w:p w14:paraId="5D454444"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Support is also necessary to make farmers more agile businessmen.</w:t>
            </w:r>
          </w:p>
        </w:tc>
      </w:tr>
      <w:tr w:rsidR="00B44D67" w:rsidRPr="00BA050E" w14:paraId="2BA5CDEF" w14:textId="77777777" w:rsidTr="00241C66">
        <w:tc>
          <w:tcPr>
            <w:tcW w:w="1274" w:type="pct"/>
            <w:tcBorders>
              <w:top w:val="single" w:sz="4" w:space="0" w:color="auto"/>
              <w:left w:val="single" w:sz="4" w:space="0" w:color="auto"/>
              <w:bottom w:val="single" w:sz="4" w:space="0" w:color="auto"/>
              <w:right w:val="single" w:sz="4" w:space="0" w:color="auto"/>
            </w:tcBorders>
          </w:tcPr>
          <w:p w14:paraId="7CD9DAE4" w14:textId="77777777" w:rsidR="00B44D67" w:rsidRPr="00BA050E" w:rsidRDefault="00B44D67" w:rsidP="006D2153">
            <w:pPr>
              <w:numPr>
                <w:ilvl w:val="0"/>
                <w:numId w:val="29"/>
              </w:numPr>
              <w:spacing w:after="0" w:line="240" w:lineRule="auto"/>
              <w:ind w:left="245" w:right="0" w:hanging="216"/>
              <w:jc w:val="left"/>
              <w:rPr>
                <w:b/>
                <w:sz w:val="18"/>
                <w:szCs w:val="18"/>
              </w:rPr>
            </w:pPr>
            <w:r w:rsidRPr="00BA050E">
              <w:rPr>
                <w:b/>
                <w:sz w:val="18"/>
                <w:szCs w:val="18"/>
              </w:rPr>
              <w:t>Stabilized output of apples, plums and grapes among beneficiaries of compensatory grants.</w:t>
            </w:r>
          </w:p>
          <w:p w14:paraId="4CAF5F5A" w14:textId="77777777" w:rsidR="00B44D67" w:rsidRPr="00BA050E" w:rsidRDefault="00B44D67" w:rsidP="00241C66">
            <w:pPr>
              <w:spacing w:after="0" w:line="240" w:lineRule="auto"/>
              <w:ind w:left="0" w:right="0" w:firstLine="0"/>
              <w:jc w:val="left"/>
              <w:rPr>
                <w:sz w:val="18"/>
                <w:szCs w:val="18"/>
              </w:rPr>
            </w:pPr>
            <w:r w:rsidRPr="00BA050E">
              <w:rPr>
                <w:sz w:val="18"/>
                <w:szCs w:val="18"/>
              </w:rPr>
              <w:t>Baseline: 100 percent (2014―average output for 2012-14 for apples, plums and grapes)</w:t>
            </w:r>
          </w:p>
          <w:p w14:paraId="7EE9E9B7" w14:textId="77777777" w:rsidR="00B44D67" w:rsidRPr="00BA050E" w:rsidRDefault="00B44D67" w:rsidP="00241C66">
            <w:pPr>
              <w:spacing w:after="0" w:line="240" w:lineRule="auto"/>
              <w:ind w:left="0" w:right="0" w:firstLine="0"/>
              <w:jc w:val="left"/>
              <w:rPr>
                <w:sz w:val="18"/>
                <w:szCs w:val="18"/>
              </w:rPr>
            </w:pPr>
            <w:r w:rsidRPr="00BA050E">
              <w:rPr>
                <w:sz w:val="18"/>
                <w:szCs w:val="18"/>
              </w:rPr>
              <w:t>Target:      85 percent (2016―average over 2015-17)</w:t>
            </w:r>
          </w:p>
        </w:tc>
        <w:tc>
          <w:tcPr>
            <w:tcW w:w="1380" w:type="pct"/>
            <w:tcBorders>
              <w:top w:val="single" w:sz="4" w:space="0" w:color="auto"/>
              <w:left w:val="single" w:sz="4" w:space="0" w:color="auto"/>
              <w:bottom w:val="single" w:sz="4" w:space="0" w:color="auto"/>
              <w:right w:val="single" w:sz="4" w:space="0" w:color="auto"/>
            </w:tcBorders>
          </w:tcPr>
          <w:p w14:paraId="6EB81281"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color w:val="auto"/>
                <w:sz w:val="18"/>
                <w:szCs w:val="18"/>
              </w:rPr>
              <w:t>Mostly Achieved</w:t>
            </w:r>
          </w:p>
          <w:p w14:paraId="26AAD6FA"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While 2017 data</w:t>
            </w:r>
            <w:r w:rsidRPr="00BA050E">
              <w:rPr>
                <w:rFonts w:eastAsia="Calibri"/>
                <w:b/>
                <w:color w:val="auto"/>
                <w:sz w:val="18"/>
                <w:szCs w:val="18"/>
              </w:rPr>
              <w:t xml:space="preserve"> </w:t>
            </w:r>
            <w:r w:rsidRPr="00BA050E">
              <w:rPr>
                <w:rFonts w:eastAsia="Calibri"/>
                <w:color w:val="auto"/>
                <w:sz w:val="18"/>
                <w:szCs w:val="18"/>
              </w:rPr>
              <w:t xml:space="preserve">not yet available, output of apples, plums, and grapes stabilized in 2015-16, and </w:t>
            </w:r>
            <w:r>
              <w:rPr>
                <w:rFonts w:eastAsia="Calibri"/>
                <w:color w:val="auto"/>
                <w:sz w:val="18"/>
                <w:szCs w:val="18"/>
              </w:rPr>
              <w:t xml:space="preserve">the </w:t>
            </w:r>
            <w:r w:rsidRPr="00BA050E">
              <w:rPr>
                <w:rFonts w:eastAsia="Calibri"/>
                <w:color w:val="auto"/>
                <w:sz w:val="18"/>
                <w:szCs w:val="18"/>
              </w:rPr>
              <w:t>final</w:t>
            </w:r>
            <w:r>
              <w:rPr>
                <w:rFonts w:eastAsia="Calibri"/>
                <w:color w:val="auto"/>
                <w:sz w:val="18"/>
                <w:szCs w:val="18"/>
              </w:rPr>
              <w:t xml:space="preserve"> </w:t>
            </w:r>
            <w:r w:rsidRPr="00BA050E">
              <w:rPr>
                <w:rFonts w:eastAsia="Calibri"/>
                <w:color w:val="auto"/>
                <w:sz w:val="18"/>
                <w:szCs w:val="18"/>
              </w:rPr>
              <w:t xml:space="preserve">outcome </w:t>
            </w:r>
            <w:r>
              <w:rPr>
                <w:rFonts w:eastAsia="Calibri"/>
                <w:color w:val="auto"/>
                <w:sz w:val="18"/>
                <w:szCs w:val="18"/>
              </w:rPr>
              <w:t xml:space="preserve">will </w:t>
            </w:r>
            <w:r w:rsidRPr="00BA050E">
              <w:rPr>
                <w:rFonts w:eastAsia="Calibri"/>
                <w:color w:val="auto"/>
                <w:sz w:val="18"/>
                <w:szCs w:val="18"/>
              </w:rPr>
              <w:t>likely be positive. Compensatory grant program was essential mitigation measure allowing thousands of farmers to avoid decapitalization and averting overall collapse of sector</w:t>
            </w:r>
          </w:p>
        </w:tc>
        <w:tc>
          <w:tcPr>
            <w:tcW w:w="966" w:type="pct"/>
            <w:vMerge/>
            <w:tcBorders>
              <w:left w:val="single" w:sz="4" w:space="0" w:color="auto"/>
              <w:bottom w:val="single" w:sz="4" w:space="0" w:color="auto"/>
              <w:right w:val="single" w:sz="4" w:space="0" w:color="auto"/>
            </w:tcBorders>
          </w:tcPr>
          <w:p w14:paraId="0305EEE5" w14:textId="77777777" w:rsidR="00B44D67" w:rsidRPr="00BA050E" w:rsidRDefault="00B44D67" w:rsidP="00241C66">
            <w:pPr>
              <w:spacing w:after="0" w:line="240" w:lineRule="auto"/>
              <w:ind w:left="0" w:right="0" w:firstLine="0"/>
              <w:jc w:val="left"/>
              <w:rPr>
                <w:rFonts w:eastAsia="Calibri"/>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15AA71E7"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xml:space="preserve">Compensation programs need to be made available to farmers as quickly as possible, with simple eligibility criteria and clear monitoring and enforcement mechanisms. </w:t>
            </w:r>
          </w:p>
          <w:p w14:paraId="46E072E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xml:space="preserve">In future, WBG should avoid </w:t>
            </w:r>
            <w:r w:rsidRPr="00BA050E">
              <w:rPr>
                <w:rFonts w:eastAsia="Calibri"/>
                <w:i/>
                <w:color w:val="auto"/>
                <w:sz w:val="18"/>
                <w:szCs w:val="18"/>
              </w:rPr>
              <w:t>ad hoc</w:t>
            </w:r>
            <w:r w:rsidRPr="00BA050E">
              <w:rPr>
                <w:rFonts w:eastAsia="Calibri"/>
                <w:color w:val="auto"/>
                <w:sz w:val="18"/>
                <w:szCs w:val="18"/>
              </w:rPr>
              <w:t xml:space="preserve"> compensation programs and focus on sustainable sector support initiatives, such as insurance programs, compensation funds, etc. </w:t>
            </w:r>
          </w:p>
        </w:tc>
      </w:tr>
      <w:tr w:rsidR="00B44D67" w:rsidRPr="00BA050E" w14:paraId="51ABCF90"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2DA0984" w14:textId="77777777" w:rsidR="00B44D67" w:rsidRPr="00BA050E" w:rsidRDefault="00B44D67" w:rsidP="00241C66">
            <w:pPr>
              <w:spacing w:after="80" w:line="240" w:lineRule="auto"/>
              <w:ind w:left="0" w:right="0" w:firstLine="0"/>
              <w:jc w:val="center"/>
              <w:rPr>
                <w:rFonts w:eastAsia="Calibri"/>
                <w:b/>
                <w:smallCaps/>
                <w:color w:val="auto"/>
                <w:sz w:val="20"/>
                <w:szCs w:val="18"/>
              </w:rPr>
            </w:pPr>
            <w:r w:rsidRPr="00BA050E">
              <w:rPr>
                <w:rFonts w:eastAsia="Calibri"/>
                <w:b/>
                <w:smallCaps/>
                <w:color w:val="auto"/>
                <w:sz w:val="20"/>
                <w:szCs w:val="18"/>
              </w:rPr>
              <w:t>Pillar II.  Enhancing Human Capital and Minimizing Social Risks</w:t>
            </w:r>
          </w:p>
        </w:tc>
      </w:tr>
      <w:tr w:rsidR="00B44D67" w:rsidRPr="00BA050E" w14:paraId="7E616727"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746B382" w14:textId="77777777" w:rsidR="00B44D67" w:rsidRPr="00BA050E" w:rsidRDefault="00B44D67" w:rsidP="00241C66">
            <w:pPr>
              <w:spacing w:after="80" w:line="240" w:lineRule="auto"/>
              <w:ind w:left="0" w:right="0" w:firstLine="0"/>
              <w:jc w:val="center"/>
              <w:rPr>
                <w:rFonts w:eastAsia="Calibri"/>
                <w:b/>
                <w:i/>
                <w:color w:val="auto"/>
                <w:sz w:val="18"/>
                <w:szCs w:val="18"/>
              </w:rPr>
            </w:pPr>
            <w:r w:rsidRPr="00BA050E">
              <w:rPr>
                <w:rFonts w:eastAsia="Calibri"/>
                <w:color w:val="auto"/>
                <w:sz w:val="20"/>
                <w:szCs w:val="20"/>
              </w:rPr>
              <w:br w:type="page"/>
            </w:r>
            <w:r w:rsidRPr="00BA050E">
              <w:rPr>
                <w:b/>
                <w:color w:val="auto"/>
                <w:sz w:val="19"/>
                <w:szCs w:val="19"/>
              </w:rPr>
              <w:t xml:space="preserve"> CPS Objective 2.1. Improved quality of and access to health and education services</w:t>
            </w:r>
          </w:p>
        </w:tc>
      </w:tr>
      <w:tr w:rsidR="00B44D67" w:rsidRPr="00BA050E" w14:paraId="799A9255" w14:textId="77777777" w:rsidTr="00241C66">
        <w:tc>
          <w:tcPr>
            <w:tcW w:w="1274" w:type="pct"/>
            <w:tcBorders>
              <w:top w:val="single" w:sz="4" w:space="0" w:color="auto"/>
              <w:left w:val="single" w:sz="4" w:space="0" w:color="auto"/>
              <w:bottom w:val="single" w:sz="4" w:space="0" w:color="auto"/>
              <w:right w:val="single" w:sz="4" w:space="0" w:color="auto"/>
            </w:tcBorders>
          </w:tcPr>
          <w:p w14:paraId="79BF36B4" w14:textId="77777777" w:rsidR="00B44D67" w:rsidRPr="00BA050E" w:rsidRDefault="00B44D67" w:rsidP="006D2153">
            <w:pPr>
              <w:numPr>
                <w:ilvl w:val="0"/>
                <w:numId w:val="29"/>
              </w:numPr>
              <w:spacing w:after="0" w:line="240" w:lineRule="auto"/>
              <w:ind w:right="0"/>
              <w:contextualSpacing/>
              <w:jc w:val="left"/>
              <w:rPr>
                <w:rFonts w:eastAsia="Calibri"/>
                <w:b/>
                <w:color w:val="auto"/>
                <w:sz w:val="18"/>
                <w:szCs w:val="18"/>
              </w:rPr>
            </w:pPr>
            <w:r w:rsidRPr="00BA050E">
              <w:rPr>
                <w:b/>
                <w:sz w:val="18"/>
                <w:szCs w:val="18"/>
              </w:rPr>
              <w:t>Strengthened</w:t>
            </w:r>
            <w:r w:rsidRPr="00BA050E">
              <w:rPr>
                <w:rFonts w:eastAsia="Calibri"/>
                <w:b/>
                <w:color w:val="auto"/>
                <w:sz w:val="18"/>
                <w:szCs w:val="18"/>
              </w:rPr>
              <w:t xml:space="preserve"> quality of education. </w:t>
            </w:r>
          </w:p>
          <w:p w14:paraId="37A29B31"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i/>
                <w:color w:val="auto"/>
                <w:sz w:val="18"/>
                <w:szCs w:val="18"/>
              </w:rPr>
              <w:t>Indicator 1</w:t>
            </w:r>
            <w:r w:rsidRPr="00BA050E">
              <w:rPr>
                <w:rFonts w:eastAsia="Calibri"/>
                <w:i/>
                <w:color w:val="auto"/>
                <w:sz w:val="18"/>
                <w:szCs w:val="18"/>
              </w:rPr>
              <w:t>:</w:t>
            </w:r>
            <w:r w:rsidRPr="00BA050E">
              <w:rPr>
                <w:rFonts w:eastAsia="Calibri"/>
                <w:color w:val="auto"/>
                <w:sz w:val="18"/>
                <w:szCs w:val="18"/>
              </w:rPr>
              <w:t xml:space="preserve"> Implementation of quality assurance standards for hub schools initiated and scaled up (% of hub schools)</w:t>
            </w:r>
          </w:p>
          <w:p w14:paraId="74286DC1"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Baseline:   0 percent (2013)</w:t>
            </w:r>
          </w:p>
          <w:p w14:paraId="4E0785D7"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Target:    70 percent (2017)</w:t>
            </w:r>
          </w:p>
          <w:p w14:paraId="11A66558" w14:textId="77777777" w:rsidR="00B44D67" w:rsidRPr="00BA050E" w:rsidRDefault="00B44D67" w:rsidP="00241C66">
            <w:pPr>
              <w:spacing w:after="0" w:line="240" w:lineRule="auto"/>
              <w:ind w:left="0" w:right="0" w:firstLine="0"/>
              <w:contextualSpacing/>
              <w:rPr>
                <w:rFonts w:eastAsia="Calibri"/>
                <w:b/>
                <w:i/>
                <w:color w:val="auto"/>
                <w:sz w:val="18"/>
                <w:szCs w:val="18"/>
              </w:rPr>
            </w:pPr>
          </w:p>
          <w:p w14:paraId="378AAB73"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i/>
                <w:color w:val="auto"/>
                <w:sz w:val="18"/>
                <w:szCs w:val="18"/>
              </w:rPr>
              <w:t>Indicator 2</w:t>
            </w:r>
            <w:r w:rsidRPr="00BA050E">
              <w:rPr>
                <w:rFonts w:eastAsia="Calibri"/>
                <w:i/>
                <w:color w:val="auto"/>
                <w:sz w:val="18"/>
                <w:szCs w:val="18"/>
              </w:rPr>
              <w:t xml:space="preserve">: </w:t>
            </w:r>
            <w:r>
              <w:rPr>
                <w:rFonts w:eastAsia="Calibri"/>
                <w:color w:val="auto"/>
                <w:sz w:val="18"/>
                <w:szCs w:val="18"/>
              </w:rPr>
              <w:t>Improved student assess</w:t>
            </w:r>
            <w:r w:rsidRPr="00BA050E">
              <w:rPr>
                <w:rFonts w:eastAsia="Calibri"/>
                <w:color w:val="auto"/>
                <w:sz w:val="18"/>
                <w:szCs w:val="18"/>
              </w:rPr>
              <w:t>ment system: revised tests administered and baseline for grades 4 and 9 tests established in 2015, including disaggregation by socio-economic background.</w:t>
            </w:r>
          </w:p>
        </w:tc>
        <w:tc>
          <w:tcPr>
            <w:tcW w:w="1380" w:type="pct"/>
            <w:tcBorders>
              <w:top w:val="single" w:sz="4" w:space="0" w:color="auto"/>
              <w:left w:val="single" w:sz="4" w:space="0" w:color="auto"/>
              <w:bottom w:val="single" w:sz="4" w:space="0" w:color="auto"/>
              <w:right w:val="single" w:sz="4" w:space="0" w:color="auto"/>
            </w:tcBorders>
          </w:tcPr>
          <w:p w14:paraId="5DE02362"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b/>
                <w:color w:val="auto"/>
                <w:sz w:val="18"/>
                <w:szCs w:val="18"/>
              </w:rPr>
              <w:t>Partially achieved</w:t>
            </w:r>
          </w:p>
          <w:p w14:paraId="7ABA40D0"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Not achieved:</w:t>
            </w:r>
            <w:r w:rsidRPr="00BA050E">
              <w:rPr>
                <w:rFonts w:eastAsia="Calibri"/>
                <w:color w:val="auto"/>
                <w:sz w:val="18"/>
                <w:szCs w:val="18"/>
              </w:rPr>
              <w:t xml:space="preserve"> Target adjusted to 21 hub schools fully rehabilitated</w:t>
            </w:r>
          </w:p>
          <w:p w14:paraId="56556013" w14:textId="77777777" w:rsidR="00B44D67" w:rsidRPr="00BA050E" w:rsidRDefault="00B44D67" w:rsidP="00241C66">
            <w:pPr>
              <w:spacing w:after="0" w:line="240" w:lineRule="auto"/>
              <w:ind w:left="0" w:right="0" w:firstLine="0"/>
              <w:contextualSpacing/>
              <w:jc w:val="left"/>
              <w:rPr>
                <w:rFonts w:eastAsia="Calibri"/>
                <w:color w:val="auto"/>
                <w:sz w:val="18"/>
                <w:szCs w:val="18"/>
              </w:rPr>
            </w:pPr>
          </w:p>
          <w:p w14:paraId="2453A420"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37CC36B1"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305B00B0"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2E36385B"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National student assessment tests for 4</w:t>
            </w:r>
            <w:r w:rsidRPr="00BA050E">
              <w:rPr>
                <w:rFonts w:eastAsia="Calibri"/>
                <w:color w:val="auto"/>
                <w:sz w:val="18"/>
                <w:szCs w:val="18"/>
                <w:vertAlign w:val="superscript"/>
              </w:rPr>
              <w:t>th</w:t>
            </w:r>
            <w:r w:rsidRPr="00BA050E">
              <w:rPr>
                <w:rFonts w:eastAsia="Calibri"/>
                <w:color w:val="auto"/>
                <w:sz w:val="18"/>
                <w:szCs w:val="18"/>
              </w:rPr>
              <w:t xml:space="preserve"> and 9</w:t>
            </w:r>
            <w:r w:rsidRPr="00BA050E">
              <w:rPr>
                <w:rFonts w:eastAsia="Calibri"/>
                <w:color w:val="auto"/>
                <w:sz w:val="18"/>
                <w:szCs w:val="18"/>
                <w:vertAlign w:val="superscript"/>
              </w:rPr>
              <w:t>th</w:t>
            </w:r>
            <w:r w:rsidRPr="00BA050E">
              <w:rPr>
                <w:rFonts w:eastAsia="Calibri"/>
                <w:color w:val="auto"/>
                <w:sz w:val="18"/>
                <w:szCs w:val="18"/>
              </w:rPr>
              <w:t xml:space="preserve"> grades updated (2014) and applied annually.  </w:t>
            </w:r>
          </w:p>
        </w:tc>
        <w:tc>
          <w:tcPr>
            <w:tcW w:w="966" w:type="pct"/>
            <w:vMerge w:val="restart"/>
            <w:tcBorders>
              <w:top w:val="single" w:sz="4" w:space="0" w:color="auto"/>
              <w:left w:val="single" w:sz="4" w:space="0" w:color="auto"/>
              <w:right w:val="single" w:sz="4" w:space="0" w:color="auto"/>
            </w:tcBorders>
          </w:tcPr>
          <w:p w14:paraId="711CBB6B"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r w:rsidRPr="00BA050E">
              <w:rPr>
                <w:rFonts w:eastAsia="Calibri"/>
                <w:b/>
                <w:color w:val="auto"/>
                <w:sz w:val="18"/>
                <w:szCs w:val="18"/>
              </w:rPr>
              <w:t>Completed:</w:t>
            </w:r>
          </w:p>
          <w:p w14:paraId="764EF932"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Quality Education in Ru</w:t>
            </w:r>
            <w:r>
              <w:rPr>
                <w:rFonts w:eastAsia="Calibri"/>
                <w:color w:val="auto"/>
                <w:sz w:val="18"/>
                <w:szCs w:val="18"/>
              </w:rPr>
              <w:t>ral Areas of Moldova project and AF (P090340, P129552)</w:t>
            </w:r>
          </w:p>
          <w:p w14:paraId="4EBAE0C9" w14:textId="77777777" w:rsidR="00B44D67" w:rsidRDefault="00B44D67" w:rsidP="00241C66">
            <w:pPr>
              <w:spacing w:after="0" w:line="240" w:lineRule="auto"/>
              <w:ind w:left="0" w:right="0" w:firstLine="0"/>
              <w:contextualSpacing/>
              <w:jc w:val="left"/>
              <w:rPr>
                <w:rFonts w:eastAsia="Calibri"/>
                <w:b/>
                <w:color w:val="auto"/>
                <w:sz w:val="18"/>
                <w:szCs w:val="18"/>
              </w:rPr>
            </w:pPr>
          </w:p>
          <w:p w14:paraId="724E4EF7"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r w:rsidRPr="00BA050E">
              <w:rPr>
                <w:rFonts w:eastAsia="Calibri"/>
                <w:b/>
                <w:color w:val="auto"/>
                <w:sz w:val="18"/>
                <w:szCs w:val="18"/>
              </w:rPr>
              <w:t xml:space="preserve">Ongoing: </w:t>
            </w:r>
          </w:p>
          <w:p w14:paraId="413852AA"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Moldova Education Reform project (MERP</w:t>
            </w:r>
            <w:r>
              <w:rPr>
                <w:rFonts w:eastAsia="Calibri"/>
                <w:color w:val="auto"/>
                <w:sz w:val="18"/>
                <w:szCs w:val="18"/>
              </w:rPr>
              <w:t>, P127388</w:t>
            </w:r>
            <w:r w:rsidRPr="00BA050E">
              <w:rPr>
                <w:rFonts w:eastAsia="Calibri"/>
                <w:color w:val="auto"/>
                <w:sz w:val="18"/>
                <w:szCs w:val="18"/>
              </w:rPr>
              <w:t>)</w:t>
            </w:r>
          </w:p>
          <w:p w14:paraId="28C82431"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Moldova Labor TA on skills mismatch linked to information asymmetries</w:t>
            </w:r>
            <w:r>
              <w:rPr>
                <w:rFonts w:eastAsia="Calibri"/>
                <w:color w:val="auto"/>
                <w:sz w:val="18"/>
                <w:szCs w:val="18"/>
              </w:rPr>
              <w:t xml:space="preserve"> (P152911)</w:t>
            </w:r>
          </w:p>
          <w:p w14:paraId="21213CE0" w14:textId="77777777" w:rsidR="00B44D67" w:rsidRDefault="00B44D67" w:rsidP="00241C66">
            <w:pPr>
              <w:spacing w:after="0" w:line="240" w:lineRule="auto"/>
              <w:ind w:left="0" w:right="0" w:firstLine="0"/>
              <w:contextualSpacing/>
              <w:jc w:val="left"/>
              <w:rPr>
                <w:rFonts w:eastAsia="Calibri"/>
                <w:b/>
                <w:color w:val="auto"/>
                <w:sz w:val="18"/>
                <w:szCs w:val="18"/>
              </w:rPr>
            </w:pPr>
          </w:p>
          <w:p w14:paraId="13292562"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r w:rsidRPr="00BA050E">
              <w:rPr>
                <w:rFonts w:eastAsia="Calibri"/>
                <w:b/>
                <w:color w:val="auto"/>
                <w:sz w:val="18"/>
                <w:szCs w:val="18"/>
              </w:rPr>
              <w:lastRenderedPageBreak/>
              <w:t>TFs:</w:t>
            </w:r>
          </w:p>
          <w:p w14:paraId="2C8BE96F"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Education GPSA</w:t>
            </w:r>
            <w:r>
              <w:rPr>
                <w:rFonts w:eastAsia="Calibri"/>
                <w:color w:val="auto"/>
                <w:sz w:val="18"/>
                <w:szCs w:val="18"/>
              </w:rPr>
              <w:t xml:space="preserve"> (P147607)</w:t>
            </w:r>
          </w:p>
          <w:p w14:paraId="0E871015"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Japan PHRD Disability and Development Grant for the integration of children with disabilities into hub schools</w:t>
            </w:r>
            <w:r>
              <w:rPr>
                <w:rFonts w:eastAsia="Calibri"/>
                <w:color w:val="auto"/>
                <w:sz w:val="18"/>
                <w:szCs w:val="18"/>
              </w:rPr>
              <w:t xml:space="preserve"> (P144618)</w:t>
            </w:r>
          </w:p>
          <w:p w14:paraId="6E80B76A" w14:textId="77777777" w:rsidR="00B44D67" w:rsidRDefault="00B44D67" w:rsidP="00241C66">
            <w:pPr>
              <w:spacing w:after="0" w:line="240" w:lineRule="auto"/>
              <w:ind w:left="0" w:right="0" w:firstLine="0"/>
              <w:contextualSpacing/>
              <w:jc w:val="left"/>
              <w:rPr>
                <w:rFonts w:eastAsia="Calibri"/>
                <w:b/>
                <w:color w:val="auto"/>
                <w:sz w:val="18"/>
                <w:szCs w:val="18"/>
              </w:rPr>
            </w:pPr>
          </w:p>
          <w:p w14:paraId="5B0949C7"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r w:rsidRPr="00BA050E">
              <w:rPr>
                <w:rFonts w:eastAsia="Calibri"/>
                <w:b/>
                <w:color w:val="auto"/>
                <w:sz w:val="18"/>
                <w:szCs w:val="18"/>
              </w:rPr>
              <w:t>Partners:</w:t>
            </w:r>
          </w:p>
          <w:p w14:paraId="0E604345"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Japan</w:t>
            </w:r>
          </w:p>
        </w:tc>
        <w:tc>
          <w:tcPr>
            <w:tcW w:w="1380" w:type="pct"/>
            <w:tcBorders>
              <w:top w:val="single" w:sz="4" w:space="0" w:color="auto"/>
              <w:left w:val="single" w:sz="4" w:space="0" w:color="auto"/>
              <w:bottom w:val="single" w:sz="4" w:space="0" w:color="auto"/>
              <w:right w:val="single" w:sz="4" w:space="0" w:color="auto"/>
            </w:tcBorders>
            <w:hideMark/>
          </w:tcPr>
          <w:p w14:paraId="1E0157BB"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color w:val="auto"/>
                <w:sz w:val="18"/>
                <w:szCs w:val="18"/>
              </w:rPr>
              <w:lastRenderedPageBreak/>
              <w:t>Despite positive trends overall, target for number of hub schools meeting quality assurance standards proved overly optimistic: Ministry of Education’s implementation capacity for civil works was over-estimated; and needs of schools were under-estimated.  This design shortcoming resulted in need to restructure project.</w:t>
            </w:r>
          </w:p>
          <w:p w14:paraId="348F541C"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p>
        </w:tc>
      </w:tr>
      <w:tr w:rsidR="00B44D67" w:rsidRPr="00BA050E" w14:paraId="7352D961" w14:textId="77777777" w:rsidTr="00241C66">
        <w:tc>
          <w:tcPr>
            <w:tcW w:w="1274" w:type="pct"/>
            <w:tcBorders>
              <w:top w:val="single" w:sz="4" w:space="0" w:color="auto"/>
              <w:left w:val="single" w:sz="4" w:space="0" w:color="auto"/>
              <w:bottom w:val="single" w:sz="4" w:space="0" w:color="auto"/>
              <w:right w:val="single" w:sz="4" w:space="0" w:color="auto"/>
            </w:tcBorders>
          </w:tcPr>
          <w:p w14:paraId="39ECB0C1" w14:textId="77777777" w:rsidR="00B44D67" w:rsidRPr="00BA050E" w:rsidRDefault="00B44D67" w:rsidP="006D2153">
            <w:pPr>
              <w:numPr>
                <w:ilvl w:val="0"/>
                <w:numId w:val="29"/>
              </w:numPr>
              <w:spacing w:after="0" w:line="240" w:lineRule="auto"/>
              <w:ind w:right="0"/>
              <w:contextualSpacing/>
              <w:jc w:val="left"/>
              <w:rPr>
                <w:rFonts w:eastAsia="Calibri"/>
                <w:b/>
                <w:color w:val="auto"/>
                <w:sz w:val="18"/>
                <w:szCs w:val="18"/>
              </w:rPr>
            </w:pPr>
            <w:r w:rsidRPr="00BA050E">
              <w:rPr>
                <w:b/>
                <w:sz w:val="18"/>
                <w:szCs w:val="18"/>
              </w:rPr>
              <w:lastRenderedPageBreak/>
              <w:t>Improved</w:t>
            </w:r>
            <w:r w:rsidRPr="00BA050E">
              <w:rPr>
                <w:rFonts w:eastAsia="Calibri"/>
                <w:b/>
                <w:color w:val="auto"/>
                <w:sz w:val="18"/>
                <w:szCs w:val="18"/>
              </w:rPr>
              <w:t xml:space="preserve"> efficiency of education sector.</w:t>
            </w:r>
          </w:p>
          <w:p w14:paraId="4845A8EA"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b/>
                <w:i/>
                <w:color w:val="auto"/>
                <w:sz w:val="18"/>
                <w:szCs w:val="18"/>
              </w:rPr>
              <w:t>Indicator 1</w:t>
            </w:r>
            <w:r w:rsidRPr="00BA050E">
              <w:rPr>
                <w:rFonts w:eastAsia="Calibri"/>
                <w:i/>
                <w:color w:val="auto"/>
                <w:sz w:val="18"/>
                <w:szCs w:val="18"/>
              </w:rPr>
              <w:t>:</w:t>
            </w:r>
            <w:r w:rsidRPr="00BA050E">
              <w:rPr>
                <w:rFonts w:eastAsia="Calibri"/>
                <w:color w:val="auto"/>
                <w:sz w:val="18"/>
                <w:szCs w:val="18"/>
              </w:rPr>
              <w:t xml:space="preserve"> Implementation of </w:t>
            </w:r>
            <w:r w:rsidRPr="00BA050E">
              <w:rPr>
                <w:rFonts w:eastAsia="Calibri"/>
                <w:i/>
                <w:color w:val="auto"/>
                <w:sz w:val="18"/>
                <w:szCs w:val="18"/>
              </w:rPr>
              <w:t>per-capita</w:t>
            </w:r>
            <w:r w:rsidRPr="00BA050E">
              <w:rPr>
                <w:rFonts w:eastAsia="Calibri"/>
                <w:color w:val="auto"/>
                <w:sz w:val="18"/>
                <w:szCs w:val="18"/>
              </w:rPr>
              <w:t xml:space="preserve"> financing nationwide (2013)</w:t>
            </w:r>
          </w:p>
          <w:p w14:paraId="336DF9D1" w14:textId="77777777" w:rsidR="00B44D67" w:rsidRPr="00BA050E" w:rsidRDefault="00B44D67" w:rsidP="00241C66">
            <w:pPr>
              <w:spacing w:after="0" w:line="240" w:lineRule="auto"/>
              <w:ind w:left="0" w:right="0" w:firstLine="0"/>
              <w:contextualSpacing/>
              <w:jc w:val="left"/>
              <w:rPr>
                <w:rFonts w:eastAsia="Calibri"/>
                <w:b/>
                <w:i/>
                <w:color w:val="auto"/>
                <w:sz w:val="18"/>
                <w:szCs w:val="18"/>
              </w:rPr>
            </w:pPr>
          </w:p>
          <w:p w14:paraId="1D15947B" w14:textId="77777777" w:rsidR="00B44D67" w:rsidRPr="00BA050E" w:rsidRDefault="00B44D67" w:rsidP="00241C66">
            <w:pPr>
              <w:spacing w:after="0" w:line="240" w:lineRule="auto"/>
              <w:ind w:left="0" w:right="0" w:firstLine="0"/>
              <w:contextualSpacing/>
              <w:jc w:val="left"/>
              <w:rPr>
                <w:rFonts w:eastAsia="Calibri"/>
                <w:b/>
                <w:i/>
                <w:color w:val="auto"/>
                <w:sz w:val="18"/>
                <w:szCs w:val="18"/>
              </w:rPr>
            </w:pPr>
          </w:p>
          <w:p w14:paraId="5FEDE615" w14:textId="77777777" w:rsidR="00B44D67" w:rsidRPr="00BA050E" w:rsidRDefault="00B44D67" w:rsidP="00241C66">
            <w:pPr>
              <w:spacing w:after="0" w:line="240" w:lineRule="auto"/>
              <w:ind w:left="0" w:right="0" w:firstLine="0"/>
              <w:contextualSpacing/>
              <w:jc w:val="left"/>
              <w:rPr>
                <w:rFonts w:eastAsia="Calibri"/>
                <w:b/>
                <w:i/>
                <w:color w:val="auto"/>
                <w:sz w:val="18"/>
                <w:szCs w:val="18"/>
              </w:rPr>
            </w:pPr>
          </w:p>
          <w:p w14:paraId="44A0A4B2" w14:textId="77777777" w:rsidR="00B44D67" w:rsidRPr="00BA050E" w:rsidRDefault="00B44D67" w:rsidP="00241C66">
            <w:pPr>
              <w:spacing w:after="0" w:line="240" w:lineRule="auto"/>
              <w:ind w:left="0" w:right="0" w:firstLine="0"/>
              <w:contextualSpacing/>
              <w:jc w:val="left"/>
              <w:rPr>
                <w:rFonts w:eastAsia="Calibri"/>
                <w:b/>
                <w:i/>
                <w:color w:val="auto"/>
                <w:sz w:val="18"/>
                <w:szCs w:val="18"/>
              </w:rPr>
            </w:pPr>
          </w:p>
          <w:p w14:paraId="61DB1E2C"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b/>
                <w:i/>
                <w:color w:val="auto"/>
                <w:sz w:val="18"/>
                <w:szCs w:val="18"/>
              </w:rPr>
              <w:t>Indicator 2</w:t>
            </w:r>
            <w:r w:rsidRPr="00BA050E">
              <w:rPr>
                <w:rFonts w:eastAsia="Calibri"/>
                <w:i/>
                <w:color w:val="auto"/>
                <w:sz w:val="18"/>
                <w:szCs w:val="18"/>
              </w:rPr>
              <w:t>:</w:t>
            </w:r>
            <w:r w:rsidRPr="00BA050E">
              <w:rPr>
                <w:rFonts w:eastAsia="Calibri"/>
                <w:color w:val="auto"/>
                <w:sz w:val="18"/>
                <w:szCs w:val="18"/>
              </w:rPr>
              <w:t xml:space="preserve"> Increased student-teacher ratio  </w:t>
            </w:r>
          </w:p>
          <w:p w14:paraId="2E217233"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Baseline: 10.85:1 (2011-12)</w:t>
            </w:r>
          </w:p>
          <w:p w14:paraId="5426DDCD"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Target:    11.50:1 (2015/16)</w:t>
            </w:r>
          </w:p>
        </w:tc>
        <w:tc>
          <w:tcPr>
            <w:tcW w:w="1380" w:type="pct"/>
            <w:tcBorders>
              <w:top w:val="single" w:sz="4" w:space="0" w:color="auto"/>
              <w:left w:val="single" w:sz="4" w:space="0" w:color="auto"/>
              <w:bottom w:val="single" w:sz="4" w:space="0" w:color="auto"/>
              <w:right w:val="single" w:sz="4" w:space="0" w:color="auto"/>
            </w:tcBorders>
          </w:tcPr>
          <w:p w14:paraId="7217E20D" w14:textId="77777777" w:rsidR="00B44D67" w:rsidRPr="00BA050E" w:rsidRDefault="00B44D67" w:rsidP="00241C66">
            <w:pPr>
              <w:spacing w:after="0" w:line="240" w:lineRule="auto"/>
              <w:ind w:left="0" w:right="0" w:firstLine="0"/>
              <w:contextualSpacing/>
              <w:rPr>
                <w:rFonts w:eastAsia="Calibri"/>
                <w:b/>
                <w:color w:val="auto"/>
                <w:sz w:val="18"/>
                <w:szCs w:val="18"/>
              </w:rPr>
            </w:pPr>
            <w:r w:rsidRPr="00BA050E">
              <w:rPr>
                <w:rFonts w:eastAsia="Calibri"/>
                <w:b/>
                <w:color w:val="auto"/>
                <w:sz w:val="18"/>
                <w:szCs w:val="18"/>
              </w:rPr>
              <w:t>Achieved</w:t>
            </w:r>
          </w:p>
          <w:p w14:paraId="19481219"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7CEB08D8"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Per-capita financing implemented in all primary and general secondary schools; 100% of those schools have their budgets approved according to the per student formula methodology.</w:t>
            </w:r>
          </w:p>
          <w:p w14:paraId="5FBF3669"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4597425F"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Baseline and target revised through restructuring to correct error.</w:t>
            </w:r>
          </w:p>
          <w:p w14:paraId="56DA0363"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Baseline:   10.85:1</w:t>
            </w:r>
          </w:p>
          <w:p w14:paraId="04C0D4BF"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Target:      11.85:1</w:t>
            </w:r>
          </w:p>
          <w:p w14:paraId="74AE4673"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Actual:      11.89:1 (March 2016)</w:t>
            </w:r>
          </w:p>
        </w:tc>
        <w:tc>
          <w:tcPr>
            <w:tcW w:w="966" w:type="pct"/>
            <w:vMerge/>
            <w:tcBorders>
              <w:left w:val="single" w:sz="4" w:space="0" w:color="auto"/>
              <w:bottom w:val="single" w:sz="4" w:space="0" w:color="auto"/>
              <w:right w:val="single" w:sz="4" w:space="0" w:color="auto"/>
            </w:tcBorders>
          </w:tcPr>
          <w:p w14:paraId="5CD1AA47" w14:textId="77777777" w:rsidR="00B44D67" w:rsidRPr="00BA050E" w:rsidRDefault="00B44D67" w:rsidP="00241C66">
            <w:pPr>
              <w:spacing w:after="0" w:line="240" w:lineRule="auto"/>
              <w:ind w:left="0" w:right="0" w:firstLine="0"/>
              <w:contextualSpacing/>
              <w:jc w:val="left"/>
              <w:rPr>
                <w:rFonts w:eastAsia="Calibri"/>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727E5369"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p>
        </w:tc>
      </w:tr>
      <w:tr w:rsidR="00B44D67" w:rsidRPr="00BA050E" w14:paraId="5762EE35" w14:textId="77777777" w:rsidTr="00241C66">
        <w:tc>
          <w:tcPr>
            <w:tcW w:w="1274" w:type="pct"/>
            <w:tcBorders>
              <w:top w:val="single" w:sz="4" w:space="0" w:color="auto"/>
              <w:left w:val="single" w:sz="4" w:space="0" w:color="auto"/>
              <w:bottom w:val="single" w:sz="4" w:space="0" w:color="auto"/>
              <w:right w:val="single" w:sz="4" w:space="0" w:color="auto"/>
            </w:tcBorders>
          </w:tcPr>
          <w:p w14:paraId="4C6A505B" w14:textId="77777777" w:rsidR="00B44D67" w:rsidRPr="00BA050E" w:rsidRDefault="00B44D67" w:rsidP="006D2153">
            <w:pPr>
              <w:numPr>
                <w:ilvl w:val="0"/>
                <w:numId w:val="29"/>
              </w:numPr>
              <w:spacing w:after="0" w:line="240" w:lineRule="auto"/>
              <w:ind w:right="0"/>
              <w:contextualSpacing/>
              <w:jc w:val="left"/>
              <w:rPr>
                <w:rFonts w:eastAsia="Calibri"/>
                <w:i/>
                <w:color w:val="auto"/>
                <w:sz w:val="18"/>
                <w:szCs w:val="18"/>
              </w:rPr>
            </w:pPr>
            <w:r w:rsidRPr="00BA050E">
              <w:rPr>
                <w:b/>
                <w:sz w:val="18"/>
                <w:szCs w:val="18"/>
              </w:rPr>
              <w:t>Improved</w:t>
            </w:r>
            <w:r w:rsidRPr="00BA050E">
              <w:rPr>
                <w:rFonts w:eastAsia="Calibri"/>
                <w:b/>
                <w:color w:val="auto"/>
                <w:sz w:val="18"/>
                <w:szCs w:val="18"/>
              </w:rPr>
              <w:t xml:space="preserve"> access to quality health-care.</w:t>
            </w:r>
          </w:p>
          <w:p w14:paraId="25997F1D" w14:textId="77777777" w:rsidR="00B44D67" w:rsidRPr="00BA050E" w:rsidRDefault="00B44D67" w:rsidP="00241C66">
            <w:pPr>
              <w:tabs>
                <w:tab w:val="left" w:pos="0"/>
              </w:tabs>
              <w:spacing w:after="0" w:line="240" w:lineRule="auto"/>
              <w:ind w:left="0" w:right="0" w:firstLine="0"/>
              <w:contextualSpacing/>
              <w:rPr>
                <w:rFonts w:eastAsia="Calibri"/>
                <w:color w:val="auto"/>
                <w:sz w:val="18"/>
                <w:szCs w:val="18"/>
              </w:rPr>
            </w:pPr>
            <w:r w:rsidRPr="00BA050E">
              <w:rPr>
                <w:rFonts w:eastAsia="Calibri"/>
                <w:b/>
                <w:i/>
                <w:color w:val="auto"/>
                <w:sz w:val="18"/>
                <w:szCs w:val="18"/>
              </w:rPr>
              <w:t>Indicator 1</w:t>
            </w:r>
            <w:r w:rsidRPr="00BA050E">
              <w:rPr>
                <w:rFonts w:eastAsia="Calibri"/>
                <w:color w:val="auto"/>
                <w:sz w:val="18"/>
                <w:szCs w:val="18"/>
              </w:rPr>
              <w:t>: Increased coverage of population with mandatory health insurance</w:t>
            </w:r>
          </w:p>
          <w:p w14:paraId="0CAE3D07" w14:textId="77777777" w:rsidR="00B44D67" w:rsidRPr="00BA050E" w:rsidRDefault="00B44D67" w:rsidP="00241C66">
            <w:pPr>
              <w:tabs>
                <w:tab w:val="left" w:pos="0"/>
              </w:tabs>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Baseline:  81 percent (2013)</w:t>
            </w:r>
          </w:p>
          <w:p w14:paraId="1367DF95" w14:textId="77777777" w:rsidR="00B44D67" w:rsidRPr="00BA050E" w:rsidRDefault="00B44D67" w:rsidP="00241C66">
            <w:pPr>
              <w:tabs>
                <w:tab w:val="left" w:pos="0"/>
              </w:tabs>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Target:     85 percent (2017) (of which 44% male and circa 56% female)</w:t>
            </w:r>
          </w:p>
          <w:p w14:paraId="12F906C9" w14:textId="77777777" w:rsidR="00B44D67" w:rsidRPr="00BA050E" w:rsidRDefault="00B44D67" w:rsidP="00241C66">
            <w:pPr>
              <w:tabs>
                <w:tab w:val="left" w:pos="0"/>
              </w:tabs>
              <w:spacing w:after="0" w:line="240" w:lineRule="auto"/>
              <w:ind w:left="0" w:right="0" w:firstLine="0"/>
              <w:contextualSpacing/>
              <w:jc w:val="left"/>
              <w:rPr>
                <w:rFonts w:eastAsia="Calibri"/>
                <w:color w:val="auto"/>
                <w:sz w:val="18"/>
                <w:szCs w:val="18"/>
              </w:rPr>
            </w:pPr>
          </w:p>
          <w:p w14:paraId="76861493" w14:textId="77777777" w:rsidR="00B44D67" w:rsidRPr="00BA050E" w:rsidRDefault="00B44D67" w:rsidP="00241C66">
            <w:pPr>
              <w:tabs>
                <w:tab w:val="left" w:pos="0"/>
              </w:tabs>
              <w:spacing w:after="0" w:line="240" w:lineRule="auto"/>
              <w:ind w:left="0" w:right="0" w:firstLine="0"/>
              <w:contextualSpacing/>
              <w:rPr>
                <w:rFonts w:eastAsia="Calibri"/>
                <w:color w:val="auto"/>
                <w:sz w:val="18"/>
                <w:szCs w:val="18"/>
              </w:rPr>
            </w:pPr>
            <w:r w:rsidRPr="00BA050E">
              <w:rPr>
                <w:rFonts w:eastAsia="Calibri"/>
                <w:b/>
                <w:i/>
                <w:color w:val="auto"/>
                <w:sz w:val="18"/>
                <w:szCs w:val="18"/>
              </w:rPr>
              <w:t>Indicator 2</w:t>
            </w:r>
            <w:r w:rsidRPr="00BA050E">
              <w:rPr>
                <w:rFonts w:eastAsia="Calibri"/>
                <w:color w:val="auto"/>
                <w:sz w:val="18"/>
                <w:szCs w:val="18"/>
              </w:rPr>
              <w:t xml:space="preserve">: Reduced out-of-pocket payments (formal and informal) as share of total health expenditure </w:t>
            </w:r>
          </w:p>
          <w:p w14:paraId="10D03727" w14:textId="77777777" w:rsidR="00B44D67" w:rsidRPr="00BA050E" w:rsidRDefault="00B44D67" w:rsidP="00241C66">
            <w:pPr>
              <w:tabs>
                <w:tab w:val="left" w:pos="0"/>
              </w:tabs>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Baseline: 45 percent (2013)</w:t>
            </w:r>
          </w:p>
          <w:p w14:paraId="1EE08E70" w14:textId="77777777" w:rsidR="00B44D67" w:rsidRPr="00BA050E" w:rsidRDefault="00B44D67" w:rsidP="00241C66">
            <w:pPr>
              <w:tabs>
                <w:tab w:val="left" w:pos="0"/>
              </w:tabs>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Target:    35 percent (2017)</w:t>
            </w:r>
          </w:p>
          <w:p w14:paraId="27C52C2A" w14:textId="77777777" w:rsidR="00B44D67" w:rsidRPr="00BA050E" w:rsidRDefault="00B44D67" w:rsidP="00241C66">
            <w:pPr>
              <w:tabs>
                <w:tab w:val="left" w:pos="0"/>
              </w:tabs>
              <w:spacing w:after="0" w:line="240" w:lineRule="auto"/>
              <w:ind w:left="0" w:right="0" w:firstLine="0"/>
              <w:contextualSpacing/>
              <w:rPr>
                <w:rFonts w:eastAsia="Calibri"/>
                <w:b/>
                <w:i/>
                <w:color w:val="auto"/>
                <w:sz w:val="18"/>
                <w:szCs w:val="18"/>
              </w:rPr>
            </w:pPr>
          </w:p>
          <w:p w14:paraId="523C1A0E" w14:textId="77777777" w:rsidR="00B44D67" w:rsidRPr="00BA050E" w:rsidRDefault="00B44D67" w:rsidP="00241C66">
            <w:pPr>
              <w:tabs>
                <w:tab w:val="left" w:pos="0"/>
              </w:tabs>
              <w:spacing w:after="0" w:line="240" w:lineRule="auto"/>
              <w:ind w:left="0" w:right="0" w:firstLine="0"/>
              <w:contextualSpacing/>
              <w:rPr>
                <w:rFonts w:eastAsia="Calibri"/>
                <w:b/>
                <w:i/>
                <w:color w:val="auto"/>
                <w:sz w:val="18"/>
                <w:szCs w:val="18"/>
              </w:rPr>
            </w:pPr>
          </w:p>
          <w:p w14:paraId="66C059E9" w14:textId="77777777" w:rsidR="00B44D67" w:rsidRPr="00BA050E" w:rsidRDefault="00B44D67" w:rsidP="00241C66">
            <w:pPr>
              <w:tabs>
                <w:tab w:val="left" w:pos="0"/>
              </w:tabs>
              <w:spacing w:after="0" w:line="240" w:lineRule="auto"/>
              <w:ind w:left="0" w:right="0" w:firstLine="0"/>
              <w:contextualSpacing/>
              <w:rPr>
                <w:rFonts w:eastAsia="Calibri"/>
                <w:b/>
                <w:i/>
                <w:color w:val="auto"/>
                <w:sz w:val="18"/>
                <w:szCs w:val="18"/>
              </w:rPr>
            </w:pPr>
          </w:p>
          <w:p w14:paraId="7C461CC7" w14:textId="77777777" w:rsidR="00B44D67" w:rsidRPr="00BA050E" w:rsidRDefault="00B44D67" w:rsidP="00241C66">
            <w:pPr>
              <w:tabs>
                <w:tab w:val="left" w:pos="0"/>
              </w:tabs>
              <w:spacing w:after="0" w:line="240" w:lineRule="auto"/>
              <w:ind w:left="0" w:right="0" w:firstLine="0"/>
              <w:contextualSpacing/>
              <w:rPr>
                <w:rFonts w:eastAsia="Calibri"/>
                <w:b/>
                <w:i/>
                <w:color w:val="auto"/>
                <w:sz w:val="18"/>
                <w:szCs w:val="18"/>
              </w:rPr>
            </w:pPr>
          </w:p>
          <w:p w14:paraId="28CAF608" w14:textId="77777777" w:rsidR="00B44D67" w:rsidRPr="00BA050E" w:rsidRDefault="00B44D67" w:rsidP="00241C66">
            <w:pPr>
              <w:tabs>
                <w:tab w:val="left" w:pos="0"/>
              </w:tabs>
              <w:spacing w:after="0" w:line="240" w:lineRule="auto"/>
              <w:ind w:left="0" w:right="0" w:firstLine="0"/>
              <w:contextualSpacing/>
              <w:rPr>
                <w:rFonts w:eastAsia="Calibri"/>
                <w:b/>
                <w:i/>
                <w:color w:val="auto"/>
                <w:sz w:val="18"/>
                <w:szCs w:val="18"/>
              </w:rPr>
            </w:pPr>
          </w:p>
          <w:p w14:paraId="0D4D4E93" w14:textId="77777777" w:rsidR="00B44D67" w:rsidRPr="00BA050E" w:rsidRDefault="00B44D67" w:rsidP="00241C66">
            <w:pPr>
              <w:tabs>
                <w:tab w:val="left" w:pos="0"/>
              </w:tabs>
              <w:spacing w:after="0" w:line="240" w:lineRule="auto"/>
              <w:ind w:left="0" w:right="0" w:firstLine="0"/>
              <w:contextualSpacing/>
              <w:rPr>
                <w:rFonts w:eastAsia="Calibri"/>
                <w:b/>
                <w:i/>
                <w:color w:val="auto"/>
                <w:sz w:val="18"/>
                <w:szCs w:val="18"/>
              </w:rPr>
            </w:pPr>
          </w:p>
          <w:p w14:paraId="69CC23AF" w14:textId="77777777" w:rsidR="00B44D67" w:rsidRPr="00BA050E" w:rsidRDefault="00B44D67" w:rsidP="00241C66">
            <w:pPr>
              <w:tabs>
                <w:tab w:val="left" w:pos="0"/>
              </w:tabs>
              <w:spacing w:after="0" w:line="240" w:lineRule="auto"/>
              <w:ind w:left="0" w:right="0" w:firstLine="0"/>
              <w:contextualSpacing/>
              <w:rPr>
                <w:rFonts w:eastAsia="Calibri"/>
                <w:color w:val="auto"/>
                <w:sz w:val="18"/>
                <w:szCs w:val="18"/>
              </w:rPr>
            </w:pPr>
            <w:r w:rsidRPr="00BA050E">
              <w:rPr>
                <w:rFonts w:eastAsia="Calibri"/>
                <w:b/>
                <w:i/>
                <w:color w:val="auto"/>
                <w:sz w:val="18"/>
                <w:szCs w:val="18"/>
              </w:rPr>
              <w:t>Indicator 3</w:t>
            </w:r>
            <w:r w:rsidRPr="00BA050E">
              <w:rPr>
                <w:rFonts w:eastAsia="Calibri"/>
                <w:color w:val="auto"/>
                <w:sz w:val="18"/>
                <w:szCs w:val="18"/>
              </w:rPr>
              <w:t xml:space="preserve">: Number of family doctor visits per person  </w:t>
            </w:r>
          </w:p>
          <w:p w14:paraId="5781D8F3" w14:textId="77777777" w:rsidR="00B44D67" w:rsidRPr="00BA050E" w:rsidRDefault="00B44D67" w:rsidP="00241C66">
            <w:pPr>
              <w:tabs>
                <w:tab w:val="left" w:pos="0"/>
              </w:tabs>
              <w:spacing w:after="0" w:line="240" w:lineRule="auto"/>
              <w:ind w:left="0" w:right="0" w:firstLine="0"/>
              <w:contextualSpacing/>
              <w:rPr>
                <w:rFonts w:eastAsia="Calibri"/>
                <w:color w:val="auto"/>
                <w:sz w:val="18"/>
                <w:szCs w:val="18"/>
              </w:rPr>
            </w:pPr>
            <w:r w:rsidRPr="00BA050E">
              <w:rPr>
                <w:rFonts w:eastAsia="Calibri"/>
                <w:color w:val="auto"/>
                <w:sz w:val="18"/>
                <w:szCs w:val="18"/>
              </w:rPr>
              <w:t>Baseline: 2.9 (2014)</w:t>
            </w:r>
          </w:p>
          <w:p w14:paraId="2B6CBD18" w14:textId="77777777" w:rsidR="00B44D67" w:rsidRPr="00BA050E" w:rsidRDefault="00B44D67" w:rsidP="00241C66">
            <w:pPr>
              <w:tabs>
                <w:tab w:val="left" w:pos="0"/>
              </w:tabs>
              <w:spacing w:after="0" w:line="240" w:lineRule="auto"/>
              <w:ind w:left="0" w:right="0" w:firstLine="0"/>
              <w:contextualSpacing/>
              <w:rPr>
                <w:rFonts w:eastAsia="Calibri"/>
                <w:color w:val="auto"/>
                <w:sz w:val="18"/>
                <w:szCs w:val="18"/>
              </w:rPr>
            </w:pPr>
            <w:r w:rsidRPr="00BA050E">
              <w:rPr>
                <w:rFonts w:eastAsia="Calibri"/>
                <w:color w:val="auto"/>
                <w:sz w:val="18"/>
                <w:szCs w:val="18"/>
              </w:rPr>
              <w:t>Target:    3.2 (2017)</w:t>
            </w:r>
          </w:p>
          <w:p w14:paraId="059EFAE5" w14:textId="77777777" w:rsidR="00B44D67" w:rsidRPr="00BA050E" w:rsidRDefault="00B44D67" w:rsidP="00241C66">
            <w:pPr>
              <w:tabs>
                <w:tab w:val="left" w:pos="0"/>
              </w:tabs>
              <w:spacing w:after="0" w:line="240" w:lineRule="auto"/>
              <w:ind w:left="0" w:right="0" w:firstLine="0"/>
              <w:contextualSpacing/>
              <w:rPr>
                <w:rFonts w:eastAsia="Calibri"/>
                <w:color w:val="auto"/>
                <w:sz w:val="18"/>
                <w:szCs w:val="18"/>
              </w:rPr>
            </w:pPr>
          </w:p>
          <w:p w14:paraId="3F0BC702"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i/>
                <w:color w:val="auto"/>
                <w:sz w:val="18"/>
                <w:szCs w:val="18"/>
              </w:rPr>
              <w:t>Indicator 4</w:t>
            </w:r>
            <w:r w:rsidRPr="00BA050E">
              <w:rPr>
                <w:rFonts w:eastAsia="Calibri"/>
                <w:color w:val="auto"/>
                <w:sz w:val="18"/>
                <w:szCs w:val="18"/>
              </w:rPr>
              <w:t>: Annual acute care hospital discharges per 100 persons</w:t>
            </w:r>
          </w:p>
          <w:p w14:paraId="41DE6AD2"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Baseline: 17.6 (2011)</w:t>
            </w:r>
          </w:p>
          <w:p w14:paraId="0CB4E4FE"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r w:rsidRPr="00BA050E">
              <w:rPr>
                <w:rFonts w:eastAsia="Calibri"/>
                <w:color w:val="auto"/>
                <w:sz w:val="18"/>
                <w:szCs w:val="18"/>
              </w:rPr>
              <w:t>Target:    16.0 (2017)</w:t>
            </w:r>
          </w:p>
        </w:tc>
        <w:tc>
          <w:tcPr>
            <w:tcW w:w="1380" w:type="pct"/>
            <w:tcBorders>
              <w:top w:val="single" w:sz="4" w:space="0" w:color="auto"/>
              <w:left w:val="single" w:sz="4" w:space="0" w:color="auto"/>
              <w:bottom w:val="single" w:sz="4" w:space="0" w:color="auto"/>
              <w:right w:val="single" w:sz="4" w:space="0" w:color="auto"/>
            </w:tcBorders>
          </w:tcPr>
          <w:p w14:paraId="12C18A91" w14:textId="77777777" w:rsidR="00B44D67" w:rsidRPr="00BA050E" w:rsidRDefault="00B44D67" w:rsidP="00241C66">
            <w:pPr>
              <w:spacing w:after="0" w:line="240" w:lineRule="auto"/>
              <w:ind w:left="0" w:right="0" w:firstLine="0"/>
              <w:contextualSpacing/>
              <w:jc w:val="left"/>
              <w:rPr>
                <w:rFonts w:eastAsia="Calibri"/>
                <w:b/>
                <w:color w:val="auto"/>
                <w:sz w:val="18"/>
                <w:szCs w:val="18"/>
              </w:rPr>
            </w:pPr>
            <w:r w:rsidRPr="00BA050E">
              <w:rPr>
                <w:rFonts w:eastAsia="Calibri"/>
                <w:b/>
                <w:color w:val="auto"/>
                <w:sz w:val="18"/>
                <w:szCs w:val="18"/>
              </w:rPr>
              <w:t>Partially achieved</w:t>
            </w:r>
          </w:p>
          <w:p w14:paraId="25ED892F" w14:textId="77777777" w:rsidR="00B44D67" w:rsidRPr="00BA050E" w:rsidRDefault="00B44D67" w:rsidP="00241C66">
            <w:pPr>
              <w:spacing w:after="0" w:line="240" w:lineRule="auto"/>
              <w:ind w:left="0" w:right="0" w:firstLine="0"/>
              <w:contextualSpacing/>
              <w:jc w:val="left"/>
              <w:rPr>
                <w:rFonts w:eastAsia="Calibri"/>
                <w:color w:val="auto"/>
                <w:sz w:val="18"/>
                <w:szCs w:val="18"/>
              </w:rPr>
            </w:pPr>
          </w:p>
          <w:p w14:paraId="24B4A5DE"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Coverage of population with mandatory health insurance increased to 85.9 percent in 2016. </w:t>
            </w:r>
          </w:p>
          <w:p w14:paraId="414C0EAA" w14:textId="77777777" w:rsidR="00B44D67" w:rsidRPr="00BA050E" w:rsidRDefault="00B44D67" w:rsidP="00241C66">
            <w:pPr>
              <w:spacing w:after="0" w:line="240" w:lineRule="auto"/>
              <w:ind w:left="0" w:right="0" w:firstLine="0"/>
              <w:contextualSpacing/>
              <w:jc w:val="left"/>
              <w:rPr>
                <w:rFonts w:eastAsia="Calibri"/>
                <w:color w:val="auto"/>
                <w:sz w:val="18"/>
                <w:szCs w:val="18"/>
              </w:rPr>
            </w:pPr>
          </w:p>
          <w:p w14:paraId="1DDB6182"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0438723A"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0482BED1"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26DEFDB1"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Not achieved</w:t>
            </w:r>
            <w:r w:rsidRPr="00BA050E">
              <w:rPr>
                <w:rFonts w:eastAsia="Calibri"/>
                <w:color w:val="auto"/>
                <w:sz w:val="18"/>
                <w:szCs w:val="18"/>
              </w:rPr>
              <w:t xml:space="preserve">: </w:t>
            </w:r>
            <w:r w:rsidRPr="00BA050E">
              <w:rPr>
                <w:sz w:val="18"/>
                <w:szCs w:val="18"/>
              </w:rPr>
              <w:t xml:space="preserve"> Out of pocket payments increased to 46.6 percent of total health expenditure in 2015. The health module of the household budget survey conducted in 2016 revealed that average monthly healthcare-related expenses (approximately 150 MDL per person) increased by 37% compared to 2012 and by 57% compared to 2008. Noteworthy that OOPs were 1.2 times higher amongst urban inhabitants</w:t>
            </w:r>
            <w:r w:rsidRPr="00BA050E">
              <w:rPr>
                <w:rFonts w:eastAsia="Calibri"/>
                <w:color w:val="auto"/>
                <w:sz w:val="18"/>
                <w:szCs w:val="18"/>
              </w:rPr>
              <w:t xml:space="preserve">. </w:t>
            </w:r>
          </w:p>
          <w:p w14:paraId="53B737C1"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36E2D9C1"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Not achieved</w:t>
            </w:r>
            <w:r w:rsidRPr="00BA050E">
              <w:rPr>
                <w:rFonts w:eastAsia="Calibri"/>
                <w:color w:val="auto"/>
                <w:sz w:val="18"/>
                <w:szCs w:val="18"/>
              </w:rPr>
              <w:t xml:space="preserve">: Though number of family doctor visits reached 3 per person in 2015, it declined to only 2.8 in 2016. </w:t>
            </w:r>
          </w:p>
          <w:p w14:paraId="37C89782"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25691A43" w14:textId="77777777" w:rsidR="00B44D67" w:rsidRPr="00BA050E" w:rsidRDefault="00B44D67" w:rsidP="00241C66">
            <w:pPr>
              <w:spacing w:after="0" w:line="240" w:lineRule="auto"/>
              <w:ind w:left="0" w:right="0" w:firstLine="0"/>
              <w:contextualSpacing/>
              <w:rPr>
                <w:rFonts w:eastAsia="Calibri"/>
                <w:b/>
                <w:color w:val="auto"/>
                <w:sz w:val="18"/>
                <w:szCs w:val="18"/>
              </w:rPr>
            </w:pPr>
          </w:p>
          <w:p w14:paraId="4C21537B"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As of June 2016, annual acute care hospital discharges reached 15.1 per 100 persons.</w:t>
            </w:r>
          </w:p>
          <w:p w14:paraId="358C790A" w14:textId="77777777" w:rsidR="00B44D67" w:rsidRPr="00BA050E" w:rsidRDefault="00B44D67" w:rsidP="00241C66">
            <w:pPr>
              <w:spacing w:after="0" w:line="240" w:lineRule="auto"/>
              <w:ind w:left="0" w:right="0" w:firstLine="0"/>
              <w:contextualSpacing/>
              <w:jc w:val="left"/>
              <w:rPr>
                <w:rFonts w:eastAsia="Calibri"/>
                <w:color w:val="auto"/>
                <w:sz w:val="18"/>
                <w:szCs w:val="18"/>
              </w:rPr>
            </w:pPr>
          </w:p>
        </w:tc>
        <w:tc>
          <w:tcPr>
            <w:tcW w:w="966" w:type="pct"/>
            <w:tcBorders>
              <w:top w:val="single" w:sz="4" w:space="0" w:color="auto"/>
              <w:left w:val="single" w:sz="4" w:space="0" w:color="auto"/>
              <w:bottom w:val="single" w:sz="4" w:space="0" w:color="auto"/>
              <w:right w:val="single" w:sz="4" w:space="0" w:color="auto"/>
            </w:tcBorders>
          </w:tcPr>
          <w:p w14:paraId="690C48ED" w14:textId="77777777" w:rsidR="00B44D67" w:rsidRPr="00BA050E" w:rsidRDefault="00B44D67" w:rsidP="00241C66">
            <w:pPr>
              <w:spacing w:after="0" w:line="240" w:lineRule="auto"/>
              <w:ind w:left="0" w:right="86" w:firstLine="0"/>
              <w:contextualSpacing/>
              <w:jc w:val="left"/>
              <w:rPr>
                <w:b/>
                <w:color w:val="auto"/>
                <w:sz w:val="18"/>
                <w:szCs w:val="18"/>
              </w:rPr>
            </w:pPr>
            <w:r w:rsidRPr="00BA050E">
              <w:rPr>
                <w:b/>
                <w:color w:val="auto"/>
                <w:sz w:val="18"/>
                <w:szCs w:val="18"/>
              </w:rPr>
              <w:t>Completed:</w:t>
            </w:r>
          </w:p>
          <w:p w14:paraId="17569334" w14:textId="77777777" w:rsidR="00B44D67" w:rsidRPr="00BA050E" w:rsidRDefault="00B44D67" w:rsidP="00241C66">
            <w:pPr>
              <w:spacing w:after="0" w:line="240" w:lineRule="auto"/>
              <w:ind w:left="0" w:right="86" w:firstLine="0"/>
              <w:contextualSpacing/>
              <w:jc w:val="left"/>
              <w:rPr>
                <w:color w:val="auto"/>
                <w:sz w:val="18"/>
                <w:szCs w:val="18"/>
              </w:rPr>
            </w:pPr>
            <w:r w:rsidRPr="00BA050E">
              <w:rPr>
                <w:color w:val="auto"/>
                <w:sz w:val="18"/>
                <w:szCs w:val="18"/>
              </w:rPr>
              <w:t>Health Services and Social Assistance project</w:t>
            </w:r>
            <w:r>
              <w:rPr>
                <w:color w:val="auto"/>
                <w:sz w:val="18"/>
                <w:szCs w:val="18"/>
              </w:rPr>
              <w:t xml:space="preserve"> (P095250)</w:t>
            </w:r>
          </w:p>
          <w:p w14:paraId="6F59E2F7" w14:textId="77777777" w:rsidR="00B44D67" w:rsidRPr="00BA050E" w:rsidRDefault="00B44D67" w:rsidP="00241C66">
            <w:pPr>
              <w:spacing w:after="0" w:line="240" w:lineRule="auto"/>
              <w:ind w:left="0" w:right="86" w:firstLine="0"/>
              <w:contextualSpacing/>
              <w:jc w:val="left"/>
              <w:rPr>
                <w:color w:val="auto"/>
                <w:sz w:val="18"/>
                <w:szCs w:val="18"/>
              </w:rPr>
            </w:pPr>
            <w:r w:rsidRPr="00BA050E">
              <w:rPr>
                <w:color w:val="auto"/>
                <w:sz w:val="18"/>
                <w:szCs w:val="18"/>
              </w:rPr>
              <w:t>IDF Health Management Information System grant</w:t>
            </w:r>
            <w:r>
              <w:rPr>
                <w:color w:val="auto"/>
                <w:sz w:val="18"/>
                <w:szCs w:val="18"/>
              </w:rPr>
              <w:t xml:space="preserve"> (P131020)</w:t>
            </w:r>
          </w:p>
          <w:p w14:paraId="66651CF5" w14:textId="77777777" w:rsidR="00B44D67" w:rsidRDefault="00B44D67" w:rsidP="00241C66">
            <w:pPr>
              <w:spacing w:after="0" w:line="240" w:lineRule="auto"/>
              <w:ind w:left="0" w:right="86" w:firstLine="0"/>
              <w:contextualSpacing/>
              <w:jc w:val="left"/>
              <w:rPr>
                <w:b/>
                <w:color w:val="auto"/>
                <w:sz w:val="18"/>
                <w:szCs w:val="18"/>
              </w:rPr>
            </w:pPr>
          </w:p>
          <w:p w14:paraId="5014CD54" w14:textId="77777777" w:rsidR="00B44D67" w:rsidRPr="00BA050E" w:rsidRDefault="00B44D67" w:rsidP="00241C66">
            <w:pPr>
              <w:spacing w:after="0" w:line="240" w:lineRule="auto"/>
              <w:ind w:left="0" w:right="86" w:firstLine="0"/>
              <w:contextualSpacing/>
              <w:jc w:val="left"/>
              <w:rPr>
                <w:b/>
                <w:color w:val="auto"/>
                <w:sz w:val="18"/>
                <w:szCs w:val="18"/>
              </w:rPr>
            </w:pPr>
            <w:r w:rsidRPr="00BA050E">
              <w:rPr>
                <w:b/>
                <w:color w:val="auto"/>
                <w:sz w:val="18"/>
                <w:szCs w:val="18"/>
              </w:rPr>
              <w:t xml:space="preserve">Ongoing: </w:t>
            </w:r>
          </w:p>
          <w:p w14:paraId="4915DFB0" w14:textId="77777777" w:rsidR="00B44D67" w:rsidRPr="00BA050E" w:rsidRDefault="00B44D67" w:rsidP="00241C66">
            <w:pPr>
              <w:spacing w:after="0" w:line="240" w:lineRule="auto"/>
              <w:ind w:left="0" w:right="86" w:firstLine="0"/>
              <w:contextualSpacing/>
              <w:jc w:val="left"/>
              <w:rPr>
                <w:color w:val="auto"/>
                <w:sz w:val="18"/>
                <w:szCs w:val="18"/>
              </w:rPr>
            </w:pPr>
            <w:r w:rsidRPr="00BA050E">
              <w:rPr>
                <w:color w:val="auto"/>
                <w:sz w:val="18"/>
                <w:szCs w:val="18"/>
              </w:rPr>
              <w:t>Health Transformation Operation (</w:t>
            </w:r>
            <w:proofErr w:type="spellStart"/>
            <w:r w:rsidRPr="00BA050E">
              <w:rPr>
                <w:color w:val="auto"/>
                <w:sz w:val="18"/>
                <w:szCs w:val="18"/>
              </w:rPr>
              <w:t>PforR</w:t>
            </w:r>
            <w:proofErr w:type="spellEnd"/>
            <w:r>
              <w:rPr>
                <w:color w:val="auto"/>
                <w:sz w:val="18"/>
                <w:szCs w:val="18"/>
              </w:rPr>
              <w:t>, P144892</w:t>
            </w:r>
            <w:r w:rsidRPr="00BA050E">
              <w:rPr>
                <w:color w:val="auto"/>
                <w:sz w:val="18"/>
                <w:szCs w:val="18"/>
              </w:rPr>
              <w:t>)</w:t>
            </w:r>
          </w:p>
          <w:p w14:paraId="67334A69" w14:textId="77777777" w:rsidR="00B44D67" w:rsidRDefault="00B44D67" w:rsidP="00241C66">
            <w:pPr>
              <w:spacing w:after="0" w:line="240" w:lineRule="auto"/>
              <w:ind w:left="0" w:right="86" w:firstLine="0"/>
              <w:contextualSpacing/>
              <w:jc w:val="left"/>
              <w:rPr>
                <w:b/>
                <w:color w:val="auto"/>
                <w:sz w:val="18"/>
                <w:szCs w:val="18"/>
              </w:rPr>
            </w:pPr>
          </w:p>
          <w:p w14:paraId="35BA986E" w14:textId="77777777" w:rsidR="00B44D67" w:rsidRPr="00BA050E" w:rsidRDefault="00B44D67" w:rsidP="00241C66">
            <w:pPr>
              <w:spacing w:after="0" w:line="240" w:lineRule="auto"/>
              <w:ind w:left="0" w:right="86" w:firstLine="0"/>
              <w:contextualSpacing/>
              <w:jc w:val="left"/>
              <w:rPr>
                <w:b/>
                <w:color w:val="auto"/>
                <w:sz w:val="18"/>
                <w:szCs w:val="18"/>
              </w:rPr>
            </w:pPr>
            <w:r w:rsidRPr="00BA050E">
              <w:rPr>
                <w:b/>
                <w:color w:val="auto"/>
                <w:sz w:val="18"/>
                <w:szCs w:val="18"/>
              </w:rPr>
              <w:t>TFs:</w:t>
            </w:r>
          </w:p>
          <w:p w14:paraId="52767838"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Health GPSA</w:t>
            </w:r>
            <w:r>
              <w:rPr>
                <w:rFonts w:eastAsia="Calibri"/>
                <w:color w:val="auto"/>
                <w:sz w:val="18"/>
                <w:szCs w:val="18"/>
              </w:rPr>
              <w:t xml:space="preserve"> (P150873)</w:t>
            </w:r>
          </w:p>
          <w:p w14:paraId="25EEE864" w14:textId="77777777" w:rsidR="00B44D67" w:rsidRPr="00BA050E" w:rsidRDefault="00B44D67" w:rsidP="00241C66">
            <w:pPr>
              <w:spacing w:after="0" w:line="240" w:lineRule="auto"/>
              <w:ind w:left="0" w:right="0" w:firstLine="0"/>
              <w:contextualSpacing/>
              <w:jc w:val="left"/>
              <w:rPr>
                <w:rFonts w:eastAsia="Calibri"/>
                <w:color w:val="auto"/>
                <w:sz w:val="18"/>
                <w:szCs w:val="18"/>
              </w:rPr>
            </w:pPr>
            <w:r w:rsidRPr="00BA050E">
              <w:rPr>
                <w:rFonts w:eastAsia="Calibri"/>
                <w:color w:val="auto"/>
                <w:sz w:val="18"/>
                <w:szCs w:val="18"/>
              </w:rPr>
              <w:t>Health PPP structured by IFC</w:t>
            </w:r>
            <w:r>
              <w:rPr>
                <w:rFonts w:eastAsia="Calibri"/>
                <w:color w:val="auto"/>
                <w:sz w:val="18"/>
                <w:szCs w:val="18"/>
              </w:rPr>
              <w:t xml:space="preserve"> (ID </w:t>
            </w:r>
            <w:r w:rsidRPr="00DB7202">
              <w:rPr>
                <w:rFonts w:eastAsia="Calibri"/>
                <w:color w:val="auto"/>
                <w:sz w:val="18"/>
                <w:szCs w:val="18"/>
              </w:rPr>
              <w:t>27578</w:t>
            </w:r>
            <w:r>
              <w:rPr>
                <w:rFonts w:eastAsia="Calibri"/>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59561B52" w14:textId="77777777" w:rsidR="00B44D67" w:rsidRPr="00BA050E" w:rsidRDefault="00B44D67" w:rsidP="00241C66">
            <w:pPr>
              <w:spacing w:after="0" w:line="240" w:lineRule="auto"/>
              <w:ind w:left="0" w:right="0" w:firstLine="0"/>
              <w:contextualSpacing/>
              <w:rPr>
                <w:rFonts w:eastAsia="Calibri"/>
                <w:color w:val="auto"/>
                <w:sz w:val="18"/>
                <w:szCs w:val="18"/>
              </w:rPr>
            </w:pPr>
            <w:r w:rsidRPr="00BA050E">
              <w:rPr>
                <w:rFonts w:eastAsia="Calibri"/>
                <w:color w:val="auto"/>
                <w:sz w:val="18"/>
                <w:szCs w:val="18"/>
              </w:rPr>
              <w:t>CPS indicators should be same or close to project or AAS indicators: (a) to simplify reporting; and (b) to trace whether WBG achieved expected results. For instance, though Bank did not provide support for strengthening health insurance and reduction of out-of-pocket payments, coverage increased to 85% but has remained at this level for almost 2 years. Furthermore, it may decline if benefit package under MHI is not revised to ensure efficient and effective service provision to population.</w:t>
            </w:r>
          </w:p>
        </w:tc>
      </w:tr>
      <w:tr w:rsidR="00B44D67" w:rsidRPr="00BA050E" w14:paraId="4211B365" w14:textId="77777777" w:rsidTr="00241C66">
        <w:tc>
          <w:tcPr>
            <w:tcW w:w="1274" w:type="pct"/>
            <w:tcBorders>
              <w:top w:val="single" w:sz="4" w:space="0" w:color="auto"/>
              <w:left w:val="single" w:sz="4" w:space="0" w:color="auto"/>
              <w:bottom w:val="single" w:sz="4" w:space="0" w:color="auto"/>
              <w:right w:val="single" w:sz="4" w:space="0" w:color="auto"/>
            </w:tcBorders>
          </w:tcPr>
          <w:p w14:paraId="095943CB" w14:textId="77777777" w:rsidR="00B44D67" w:rsidRPr="00BA050E" w:rsidRDefault="00B44D67" w:rsidP="006D2153">
            <w:pPr>
              <w:numPr>
                <w:ilvl w:val="0"/>
                <w:numId w:val="29"/>
              </w:numPr>
              <w:spacing w:after="0" w:line="240" w:lineRule="auto"/>
              <w:ind w:right="0"/>
              <w:jc w:val="left"/>
              <w:rPr>
                <w:rFonts w:eastAsia="Calibri"/>
                <w:b/>
                <w:color w:val="auto"/>
                <w:sz w:val="18"/>
                <w:szCs w:val="18"/>
              </w:rPr>
            </w:pPr>
            <w:r w:rsidRPr="00BA050E">
              <w:rPr>
                <w:rFonts w:eastAsia="Calibri"/>
                <w:b/>
                <w:color w:val="auto"/>
                <w:sz w:val="18"/>
                <w:szCs w:val="18"/>
              </w:rPr>
              <w:t xml:space="preserve">Improved physical access to rural </w:t>
            </w:r>
            <w:r w:rsidRPr="00BA050E">
              <w:rPr>
                <w:b/>
                <w:sz w:val="18"/>
                <w:szCs w:val="18"/>
              </w:rPr>
              <w:t>education</w:t>
            </w:r>
            <w:r w:rsidRPr="00BA050E">
              <w:rPr>
                <w:rFonts w:eastAsia="Calibri"/>
                <w:b/>
                <w:color w:val="auto"/>
                <w:sz w:val="18"/>
                <w:szCs w:val="18"/>
              </w:rPr>
              <w:t xml:space="preserve"> and health services.</w:t>
            </w:r>
          </w:p>
          <w:p w14:paraId="408A82BC"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lastRenderedPageBreak/>
              <w:t>Indicator 1</w:t>
            </w:r>
            <w:r w:rsidRPr="00BA050E">
              <w:rPr>
                <w:rFonts w:eastAsia="Calibri"/>
                <w:i/>
                <w:color w:val="auto"/>
                <w:sz w:val="18"/>
                <w:szCs w:val="18"/>
              </w:rPr>
              <w:t>:</w:t>
            </w:r>
            <w:r w:rsidRPr="00BA050E">
              <w:rPr>
                <w:rFonts w:eastAsia="Calibri"/>
                <w:color w:val="auto"/>
                <w:sz w:val="18"/>
                <w:szCs w:val="18"/>
              </w:rPr>
              <w:t xml:space="preserve"> Number of schools connected by rehabilitated/upgraded local road corridors</w:t>
            </w:r>
          </w:p>
          <w:p w14:paraId="1CC644C9"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Baseline: 0 (2015)</w:t>
            </w:r>
          </w:p>
          <w:p w14:paraId="7D49885D"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Target:    10 (2017)</w:t>
            </w:r>
          </w:p>
          <w:p w14:paraId="09016494" w14:textId="77777777" w:rsidR="00B44D67" w:rsidRPr="00BA050E" w:rsidRDefault="00B44D67" w:rsidP="00241C66">
            <w:pPr>
              <w:spacing w:after="0" w:line="240" w:lineRule="auto"/>
              <w:ind w:left="0" w:right="0" w:firstLine="0"/>
              <w:jc w:val="left"/>
              <w:rPr>
                <w:rFonts w:eastAsia="Calibri"/>
                <w:color w:val="auto"/>
                <w:sz w:val="18"/>
                <w:szCs w:val="18"/>
              </w:rPr>
            </w:pPr>
          </w:p>
          <w:p w14:paraId="157C40EF"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t>Indicator 2</w:t>
            </w:r>
            <w:r w:rsidRPr="00BA050E">
              <w:rPr>
                <w:rFonts w:eastAsia="Calibri"/>
                <w:i/>
                <w:color w:val="auto"/>
                <w:sz w:val="18"/>
                <w:szCs w:val="18"/>
              </w:rPr>
              <w:t>:</w:t>
            </w:r>
            <w:r w:rsidRPr="00BA050E">
              <w:rPr>
                <w:rFonts w:eastAsia="Calibri"/>
                <w:color w:val="auto"/>
                <w:sz w:val="18"/>
                <w:szCs w:val="18"/>
              </w:rPr>
              <w:t xml:space="preserve"> Number of health facilities connected by rehabilitated/upgraded local road corridors</w:t>
            </w:r>
          </w:p>
          <w:p w14:paraId="5AD3C905"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Baseline: 0 (2015)</w:t>
            </w:r>
          </w:p>
          <w:p w14:paraId="09D3A780"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color w:val="auto"/>
                <w:sz w:val="18"/>
                <w:szCs w:val="18"/>
              </w:rPr>
              <w:t>Target:    9 (2017)</w:t>
            </w:r>
          </w:p>
        </w:tc>
        <w:tc>
          <w:tcPr>
            <w:tcW w:w="1380" w:type="pct"/>
            <w:tcBorders>
              <w:top w:val="single" w:sz="4" w:space="0" w:color="auto"/>
              <w:left w:val="single" w:sz="4" w:space="0" w:color="auto"/>
              <w:bottom w:val="single" w:sz="4" w:space="0" w:color="auto"/>
              <w:right w:val="single" w:sz="4" w:space="0" w:color="auto"/>
            </w:tcBorders>
          </w:tcPr>
          <w:p w14:paraId="17CD9572"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lastRenderedPageBreak/>
              <w:t xml:space="preserve">Not verified: </w:t>
            </w:r>
            <w:r w:rsidRPr="00BA050E">
              <w:rPr>
                <w:rFonts w:eastAsia="Calibri"/>
                <w:color w:val="auto"/>
                <w:sz w:val="18"/>
                <w:szCs w:val="18"/>
              </w:rPr>
              <w:t xml:space="preserve">insufficient evidence available to assess outcomes, due to delay in effectiveness </w:t>
            </w:r>
            <w:r w:rsidRPr="00BA050E">
              <w:rPr>
                <w:rFonts w:eastAsia="Calibri"/>
                <w:color w:val="auto"/>
                <w:sz w:val="18"/>
                <w:szCs w:val="18"/>
              </w:rPr>
              <w:lastRenderedPageBreak/>
              <w:t xml:space="preserve">and implementation of </w:t>
            </w:r>
            <w:r w:rsidRPr="00BA050E">
              <w:rPr>
                <w:color w:val="auto"/>
                <w:sz w:val="18"/>
                <w:szCs w:val="18"/>
              </w:rPr>
              <w:t>Local Roads Improvement project (LRIP)</w:t>
            </w:r>
          </w:p>
        </w:tc>
        <w:tc>
          <w:tcPr>
            <w:tcW w:w="966" w:type="pct"/>
            <w:tcBorders>
              <w:top w:val="single" w:sz="4" w:space="0" w:color="auto"/>
              <w:left w:val="single" w:sz="4" w:space="0" w:color="auto"/>
              <w:bottom w:val="single" w:sz="4" w:space="0" w:color="auto"/>
              <w:right w:val="single" w:sz="4" w:space="0" w:color="auto"/>
            </w:tcBorders>
          </w:tcPr>
          <w:p w14:paraId="44EAF5E1" w14:textId="77777777" w:rsidR="00B44D67" w:rsidRPr="00BA050E" w:rsidRDefault="00B44D67" w:rsidP="00241C66">
            <w:pPr>
              <w:spacing w:after="0" w:line="240" w:lineRule="auto"/>
              <w:ind w:left="0" w:right="86" w:firstLine="0"/>
              <w:rPr>
                <w:b/>
                <w:color w:val="auto"/>
                <w:sz w:val="18"/>
                <w:szCs w:val="18"/>
              </w:rPr>
            </w:pPr>
            <w:r w:rsidRPr="00BA050E">
              <w:rPr>
                <w:b/>
                <w:color w:val="auto"/>
                <w:sz w:val="18"/>
                <w:szCs w:val="18"/>
              </w:rPr>
              <w:lastRenderedPageBreak/>
              <w:t xml:space="preserve">Ongoing: </w:t>
            </w:r>
            <w:r w:rsidRPr="00BA050E">
              <w:rPr>
                <w:color w:val="auto"/>
                <w:sz w:val="18"/>
                <w:szCs w:val="18"/>
              </w:rPr>
              <w:t>Local Roads Improvement project (LRIP</w:t>
            </w:r>
            <w:r>
              <w:rPr>
                <w:color w:val="auto"/>
                <w:sz w:val="18"/>
                <w:szCs w:val="18"/>
              </w:rPr>
              <w:t>, P150357</w:t>
            </w:r>
            <w:r w:rsidRPr="00BA050E">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04E78CD0" w14:textId="77777777" w:rsidR="00B44D67" w:rsidRPr="00BA050E" w:rsidRDefault="00B44D67" w:rsidP="00241C66">
            <w:pPr>
              <w:spacing w:after="0" w:line="240" w:lineRule="auto"/>
              <w:ind w:left="0" w:right="0" w:firstLine="0"/>
              <w:jc w:val="left"/>
              <w:rPr>
                <w:rFonts w:eastAsia="Calibri"/>
                <w:b/>
                <w:color w:val="auto"/>
                <w:sz w:val="18"/>
                <w:szCs w:val="18"/>
              </w:rPr>
            </w:pPr>
          </w:p>
        </w:tc>
      </w:tr>
      <w:tr w:rsidR="00B44D67" w:rsidRPr="00BA050E" w14:paraId="1B3E98E1"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BFBFBF"/>
          </w:tcPr>
          <w:p w14:paraId="3C1C0D7F" w14:textId="77777777" w:rsidR="00B44D67" w:rsidRPr="00BA050E" w:rsidRDefault="00B44D67" w:rsidP="00241C66">
            <w:pPr>
              <w:spacing w:after="80" w:line="240" w:lineRule="auto"/>
              <w:ind w:left="0" w:right="0" w:firstLine="0"/>
              <w:jc w:val="center"/>
              <w:rPr>
                <w:rFonts w:eastAsia="Calibri"/>
                <w:b/>
                <w:color w:val="auto"/>
                <w:sz w:val="18"/>
                <w:szCs w:val="18"/>
              </w:rPr>
            </w:pPr>
            <w:r w:rsidRPr="00BA050E">
              <w:rPr>
                <w:rFonts w:eastAsia="Calibri"/>
                <w:b/>
                <w:color w:val="auto"/>
                <w:sz w:val="19"/>
                <w:szCs w:val="19"/>
              </w:rPr>
              <w:t>CPS Objective 2.2. Fiscally sustainable and equitable pension and social assistance systems</w:t>
            </w:r>
          </w:p>
        </w:tc>
      </w:tr>
      <w:tr w:rsidR="00B44D67" w:rsidRPr="00BA050E" w14:paraId="4EF9D01F" w14:textId="77777777" w:rsidTr="00241C66">
        <w:tc>
          <w:tcPr>
            <w:tcW w:w="1274" w:type="pct"/>
            <w:tcBorders>
              <w:top w:val="single" w:sz="4" w:space="0" w:color="auto"/>
              <w:left w:val="single" w:sz="4" w:space="0" w:color="auto"/>
              <w:bottom w:val="single" w:sz="4" w:space="0" w:color="auto"/>
              <w:right w:val="single" w:sz="4" w:space="0" w:color="auto"/>
            </w:tcBorders>
          </w:tcPr>
          <w:p w14:paraId="4B7BBE1D" w14:textId="77777777" w:rsidR="00B44D67" w:rsidRPr="00BA050E" w:rsidRDefault="00B44D67" w:rsidP="006D2153">
            <w:pPr>
              <w:numPr>
                <w:ilvl w:val="0"/>
                <w:numId w:val="29"/>
              </w:numPr>
              <w:spacing w:after="0" w:line="240" w:lineRule="auto"/>
              <w:ind w:right="0"/>
              <w:jc w:val="left"/>
              <w:rPr>
                <w:rFonts w:eastAsia="Calibri"/>
                <w:b/>
                <w:color w:val="auto"/>
                <w:sz w:val="18"/>
                <w:szCs w:val="18"/>
              </w:rPr>
            </w:pPr>
            <w:r w:rsidRPr="00BA050E">
              <w:rPr>
                <w:rFonts w:eastAsia="Calibri"/>
                <w:b/>
                <w:color w:val="auto"/>
                <w:sz w:val="18"/>
                <w:szCs w:val="18"/>
              </w:rPr>
              <w:t xml:space="preserve"> Fiscally sustainable pension </w:t>
            </w:r>
            <w:r w:rsidRPr="00BA050E">
              <w:rPr>
                <w:b/>
                <w:sz w:val="18"/>
                <w:szCs w:val="18"/>
              </w:rPr>
              <w:t>system</w:t>
            </w:r>
          </w:p>
          <w:p w14:paraId="65393839"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i/>
                <w:color w:val="auto"/>
                <w:sz w:val="18"/>
                <w:szCs w:val="18"/>
              </w:rPr>
              <w:t>Indicator 1</w:t>
            </w:r>
            <w:r w:rsidRPr="00BA050E">
              <w:rPr>
                <w:rFonts w:eastAsia="Calibri"/>
                <w:i/>
                <w:color w:val="auto"/>
                <w:sz w:val="18"/>
                <w:szCs w:val="18"/>
              </w:rPr>
              <w:t>:</w:t>
            </w:r>
            <w:r w:rsidRPr="00BA050E">
              <w:rPr>
                <w:rFonts w:eastAsia="Calibri"/>
                <w:color w:val="auto"/>
                <w:sz w:val="18"/>
                <w:szCs w:val="18"/>
              </w:rPr>
              <w:t xml:space="preserve"> Pension spending below 8 percent of GDP  </w:t>
            </w:r>
          </w:p>
          <w:p w14:paraId="5F2ECCCE"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Baseline:   8 percent (2013)</w:t>
            </w:r>
          </w:p>
          <w:p w14:paraId="2173DC78"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Target:    &lt;8 percent (2017)</w:t>
            </w:r>
          </w:p>
          <w:p w14:paraId="74DDB511"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t>Indicator 2</w:t>
            </w:r>
            <w:r w:rsidRPr="00BA050E">
              <w:rPr>
                <w:rFonts w:eastAsia="Calibri"/>
                <w:i/>
                <w:color w:val="auto"/>
                <w:sz w:val="18"/>
                <w:szCs w:val="18"/>
              </w:rPr>
              <w:t xml:space="preserve">: </w:t>
            </w:r>
            <w:r w:rsidRPr="00BA050E">
              <w:rPr>
                <w:rFonts w:eastAsia="Calibri"/>
                <w:color w:val="auto"/>
                <w:sz w:val="18"/>
                <w:szCs w:val="18"/>
              </w:rPr>
              <w:t xml:space="preserve">Pension system fairness improved by maximized replacement rates within budget envelope </w:t>
            </w:r>
          </w:p>
          <w:p w14:paraId="78784655"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Baseline: 28 percent (2013)</w:t>
            </w:r>
          </w:p>
          <w:p w14:paraId="392F2024"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color w:val="auto"/>
                <w:sz w:val="18"/>
                <w:szCs w:val="18"/>
              </w:rPr>
              <w:t>Target:    30 percent (2017)</w:t>
            </w:r>
          </w:p>
        </w:tc>
        <w:tc>
          <w:tcPr>
            <w:tcW w:w="1380" w:type="pct"/>
            <w:tcBorders>
              <w:top w:val="single" w:sz="4" w:space="0" w:color="auto"/>
              <w:left w:val="single" w:sz="4" w:space="0" w:color="auto"/>
              <w:bottom w:val="single" w:sz="4" w:space="0" w:color="auto"/>
              <w:right w:val="single" w:sz="4" w:space="0" w:color="auto"/>
            </w:tcBorders>
          </w:tcPr>
          <w:p w14:paraId="5FF0E941" w14:textId="77777777" w:rsidR="00B44D67" w:rsidRPr="00BA050E" w:rsidRDefault="00B44D67" w:rsidP="00241C66">
            <w:pPr>
              <w:spacing w:after="0" w:line="240" w:lineRule="auto"/>
              <w:ind w:left="0" w:right="0" w:firstLine="0"/>
              <w:rPr>
                <w:rFonts w:eastAsia="Calibri"/>
                <w:b/>
                <w:color w:val="auto"/>
                <w:sz w:val="18"/>
                <w:szCs w:val="18"/>
              </w:rPr>
            </w:pPr>
          </w:p>
          <w:p w14:paraId="38315D32"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Not achieved: </w:t>
            </w:r>
            <w:r w:rsidRPr="00BA050E">
              <w:rPr>
                <w:rFonts w:eastAsia="Calibri"/>
                <w:color w:val="auto"/>
                <w:sz w:val="18"/>
                <w:szCs w:val="18"/>
              </w:rPr>
              <w:t xml:space="preserve">Pension spending remained above 8 percent of GDP in 2013-15. </w:t>
            </w:r>
          </w:p>
          <w:p w14:paraId="58D1274C" w14:textId="77777777" w:rsidR="00B44D67" w:rsidRPr="00BA050E" w:rsidRDefault="00B44D67" w:rsidP="00241C66">
            <w:pPr>
              <w:spacing w:after="0" w:line="240" w:lineRule="auto"/>
              <w:ind w:left="0" w:right="0" w:firstLine="0"/>
              <w:jc w:val="left"/>
              <w:rPr>
                <w:rFonts w:eastAsia="Calibri"/>
                <w:color w:val="auto"/>
                <w:sz w:val="18"/>
                <w:szCs w:val="18"/>
              </w:rPr>
            </w:pPr>
          </w:p>
          <w:p w14:paraId="6ADD6A2B" w14:textId="77777777" w:rsidR="00B44D67" w:rsidRPr="00BA050E" w:rsidRDefault="00B44D67" w:rsidP="00241C66">
            <w:pPr>
              <w:spacing w:after="0" w:line="240" w:lineRule="auto"/>
              <w:ind w:left="0" w:right="0" w:firstLine="0"/>
              <w:rPr>
                <w:rFonts w:eastAsia="Calibri"/>
                <w:color w:val="auto"/>
                <w:sz w:val="18"/>
                <w:szCs w:val="18"/>
              </w:rPr>
            </w:pPr>
          </w:p>
          <w:p w14:paraId="4B3EF279"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Not achieved: </w:t>
            </w:r>
            <w:r w:rsidRPr="00BA050E">
              <w:rPr>
                <w:rFonts w:eastAsia="Calibri"/>
                <w:color w:val="auto"/>
                <w:sz w:val="18"/>
                <w:szCs w:val="18"/>
              </w:rPr>
              <w:t>Pension top-ups introduced in 2013 did not improve replacement rate, which continued to decline, remaining at 25.8 percent for old-age pensions and 25.3 pe</w:t>
            </w:r>
            <w:r>
              <w:rPr>
                <w:rFonts w:eastAsia="Calibri"/>
                <w:color w:val="auto"/>
                <w:sz w:val="18"/>
                <w:szCs w:val="18"/>
              </w:rPr>
              <w:t>rcent for all pensions in 2015.</w:t>
            </w:r>
          </w:p>
        </w:tc>
        <w:tc>
          <w:tcPr>
            <w:tcW w:w="966" w:type="pct"/>
            <w:vMerge w:val="restart"/>
            <w:tcBorders>
              <w:top w:val="single" w:sz="4" w:space="0" w:color="auto"/>
              <w:left w:val="single" w:sz="4" w:space="0" w:color="auto"/>
              <w:right w:val="single" w:sz="4" w:space="0" w:color="auto"/>
            </w:tcBorders>
          </w:tcPr>
          <w:p w14:paraId="48E8F9BA"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Pipeline:</w:t>
            </w:r>
          </w:p>
          <w:p w14:paraId="2CC13262"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New DPO series</w:t>
            </w:r>
          </w:p>
          <w:p w14:paraId="0AB69CF7" w14:textId="77777777" w:rsidR="00B44D67" w:rsidRDefault="00B44D67" w:rsidP="00241C66">
            <w:pPr>
              <w:spacing w:after="0" w:line="240" w:lineRule="auto"/>
              <w:ind w:left="0" w:right="0" w:firstLine="0"/>
              <w:jc w:val="left"/>
              <w:rPr>
                <w:b/>
                <w:color w:val="auto"/>
                <w:sz w:val="18"/>
                <w:szCs w:val="18"/>
              </w:rPr>
            </w:pPr>
          </w:p>
          <w:p w14:paraId="1AB06E86"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ASA:</w:t>
            </w:r>
          </w:p>
          <w:p w14:paraId="7D8CC665" w14:textId="77777777" w:rsidR="00B44D67" w:rsidRPr="00C23D8A" w:rsidRDefault="00B44D67" w:rsidP="00241C66">
            <w:pPr>
              <w:spacing w:after="0" w:line="240" w:lineRule="auto"/>
              <w:ind w:left="0" w:right="0" w:firstLine="0"/>
              <w:jc w:val="left"/>
              <w:rPr>
                <w:rFonts w:cs="Arial"/>
                <w:sz w:val="20"/>
                <w:szCs w:val="20"/>
              </w:rPr>
            </w:pPr>
            <w:r w:rsidRPr="00BA050E">
              <w:rPr>
                <w:color w:val="auto"/>
                <w:sz w:val="18"/>
                <w:szCs w:val="18"/>
              </w:rPr>
              <w:t>Programmatic HD (pension policy TA</w:t>
            </w:r>
            <w:r>
              <w:rPr>
                <w:color w:val="auto"/>
                <w:sz w:val="18"/>
                <w:szCs w:val="18"/>
              </w:rPr>
              <w:t xml:space="preserve">, </w:t>
            </w:r>
            <w:r w:rsidRPr="00B1549E">
              <w:rPr>
                <w:rFonts w:cs="Tahoma"/>
                <w:color w:val="343434"/>
                <w:sz w:val="20"/>
                <w:szCs w:val="20"/>
                <w:shd w:val="clear" w:color="auto" w:fill="FFFFFF"/>
              </w:rPr>
              <w:t>P143613</w:t>
            </w:r>
            <w:r w:rsidRPr="00BA050E">
              <w:rPr>
                <w:color w:val="auto"/>
                <w:sz w:val="18"/>
                <w:szCs w:val="18"/>
              </w:rPr>
              <w:t>); Pension Reform Advocacy TA</w:t>
            </w:r>
            <w:r>
              <w:rPr>
                <w:color w:val="auto"/>
                <w:sz w:val="18"/>
                <w:szCs w:val="18"/>
              </w:rPr>
              <w:t xml:space="preserve"> (</w:t>
            </w:r>
            <w:r w:rsidRPr="00B1549E">
              <w:rPr>
                <w:rFonts w:cs="Arial"/>
                <w:sz w:val="20"/>
                <w:szCs w:val="20"/>
              </w:rPr>
              <w:t>P157759</w:t>
            </w:r>
            <w:r w:rsidRPr="00C23D8A">
              <w:rPr>
                <w:rFonts w:cs="Arial"/>
                <w:sz w:val="20"/>
                <w:szCs w:val="20"/>
              </w:rPr>
              <w:t>); Pension Reform TA (P152247)</w:t>
            </w:r>
          </w:p>
          <w:p w14:paraId="1CA407FB" w14:textId="77777777" w:rsidR="00B44D67" w:rsidRDefault="00B44D67" w:rsidP="00241C66">
            <w:pPr>
              <w:spacing w:after="0" w:line="240" w:lineRule="auto"/>
              <w:ind w:left="0" w:right="0" w:firstLine="0"/>
              <w:jc w:val="left"/>
              <w:rPr>
                <w:b/>
                <w:color w:val="auto"/>
                <w:sz w:val="18"/>
                <w:szCs w:val="18"/>
              </w:rPr>
            </w:pPr>
          </w:p>
          <w:p w14:paraId="5BD2E240"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Partners:</w:t>
            </w:r>
          </w:p>
          <w:p w14:paraId="443EA8B0"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IMF</w:t>
            </w:r>
          </w:p>
          <w:p w14:paraId="32DA2FF2" w14:textId="77777777" w:rsidR="00B44D67" w:rsidRDefault="00B44D67" w:rsidP="00241C66">
            <w:pPr>
              <w:spacing w:after="0" w:line="240" w:lineRule="auto"/>
              <w:ind w:left="0" w:right="0" w:firstLine="0"/>
              <w:jc w:val="left"/>
              <w:rPr>
                <w:b/>
                <w:color w:val="auto"/>
                <w:sz w:val="18"/>
                <w:szCs w:val="18"/>
              </w:rPr>
            </w:pPr>
          </w:p>
          <w:p w14:paraId="776E1FBE"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 xml:space="preserve">Ongoing: </w:t>
            </w:r>
          </w:p>
          <w:p w14:paraId="56C4AB24"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Strengthening Effectiveness of Social Safety Net project</w:t>
            </w:r>
            <w:r>
              <w:rPr>
                <w:color w:val="auto"/>
                <w:sz w:val="18"/>
                <w:szCs w:val="18"/>
              </w:rPr>
              <w:t xml:space="preserve"> (</w:t>
            </w:r>
            <w:r w:rsidRPr="008371DA">
              <w:rPr>
                <w:color w:val="auto"/>
                <w:sz w:val="18"/>
                <w:szCs w:val="18"/>
              </w:rPr>
              <w:t>P120913</w:t>
            </w:r>
            <w:r>
              <w:rPr>
                <w:color w:val="auto"/>
                <w:sz w:val="18"/>
                <w:szCs w:val="18"/>
              </w:rPr>
              <w:t>)</w:t>
            </w:r>
          </w:p>
          <w:p w14:paraId="51E66C4D" w14:textId="77777777" w:rsidR="00B44D67" w:rsidRPr="00BA050E" w:rsidRDefault="00B44D67" w:rsidP="00241C66">
            <w:pPr>
              <w:spacing w:after="0" w:line="240" w:lineRule="auto"/>
              <w:ind w:left="0" w:right="0" w:firstLine="0"/>
              <w:jc w:val="left"/>
              <w:rPr>
                <w:color w:val="auto"/>
                <w:sz w:val="18"/>
                <w:szCs w:val="18"/>
              </w:rPr>
            </w:pPr>
          </w:p>
          <w:p w14:paraId="0FD5B937" w14:textId="77777777" w:rsidR="00B44D67" w:rsidRPr="00BA050E" w:rsidRDefault="00B44D67" w:rsidP="00241C66">
            <w:pPr>
              <w:spacing w:after="0" w:line="240" w:lineRule="auto"/>
              <w:ind w:left="0" w:right="0" w:firstLine="0"/>
              <w:jc w:val="left"/>
              <w:rPr>
                <w:rFonts w:eastAsia="Calibri"/>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152F3465" w14:textId="77777777" w:rsidR="00B44D67" w:rsidRPr="00BA050E" w:rsidRDefault="00B44D67" w:rsidP="00241C66">
            <w:pPr>
              <w:spacing w:after="0" w:line="240" w:lineRule="auto"/>
              <w:ind w:left="0" w:right="0" w:firstLine="0"/>
              <w:jc w:val="left"/>
              <w:rPr>
                <w:rFonts w:eastAsia="Calibri"/>
                <w:b/>
                <w:color w:val="auto"/>
                <w:sz w:val="18"/>
                <w:szCs w:val="18"/>
              </w:rPr>
            </w:pPr>
          </w:p>
        </w:tc>
      </w:tr>
      <w:tr w:rsidR="00B44D67" w:rsidRPr="00BA050E" w14:paraId="19B75116" w14:textId="77777777" w:rsidTr="00241C66">
        <w:tc>
          <w:tcPr>
            <w:tcW w:w="1274" w:type="pct"/>
            <w:tcBorders>
              <w:top w:val="single" w:sz="4" w:space="0" w:color="auto"/>
              <w:left w:val="single" w:sz="4" w:space="0" w:color="auto"/>
              <w:bottom w:val="single" w:sz="4" w:space="0" w:color="auto"/>
              <w:right w:val="single" w:sz="4" w:space="0" w:color="auto"/>
            </w:tcBorders>
          </w:tcPr>
          <w:p w14:paraId="60B20F66" w14:textId="77777777" w:rsidR="00B44D67" w:rsidRPr="00BA050E" w:rsidRDefault="00B44D67" w:rsidP="006D2153">
            <w:pPr>
              <w:numPr>
                <w:ilvl w:val="0"/>
                <w:numId w:val="29"/>
              </w:numPr>
              <w:spacing w:after="0" w:line="240" w:lineRule="auto"/>
              <w:ind w:right="0"/>
              <w:jc w:val="left"/>
              <w:rPr>
                <w:rFonts w:eastAsia="Calibri"/>
                <w:b/>
                <w:color w:val="auto"/>
                <w:sz w:val="18"/>
                <w:szCs w:val="18"/>
              </w:rPr>
            </w:pPr>
            <w:r w:rsidRPr="00BA050E">
              <w:rPr>
                <w:rFonts w:eastAsia="Calibri"/>
                <w:b/>
                <w:color w:val="auto"/>
                <w:sz w:val="18"/>
                <w:szCs w:val="18"/>
              </w:rPr>
              <w:t xml:space="preserve">Improved equity of social </w:t>
            </w:r>
            <w:r w:rsidRPr="00BA050E">
              <w:rPr>
                <w:b/>
                <w:sz w:val="18"/>
                <w:szCs w:val="18"/>
              </w:rPr>
              <w:t>assistance</w:t>
            </w:r>
            <w:r w:rsidRPr="00BA050E">
              <w:rPr>
                <w:rFonts w:eastAsia="Calibri"/>
                <w:b/>
                <w:color w:val="auto"/>
                <w:sz w:val="18"/>
                <w:szCs w:val="18"/>
              </w:rPr>
              <w:t>.</w:t>
            </w:r>
          </w:p>
          <w:p w14:paraId="2A05A99A" w14:textId="77777777" w:rsidR="00B44D67" w:rsidRPr="00BA050E" w:rsidRDefault="00B44D67" w:rsidP="00241C66">
            <w:pPr>
              <w:spacing w:after="0" w:line="240" w:lineRule="auto"/>
              <w:ind w:left="0" w:right="0" w:firstLine="0"/>
              <w:rPr>
                <w:rFonts w:eastAsia="Calibri"/>
                <w:i/>
                <w:color w:val="auto"/>
                <w:sz w:val="18"/>
                <w:szCs w:val="18"/>
              </w:rPr>
            </w:pPr>
          </w:p>
          <w:p w14:paraId="364841DA"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t>Indicator 1</w:t>
            </w:r>
            <w:r w:rsidRPr="00BA050E">
              <w:rPr>
                <w:rFonts w:eastAsia="Calibri"/>
                <w:i/>
                <w:color w:val="auto"/>
                <w:sz w:val="18"/>
                <w:szCs w:val="18"/>
              </w:rPr>
              <w:t>:</w:t>
            </w:r>
            <w:r w:rsidRPr="00BA050E">
              <w:rPr>
                <w:rFonts w:eastAsia="Calibri"/>
                <w:color w:val="auto"/>
                <w:sz w:val="18"/>
                <w:szCs w:val="18"/>
              </w:rPr>
              <w:t xml:space="preserve"> Share of population in poorest quintile receiving </w:t>
            </w:r>
            <w:proofErr w:type="spellStart"/>
            <w:r w:rsidRPr="00BA050E">
              <w:rPr>
                <w:rFonts w:eastAsia="Calibri"/>
                <w:i/>
                <w:color w:val="auto"/>
                <w:sz w:val="18"/>
                <w:szCs w:val="18"/>
              </w:rPr>
              <w:t>Ajutor</w:t>
            </w:r>
            <w:proofErr w:type="spellEnd"/>
            <w:r w:rsidRPr="00BA050E">
              <w:rPr>
                <w:rFonts w:eastAsia="Calibri"/>
                <w:i/>
                <w:color w:val="auto"/>
                <w:sz w:val="18"/>
                <w:szCs w:val="18"/>
              </w:rPr>
              <w:t xml:space="preserve"> Social</w:t>
            </w:r>
            <w:r w:rsidRPr="00BA050E">
              <w:rPr>
                <w:rFonts w:eastAsia="Calibri"/>
                <w:color w:val="auto"/>
                <w:sz w:val="18"/>
                <w:szCs w:val="18"/>
              </w:rPr>
              <w:t xml:space="preserve"> benefits (gender data provided by adult recipients)</w:t>
            </w:r>
          </w:p>
          <w:p w14:paraId="0D1317EC"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Baseline: 14.9 percent (2011)</w:t>
            </w:r>
          </w:p>
          <w:p w14:paraId="30897667"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Target:    20.0 percent (2017)</w:t>
            </w:r>
          </w:p>
          <w:p w14:paraId="249013B4" w14:textId="77777777" w:rsidR="00B44D67" w:rsidRPr="00BA050E" w:rsidRDefault="00B44D67" w:rsidP="00241C66">
            <w:pPr>
              <w:spacing w:after="0" w:line="240" w:lineRule="auto"/>
              <w:ind w:left="0" w:right="0" w:firstLine="0"/>
              <w:rPr>
                <w:rFonts w:eastAsia="Calibri"/>
                <w:b/>
                <w:i/>
                <w:color w:val="auto"/>
                <w:sz w:val="18"/>
                <w:szCs w:val="18"/>
              </w:rPr>
            </w:pPr>
          </w:p>
          <w:p w14:paraId="4650A267" w14:textId="77777777" w:rsidR="00B44D67" w:rsidRPr="00BA050E" w:rsidRDefault="00B44D67" w:rsidP="00241C66">
            <w:pPr>
              <w:spacing w:after="0" w:line="240" w:lineRule="auto"/>
              <w:ind w:left="0" w:right="0" w:firstLine="0"/>
              <w:rPr>
                <w:rFonts w:eastAsia="Calibri"/>
                <w:b/>
                <w:i/>
                <w:color w:val="auto"/>
                <w:sz w:val="18"/>
                <w:szCs w:val="18"/>
              </w:rPr>
            </w:pPr>
          </w:p>
          <w:p w14:paraId="1E73243C" w14:textId="77777777" w:rsidR="00B44D67" w:rsidRPr="00BA050E" w:rsidRDefault="00B44D67" w:rsidP="00241C66">
            <w:pPr>
              <w:spacing w:after="0" w:line="240" w:lineRule="auto"/>
              <w:ind w:left="0" w:right="0" w:firstLine="0"/>
              <w:rPr>
                <w:rFonts w:eastAsia="Calibri"/>
                <w:b/>
                <w:i/>
                <w:color w:val="auto"/>
                <w:sz w:val="18"/>
                <w:szCs w:val="18"/>
              </w:rPr>
            </w:pPr>
          </w:p>
          <w:p w14:paraId="4241CAF8" w14:textId="77777777" w:rsidR="00B44D67" w:rsidRPr="00BA050E" w:rsidRDefault="00B44D67" w:rsidP="00241C66">
            <w:pPr>
              <w:spacing w:after="0" w:line="240" w:lineRule="auto"/>
              <w:ind w:left="0" w:right="0" w:firstLine="0"/>
              <w:rPr>
                <w:rFonts w:eastAsia="Calibri"/>
                <w:b/>
                <w:i/>
                <w:color w:val="auto"/>
                <w:sz w:val="18"/>
                <w:szCs w:val="18"/>
              </w:rPr>
            </w:pPr>
          </w:p>
          <w:p w14:paraId="71145645"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i/>
                <w:color w:val="auto"/>
                <w:sz w:val="18"/>
                <w:szCs w:val="18"/>
              </w:rPr>
              <w:t>Indicator 2</w:t>
            </w:r>
            <w:r w:rsidRPr="00BA050E">
              <w:rPr>
                <w:rFonts w:eastAsia="Calibri"/>
                <w:i/>
                <w:color w:val="auto"/>
                <w:sz w:val="18"/>
                <w:szCs w:val="18"/>
              </w:rPr>
              <w:t>:</w:t>
            </w:r>
            <w:r w:rsidRPr="00BA050E">
              <w:rPr>
                <w:rFonts w:eastAsia="Calibri"/>
                <w:b/>
                <w:i/>
                <w:color w:val="auto"/>
                <w:sz w:val="18"/>
                <w:szCs w:val="18"/>
              </w:rPr>
              <w:t xml:space="preserve"> </w:t>
            </w:r>
            <w:r w:rsidRPr="00BA050E">
              <w:rPr>
                <w:rFonts w:eastAsia="Calibri"/>
                <w:color w:val="auto"/>
                <w:sz w:val="18"/>
                <w:szCs w:val="18"/>
              </w:rPr>
              <w:t xml:space="preserve">Spending on consolidated categorical benefits further reduced </w:t>
            </w:r>
            <w:r w:rsidRPr="00BA050E">
              <w:rPr>
                <w:color w:val="auto"/>
                <w:sz w:val="18"/>
                <w:szCs w:val="18"/>
              </w:rPr>
              <w:t xml:space="preserve">by 20 percent </w:t>
            </w:r>
          </w:p>
          <w:p w14:paraId="343E8E87"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rFonts w:eastAsia="Calibri"/>
                <w:color w:val="auto"/>
                <w:sz w:val="18"/>
                <w:szCs w:val="18"/>
              </w:rPr>
              <w:t xml:space="preserve">         Baseline:  </w:t>
            </w:r>
            <w:r w:rsidRPr="00BA050E">
              <w:rPr>
                <w:color w:val="auto"/>
                <w:sz w:val="18"/>
                <w:szCs w:val="18"/>
              </w:rPr>
              <w:t>7</w:t>
            </w:r>
            <w:r w:rsidRPr="00BA050E">
              <w:rPr>
                <w:rFonts w:eastAsia="Calibri"/>
                <w:color w:val="auto"/>
                <w:sz w:val="18"/>
                <w:szCs w:val="18"/>
              </w:rPr>
              <w:t xml:space="preserve"> percent (2012)</w:t>
            </w:r>
          </w:p>
          <w:p w14:paraId="5EEE9573"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color w:val="auto"/>
                <w:sz w:val="18"/>
                <w:szCs w:val="18"/>
              </w:rPr>
              <w:t xml:space="preserve">         Target:    30 percent (2017)</w:t>
            </w:r>
          </w:p>
        </w:tc>
        <w:tc>
          <w:tcPr>
            <w:tcW w:w="1380" w:type="pct"/>
            <w:tcBorders>
              <w:top w:val="single" w:sz="4" w:space="0" w:color="auto"/>
              <w:left w:val="single" w:sz="4" w:space="0" w:color="auto"/>
              <w:bottom w:val="single" w:sz="4" w:space="0" w:color="auto"/>
              <w:right w:val="single" w:sz="4" w:space="0" w:color="auto"/>
            </w:tcBorders>
          </w:tcPr>
          <w:p w14:paraId="01E856C4"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Partially achieved:  </w:t>
            </w:r>
            <w:r w:rsidRPr="00BA050E">
              <w:rPr>
                <w:rFonts w:eastAsia="Calibri"/>
                <w:color w:val="auto"/>
                <w:sz w:val="18"/>
                <w:szCs w:val="18"/>
              </w:rPr>
              <w:t>Coverage of</w:t>
            </w:r>
            <w:r w:rsidRPr="00BA050E">
              <w:rPr>
                <w:rFonts w:eastAsia="Calibri"/>
                <w:b/>
                <w:color w:val="auto"/>
                <w:sz w:val="18"/>
                <w:szCs w:val="18"/>
              </w:rPr>
              <w:t xml:space="preserve"> </w:t>
            </w:r>
            <w:proofErr w:type="spellStart"/>
            <w:r w:rsidRPr="00BA050E">
              <w:rPr>
                <w:rFonts w:eastAsia="Calibri"/>
                <w:i/>
                <w:color w:val="auto"/>
                <w:sz w:val="18"/>
                <w:szCs w:val="18"/>
              </w:rPr>
              <w:t>Ajutor</w:t>
            </w:r>
            <w:proofErr w:type="spellEnd"/>
            <w:r w:rsidRPr="00BA050E">
              <w:rPr>
                <w:rFonts w:eastAsia="Calibri"/>
                <w:i/>
                <w:color w:val="auto"/>
                <w:sz w:val="18"/>
                <w:szCs w:val="18"/>
              </w:rPr>
              <w:t xml:space="preserve"> Social</w:t>
            </w:r>
            <w:r w:rsidRPr="00BA050E">
              <w:rPr>
                <w:rFonts w:eastAsia="Calibri"/>
                <w:color w:val="auto"/>
                <w:sz w:val="18"/>
                <w:szCs w:val="18"/>
              </w:rPr>
              <w:t xml:space="preserve"> benefits declined to 12.2 percent of poorest quintile in 2014, due to exit of pensioners whose incomes increased after introduction of pension top-ups in 2013. Following 2015 increase in eligibility threshold―to help poor households cope with higher energy tariffs―coverage increased to 17.6 percent and is likely to grow further in 2016. An estimated 56 percent of </w:t>
            </w:r>
            <w:proofErr w:type="spellStart"/>
            <w:r w:rsidRPr="00BA050E">
              <w:rPr>
                <w:rFonts w:eastAsia="Calibri"/>
                <w:i/>
                <w:color w:val="auto"/>
                <w:sz w:val="18"/>
                <w:szCs w:val="18"/>
              </w:rPr>
              <w:t>Ajutor</w:t>
            </w:r>
            <w:proofErr w:type="spellEnd"/>
            <w:r w:rsidRPr="00BA050E">
              <w:rPr>
                <w:rFonts w:eastAsia="Calibri"/>
                <w:i/>
                <w:color w:val="auto"/>
                <w:sz w:val="18"/>
                <w:szCs w:val="18"/>
              </w:rPr>
              <w:t xml:space="preserve"> Social </w:t>
            </w:r>
            <w:r w:rsidRPr="00BA050E">
              <w:rPr>
                <w:rFonts w:eastAsia="Calibri"/>
                <w:color w:val="auto"/>
                <w:sz w:val="18"/>
                <w:szCs w:val="18"/>
              </w:rPr>
              <w:t>beneficiaries during 2009-15 were women.</w:t>
            </w:r>
          </w:p>
          <w:p w14:paraId="49554597" w14:textId="77777777" w:rsidR="00B44D67" w:rsidRPr="00BA050E" w:rsidRDefault="00B44D67" w:rsidP="00241C66">
            <w:pPr>
              <w:spacing w:after="0" w:line="240" w:lineRule="auto"/>
              <w:ind w:left="0" w:right="0" w:firstLine="0"/>
              <w:rPr>
                <w:rFonts w:eastAsia="Calibri"/>
                <w:b/>
                <w:color w:val="auto"/>
                <w:sz w:val="18"/>
                <w:szCs w:val="18"/>
              </w:rPr>
            </w:pPr>
          </w:p>
          <w:p w14:paraId="675B8806" w14:textId="77777777" w:rsidR="00B44D67"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Partially achieved</w:t>
            </w:r>
            <w:r w:rsidRPr="00BA050E">
              <w:rPr>
                <w:rFonts w:eastAsia="Calibri"/>
                <w:color w:val="auto"/>
                <w:sz w:val="18"/>
                <w:szCs w:val="18"/>
              </w:rPr>
              <w:t>: After elimination of large, expensive categorical benefits in 2012, social assistance budget fell by 32 percent, exceeding target in 2013. However, spending then started to grow and, in 2015, reduction was only 11 percent.</w:t>
            </w:r>
          </w:p>
          <w:p w14:paraId="3D7E3AAD" w14:textId="77777777" w:rsidR="00B44D67" w:rsidRDefault="00B44D67" w:rsidP="00241C66">
            <w:pPr>
              <w:spacing w:after="0" w:line="240" w:lineRule="auto"/>
              <w:ind w:left="0" w:right="0" w:firstLine="0"/>
              <w:rPr>
                <w:rFonts w:eastAsia="Calibri"/>
                <w:color w:val="auto"/>
                <w:sz w:val="18"/>
                <w:szCs w:val="18"/>
              </w:rPr>
            </w:pPr>
          </w:p>
          <w:p w14:paraId="2E9DD94A" w14:textId="77777777" w:rsidR="00B44D67" w:rsidRDefault="00B44D67" w:rsidP="00241C66">
            <w:pPr>
              <w:spacing w:after="0" w:line="240" w:lineRule="auto"/>
              <w:ind w:left="0" w:right="0" w:firstLine="0"/>
              <w:rPr>
                <w:rFonts w:eastAsia="Calibri"/>
                <w:color w:val="auto"/>
                <w:sz w:val="18"/>
                <w:szCs w:val="18"/>
              </w:rPr>
            </w:pPr>
          </w:p>
          <w:p w14:paraId="78A5A892" w14:textId="77777777" w:rsidR="00B44D67" w:rsidRDefault="00B44D67" w:rsidP="00241C66">
            <w:pPr>
              <w:spacing w:after="0" w:line="240" w:lineRule="auto"/>
              <w:ind w:left="0" w:right="0" w:firstLine="0"/>
              <w:rPr>
                <w:rFonts w:eastAsia="Calibri"/>
                <w:color w:val="auto"/>
                <w:sz w:val="18"/>
                <w:szCs w:val="18"/>
              </w:rPr>
            </w:pPr>
          </w:p>
          <w:p w14:paraId="0640EE31" w14:textId="77777777" w:rsidR="00B44D67" w:rsidRPr="00BA050E" w:rsidRDefault="00B44D67" w:rsidP="00241C66">
            <w:pPr>
              <w:spacing w:after="0" w:line="240" w:lineRule="auto"/>
              <w:ind w:left="0" w:right="0" w:firstLine="0"/>
              <w:rPr>
                <w:rFonts w:eastAsia="Calibri"/>
                <w:color w:val="auto"/>
                <w:sz w:val="18"/>
                <w:szCs w:val="18"/>
              </w:rPr>
            </w:pPr>
          </w:p>
        </w:tc>
        <w:tc>
          <w:tcPr>
            <w:tcW w:w="966" w:type="pct"/>
            <w:vMerge/>
            <w:tcBorders>
              <w:left w:val="single" w:sz="4" w:space="0" w:color="auto"/>
              <w:bottom w:val="single" w:sz="4" w:space="0" w:color="auto"/>
              <w:right w:val="single" w:sz="4" w:space="0" w:color="auto"/>
            </w:tcBorders>
          </w:tcPr>
          <w:p w14:paraId="03FE78BD" w14:textId="77777777" w:rsidR="00B44D67" w:rsidRPr="00BA050E" w:rsidRDefault="00B44D67" w:rsidP="00241C66">
            <w:pPr>
              <w:spacing w:after="0" w:line="240" w:lineRule="auto"/>
              <w:ind w:left="0" w:right="0" w:firstLine="0"/>
              <w:jc w:val="left"/>
              <w:rPr>
                <w:rFonts w:eastAsia="Calibri"/>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546AA135" w14:textId="77777777" w:rsidR="00B44D67" w:rsidRPr="00BA050E" w:rsidRDefault="00B44D67" w:rsidP="00241C66">
            <w:pPr>
              <w:spacing w:after="0" w:line="240" w:lineRule="auto"/>
              <w:ind w:left="0" w:right="0" w:firstLine="0"/>
              <w:jc w:val="left"/>
              <w:rPr>
                <w:rFonts w:eastAsia="Calibri"/>
                <w:b/>
                <w:color w:val="auto"/>
                <w:sz w:val="18"/>
                <w:szCs w:val="18"/>
              </w:rPr>
            </w:pPr>
          </w:p>
        </w:tc>
      </w:tr>
      <w:tr w:rsidR="00B44D67" w:rsidRPr="00BA050E" w14:paraId="49DF8299"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14:paraId="28AE82E0" w14:textId="77777777" w:rsidR="00B44D67" w:rsidRPr="00BA050E" w:rsidRDefault="00B44D67" w:rsidP="00241C66">
            <w:pPr>
              <w:spacing w:after="80" w:line="240" w:lineRule="auto"/>
              <w:ind w:left="0" w:right="0" w:firstLine="0"/>
              <w:jc w:val="center"/>
              <w:rPr>
                <w:rFonts w:eastAsia="Calibri"/>
                <w:b/>
                <w:smallCaps/>
                <w:color w:val="auto"/>
                <w:sz w:val="18"/>
                <w:szCs w:val="18"/>
              </w:rPr>
            </w:pPr>
            <w:r w:rsidRPr="00BA050E">
              <w:rPr>
                <w:rFonts w:eastAsia="Calibri"/>
                <w:color w:val="auto"/>
                <w:sz w:val="18"/>
                <w:szCs w:val="18"/>
              </w:rPr>
              <w:lastRenderedPageBreak/>
              <w:br w:type="page"/>
            </w:r>
            <w:r w:rsidRPr="00BA050E">
              <w:rPr>
                <w:rFonts w:eastAsia="Calibri"/>
                <w:b/>
                <w:smallCaps/>
                <w:color w:val="auto"/>
                <w:sz w:val="18"/>
                <w:szCs w:val="18"/>
              </w:rPr>
              <w:t xml:space="preserve">Pillar III.  </w:t>
            </w:r>
            <w:r w:rsidRPr="00BA050E">
              <w:rPr>
                <w:b/>
                <w:i/>
                <w:color w:val="auto"/>
                <w:sz w:val="18"/>
                <w:szCs w:val="18"/>
              </w:rPr>
              <w:t xml:space="preserve"> </w:t>
            </w:r>
            <w:r w:rsidRPr="00BA050E">
              <w:rPr>
                <w:rFonts w:eastAsia="Calibri"/>
                <w:b/>
                <w:smallCaps/>
                <w:color w:val="auto"/>
                <w:sz w:val="18"/>
                <w:szCs w:val="18"/>
              </w:rPr>
              <w:t>Promoting a Green, Clean and Resilient Moldova</w:t>
            </w:r>
          </w:p>
        </w:tc>
      </w:tr>
      <w:tr w:rsidR="00B44D67" w:rsidRPr="00BA050E" w14:paraId="475CC692"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EA1FC67" w14:textId="77777777" w:rsidR="00B44D67" w:rsidRPr="00BA050E" w:rsidRDefault="00B44D67" w:rsidP="00241C66">
            <w:pPr>
              <w:spacing w:after="80" w:line="240" w:lineRule="auto"/>
              <w:ind w:left="0" w:right="0" w:firstLine="0"/>
              <w:jc w:val="center"/>
              <w:rPr>
                <w:rFonts w:eastAsia="Calibri"/>
                <w:b/>
                <w:i/>
                <w:color w:val="auto"/>
                <w:sz w:val="18"/>
                <w:szCs w:val="18"/>
              </w:rPr>
            </w:pPr>
            <w:r w:rsidRPr="00BA050E">
              <w:rPr>
                <w:b/>
                <w:color w:val="auto"/>
                <w:sz w:val="18"/>
                <w:szCs w:val="18"/>
              </w:rPr>
              <w:t>CPS Objective 3.1. Greater adaptation and resilience to climate change</w:t>
            </w:r>
          </w:p>
        </w:tc>
      </w:tr>
      <w:tr w:rsidR="00B44D67" w:rsidRPr="00BA050E" w14:paraId="7A828D78" w14:textId="77777777" w:rsidTr="00241C66">
        <w:tc>
          <w:tcPr>
            <w:tcW w:w="1274" w:type="pct"/>
            <w:tcBorders>
              <w:top w:val="single" w:sz="4" w:space="0" w:color="auto"/>
              <w:left w:val="single" w:sz="4" w:space="0" w:color="auto"/>
              <w:bottom w:val="single" w:sz="4" w:space="0" w:color="auto"/>
              <w:right w:val="single" w:sz="4" w:space="0" w:color="auto"/>
            </w:tcBorders>
          </w:tcPr>
          <w:p w14:paraId="4D3AAFFF"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 xml:space="preserve">Strengthened State Hydro-met ability to forecast severe weather </w:t>
            </w:r>
            <w:r w:rsidRPr="00BA050E">
              <w:rPr>
                <w:b/>
                <w:sz w:val="18"/>
                <w:szCs w:val="18"/>
              </w:rPr>
              <w:t>and</w:t>
            </w:r>
            <w:r w:rsidRPr="00BA050E">
              <w:rPr>
                <w:b/>
                <w:color w:val="auto"/>
                <w:sz w:val="18"/>
                <w:szCs w:val="18"/>
              </w:rPr>
              <w:t xml:space="preserve"> country’s improved capacity to prepare for and respond to natural disasters.  </w:t>
            </w:r>
          </w:p>
          <w:p w14:paraId="5F7EA51F"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1</w:t>
            </w:r>
            <w:r w:rsidRPr="00BA050E">
              <w:rPr>
                <w:i/>
                <w:color w:val="auto"/>
                <w:sz w:val="18"/>
                <w:szCs w:val="18"/>
              </w:rPr>
              <w:t>:</w:t>
            </w:r>
            <w:r w:rsidRPr="00BA050E">
              <w:rPr>
                <w:b/>
                <w:color w:val="auto"/>
                <w:sz w:val="18"/>
                <w:szCs w:val="18"/>
              </w:rPr>
              <w:t xml:space="preserve"> </w:t>
            </w:r>
            <w:r w:rsidRPr="00BA050E">
              <w:rPr>
                <w:color w:val="auto"/>
                <w:sz w:val="18"/>
                <w:szCs w:val="18"/>
              </w:rPr>
              <w:t>Issuing more accurate and specific forecasts of weather conditions</w:t>
            </w:r>
          </w:p>
          <w:p w14:paraId="18918E26"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Scale of weather forecasts at 5000 km2 (2013)</w:t>
            </w:r>
          </w:p>
          <w:p w14:paraId="23071342"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Target: Scale of weather forecasts reduced to 300 km2 (2017)</w:t>
            </w:r>
          </w:p>
          <w:p w14:paraId="617AA171" w14:textId="77777777" w:rsidR="00B44D67" w:rsidRDefault="00B44D67" w:rsidP="00241C66">
            <w:pPr>
              <w:spacing w:after="0" w:line="240" w:lineRule="auto"/>
              <w:ind w:left="0" w:right="0" w:firstLine="0"/>
              <w:rPr>
                <w:b/>
                <w:i/>
                <w:color w:val="auto"/>
                <w:sz w:val="18"/>
                <w:szCs w:val="18"/>
              </w:rPr>
            </w:pPr>
          </w:p>
          <w:p w14:paraId="38905D6B"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2:</w:t>
            </w:r>
            <w:r w:rsidRPr="00BA050E">
              <w:rPr>
                <w:b/>
                <w:color w:val="auto"/>
                <w:sz w:val="18"/>
                <w:szCs w:val="18"/>
              </w:rPr>
              <w:t xml:space="preserve"> </w:t>
            </w:r>
            <w:r w:rsidRPr="00BA050E">
              <w:rPr>
                <w:color w:val="auto"/>
                <w:sz w:val="18"/>
                <w:szCs w:val="18"/>
              </w:rPr>
              <w:t>Longer lead-time for weather warnings to users</w:t>
            </w:r>
          </w:p>
          <w:p w14:paraId="155CA4E5"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Severe weather warnings― 10 minutes to 1 hour (2013)</w:t>
            </w:r>
          </w:p>
          <w:p w14:paraId="1E2EA28F"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Target:  Severe weather warnings―12 hours (2017)</w:t>
            </w:r>
          </w:p>
          <w:p w14:paraId="7E1F18B8" w14:textId="77777777" w:rsidR="00B44D67" w:rsidRPr="00BA050E" w:rsidRDefault="00B44D67" w:rsidP="00241C66">
            <w:pPr>
              <w:spacing w:after="0" w:line="240" w:lineRule="auto"/>
              <w:ind w:left="0" w:right="0" w:firstLine="0"/>
              <w:rPr>
                <w:b/>
                <w:i/>
                <w:color w:val="auto"/>
                <w:sz w:val="18"/>
                <w:szCs w:val="18"/>
              </w:rPr>
            </w:pPr>
          </w:p>
          <w:p w14:paraId="0A0443B5" w14:textId="77777777" w:rsidR="00B44D67" w:rsidRDefault="00B44D67" w:rsidP="00241C66">
            <w:pPr>
              <w:spacing w:after="0" w:line="240" w:lineRule="auto"/>
              <w:ind w:left="0" w:right="0" w:firstLine="0"/>
              <w:rPr>
                <w:b/>
                <w:i/>
                <w:color w:val="auto"/>
                <w:sz w:val="18"/>
                <w:szCs w:val="18"/>
              </w:rPr>
            </w:pPr>
          </w:p>
          <w:p w14:paraId="60A629C7" w14:textId="77777777" w:rsidR="00B44D67" w:rsidRDefault="00B44D67" w:rsidP="00241C66">
            <w:pPr>
              <w:spacing w:after="0" w:line="240" w:lineRule="auto"/>
              <w:ind w:left="0" w:right="0" w:firstLine="0"/>
              <w:rPr>
                <w:b/>
                <w:i/>
                <w:color w:val="auto"/>
                <w:sz w:val="18"/>
                <w:szCs w:val="18"/>
              </w:rPr>
            </w:pPr>
          </w:p>
          <w:p w14:paraId="619DABE1" w14:textId="77777777" w:rsidR="00B44D67" w:rsidRDefault="00B44D67" w:rsidP="00241C66">
            <w:pPr>
              <w:spacing w:after="0" w:line="240" w:lineRule="auto"/>
              <w:ind w:left="0" w:right="0" w:firstLine="0"/>
              <w:rPr>
                <w:b/>
                <w:i/>
                <w:color w:val="auto"/>
                <w:sz w:val="18"/>
                <w:szCs w:val="18"/>
              </w:rPr>
            </w:pPr>
          </w:p>
          <w:p w14:paraId="78D7C8DA"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3</w:t>
            </w:r>
            <w:r w:rsidRPr="00BA050E">
              <w:rPr>
                <w:color w:val="auto"/>
                <w:sz w:val="18"/>
                <w:szCs w:val="18"/>
              </w:rPr>
              <w:t>: Strengthened capacity to coordinate emergency responses</w:t>
            </w:r>
          </w:p>
          <w:p w14:paraId="0941458A"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No Emergency Command Center to coordinate response (2013)</w:t>
            </w:r>
          </w:p>
          <w:p w14:paraId="281579CE" w14:textId="77777777" w:rsidR="00B44D67" w:rsidRPr="00BA050E" w:rsidRDefault="00B44D67" w:rsidP="00241C66">
            <w:pPr>
              <w:spacing w:after="0" w:line="240" w:lineRule="auto"/>
              <w:ind w:left="0" w:right="0" w:firstLine="0"/>
              <w:rPr>
                <w:rFonts w:eastAsia="Calibri"/>
                <w:b/>
                <w:color w:val="auto"/>
                <w:sz w:val="18"/>
                <w:szCs w:val="18"/>
              </w:rPr>
            </w:pPr>
            <w:r w:rsidRPr="00BA050E">
              <w:rPr>
                <w:color w:val="auto"/>
                <w:sz w:val="18"/>
                <w:szCs w:val="18"/>
              </w:rPr>
              <w:t>Target:     Emergency Command response shows improvement compared to baseline and recent test of system (2017)</w:t>
            </w:r>
          </w:p>
        </w:tc>
        <w:tc>
          <w:tcPr>
            <w:tcW w:w="1380" w:type="pct"/>
            <w:tcBorders>
              <w:top w:val="single" w:sz="4" w:space="0" w:color="auto"/>
              <w:left w:val="single" w:sz="4" w:space="0" w:color="auto"/>
              <w:bottom w:val="single" w:sz="4" w:space="0" w:color="auto"/>
              <w:right w:val="single" w:sz="4" w:space="0" w:color="auto"/>
            </w:tcBorders>
          </w:tcPr>
          <w:p w14:paraId="5AEE8FED"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color w:val="auto"/>
                <w:sz w:val="18"/>
                <w:szCs w:val="18"/>
              </w:rPr>
              <w:t xml:space="preserve">Achieved. </w:t>
            </w:r>
          </w:p>
          <w:p w14:paraId="0D146ADE" w14:textId="77777777" w:rsidR="00B44D67" w:rsidRPr="00BA050E" w:rsidRDefault="00B44D67" w:rsidP="00241C66">
            <w:pPr>
              <w:spacing w:after="0" w:line="240" w:lineRule="auto"/>
              <w:ind w:left="0" w:right="0" w:firstLine="0"/>
              <w:rPr>
                <w:rFonts w:eastAsia="Calibri"/>
                <w:color w:val="auto"/>
                <w:sz w:val="18"/>
                <w:szCs w:val="18"/>
              </w:rPr>
            </w:pPr>
          </w:p>
          <w:p w14:paraId="63546C1C" w14:textId="77777777" w:rsidR="00B44D67" w:rsidRPr="00BA050E" w:rsidRDefault="00B44D67" w:rsidP="00241C66">
            <w:pPr>
              <w:spacing w:after="0" w:line="240" w:lineRule="auto"/>
              <w:ind w:left="0" w:right="0" w:firstLine="0"/>
              <w:rPr>
                <w:rFonts w:eastAsia="Calibri"/>
                <w:color w:val="auto"/>
                <w:sz w:val="18"/>
                <w:szCs w:val="18"/>
              </w:rPr>
            </w:pPr>
          </w:p>
          <w:p w14:paraId="38C4677B" w14:textId="77777777" w:rsidR="00B44D67" w:rsidRPr="00BA050E" w:rsidRDefault="00B44D67" w:rsidP="00241C66">
            <w:pPr>
              <w:spacing w:after="0" w:line="240" w:lineRule="auto"/>
              <w:ind w:left="0" w:right="0" w:firstLine="0"/>
              <w:rPr>
                <w:rFonts w:eastAsia="Calibri"/>
                <w:color w:val="auto"/>
                <w:sz w:val="18"/>
                <w:szCs w:val="18"/>
              </w:rPr>
            </w:pPr>
          </w:p>
          <w:p w14:paraId="61C2B671" w14:textId="77777777" w:rsidR="00B44D67" w:rsidRPr="00BA050E" w:rsidRDefault="00B44D67" w:rsidP="00241C66">
            <w:pPr>
              <w:spacing w:after="0" w:line="240" w:lineRule="auto"/>
              <w:ind w:left="0" w:right="0" w:firstLine="0"/>
              <w:rPr>
                <w:rFonts w:eastAsia="Calibri"/>
                <w:color w:val="auto"/>
                <w:sz w:val="18"/>
                <w:szCs w:val="18"/>
              </w:rPr>
            </w:pPr>
          </w:p>
          <w:p w14:paraId="05DE0850" w14:textId="77777777" w:rsidR="00B44D67" w:rsidRPr="004678BC" w:rsidRDefault="00B44D67" w:rsidP="00241C66">
            <w:pPr>
              <w:autoSpaceDE w:val="0"/>
              <w:autoSpaceDN w:val="0"/>
              <w:adjustRightInd w:val="0"/>
              <w:spacing w:after="0" w:line="240" w:lineRule="auto"/>
              <w:ind w:left="0" w:right="0" w:firstLine="0"/>
              <w:rPr>
                <w:rFonts w:eastAsia="Calibri"/>
                <w:color w:val="auto"/>
                <w:sz w:val="18"/>
                <w:szCs w:val="18"/>
              </w:rPr>
            </w:pPr>
            <w:r w:rsidRPr="00BA050E">
              <w:rPr>
                <w:rFonts w:eastAsia="Calibri"/>
                <w:color w:val="auto"/>
                <w:sz w:val="18"/>
                <w:szCs w:val="18"/>
              </w:rPr>
              <w:t>Scale of weather forecasts has</w:t>
            </w:r>
            <w:r w:rsidRPr="004678BC">
              <w:rPr>
                <w:rFonts w:eastAsia="Calibri"/>
                <w:color w:val="auto"/>
                <w:sz w:val="18"/>
                <w:szCs w:val="18"/>
              </w:rPr>
              <w:t xml:space="preserve"> </w:t>
            </w:r>
            <w:r w:rsidRPr="00BA050E">
              <w:rPr>
                <w:rFonts w:eastAsia="Calibri"/>
                <w:color w:val="auto"/>
                <w:sz w:val="18"/>
                <w:szCs w:val="18"/>
              </w:rPr>
              <w:t>been reduced, lead</w:t>
            </w:r>
            <w:r w:rsidRPr="004678BC">
              <w:rPr>
                <w:rFonts w:eastAsia="Calibri"/>
                <w:color w:val="auto"/>
                <w:sz w:val="18"/>
                <w:szCs w:val="18"/>
              </w:rPr>
              <w:t xml:space="preserve"> </w:t>
            </w:r>
            <w:r w:rsidRPr="00BA050E">
              <w:rPr>
                <w:rFonts w:eastAsia="Calibri"/>
                <w:color w:val="auto"/>
                <w:sz w:val="18"/>
                <w:szCs w:val="18"/>
              </w:rPr>
              <w:t>time for weather warnings has been expanded (demonstrated during January, 2017 blizzard).</w:t>
            </w:r>
            <w:r>
              <w:rPr>
                <w:rFonts w:eastAsia="Calibri"/>
                <w:color w:val="auto"/>
                <w:sz w:val="18"/>
                <w:szCs w:val="18"/>
              </w:rPr>
              <w:t xml:space="preserve"> Upon approval of the US$2M AF neither the PDO nor the original PDO indicators were revised. However, a few numerical adjustments were made to </w:t>
            </w:r>
            <w:r w:rsidRPr="004678BC">
              <w:rPr>
                <w:rFonts w:eastAsia="Calibri"/>
                <w:color w:val="auto"/>
                <w:sz w:val="18"/>
                <w:szCs w:val="18"/>
              </w:rPr>
              <w:t>correct the intrinsic scientific weaknesses in the definition of the indicators</w:t>
            </w:r>
            <w:r>
              <w:rPr>
                <w:rFonts w:eastAsia="Calibri"/>
                <w:color w:val="auto"/>
                <w:sz w:val="18"/>
                <w:szCs w:val="18"/>
              </w:rPr>
              <w:t xml:space="preserve">. </w:t>
            </w:r>
            <w:r w:rsidRPr="00CB5EF7">
              <w:rPr>
                <w:rFonts w:eastAsia="Calibri"/>
                <w:color w:val="auto"/>
                <w:sz w:val="18"/>
                <w:szCs w:val="18"/>
              </w:rPr>
              <w:t>The indicator was achieved as the communications interface between the</w:t>
            </w:r>
            <w:r>
              <w:rPr>
                <w:rFonts w:eastAsia="Calibri"/>
                <w:color w:val="auto"/>
                <w:sz w:val="18"/>
                <w:szCs w:val="18"/>
              </w:rPr>
              <w:t xml:space="preserve"> </w:t>
            </w:r>
            <w:r w:rsidRPr="00CB5EF7">
              <w:rPr>
                <w:rFonts w:eastAsia="Calibri"/>
                <w:color w:val="auto"/>
                <w:sz w:val="18"/>
                <w:szCs w:val="18"/>
              </w:rPr>
              <w:t xml:space="preserve">two agencies </w:t>
            </w:r>
            <w:r>
              <w:rPr>
                <w:rFonts w:eastAsia="Calibri"/>
                <w:color w:val="auto"/>
                <w:sz w:val="18"/>
                <w:szCs w:val="18"/>
              </w:rPr>
              <w:t xml:space="preserve">was established </w:t>
            </w:r>
            <w:r w:rsidRPr="00CB5EF7">
              <w:rPr>
                <w:rFonts w:eastAsia="Calibri"/>
                <w:color w:val="auto"/>
                <w:sz w:val="18"/>
                <w:szCs w:val="18"/>
              </w:rPr>
              <w:t xml:space="preserve">and the ability to provide the required lead-time </w:t>
            </w:r>
            <w:r>
              <w:rPr>
                <w:rFonts w:eastAsia="Calibri"/>
                <w:color w:val="auto"/>
                <w:sz w:val="18"/>
                <w:szCs w:val="18"/>
              </w:rPr>
              <w:t>is in place</w:t>
            </w:r>
            <w:r w:rsidRPr="00CB5EF7">
              <w:rPr>
                <w:rFonts w:eastAsia="Calibri"/>
                <w:color w:val="auto"/>
                <w:sz w:val="18"/>
                <w:szCs w:val="18"/>
              </w:rPr>
              <w:t>, with</w:t>
            </w:r>
            <w:r>
              <w:rPr>
                <w:rFonts w:eastAsia="Calibri"/>
                <w:color w:val="auto"/>
                <w:sz w:val="18"/>
                <w:szCs w:val="18"/>
              </w:rPr>
              <w:t xml:space="preserve"> </w:t>
            </w:r>
            <w:r w:rsidRPr="00CB5EF7">
              <w:rPr>
                <w:rFonts w:eastAsia="Calibri"/>
                <w:color w:val="auto"/>
                <w:sz w:val="18"/>
                <w:szCs w:val="18"/>
              </w:rPr>
              <w:t>data exchange happening in real time</w:t>
            </w:r>
            <w:r>
              <w:rPr>
                <w:rFonts w:eastAsia="Calibri"/>
                <w:color w:val="auto"/>
                <w:sz w:val="18"/>
                <w:szCs w:val="18"/>
              </w:rPr>
              <w:t>. But t</w:t>
            </w:r>
            <w:r w:rsidRPr="004678BC">
              <w:rPr>
                <w:rFonts w:eastAsia="Calibri"/>
                <w:color w:val="auto"/>
                <w:sz w:val="18"/>
                <w:szCs w:val="18"/>
              </w:rPr>
              <w:t>he numerical changes</w:t>
            </w:r>
            <w:r>
              <w:rPr>
                <w:rFonts w:eastAsia="Calibri"/>
                <w:color w:val="auto"/>
                <w:sz w:val="18"/>
                <w:szCs w:val="18"/>
              </w:rPr>
              <w:t xml:space="preserve"> </w:t>
            </w:r>
            <w:r w:rsidRPr="004678BC">
              <w:rPr>
                <w:rFonts w:eastAsia="Calibri"/>
                <w:color w:val="auto"/>
                <w:sz w:val="18"/>
                <w:szCs w:val="18"/>
              </w:rPr>
              <w:t xml:space="preserve">in the targets </w:t>
            </w:r>
            <w:r>
              <w:rPr>
                <w:rFonts w:eastAsia="Calibri"/>
                <w:color w:val="auto"/>
                <w:sz w:val="18"/>
                <w:szCs w:val="18"/>
              </w:rPr>
              <w:t xml:space="preserve">impacted </w:t>
            </w:r>
            <w:r w:rsidRPr="004678BC">
              <w:rPr>
                <w:rFonts w:eastAsia="Calibri"/>
                <w:color w:val="auto"/>
                <w:sz w:val="18"/>
                <w:szCs w:val="18"/>
              </w:rPr>
              <w:t>Indicator 2 where the lead time for severe weather warnings was changed from 12 to 3-6 hours</w:t>
            </w:r>
            <w:r>
              <w:rPr>
                <w:rFonts w:eastAsia="Calibri"/>
                <w:color w:val="auto"/>
                <w:sz w:val="18"/>
                <w:szCs w:val="18"/>
              </w:rPr>
              <w:t xml:space="preserve"> (final target).</w:t>
            </w:r>
          </w:p>
          <w:p w14:paraId="31F190D2"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 xml:space="preserve">Capacity to coordinate emergency has been strengthened through establishment of Emergency Command Center and comprehensive technical assistance. </w:t>
            </w:r>
          </w:p>
        </w:tc>
        <w:tc>
          <w:tcPr>
            <w:tcW w:w="966" w:type="pct"/>
            <w:tcBorders>
              <w:top w:val="single" w:sz="4" w:space="0" w:color="auto"/>
              <w:left w:val="single" w:sz="4" w:space="0" w:color="auto"/>
              <w:bottom w:val="single" w:sz="4" w:space="0" w:color="auto"/>
              <w:right w:val="single" w:sz="4" w:space="0" w:color="auto"/>
            </w:tcBorders>
          </w:tcPr>
          <w:p w14:paraId="1B4DA521"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 xml:space="preserve">Ongoing: </w:t>
            </w:r>
          </w:p>
          <w:p w14:paraId="0CC4987E"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Disaster and Climate Risk Management project (DCRMP) and AF</w:t>
            </w:r>
            <w:r>
              <w:rPr>
                <w:color w:val="auto"/>
                <w:sz w:val="18"/>
                <w:szCs w:val="18"/>
              </w:rPr>
              <w:t xml:space="preserve"> (</w:t>
            </w:r>
            <w:r w:rsidRPr="00D77F18">
              <w:rPr>
                <w:color w:val="auto"/>
                <w:sz w:val="18"/>
                <w:szCs w:val="18"/>
              </w:rPr>
              <w:t>P115634, P148125</w:t>
            </w:r>
            <w:r>
              <w:rPr>
                <w:color w:val="auto"/>
                <w:sz w:val="18"/>
                <w:szCs w:val="18"/>
              </w:rPr>
              <w:t>)</w:t>
            </w:r>
          </w:p>
          <w:p w14:paraId="6D1AC168" w14:textId="77777777" w:rsidR="00B44D67" w:rsidRDefault="00B44D67" w:rsidP="00241C66">
            <w:pPr>
              <w:spacing w:after="0" w:line="240" w:lineRule="auto"/>
              <w:ind w:left="0" w:right="0" w:firstLine="0"/>
              <w:jc w:val="left"/>
              <w:rPr>
                <w:b/>
                <w:color w:val="auto"/>
                <w:sz w:val="18"/>
                <w:szCs w:val="18"/>
              </w:rPr>
            </w:pPr>
          </w:p>
          <w:p w14:paraId="367AB65B"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ASA:</w:t>
            </w:r>
          </w:p>
          <w:p w14:paraId="1CB29967"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Social Dimens</w:t>
            </w:r>
            <w:r>
              <w:rPr>
                <w:color w:val="auto"/>
                <w:sz w:val="18"/>
                <w:szCs w:val="18"/>
              </w:rPr>
              <w:t>ions of Climate Change Country A</w:t>
            </w:r>
            <w:r w:rsidRPr="00BA050E">
              <w:rPr>
                <w:color w:val="auto"/>
                <w:sz w:val="18"/>
                <w:szCs w:val="18"/>
              </w:rPr>
              <w:t>ssessment (BNPP</w:t>
            </w:r>
            <w:r>
              <w:rPr>
                <w:color w:val="auto"/>
                <w:sz w:val="18"/>
                <w:szCs w:val="18"/>
              </w:rPr>
              <w:t>, P123991</w:t>
            </w:r>
            <w:r w:rsidRPr="00BA050E">
              <w:rPr>
                <w:color w:val="auto"/>
                <w:sz w:val="18"/>
                <w:szCs w:val="18"/>
              </w:rPr>
              <w:t>)</w:t>
            </w:r>
          </w:p>
          <w:p w14:paraId="0AB3BDD1" w14:textId="77777777" w:rsidR="00B44D67" w:rsidRDefault="00B44D67" w:rsidP="00241C66">
            <w:pPr>
              <w:spacing w:after="0" w:line="240" w:lineRule="auto"/>
              <w:ind w:left="0" w:right="0" w:firstLine="0"/>
              <w:jc w:val="left"/>
              <w:rPr>
                <w:b/>
                <w:color w:val="auto"/>
                <w:sz w:val="18"/>
                <w:szCs w:val="18"/>
              </w:rPr>
            </w:pPr>
          </w:p>
          <w:p w14:paraId="2C85B3A6"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TFs:</w:t>
            </w:r>
          </w:p>
          <w:p w14:paraId="2049AE0A"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Global Fund for Disaster Risk Reduction: Moldova Disaster and Climate Risk Management Capacity Building</w:t>
            </w:r>
          </w:p>
          <w:p w14:paraId="45A67B17" w14:textId="77777777" w:rsidR="00B44D67" w:rsidRPr="00BA050E" w:rsidRDefault="00B44D67" w:rsidP="00241C66">
            <w:pPr>
              <w:spacing w:after="0" w:line="240" w:lineRule="auto"/>
              <w:ind w:left="0" w:right="0" w:firstLine="0"/>
              <w:jc w:val="left"/>
              <w:rPr>
                <w:rFonts w:eastAsia="Calibri"/>
                <w:b/>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1ECD09CF" w14:textId="77777777" w:rsidR="00B44D67" w:rsidRPr="00BA050E" w:rsidRDefault="00B44D67" w:rsidP="00241C6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 w:val="18"/>
                <w:szCs w:val="18"/>
              </w:rPr>
            </w:pPr>
            <w:r w:rsidRPr="00BA050E">
              <w:rPr>
                <w:sz w:val="18"/>
                <w:szCs w:val="18"/>
              </w:rPr>
              <w:t>Integrate institution building activities, such as strategic, operational, and investment plans, in project design, which, if grounded in thorough analysis, can provide additional institutional stability, guidance and continuity for these agencies.</w:t>
            </w:r>
          </w:p>
          <w:p w14:paraId="3AFE059E" w14:textId="77777777" w:rsidR="00B44D67" w:rsidRPr="00BA050E" w:rsidRDefault="00B44D67" w:rsidP="00241C6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 w:val="18"/>
                <w:szCs w:val="18"/>
              </w:rPr>
            </w:pPr>
            <w:r w:rsidRPr="00BA050E">
              <w:rPr>
                <w:sz w:val="18"/>
                <w:szCs w:val="18"/>
              </w:rPr>
              <w:t>Project management teams for fiduciary and compliance purposes as well as for overall coordination, are extremely practical and valuable, particularly when project involves several implementing agencies. However, such teams should be involved very early in project preparation.</w:t>
            </w:r>
          </w:p>
          <w:p w14:paraId="3E2A59D0" w14:textId="77777777" w:rsidR="00B44D67" w:rsidRPr="00BA050E" w:rsidRDefault="00B44D67" w:rsidP="00241C6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 w:val="18"/>
                <w:szCs w:val="18"/>
              </w:rPr>
            </w:pPr>
            <w:r w:rsidRPr="00BA050E">
              <w:rPr>
                <w:sz w:val="18"/>
                <w:szCs w:val="18"/>
              </w:rPr>
              <w:t xml:space="preserve">Project coordination structures, such as Steering Committees, may have a limited power to induce corrective action in implementing agencies in coalition governments, particularly if heads of institutions do not share same party affiliation. To mitigate such risks, actual accountability lines (rather than formal ones) should be mapped, with more pro-active resort to informal influencers to effect corrective action and avoid implementation delays  </w:t>
            </w:r>
          </w:p>
          <w:p w14:paraId="79C44B1D" w14:textId="77777777" w:rsidR="00B44D67" w:rsidRPr="00BA050E" w:rsidRDefault="00B44D67" w:rsidP="00241C66">
            <w:pPr>
              <w:spacing w:after="0" w:line="240" w:lineRule="auto"/>
              <w:ind w:left="0" w:right="0" w:firstLine="0"/>
              <w:jc w:val="left"/>
              <w:rPr>
                <w:rFonts w:eastAsia="Calibri"/>
                <w:color w:val="auto"/>
                <w:sz w:val="18"/>
                <w:szCs w:val="18"/>
              </w:rPr>
            </w:pPr>
          </w:p>
        </w:tc>
      </w:tr>
      <w:tr w:rsidR="00B44D67" w:rsidRPr="00BA050E" w14:paraId="53BE4E10"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7D7A3132" w14:textId="77777777" w:rsidR="00B44D67" w:rsidRPr="00BA050E" w:rsidRDefault="00B44D67" w:rsidP="00241C66">
            <w:pPr>
              <w:spacing w:after="80" w:line="240" w:lineRule="auto"/>
              <w:ind w:left="0" w:right="0" w:firstLine="0"/>
              <w:jc w:val="center"/>
              <w:rPr>
                <w:rFonts w:eastAsia="Calibri"/>
                <w:b/>
                <w:color w:val="auto"/>
                <w:sz w:val="18"/>
                <w:szCs w:val="18"/>
              </w:rPr>
            </w:pPr>
            <w:r w:rsidRPr="00BA050E">
              <w:rPr>
                <w:b/>
                <w:color w:val="auto"/>
                <w:sz w:val="18"/>
                <w:szCs w:val="18"/>
              </w:rPr>
              <w:t>CPS Objective 3.2: Improved Natural Resources Management</w:t>
            </w:r>
          </w:p>
        </w:tc>
      </w:tr>
      <w:tr w:rsidR="00B44D67" w:rsidRPr="00BA050E" w14:paraId="2A93D3E0" w14:textId="77777777" w:rsidTr="00241C66">
        <w:tc>
          <w:tcPr>
            <w:tcW w:w="1274" w:type="pct"/>
            <w:tcBorders>
              <w:top w:val="single" w:sz="4" w:space="0" w:color="auto"/>
              <w:left w:val="single" w:sz="4" w:space="0" w:color="auto"/>
              <w:bottom w:val="single" w:sz="4" w:space="0" w:color="auto"/>
              <w:right w:val="single" w:sz="4" w:space="0" w:color="auto"/>
            </w:tcBorders>
          </w:tcPr>
          <w:p w14:paraId="46C5A23D"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Sequestration of 0.8 million tons of CO2 through forestation of degraded lands (2014-17).</w:t>
            </w:r>
          </w:p>
        </w:tc>
        <w:tc>
          <w:tcPr>
            <w:tcW w:w="1380" w:type="pct"/>
            <w:tcBorders>
              <w:top w:val="single" w:sz="4" w:space="0" w:color="auto"/>
              <w:left w:val="single" w:sz="4" w:space="0" w:color="auto"/>
              <w:bottom w:val="single" w:sz="4" w:space="0" w:color="auto"/>
              <w:right w:val="single" w:sz="4" w:space="0" w:color="auto"/>
            </w:tcBorders>
          </w:tcPr>
          <w:p w14:paraId="26EDE39D"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 xml:space="preserve">   Including about 250,000 tons to be sequestered in 2017, CO2 sequestration now estimated at over 1.2 million tons through forestation of degraded lands </w:t>
            </w:r>
          </w:p>
        </w:tc>
        <w:tc>
          <w:tcPr>
            <w:tcW w:w="966" w:type="pct"/>
            <w:vMerge w:val="restart"/>
            <w:tcBorders>
              <w:top w:val="single" w:sz="4" w:space="0" w:color="auto"/>
              <w:left w:val="single" w:sz="4" w:space="0" w:color="auto"/>
              <w:right w:val="single" w:sz="4" w:space="0" w:color="auto"/>
            </w:tcBorders>
          </w:tcPr>
          <w:p w14:paraId="0F41D5A1"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Ongoing:</w:t>
            </w:r>
          </w:p>
          <w:p w14:paraId="6BAD41ED" w14:textId="77777777" w:rsidR="00B44D67" w:rsidRPr="00BA050E" w:rsidRDefault="00B44D67" w:rsidP="00241C66">
            <w:pPr>
              <w:spacing w:after="0" w:line="240" w:lineRule="auto"/>
              <w:ind w:left="0" w:right="0" w:firstLine="0"/>
              <w:jc w:val="left"/>
              <w:rPr>
                <w:sz w:val="18"/>
                <w:szCs w:val="18"/>
              </w:rPr>
            </w:pPr>
            <w:r w:rsidRPr="00BA050E">
              <w:rPr>
                <w:color w:val="auto"/>
                <w:sz w:val="18"/>
                <w:szCs w:val="18"/>
              </w:rPr>
              <w:t>MACP</w:t>
            </w:r>
            <w:r w:rsidRPr="00BA050E">
              <w:rPr>
                <w:rFonts w:eastAsia="Calibri"/>
                <w:color w:val="auto"/>
                <w:sz w:val="18"/>
                <w:szCs w:val="18"/>
              </w:rPr>
              <w:t xml:space="preserve"> </w:t>
            </w:r>
            <w:r>
              <w:rPr>
                <w:rFonts w:eastAsia="Calibri"/>
                <w:color w:val="auto"/>
                <w:sz w:val="18"/>
                <w:szCs w:val="18"/>
              </w:rPr>
              <w:t>(P</w:t>
            </w:r>
            <w:r w:rsidRPr="002F2910">
              <w:rPr>
                <w:sz w:val="18"/>
                <w:szCs w:val="18"/>
              </w:rPr>
              <w:t>118518</w:t>
            </w:r>
            <w:r>
              <w:rPr>
                <w:rFonts w:eastAsia="Calibri"/>
                <w:color w:val="auto"/>
                <w:sz w:val="18"/>
                <w:szCs w:val="18"/>
              </w:rPr>
              <w:t>, P157765)</w:t>
            </w:r>
          </w:p>
          <w:p w14:paraId="70C70307" w14:textId="77777777" w:rsidR="00B44D67" w:rsidRPr="00BA050E" w:rsidRDefault="00B44D67" w:rsidP="00241C66">
            <w:pPr>
              <w:spacing w:after="0" w:line="240" w:lineRule="auto"/>
              <w:ind w:left="0" w:right="0" w:firstLine="0"/>
              <w:jc w:val="left"/>
              <w:rPr>
                <w:b/>
                <w:color w:val="auto"/>
                <w:sz w:val="18"/>
                <w:szCs w:val="18"/>
              </w:rPr>
            </w:pPr>
            <w:r w:rsidRPr="00BA050E">
              <w:rPr>
                <w:color w:val="auto"/>
                <w:sz w:val="18"/>
                <w:szCs w:val="18"/>
              </w:rPr>
              <w:t>ENPI Forest Law and Enforcement and Governance II Program</w:t>
            </w:r>
            <w:r w:rsidRPr="00BA050E">
              <w:rPr>
                <w:b/>
                <w:color w:val="auto"/>
                <w:sz w:val="18"/>
                <w:szCs w:val="18"/>
              </w:rPr>
              <w:t xml:space="preserve"> </w:t>
            </w:r>
          </w:p>
          <w:p w14:paraId="1DCC0CF8" w14:textId="77777777" w:rsidR="00B44D67" w:rsidRDefault="00B44D67" w:rsidP="00241C66">
            <w:pPr>
              <w:spacing w:after="0" w:line="240" w:lineRule="auto"/>
              <w:ind w:left="0" w:right="0" w:firstLine="0"/>
              <w:jc w:val="left"/>
              <w:rPr>
                <w:b/>
                <w:color w:val="auto"/>
                <w:sz w:val="18"/>
                <w:szCs w:val="18"/>
              </w:rPr>
            </w:pPr>
          </w:p>
          <w:p w14:paraId="381A4F73"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ASA:</w:t>
            </w:r>
          </w:p>
          <w:p w14:paraId="6466C1F2"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Forestry Policy Note (delivered in FY15</w:t>
            </w:r>
            <w:r>
              <w:rPr>
                <w:color w:val="auto"/>
                <w:sz w:val="18"/>
                <w:szCs w:val="18"/>
              </w:rPr>
              <w:t>, P146476</w:t>
            </w:r>
            <w:r w:rsidRPr="00BA050E">
              <w:rPr>
                <w:color w:val="auto"/>
                <w:sz w:val="18"/>
                <w:szCs w:val="18"/>
              </w:rPr>
              <w:t>)</w:t>
            </w:r>
          </w:p>
          <w:p w14:paraId="552B5294"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Climate TA (FY16</w:t>
            </w:r>
            <w:r>
              <w:rPr>
                <w:color w:val="auto"/>
                <w:sz w:val="18"/>
                <w:szCs w:val="18"/>
              </w:rPr>
              <w:t>, P154652</w:t>
            </w:r>
            <w:r w:rsidRPr="00BA050E">
              <w:rPr>
                <w:color w:val="auto"/>
                <w:sz w:val="18"/>
                <w:szCs w:val="18"/>
              </w:rPr>
              <w:t>)</w:t>
            </w:r>
          </w:p>
          <w:p w14:paraId="7A0BE6A8" w14:textId="77777777" w:rsidR="00B44D67" w:rsidRDefault="00B44D67" w:rsidP="00241C66">
            <w:pPr>
              <w:spacing w:after="0" w:line="240" w:lineRule="auto"/>
              <w:ind w:left="0" w:right="0" w:firstLine="0"/>
              <w:jc w:val="left"/>
              <w:rPr>
                <w:b/>
                <w:color w:val="auto"/>
                <w:sz w:val="18"/>
                <w:szCs w:val="18"/>
              </w:rPr>
            </w:pPr>
          </w:p>
          <w:p w14:paraId="359CB4A4"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lastRenderedPageBreak/>
              <w:t>TFs:</w:t>
            </w:r>
          </w:p>
          <w:p w14:paraId="57CAC9EC"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Community Forestry Project</w:t>
            </w:r>
          </w:p>
          <w:p w14:paraId="19B1547A"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Soil Conservation Project</w:t>
            </w:r>
          </w:p>
          <w:p w14:paraId="43029BD2"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Community Support Program for Sustainable and Integrated Forest Management and Carbon Sequestration through Forestation (SIFMSF)</w:t>
            </w:r>
            <w:r>
              <w:rPr>
                <w:color w:val="auto"/>
                <w:sz w:val="18"/>
                <w:szCs w:val="18"/>
              </w:rPr>
              <w:t xml:space="preserve"> - P</w:t>
            </w:r>
            <w:r w:rsidRPr="008167E0">
              <w:rPr>
                <w:color w:val="auto"/>
                <w:sz w:val="18"/>
                <w:szCs w:val="18"/>
              </w:rPr>
              <w:t>077763, P109459</w:t>
            </w:r>
          </w:p>
          <w:p w14:paraId="5620966A" w14:textId="77777777" w:rsidR="00B44D67" w:rsidRDefault="00B44D67" w:rsidP="00241C66">
            <w:pPr>
              <w:spacing w:after="0" w:line="240" w:lineRule="auto"/>
              <w:ind w:left="0" w:right="0" w:firstLine="0"/>
              <w:jc w:val="left"/>
              <w:rPr>
                <w:b/>
                <w:color w:val="auto"/>
                <w:sz w:val="18"/>
                <w:szCs w:val="18"/>
              </w:rPr>
            </w:pPr>
          </w:p>
          <w:p w14:paraId="3B373328"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 xml:space="preserve">Potential partners: </w:t>
            </w:r>
          </w:p>
          <w:p w14:paraId="4FB2466B"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GEF, Climate Investment Fund, Green Climate Fund</w:t>
            </w:r>
          </w:p>
        </w:tc>
        <w:tc>
          <w:tcPr>
            <w:tcW w:w="1380" w:type="pct"/>
            <w:tcBorders>
              <w:top w:val="single" w:sz="4" w:space="0" w:color="auto"/>
              <w:left w:val="single" w:sz="4" w:space="0" w:color="auto"/>
              <w:bottom w:val="single" w:sz="4" w:space="0" w:color="auto"/>
              <w:right w:val="single" w:sz="4" w:space="0" w:color="auto"/>
            </w:tcBorders>
          </w:tcPr>
          <w:p w14:paraId="05445C41"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lastRenderedPageBreak/>
              <w:t>Afforestation activities play important role not only in adapting to, and mitigating climate change, but also increasing agricultural competitiveness through soil conservation, and helping create jobs in poor rural areas</w:t>
            </w:r>
          </w:p>
        </w:tc>
      </w:tr>
      <w:tr w:rsidR="00B44D67" w:rsidRPr="00BA050E" w14:paraId="35186468" w14:textId="77777777" w:rsidTr="00241C66">
        <w:tc>
          <w:tcPr>
            <w:tcW w:w="1274" w:type="pct"/>
            <w:tcBorders>
              <w:top w:val="single" w:sz="4" w:space="0" w:color="auto"/>
              <w:left w:val="single" w:sz="4" w:space="0" w:color="auto"/>
              <w:bottom w:val="single" w:sz="4" w:space="0" w:color="auto"/>
              <w:right w:val="single" w:sz="4" w:space="0" w:color="auto"/>
            </w:tcBorders>
          </w:tcPr>
          <w:p w14:paraId="0433FCF0"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Enhanced competitiveness of agro-food sector by mainstreaming agro-environmental and sustainable land management practices.</w:t>
            </w:r>
          </w:p>
          <w:p w14:paraId="597B3E61"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lastRenderedPageBreak/>
              <w:t>Indicator 1</w:t>
            </w:r>
            <w:r w:rsidRPr="00BA050E">
              <w:rPr>
                <w:i/>
                <w:color w:val="auto"/>
                <w:sz w:val="18"/>
                <w:szCs w:val="18"/>
              </w:rPr>
              <w:t>:</w:t>
            </w:r>
            <w:r w:rsidRPr="00BA050E">
              <w:rPr>
                <w:color w:val="auto"/>
                <w:sz w:val="18"/>
                <w:szCs w:val="18"/>
              </w:rPr>
              <w:t xml:space="preserve"> Increase in on-farm area benefitting from sustainable land management practices </w:t>
            </w:r>
          </w:p>
          <w:p w14:paraId="6814FC1B"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0 hectares (2013)</w:t>
            </w:r>
          </w:p>
          <w:p w14:paraId="08189518"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Target:    10,000 hectares (2017)</w:t>
            </w:r>
          </w:p>
          <w:p w14:paraId="321C61CE"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2</w:t>
            </w:r>
            <w:r w:rsidRPr="00BA050E">
              <w:rPr>
                <w:color w:val="auto"/>
                <w:sz w:val="18"/>
                <w:szCs w:val="18"/>
              </w:rPr>
              <w:t xml:space="preserve">: Increase in area protected by rehabilitated anti-erosion shelter-belts </w:t>
            </w:r>
          </w:p>
          <w:p w14:paraId="05E0FC7F"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Baseline:           0 hectares (2013) </w:t>
            </w:r>
          </w:p>
          <w:p w14:paraId="234353C1"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color w:val="auto"/>
                <w:sz w:val="18"/>
                <w:szCs w:val="18"/>
              </w:rPr>
              <w:t>Target:     50,000 hectares (2017)</w:t>
            </w:r>
          </w:p>
        </w:tc>
        <w:tc>
          <w:tcPr>
            <w:tcW w:w="1380" w:type="pct"/>
            <w:tcBorders>
              <w:top w:val="single" w:sz="4" w:space="0" w:color="auto"/>
              <w:left w:val="single" w:sz="4" w:space="0" w:color="auto"/>
              <w:bottom w:val="single" w:sz="4" w:space="0" w:color="auto"/>
              <w:right w:val="single" w:sz="4" w:space="0" w:color="auto"/>
            </w:tcBorders>
          </w:tcPr>
          <w:p w14:paraId="68F0CEC1"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color w:val="auto"/>
                <w:sz w:val="18"/>
                <w:szCs w:val="18"/>
              </w:rPr>
              <w:lastRenderedPageBreak/>
              <w:t>Mostly achieved.</w:t>
            </w:r>
          </w:p>
          <w:p w14:paraId="7938B26D" w14:textId="77777777" w:rsidR="00B44D67" w:rsidRPr="00BA050E" w:rsidRDefault="00B44D67" w:rsidP="00241C66">
            <w:pPr>
              <w:spacing w:after="0" w:line="240" w:lineRule="auto"/>
              <w:ind w:left="0" w:right="0" w:firstLine="0"/>
              <w:rPr>
                <w:rFonts w:eastAsia="Calibri"/>
                <w:color w:val="auto"/>
                <w:sz w:val="18"/>
                <w:szCs w:val="18"/>
              </w:rPr>
            </w:pPr>
          </w:p>
          <w:p w14:paraId="0F220A85" w14:textId="77777777" w:rsidR="00B44D67" w:rsidRPr="00BA050E" w:rsidRDefault="00B44D67" w:rsidP="00241C66">
            <w:pPr>
              <w:spacing w:after="0" w:line="240" w:lineRule="auto"/>
              <w:ind w:left="0" w:right="0" w:firstLine="0"/>
              <w:rPr>
                <w:rFonts w:eastAsia="Calibri"/>
                <w:color w:val="auto"/>
                <w:sz w:val="18"/>
                <w:szCs w:val="18"/>
              </w:rPr>
            </w:pPr>
          </w:p>
          <w:p w14:paraId="27FA3AC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Farm areas benefiting from sustainable land management practices total more than 34,000 hectares.</w:t>
            </w:r>
          </w:p>
          <w:p w14:paraId="45AEA3F0" w14:textId="77777777" w:rsidR="00B44D67" w:rsidRPr="00BA050E" w:rsidRDefault="00B44D67" w:rsidP="00241C66">
            <w:pPr>
              <w:spacing w:after="0" w:line="240" w:lineRule="auto"/>
              <w:ind w:left="0" w:right="0" w:firstLine="0"/>
              <w:rPr>
                <w:rFonts w:eastAsia="Calibri"/>
                <w:color w:val="auto"/>
                <w:sz w:val="18"/>
                <w:szCs w:val="18"/>
              </w:rPr>
            </w:pPr>
          </w:p>
          <w:p w14:paraId="57D40361" w14:textId="77777777" w:rsidR="00B44D67" w:rsidRPr="00BA050E" w:rsidRDefault="00B44D67" w:rsidP="00241C66">
            <w:pPr>
              <w:spacing w:after="0" w:line="240" w:lineRule="auto"/>
              <w:ind w:left="0" w:right="0" w:firstLine="0"/>
              <w:rPr>
                <w:rFonts w:eastAsia="Calibri"/>
                <w:color w:val="auto"/>
                <w:sz w:val="18"/>
                <w:szCs w:val="18"/>
              </w:rPr>
            </w:pPr>
          </w:p>
          <w:p w14:paraId="7B928E3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Area protected by anti-erosion increased to 45,000 hectares, with good prospects for achieving outcomes well above current targets.</w:t>
            </w:r>
          </w:p>
        </w:tc>
        <w:tc>
          <w:tcPr>
            <w:tcW w:w="966" w:type="pct"/>
            <w:vMerge/>
            <w:tcBorders>
              <w:left w:val="single" w:sz="4" w:space="0" w:color="auto"/>
              <w:bottom w:val="single" w:sz="4" w:space="0" w:color="auto"/>
              <w:right w:val="single" w:sz="4" w:space="0" w:color="auto"/>
            </w:tcBorders>
          </w:tcPr>
          <w:p w14:paraId="40676026" w14:textId="77777777" w:rsidR="00B44D67" w:rsidRPr="00BA050E" w:rsidRDefault="00B44D67" w:rsidP="00241C66">
            <w:pPr>
              <w:spacing w:after="0" w:line="240" w:lineRule="auto"/>
              <w:ind w:left="0" w:right="0" w:firstLine="0"/>
              <w:jc w:val="left"/>
              <w:rPr>
                <w:rFonts w:eastAsia="Calibri"/>
                <w:b/>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58E06F3D"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Constant awareness-raising efforts and tedious and inclusive work with communities is key pre-requisite for success. These lessons are now being captured during preparation of Moldova Climate Adaptation Project.</w:t>
            </w:r>
          </w:p>
        </w:tc>
      </w:tr>
      <w:tr w:rsidR="00B44D67" w:rsidRPr="00BA050E" w14:paraId="79F6478D"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3D0BD2E" w14:textId="77777777" w:rsidR="00B44D67" w:rsidRPr="00BA050E" w:rsidRDefault="00B44D67" w:rsidP="00241C66">
            <w:pPr>
              <w:spacing w:after="80" w:line="240" w:lineRule="auto"/>
              <w:ind w:left="0" w:right="0" w:firstLine="0"/>
              <w:jc w:val="center"/>
              <w:rPr>
                <w:rFonts w:eastAsia="Calibri"/>
                <w:b/>
                <w:color w:val="auto"/>
                <w:sz w:val="18"/>
                <w:szCs w:val="18"/>
              </w:rPr>
            </w:pPr>
            <w:r w:rsidRPr="00BA050E">
              <w:rPr>
                <w:b/>
                <w:color w:val="auto"/>
                <w:sz w:val="18"/>
                <w:szCs w:val="18"/>
              </w:rPr>
              <w:t>CPS Objective 3.3 Increased energy efficiency and security</w:t>
            </w:r>
          </w:p>
        </w:tc>
      </w:tr>
      <w:tr w:rsidR="00B44D67" w:rsidRPr="00BA050E" w14:paraId="3662674A" w14:textId="77777777" w:rsidTr="00241C66">
        <w:tc>
          <w:tcPr>
            <w:tcW w:w="1274" w:type="pct"/>
            <w:tcBorders>
              <w:top w:val="single" w:sz="4" w:space="0" w:color="auto"/>
              <w:left w:val="single" w:sz="4" w:space="0" w:color="auto"/>
              <w:bottom w:val="single" w:sz="4" w:space="0" w:color="auto"/>
              <w:right w:val="single" w:sz="4" w:space="0" w:color="auto"/>
            </w:tcBorders>
          </w:tcPr>
          <w:p w14:paraId="7823F51D"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Decreased energy costs, increased quality, and improved affordability of Chisinau heat supply.</w:t>
            </w:r>
            <w:r w:rsidRPr="00BA050E">
              <w:rPr>
                <w:color w:val="auto"/>
                <w:sz w:val="18"/>
                <w:szCs w:val="18"/>
              </w:rPr>
              <w:t xml:space="preserve">  </w:t>
            </w:r>
          </w:p>
          <w:p w14:paraId="167F5458" w14:textId="77777777" w:rsidR="00B44D67" w:rsidRPr="00BA050E" w:rsidRDefault="00B44D67" w:rsidP="00241C66">
            <w:pPr>
              <w:spacing w:after="0" w:line="240" w:lineRule="auto"/>
              <w:ind w:left="0" w:right="0" w:firstLine="0"/>
              <w:rPr>
                <w:b/>
                <w:color w:val="auto"/>
                <w:sz w:val="18"/>
                <w:szCs w:val="18"/>
              </w:rPr>
            </w:pPr>
            <w:r w:rsidRPr="00BA050E">
              <w:rPr>
                <w:color w:val="auto"/>
                <w:sz w:val="18"/>
                <w:szCs w:val="18"/>
              </w:rPr>
              <w:t>Implementation of building metering and temperature controls, with incentives for customers to decrease energy use.</w:t>
            </w:r>
          </w:p>
          <w:p w14:paraId="2DD382B8" w14:textId="77777777" w:rsidR="00B44D67" w:rsidRPr="00BA050E" w:rsidRDefault="00B44D67" w:rsidP="00241C66">
            <w:pPr>
              <w:spacing w:after="0" w:line="240" w:lineRule="auto"/>
              <w:ind w:left="0" w:right="0" w:firstLine="0"/>
              <w:rPr>
                <w:i/>
                <w:color w:val="auto"/>
                <w:sz w:val="18"/>
                <w:szCs w:val="18"/>
              </w:rPr>
            </w:pPr>
          </w:p>
          <w:p w14:paraId="264AA303" w14:textId="77777777" w:rsidR="00B44D67" w:rsidRPr="00BA050E" w:rsidRDefault="00B44D67" w:rsidP="00241C66">
            <w:pPr>
              <w:spacing w:after="0" w:line="240" w:lineRule="auto"/>
              <w:ind w:left="0" w:right="0" w:firstLine="0"/>
              <w:rPr>
                <w:i/>
                <w:color w:val="auto"/>
                <w:sz w:val="18"/>
                <w:szCs w:val="18"/>
              </w:rPr>
            </w:pPr>
            <w:r w:rsidRPr="00BA050E">
              <w:rPr>
                <w:b/>
                <w:i/>
                <w:color w:val="auto"/>
                <w:sz w:val="18"/>
                <w:szCs w:val="18"/>
              </w:rPr>
              <w:t>Indicator 1</w:t>
            </w:r>
            <w:r w:rsidRPr="00BA050E">
              <w:rPr>
                <w:i/>
                <w:color w:val="auto"/>
                <w:sz w:val="18"/>
                <w:szCs w:val="18"/>
              </w:rPr>
              <w:t>:</w:t>
            </w:r>
            <w:r w:rsidRPr="00BA050E">
              <w:rPr>
                <w:color w:val="auto"/>
                <w:sz w:val="18"/>
                <w:szCs w:val="18"/>
              </w:rPr>
              <w:t xml:space="preserve"> People with access to more energy-efficient cooking and/or heat-generating facilities</w:t>
            </w:r>
          </w:p>
          <w:p w14:paraId="185C7F96"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27,000 (2015)</w:t>
            </w:r>
          </w:p>
          <w:p w14:paraId="2F975AA3"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Target:    63,000 (2017), of which 50% female</w:t>
            </w:r>
          </w:p>
          <w:p w14:paraId="5C7CDB15" w14:textId="77777777" w:rsidR="00B44D67" w:rsidRPr="00BA050E" w:rsidRDefault="00B44D67" w:rsidP="00241C66">
            <w:pPr>
              <w:spacing w:after="0" w:line="240" w:lineRule="auto"/>
              <w:ind w:left="0" w:right="0" w:firstLine="0"/>
              <w:jc w:val="left"/>
              <w:rPr>
                <w:b/>
                <w:i/>
                <w:color w:val="auto"/>
                <w:sz w:val="18"/>
                <w:szCs w:val="18"/>
              </w:rPr>
            </w:pPr>
          </w:p>
          <w:p w14:paraId="3CED937D"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2</w:t>
            </w:r>
            <w:r w:rsidRPr="00BA050E">
              <w:rPr>
                <w:i/>
                <w:color w:val="auto"/>
                <w:sz w:val="18"/>
                <w:szCs w:val="18"/>
              </w:rPr>
              <w:t xml:space="preserve">: </w:t>
            </w:r>
            <w:r w:rsidRPr="00BA050E">
              <w:rPr>
                <w:color w:val="auto"/>
                <w:sz w:val="18"/>
                <w:szCs w:val="18"/>
              </w:rPr>
              <w:t>Actual fuel savings (</w:t>
            </w:r>
            <w:proofErr w:type="spellStart"/>
            <w:r w:rsidRPr="00BA050E">
              <w:rPr>
                <w:color w:val="auto"/>
                <w:sz w:val="18"/>
                <w:szCs w:val="18"/>
              </w:rPr>
              <w:t>GCal</w:t>
            </w:r>
            <w:proofErr w:type="spellEnd"/>
            <w:r w:rsidRPr="00BA050E">
              <w:rPr>
                <w:color w:val="auto"/>
                <w:sz w:val="18"/>
                <w:szCs w:val="18"/>
              </w:rPr>
              <w:t>)</w:t>
            </w:r>
          </w:p>
          <w:p w14:paraId="013FFA9B"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Baseline: 0 </w:t>
            </w:r>
            <w:proofErr w:type="spellStart"/>
            <w:r w:rsidRPr="00BA050E">
              <w:rPr>
                <w:color w:val="auto"/>
                <w:sz w:val="18"/>
                <w:szCs w:val="18"/>
              </w:rPr>
              <w:t>GCal</w:t>
            </w:r>
            <w:proofErr w:type="spellEnd"/>
            <w:r w:rsidRPr="00BA050E">
              <w:rPr>
                <w:color w:val="auto"/>
                <w:sz w:val="18"/>
                <w:szCs w:val="18"/>
              </w:rPr>
              <w:t xml:space="preserve"> (2015)</w:t>
            </w:r>
          </w:p>
          <w:p w14:paraId="0E7DB7C5"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Target:    52,759 </w:t>
            </w:r>
            <w:proofErr w:type="spellStart"/>
            <w:r w:rsidRPr="00BA050E">
              <w:rPr>
                <w:color w:val="auto"/>
                <w:sz w:val="18"/>
                <w:szCs w:val="18"/>
              </w:rPr>
              <w:t>GCal</w:t>
            </w:r>
            <w:proofErr w:type="spellEnd"/>
            <w:r w:rsidRPr="00BA050E">
              <w:rPr>
                <w:color w:val="auto"/>
                <w:sz w:val="18"/>
                <w:szCs w:val="18"/>
              </w:rPr>
              <w:t xml:space="preserve"> (2017)</w:t>
            </w:r>
          </w:p>
        </w:tc>
        <w:tc>
          <w:tcPr>
            <w:tcW w:w="1380" w:type="pct"/>
            <w:tcBorders>
              <w:top w:val="single" w:sz="4" w:space="0" w:color="auto"/>
              <w:left w:val="single" w:sz="4" w:space="0" w:color="auto"/>
              <w:bottom w:val="single" w:sz="4" w:space="0" w:color="auto"/>
              <w:right w:val="single" w:sz="4" w:space="0" w:color="auto"/>
            </w:tcBorders>
          </w:tcPr>
          <w:p w14:paraId="07FFC189" w14:textId="77777777" w:rsidR="00B44D67" w:rsidRPr="00BA050E" w:rsidRDefault="00B44D67" w:rsidP="00241C66">
            <w:pPr>
              <w:spacing w:after="0" w:line="240" w:lineRule="auto"/>
              <w:ind w:left="0" w:right="0" w:firstLine="0"/>
              <w:jc w:val="left"/>
              <w:rPr>
                <w:b/>
                <w:i/>
                <w:color w:val="auto"/>
                <w:sz w:val="18"/>
                <w:szCs w:val="18"/>
              </w:rPr>
            </w:pPr>
            <w:r w:rsidRPr="00BA050E">
              <w:rPr>
                <w:rFonts w:eastAsia="Calibri"/>
                <w:b/>
                <w:color w:val="auto"/>
                <w:sz w:val="18"/>
                <w:szCs w:val="18"/>
              </w:rPr>
              <w:t>Partially achieved</w:t>
            </w:r>
            <w:r w:rsidRPr="00BA050E">
              <w:rPr>
                <w:b/>
                <w:i/>
                <w:color w:val="auto"/>
                <w:sz w:val="18"/>
                <w:szCs w:val="18"/>
              </w:rPr>
              <w:t xml:space="preserve"> </w:t>
            </w:r>
          </w:p>
          <w:p w14:paraId="79B04FE3" w14:textId="77777777" w:rsidR="00B44D67" w:rsidRPr="00BA050E" w:rsidRDefault="00B44D67" w:rsidP="00241C66">
            <w:pPr>
              <w:spacing w:after="0" w:line="240" w:lineRule="auto"/>
              <w:ind w:left="0" w:right="0" w:firstLine="0"/>
              <w:jc w:val="left"/>
              <w:rPr>
                <w:b/>
                <w:i/>
                <w:color w:val="auto"/>
                <w:sz w:val="18"/>
                <w:szCs w:val="18"/>
              </w:rPr>
            </w:pPr>
          </w:p>
          <w:p w14:paraId="7BF5B8FA" w14:textId="77777777" w:rsidR="00B44D67" w:rsidRPr="00BA050E" w:rsidRDefault="00B44D67" w:rsidP="00241C66">
            <w:pPr>
              <w:spacing w:after="0" w:line="240" w:lineRule="auto"/>
              <w:ind w:left="0" w:right="0" w:firstLine="0"/>
              <w:jc w:val="left"/>
              <w:rPr>
                <w:b/>
                <w:i/>
                <w:color w:val="auto"/>
                <w:sz w:val="18"/>
                <w:szCs w:val="18"/>
              </w:rPr>
            </w:pPr>
          </w:p>
          <w:p w14:paraId="1CC63AA5" w14:textId="77777777" w:rsidR="00B44D67" w:rsidRDefault="00B44D67" w:rsidP="00241C66">
            <w:pPr>
              <w:spacing w:after="0" w:line="240" w:lineRule="auto"/>
              <w:ind w:left="0" w:right="0" w:firstLine="0"/>
              <w:jc w:val="left"/>
              <w:rPr>
                <w:rFonts w:eastAsia="Calibri"/>
                <w:b/>
                <w:bCs/>
                <w:color w:val="auto"/>
                <w:sz w:val="18"/>
                <w:szCs w:val="18"/>
              </w:rPr>
            </w:pPr>
          </w:p>
          <w:p w14:paraId="7BC48E1A" w14:textId="77777777" w:rsidR="00B44D67" w:rsidRDefault="00B44D67" w:rsidP="00241C66">
            <w:pPr>
              <w:spacing w:after="0" w:line="240" w:lineRule="auto"/>
              <w:ind w:left="0" w:right="0" w:firstLine="0"/>
              <w:jc w:val="left"/>
              <w:rPr>
                <w:rFonts w:eastAsia="Calibri"/>
                <w:b/>
                <w:bCs/>
                <w:color w:val="auto"/>
                <w:sz w:val="18"/>
                <w:szCs w:val="18"/>
              </w:rPr>
            </w:pPr>
          </w:p>
          <w:p w14:paraId="3E8C6432" w14:textId="77777777" w:rsidR="00B44D67" w:rsidRDefault="00B44D67" w:rsidP="00241C66">
            <w:pPr>
              <w:spacing w:after="0" w:line="240" w:lineRule="auto"/>
              <w:ind w:left="0" w:right="0" w:firstLine="0"/>
              <w:jc w:val="left"/>
              <w:rPr>
                <w:rFonts w:eastAsia="Calibri"/>
                <w:b/>
                <w:bCs/>
                <w:color w:val="auto"/>
                <w:sz w:val="18"/>
                <w:szCs w:val="18"/>
              </w:rPr>
            </w:pPr>
          </w:p>
          <w:p w14:paraId="2AECA99B" w14:textId="77777777" w:rsidR="00B44D67" w:rsidRDefault="00B44D67" w:rsidP="00241C66">
            <w:pPr>
              <w:spacing w:after="0" w:line="240" w:lineRule="auto"/>
              <w:ind w:left="0" w:right="0" w:firstLine="0"/>
              <w:jc w:val="left"/>
              <w:rPr>
                <w:rFonts w:eastAsia="Calibri"/>
                <w:b/>
                <w:bCs/>
                <w:color w:val="auto"/>
                <w:sz w:val="18"/>
                <w:szCs w:val="18"/>
              </w:rPr>
            </w:pPr>
          </w:p>
          <w:p w14:paraId="5433782C" w14:textId="77777777" w:rsidR="00B44D67" w:rsidRDefault="00B44D67" w:rsidP="00241C66">
            <w:pPr>
              <w:spacing w:after="0" w:line="240" w:lineRule="auto"/>
              <w:ind w:left="0" w:right="0" w:firstLine="0"/>
              <w:jc w:val="left"/>
              <w:rPr>
                <w:rFonts w:eastAsia="Calibri"/>
                <w:b/>
                <w:bCs/>
                <w:color w:val="auto"/>
                <w:sz w:val="18"/>
                <w:szCs w:val="18"/>
              </w:rPr>
            </w:pPr>
          </w:p>
          <w:p w14:paraId="55961A28" w14:textId="77777777" w:rsidR="00B44D67" w:rsidRDefault="00B44D67" w:rsidP="00241C66">
            <w:pPr>
              <w:spacing w:after="0" w:line="240" w:lineRule="auto"/>
              <w:ind w:left="0" w:right="0" w:firstLine="0"/>
              <w:jc w:val="left"/>
              <w:rPr>
                <w:rFonts w:eastAsia="Calibri"/>
                <w:b/>
                <w:bCs/>
                <w:color w:val="auto"/>
                <w:sz w:val="18"/>
                <w:szCs w:val="18"/>
              </w:rPr>
            </w:pPr>
          </w:p>
          <w:p w14:paraId="7A765921" w14:textId="77777777" w:rsidR="00B44D67" w:rsidRPr="00BA050E" w:rsidRDefault="00B44D67" w:rsidP="00241C66">
            <w:pPr>
              <w:spacing w:after="0" w:line="240" w:lineRule="auto"/>
              <w:ind w:left="0" w:right="0" w:firstLine="0"/>
              <w:jc w:val="left"/>
              <w:rPr>
                <w:color w:val="auto"/>
                <w:sz w:val="18"/>
                <w:szCs w:val="18"/>
              </w:rPr>
            </w:pPr>
            <w:r w:rsidRPr="00BA050E">
              <w:rPr>
                <w:rFonts w:eastAsia="Calibri"/>
                <w:b/>
                <w:bCs/>
                <w:color w:val="auto"/>
                <w:sz w:val="18"/>
                <w:szCs w:val="18"/>
              </w:rPr>
              <w:t>Not Verified</w:t>
            </w:r>
            <w:r w:rsidRPr="00BA050E">
              <w:rPr>
                <w:color w:val="auto"/>
                <w:sz w:val="18"/>
                <w:szCs w:val="18"/>
              </w:rPr>
              <w:t>.</w:t>
            </w:r>
          </w:p>
          <w:p w14:paraId="294636B5" w14:textId="77777777" w:rsidR="00B44D67" w:rsidRPr="00BA050E" w:rsidRDefault="00B44D67" w:rsidP="00241C66">
            <w:pPr>
              <w:spacing w:after="0" w:line="240" w:lineRule="auto"/>
              <w:ind w:left="0" w:right="0" w:firstLine="0"/>
              <w:jc w:val="left"/>
              <w:rPr>
                <w:rFonts w:eastAsia="Calibri"/>
                <w:b/>
                <w:color w:val="auto"/>
                <w:sz w:val="18"/>
                <w:szCs w:val="18"/>
              </w:rPr>
            </w:pPr>
          </w:p>
          <w:p w14:paraId="05AD9101" w14:textId="77777777" w:rsidR="00B44D67" w:rsidRPr="00BA050E" w:rsidRDefault="00B44D67" w:rsidP="00241C66">
            <w:pPr>
              <w:spacing w:after="0" w:line="240" w:lineRule="auto"/>
              <w:ind w:left="0" w:right="0" w:firstLine="0"/>
              <w:jc w:val="left"/>
              <w:rPr>
                <w:rFonts w:eastAsia="Calibri"/>
                <w:b/>
                <w:color w:val="auto"/>
                <w:sz w:val="18"/>
                <w:szCs w:val="18"/>
              </w:rPr>
            </w:pPr>
          </w:p>
          <w:p w14:paraId="6EA07F45" w14:textId="77777777" w:rsidR="00B44D67" w:rsidRPr="00BA050E" w:rsidRDefault="00B44D67" w:rsidP="00241C66">
            <w:pPr>
              <w:spacing w:after="0" w:line="240" w:lineRule="auto"/>
              <w:ind w:left="0" w:right="0" w:firstLine="0"/>
              <w:jc w:val="left"/>
              <w:rPr>
                <w:rFonts w:eastAsia="Calibri"/>
                <w:b/>
                <w:color w:val="auto"/>
                <w:sz w:val="18"/>
                <w:szCs w:val="18"/>
              </w:rPr>
            </w:pPr>
          </w:p>
          <w:p w14:paraId="1E3F64D7" w14:textId="77777777" w:rsidR="00B44D67" w:rsidRPr="00BA050E" w:rsidRDefault="00B44D67" w:rsidP="00241C66">
            <w:pPr>
              <w:spacing w:after="0" w:line="240" w:lineRule="auto"/>
              <w:ind w:left="0" w:right="0" w:firstLine="0"/>
              <w:jc w:val="left"/>
              <w:rPr>
                <w:rFonts w:eastAsia="Calibri"/>
                <w:b/>
                <w:color w:val="auto"/>
                <w:sz w:val="18"/>
                <w:szCs w:val="18"/>
              </w:rPr>
            </w:pPr>
          </w:p>
          <w:p w14:paraId="010C5FCE" w14:textId="77777777" w:rsidR="00B44D67" w:rsidRPr="00BA050E" w:rsidRDefault="00B44D67" w:rsidP="00241C66">
            <w:pPr>
              <w:spacing w:after="0" w:line="240" w:lineRule="auto"/>
              <w:ind w:left="0" w:right="0" w:firstLine="0"/>
              <w:rPr>
                <w:b/>
                <w:color w:val="auto"/>
                <w:sz w:val="18"/>
                <w:szCs w:val="18"/>
              </w:rPr>
            </w:pPr>
          </w:p>
          <w:p w14:paraId="52C41131" w14:textId="77777777" w:rsidR="00B44D67" w:rsidRPr="00BA050E" w:rsidRDefault="00B44D67" w:rsidP="00241C66">
            <w:pPr>
              <w:spacing w:after="0" w:line="240" w:lineRule="auto"/>
              <w:ind w:left="0" w:right="0" w:firstLine="0"/>
              <w:rPr>
                <w:b/>
                <w:color w:val="auto"/>
                <w:sz w:val="18"/>
                <w:szCs w:val="18"/>
              </w:rPr>
            </w:pPr>
          </w:p>
          <w:p w14:paraId="46D456D9" w14:textId="77777777" w:rsidR="00B44D67" w:rsidRPr="00BA050E" w:rsidRDefault="00B44D67" w:rsidP="00241C66">
            <w:pPr>
              <w:spacing w:after="0" w:line="240" w:lineRule="auto"/>
              <w:ind w:left="0" w:right="0" w:firstLine="0"/>
              <w:rPr>
                <w:rFonts w:eastAsia="Calibri"/>
                <w:color w:val="auto"/>
                <w:sz w:val="18"/>
                <w:szCs w:val="18"/>
              </w:rPr>
            </w:pPr>
            <w:r w:rsidRPr="00BA050E">
              <w:rPr>
                <w:b/>
                <w:color w:val="auto"/>
                <w:sz w:val="18"/>
                <w:szCs w:val="18"/>
              </w:rPr>
              <w:t>Mostly Achieved</w:t>
            </w:r>
            <w:r w:rsidRPr="00BA050E">
              <w:rPr>
                <w:color w:val="auto"/>
                <w:sz w:val="18"/>
                <w:szCs w:val="18"/>
              </w:rPr>
              <w:t xml:space="preserve">: </w:t>
            </w:r>
            <w:r w:rsidRPr="00BA050E">
              <w:rPr>
                <w:rFonts w:eastAsia="Calibri"/>
                <w:color w:val="auto"/>
                <w:sz w:val="18"/>
                <w:szCs w:val="18"/>
              </w:rPr>
              <w:t xml:space="preserve"> Fuel savings corresponding to reduction in gas needs for heat production represented 26,379 </w:t>
            </w:r>
            <w:proofErr w:type="spellStart"/>
            <w:r w:rsidRPr="00BA050E">
              <w:rPr>
                <w:rFonts w:eastAsia="Calibri"/>
                <w:color w:val="auto"/>
                <w:sz w:val="18"/>
                <w:szCs w:val="18"/>
              </w:rPr>
              <w:t>Gcal</w:t>
            </w:r>
            <w:proofErr w:type="spellEnd"/>
            <w:r w:rsidRPr="00BA050E">
              <w:rPr>
                <w:rFonts w:eastAsia="Calibri"/>
                <w:color w:val="auto"/>
                <w:sz w:val="18"/>
                <w:szCs w:val="18"/>
              </w:rPr>
              <w:t xml:space="preserve"> in 2016, or about 50% of 2017 target.</w:t>
            </w:r>
          </w:p>
        </w:tc>
        <w:tc>
          <w:tcPr>
            <w:tcW w:w="966" w:type="pct"/>
            <w:vMerge w:val="restart"/>
            <w:tcBorders>
              <w:top w:val="single" w:sz="4" w:space="0" w:color="auto"/>
              <w:left w:val="single" w:sz="4" w:space="0" w:color="auto"/>
              <w:right w:val="single" w:sz="4" w:space="0" w:color="auto"/>
            </w:tcBorders>
          </w:tcPr>
          <w:p w14:paraId="5B14A42A"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 xml:space="preserve">Ongoing: </w:t>
            </w:r>
          </w:p>
          <w:p w14:paraId="41EAB739"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District Heating Efficiency Improvement project (DHEIP</w:t>
            </w:r>
            <w:r>
              <w:rPr>
                <w:color w:val="auto"/>
                <w:sz w:val="18"/>
                <w:szCs w:val="18"/>
              </w:rPr>
              <w:t>,</w:t>
            </w:r>
            <w:r w:rsidRPr="005068B1">
              <w:rPr>
                <w:color w:val="auto"/>
                <w:sz w:val="18"/>
                <w:szCs w:val="18"/>
              </w:rPr>
              <w:t xml:space="preserve"> P132443</w:t>
            </w:r>
            <w:r w:rsidRPr="00BA050E">
              <w:rPr>
                <w:color w:val="auto"/>
                <w:sz w:val="18"/>
                <w:szCs w:val="18"/>
              </w:rPr>
              <w:t xml:space="preserve">) </w:t>
            </w:r>
          </w:p>
          <w:p w14:paraId="6483E8FC"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IFC investment in Chisinau city</w:t>
            </w:r>
          </w:p>
          <w:p w14:paraId="338DFF3D"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IFC investment in UF Moldova </w:t>
            </w:r>
          </w:p>
          <w:p w14:paraId="69858C04" w14:textId="77777777" w:rsidR="00B44D67" w:rsidRDefault="00B44D67" w:rsidP="00241C66">
            <w:pPr>
              <w:spacing w:after="0" w:line="240" w:lineRule="auto"/>
              <w:ind w:left="0" w:right="0" w:firstLine="0"/>
              <w:jc w:val="left"/>
              <w:rPr>
                <w:color w:val="auto"/>
                <w:sz w:val="18"/>
                <w:szCs w:val="18"/>
              </w:rPr>
            </w:pPr>
            <w:r>
              <w:rPr>
                <w:color w:val="auto"/>
                <w:sz w:val="18"/>
                <w:szCs w:val="18"/>
              </w:rPr>
              <w:t xml:space="preserve">(ID </w:t>
            </w:r>
            <w:r w:rsidRPr="005068B1">
              <w:rPr>
                <w:color w:val="auto"/>
                <w:sz w:val="18"/>
                <w:szCs w:val="18"/>
              </w:rPr>
              <w:t>52835</w:t>
            </w:r>
            <w:r>
              <w:rPr>
                <w:color w:val="auto"/>
                <w:sz w:val="18"/>
                <w:szCs w:val="18"/>
              </w:rPr>
              <w:t>)</w:t>
            </w:r>
          </w:p>
          <w:p w14:paraId="435972E2" w14:textId="77777777" w:rsidR="00B44D67" w:rsidRPr="00BA050E" w:rsidRDefault="00B44D67" w:rsidP="00241C66">
            <w:pPr>
              <w:spacing w:after="0" w:line="240" w:lineRule="auto"/>
              <w:ind w:left="0" w:right="0" w:firstLine="0"/>
              <w:jc w:val="left"/>
              <w:rPr>
                <w:color w:val="auto"/>
                <w:sz w:val="18"/>
                <w:szCs w:val="18"/>
              </w:rPr>
            </w:pPr>
          </w:p>
          <w:p w14:paraId="5999247D"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ASA:</w:t>
            </w:r>
          </w:p>
          <w:p w14:paraId="6319A7D3"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TA Program: Energy Sector Restructuring and Efficiency Improvement (ESREI) TA </w:t>
            </w:r>
            <w:r>
              <w:rPr>
                <w:color w:val="auto"/>
                <w:sz w:val="18"/>
                <w:szCs w:val="18"/>
              </w:rPr>
              <w:t>(</w:t>
            </w:r>
            <w:r w:rsidRPr="005068B1">
              <w:rPr>
                <w:color w:val="auto"/>
                <w:sz w:val="18"/>
                <w:szCs w:val="18"/>
              </w:rPr>
              <w:t>P157735</w:t>
            </w:r>
            <w:r>
              <w:rPr>
                <w:color w:val="auto"/>
                <w:sz w:val="18"/>
                <w:szCs w:val="18"/>
              </w:rPr>
              <w:t>)</w:t>
            </w:r>
          </w:p>
          <w:p w14:paraId="6A483060" w14:textId="77777777" w:rsidR="00B44D67" w:rsidRDefault="00B44D67" w:rsidP="00241C66">
            <w:pPr>
              <w:spacing w:after="0" w:line="240" w:lineRule="auto"/>
              <w:ind w:left="0" w:right="0" w:firstLine="0"/>
              <w:jc w:val="left"/>
              <w:rPr>
                <w:color w:val="auto"/>
                <w:sz w:val="18"/>
                <w:szCs w:val="18"/>
              </w:rPr>
            </w:pPr>
            <w:r w:rsidRPr="00BA050E">
              <w:rPr>
                <w:color w:val="auto"/>
                <w:sz w:val="18"/>
                <w:szCs w:val="18"/>
              </w:rPr>
              <w:t>TA Program: DH and Electricity Tariff Affordability Analysis</w:t>
            </w:r>
            <w:r>
              <w:rPr>
                <w:color w:val="auto"/>
                <w:sz w:val="18"/>
                <w:szCs w:val="18"/>
              </w:rPr>
              <w:t xml:space="preserve"> (</w:t>
            </w:r>
            <w:r w:rsidRPr="005068B1">
              <w:rPr>
                <w:color w:val="auto"/>
                <w:sz w:val="18"/>
                <w:szCs w:val="18"/>
              </w:rPr>
              <w:t>P151113</w:t>
            </w:r>
            <w:r>
              <w:rPr>
                <w:color w:val="auto"/>
                <w:sz w:val="18"/>
                <w:szCs w:val="18"/>
              </w:rPr>
              <w:t>)</w:t>
            </w:r>
          </w:p>
          <w:p w14:paraId="6E74D433" w14:textId="77777777" w:rsidR="00B44D67" w:rsidRPr="00BA050E" w:rsidRDefault="00B44D67" w:rsidP="00241C66">
            <w:pPr>
              <w:spacing w:after="0" w:line="240" w:lineRule="auto"/>
              <w:ind w:left="0" w:right="0" w:firstLine="0"/>
              <w:jc w:val="left"/>
              <w:rPr>
                <w:color w:val="auto"/>
                <w:sz w:val="18"/>
                <w:szCs w:val="18"/>
              </w:rPr>
            </w:pPr>
            <w:r>
              <w:rPr>
                <w:color w:val="auto"/>
                <w:sz w:val="18"/>
                <w:szCs w:val="18"/>
              </w:rPr>
              <w:t>Power System Interconnection Study (P159050)</w:t>
            </w:r>
          </w:p>
          <w:p w14:paraId="12FD9600" w14:textId="77777777" w:rsidR="00B44D67" w:rsidRDefault="00B44D67" w:rsidP="00241C66">
            <w:pPr>
              <w:spacing w:after="0" w:line="240" w:lineRule="auto"/>
              <w:ind w:left="0" w:right="0" w:firstLine="0"/>
              <w:jc w:val="left"/>
              <w:rPr>
                <w:b/>
                <w:color w:val="auto"/>
                <w:sz w:val="18"/>
                <w:szCs w:val="18"/>
              </w:rPr>
            </w:pPr>
          </w:p>
          <w:p w14:paraId="25704004"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Pipeline:</w:t>
            </w:r>
          </w:p>
          <w:p w14:paraId="5E548DE7"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DH sector debt and financial restructuring IBRD PCG Project (FY16</w:t>
            </w:r>
            <w:r>
              <w:rPr>
                <w:color w:val="auto"/>
                <w:sz w:val="18"/>
                <w:szCs w:val="18"/>
              </w:rPr>
              <w:t xml:space="preserve"> – slipped and unlikely</w:t>
            </w:r>
            <w:r w:rsidRPr="00BA050E">
              <w:rPr>
                <w:color w:val="auto"/>
                <w:sz w:val="18"/>
                <w:szCs w:val="18"/>
              </w:rPr>
              <w:t>)</w:t>
            </w:r>
          </w:p>
          <w:p w14:paraId="6CD4B673" w14:textId="77777777" w:rsidR="00B44D67" w:rsidRPr="00BA050E" w:rsidRDefault="00B44D67" w:rsidP="00241C66">
            <w:pPr>
              <w:spacing w:after="0" w:line="240" w:lineRule="auto"/>
              <w:ind w:left="0" w:right="0" w:firstLine="0"/>
              <w:jc w:val="left"/>
              <w:rPr>
                <w:b/>
                <w:color w:val="auto"/>
                <w:sz w:val="18"/>
                <w:szCs w:val="18"/>
              </w:rPr>
            </w:pPr>
          </w:p>
          <w:p w14:paraId="37684A52"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Partners:</w:t>
            </w:r>
          </w:p>
          <w:p w14:paraId="36F7FF09"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Sweden, EBRD, EIB, EU</w:t>
            </w:r>
          </w:p>
          <w:p w14:paraId="62FFCE8A" w14:textId="77777777" w:rsidR="00B44D67" w:rsidRPr="00BA050E" w:rsidRDefault="00B44D67" w:rsidP="00241C66">
            <w:pPr>
              <w:spacing w:after="0" w:line="240" w:lineRule="auto"/>
              <w:ind w:left="0" w:right="0" w:firstLine="0"/>
              <w:jc w:val="left"/>
              <w:rPr>
                <w:rFonts w:eastAsia="Calibri"/>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0AA36EE9"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Strong commitment is imperative for successful implementation of reforms and investment programs.</w:t>
            </w:r>
          </w:p>
          <w:p w14:paraId="3AE28DE7"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Open-minded and modern management approach is key to improve operational and financial efficiency of District Heating company, and thus to regain consumer trust in system.</w:t>
            </w:r>
          </w:p>
          <w:p w14:paraId="206AA5AB"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Development Policy Operations can provide important support for major sectoral reforms.</w:t>
            </w:r>
          </w:p>
        </w:tc>
      </w:tr>
      <w:tr w:rsidR="00B44D67" w:rsidRPr="00BA050E" w14:paraId="7D2C92B2" w14:textId="77777777" w:rsidTr="00241C66">
        <w:tc>
          <w:tcPr>
            <w:tcW w:w="1274" w:type="pct"/>
            <w:tcBorders>
              <w:top w:val="single" w:sz="4" w:space="0" w:color="auto"/>
              <w:left w:val="single" w:sz="4" w:space="0" w:color="auto"/>
              <w:bottom w:val="single" w:sz="4" w:space="0" w:color="auto"/>
              <w:right w:val="single" w:sz="4" w:space="0" w:color="auto"/>
            </w:tcBorders>
          </w:tcPr>
          <w:p w14:paraId="7821575F" w14:textId="77777777" w:rsidR="00B44D67" w:rsidRPr="00BA050E" w:rsidRDefault="00B44D67" w:rsidP="006D2153">
            <w:pPr>
              <w:numPr>
                <w:ilvl w:val="0"/>
                <w:numId w:val="29"/>
              </w:numPr>
              <w:spacing w:after="0" w:line="240" w:lineRule="auto"/>
              <w:ind w:right="0"/>
              <w:contextualSpacing/>
              <w:jc w:val="left"/>
              <w:rPr>
                <w:b/>
                <w:color w:val="auto"/>
                <w:sz w:val="18"/>
                <w:szCs w:val="18"/>
              </w:rPr>
            </w:pPr>
            <w:r w:rsidRPr="00BA050E">
              <w:rPr>
                <w:b/>
                <w:color w:val="auto"/>
                <w:sz w:val="18"/>
                <w:szCs w:val="18"/>
              </w:rPr>
              <w:t xml:space="preserve">District Heating Company debt restructured by 2017 to improve creditworthiness. </w:t>
            </w:r>
          </w:p>
          <w:p w14:paraId="3221E162"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1</w:t>
            </w:r>
            <w:r w:rsidRPr="00BA050E">
              <w:rPr>
                <w:i/>
                <w:color w:val="auto"/>
                <w:sz w:val="18"/>
                <w:szCs w:val="18"/>
              </w:rPr>
              <w:t xml:space="preserve">: </w:t>
            </w:r>
            <w:r w:rsidRPr="00BA050E">
              <w:rPr>
                <w:color w:val="auto"/>
                <w:sz w:val="18"/>
                <w:szCs w:val="18"/>
              </w:rPr>
              <w:t xml:space="preserve">Debt Restructuring Plan signed with </w:t>
            </w:r>
            <w:proofErr w:type="spellStart"/>
            <w:r w:rsidRPr="00BA050E">
              <w:rPr>
                <w:color w:val="auto"/>
                <w:sz w:val="18"/>
                <w:szCs w:val="18"/>
              </w:rPr>
              <w:t>Moldovagaz</w:t>
            </w:r>
            <w:proofErr w:type="spellEnd"/>
          </w:p>
        </w:tc>
        <w:tc>
          <w:tcPr>
            <w:tcW w:w="1380" w:type="pct"/>
            <w:tcBorders>
              <w:top w:val="single" w:sz="4" w:space="0" w:color="auto"/>
              <w:left w:val="single" w:sz="4" w:space="0" w:color="auto"/>
              <w:bottom w:val="single" w:sz="4" w:space="0" w:color="auto"/>
              <w:right w:val="single" w:sz="4" w:space="0" w:color="auto"/>
            </w:tcBorders>
          </w:tcPr>
          <w:p w14:paraId="58D02878" w14:textId="77777777" w:rsidR="00B44D67" w:rsidRPr="00BA050E" w:rsidRDefault="00B44D67" w:rsidP="00241C66">
            <w:pPr>
              <w:spacing w:after="80" w:line="240" w:lineRule="auto"/>
              <w:ind w:left="0" w:right="0" w:firstLine="0"/>
              <w:rPr>
                <w:rFonts w:eastAsia="Calibri"/>
                <w:color w:val="auto"/>
                <w:sz w:val="18"/>
                <w:szCs w:val="18"/>
              </w:rPr>
            </w:pPr>
            <w:r w:rsidRPr="00BA050E">
              <w:rPr>
                <w:rFonts w:eastAsia="Calibri"/>
                <w:b/>
                <w:color w:val="auto"/>
                <w:sz w:val="18"/>
                <w:szCs w:val="18"/>
              </w:rPr>
              <w:t xml:space="preserve">Not achieved: </w:t>
            </w:r>
            <w:r w:rsidRPr="00BA050E">
              <w:rPr>
                <w:rFonts w:eastAsia="Calibri"/>
                <w:color w:val="auto"/>
                <w:sz w:val="18"/>
                <w:szCs w:val="18"/>
              </w:rPr>
              <w:t xml:space="preserve">Despite important progress in debt restructuring in 2016, target not achieved. </w:t>
            </w:r>
            <w:proofErr w:type="spellStart"/>
            <w:r w:rsidRPr="00BA050E">
              <w:rPr>
                <w:rFonts w:eastAsia="Calibri"/>
                <w:color w:val="auto"/>
                <w:sz w:val="18"/>
                <w:szCs w:val="18"/>
              </w:rPr>
              <w:t>Termoelectrica</w:t>
            </w:r>
            <w:proofErr w:type="spellEnd"/>
            <w:r w:rsidRPr="00BA050E">
              <w:rPr>
                <w:rFonts w:eastAsia="Calibri"/>
                <w:color w:val="auto"/>
                <w:sz w:val="18"/>
                <w:szCs w:val="18"/>
              </w:rPr>
              <w:t xml:space="preserve"> (TE), </w:t>
            </w:r>
            <w:proofErr w:type="spellStart"/>
            <w:r w:rsidRPr="00BA050E">
              <w:rPr>
                <w:rFonts w:eastAsia="Calibri"/>
                <w:color w:val="auto"/>
                <w:sz w:val="18"/>
                <w:szCs w:val="18"/>
              </w:rPr>
              <w:t>Moldovagaz</w:t>
            </w:r>
            <w:proofErr w:type="spellEnd"/>
            <w:r w:rsidRPr="00BA050E">
              <w:rPr>
                <w:rFonts w:eastAsia="Calibri"/>
                <w:color w:val="auto"/>
                <w:sz w:val="18"/>
                <w:szCs w:val="18"/>
              </w:rPr>
              <w:t xml:space="preserve"> (MG), and Ministry of Economy (</w:t>
            </w:r>
            <w:proofErr w:type="spellStart"/>
            <w:r w:rsidRPr="00BA050E">
              <w:rPr>
                <w:rFonts w:eastAsia="Calibri"/>
                <w:color w:val="auto"/>
                <w:sz w:val="18"/>
                <w:szCs w:val="18"/>
              </w:rPr>
              <w:t>MoE</w:t>
            </w:r>
            <w:proofErr w:type="spellEnd"/>
            <w:r w:rsidRPr="00BA050E">
              <w:rPr>
                <w:rFonts w:eastAsia="Calibri"/>
                <w:color w:val="auto"/>
                <w:sz w:val="18"/>
                <w:szCs w:val="18"/>
              </w:rPr>
              <w:t xml:space="preserve">) signed Memorandum of Understating outlining agreement on amount of debt and main terms for its restructuring, which was submitted for review to Gazprom (majority shareholder of MG). However, due to regional geopolitical </w:t>
            </w:r>
            <w:r w:rsidRPr="00BA050E">
              <w:rPr>
                <w:rFonts w:eastAsia="Calibri"/>
                <w:color w:val="auto"/>
                <w:sz w:val="18"/>
                <w:szCs w:val="18"/>
              </w:rPr>
              <w:lastRenderedPageBreak/>
              <w:t>environment and internal re-organization</w:t>
            </w:r>
            <w:r>
              <w:rPr>
                <w:rFonts w:eastAsia="Calibri"/>
                <w:color w:val="auto"/>
                <w:sz w:val="18"/>
                <w:szCs w:val="18"/>
              </w:rPr>
              <w:t xml:space="preserve"> </w:t>
            </w:r>
            <w:r w:rsidRPr="00BA050E">
              <w:rPr>
                <w:rFonts w:eastAsia="Calibri"/>
                <w:color w:val="auto"/>
                <w:sz w:val="18"/>
                <w:szCs w:val="18"/>
              </w:rPr>
              <w:t xml:space="preserve">Gazprom has not yet reacted. </w:t>
            </w:r>
          </w:p>
        </w:tc>
        <w:tc>
          <w:tcPr>
            <w:tcW w:w="966" w:type="pct"/>
            <w:vMerge/>
            <w:tcBorders>
              <w:left w:val="single" w:sz="4" w:space="0" w:color="auto"/>
              <w:right w:val="single" w:sz="4" w:space="0" w:color="auto"/>
            </w:tcBorders>
          </w:tcPr>
          <w:p w14:paraId="44AD6274" w14:textId="77777777" w:rsidR="00B44D67" w:rsidRPr="00BA050E" w:rsidRDefault="00B44D67" w:rsidP="00241C66">
            <w:pPr>
              <w:spacing w:after="80" w:line="240" w:lineRule="auto"/>
              <w:ind w:left="0" w:right="0" w:firstLine="0"/>
              <w:jc w:val="left"/>
              <w:rPr>
                <w:rFonts w:eastAsia="Calibri"/>
                <w:b/>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4AA6D455" w14:textId="77777777" w:rsidR="00B44D67" w:rsidRPr="00BA050E" w:rsidRDefault="00B44D67" w:rsidP="00241C66">
            <w:pPr>
              <w:spacing w:after="80" w:line="240" w:lineRule="auto"/>
              <w:ind w:left="0" w:right="0" w:firstLine="0"/>
              <w:jc w:val="left"/>
              <w:rPr>
                <w:rFonts w:eastAsia="Calibri"/>
                <w:color w:val="auto"/>
                <w:sz w:val="18"/>
                <w:szCs w:val="18"/>
              </w:rPr>
            </w:pPr>
          </w:p>
        </w:tc>
      </w:tr>
      <w:tr w:rsidR="00B44D67" w:rsidRPr="00BA050E" w14:paraId="22EA6A4E" w14:textId="77777777" w:rsidTr="00241C66">
        <w:trPr>
          <w:trHeight w:val="1115"/>
        </w:trPr>
        <w:tc>
          <w:tcPr>
            <w:tcW w:w="1274" w:type="pct"/>
            <w:tcBorders>
              <w:top w:val="single" w:sz="4" w:space="0" w:color="auto"/>
              <w:left w:val="single" w:sz="4" w:space="0" w:color="auto"/>
              <w:bottom w:val="single" w:sz="4" w:space="0" w:color="auto"/>
              <w:right w:val="single" w:sz="4" w:space="0" w:color="auto"/>
            </w:tcBorders>
          </w:tcPr>
          <w:p w14:paraId="3204C45B" w14:textId="77777777" w:rsidR="00B44D67" w:rsidRPr="00BA050E" w:rsidRDefault="00B44D67" w:rsidP="006D2153">
            <w:pPr>
              <w:numPr>
                <w:ilvl w:val="0"/>
                <w:numId w:val="29"/>
              </w:numPr>
              <w:spacing w:after="0" w:line="240" w:lineRule="auto"/>
              <w:ind w:right="0"/>
              <w:jc w:val="left"/>
              <w:rPr>
                <w:rFonts w:eastAsia="Calibri"/>
                <w:color w:val="auto"/>
                <w:sz w:val="18"/>
                <w:szCs w:val="18"/>
              </w:rPr>
            </w:pPr>
            <w:r w:rsidRPr="00BA050E">
              <w:rPr>
                <w:b/>
                <w:color w:val="auto"/>
                <w:sz w:val="18"/>
                <w:szCs w:val="18"/>
              </w:rPr>
              <w:t>Options for diversification of electricity supply identified</w:t>
            </w:r>
            <w:r w:rsidRPr="00BA050E">
              <w:rPr>
                <w:color w:val="auto"/>
                <w:sz w:val="18"/>
                <w:szCs w:val="18"/>
              </w:rPr>
              <w:t xml:space="preserve"> (Ukraine, </w:t>
            </w:r>
            <w:proofErr w:type="spellStart"/>
            <w:r w:rsidRPr="00BA050E">
              <w:rPr>
                <w:color w:val="auto"/>
                <w:sz w:val="18"/>
                <w:szCs w:val="18"/>
              </w:rPr>
              <w:t>Cuciurgan</w:t>
            </w:r>
            <w:proofErr w:type="spellEnd"/>
            <w:r w:rsidRPr="00BA050E">
              <w:rPr>
                <w:color w:val="auto"/>
                <w:sz w:val="18"/>
                <w:szCs w:val="18"/>
              </w:rPr>
              <w:t xml:space="preserve"> Power Station (MGRES), Chisinau CHPs, and interconnections with ENTSO-E (via Romania).</w:t>
            </w:r>
          </w:p>
        </w:tc>
        <w:tc>
          <w:tcPr>
            <w:tcW w:w="1380" w:type="pct"/>
            <w:tcBorders>
              <w:top w:val="single" w:sz="4" w:space="0" w:color="auto"/>
              <w:left w:val="single" w:sz="4" w:space="0" w:color="auto"/>
              <w:bottom w:val="single" w:sz="4" w:space="0" w:color="auto"/>
              <w:right w:val="single" w:sz="4" w:space="0" w:color="auto"/>
            </w:tcBorders>
          </w:tcPr>
          <w:p w14:paraId="7BED9D1D"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Electric Power Market Options Study, completed June 2015, recommended asynchronous interconnection with Romania via Back-to-Back connection as most cost- effective option to increase security and efficiency of supply. </w:t>
            </w:r>
          </w:p>
        </w:tc>
        <w:tc>
          <w:tcPr>
            <w:tcW w:w="966" w:type="pct"/>
            <w:vMerge/>
            <w:tcBorders>
              <w:left w:val="single" w:sz="4" w:space="0" w:color="auto"/>
              <w:bottom w:val="single" w:sz="4" w:space="0" w:color="auto"/>
              <w:right w:val="single" w:sz="4" w:space="0" w:color="auto"/>
            </w:tcBorders>
          </w:tcPr>
          <w:p w14:paraId="65B15B5E" w14:textId="77777777" w:rsidR="00B44D67" w:rsidRPr="00BA050E" w:rsidRDefault="00B44D67" w:rsidP="00241C66">
            <w:pPr>
              <w:spacing w:after="80" w:line="240" w:lineRule="auto"/>
              <w:ind w:left="0" w:right="0" w:firstLine="0"/>
              <w:jc w:val="left"/>
              <w:rPr>
                <w:rFonts w:eastAsia="Calibri"/>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600B0C79" w14:textId="77777777" w:rsidR="00B44D67" w:rsidRPr="00BA050E" w:rsidRDefault="00B44D67" w:rsidP="00241C66">
            <w:pPr>
              <w:spacing w:after="80" w:line="240" w:lineRule="auto"/>
              <w:ind w:left="0" w:right="0" w:firstLine="0"/>
              <w:rPr>
                <w:rFonts w:eastAsia="Calibri"/>
                <w:color w:val="auto"/>
                <w:sz w:val="18"/>
                <w:szCs w:val="18"/>
              </w:rPr>
            </w:pPr>
            <w:r w:rsidRPr="00BA050E">
              <w:rPr>
                <w:rFonts w:eastAsia="Calibri"/>
                <w:color w:val="auto"/>
                <w:sz w:val="18"/>
                <w:szCs w:val="18"/>
              </w:rPr>
              <w:t>Effective coordination between government and development partners, as well as among latter, both at policy and technical levels, is crucial to achieve efficient result.</w:t>
            </w:r>
          </w:p>
        </w:tc>
      </w:tr>
      <w:tr w:rsidR="00B44D67" w:rsidRPr="00BA050E" w14:paraId="25C9430B" w14:textId="77777777" w:rsidTr="00241C66">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14:paraId="15FCFED7" w14:textId="77777777" w:rsidR="00B44D67" w:rsidRPr="00BA050E" w:rsidRDefault="00B44D67" w:rsidP="00241C66">
            <w:pPr>
              <w:spacing w:after="80" w:line="240" w:lineRule="auto"/>
              <w:ind w:left="0" w:right="0" w:firstLine="0"/>
              <w:jc w:val="center"/>
              <w:rPr>
                <w:rFonts w:eastAsia="Calibri"/>
                <w:b/>
                <w:smallCaps/>
                <w:color w:val="auto"/>
                <w:sz w:val="18"/>
                <w:szCs w:val="18"/>
              </w:rPr>
            </w:pPr>
            <w:r w:rsidRPr="00BA050E">
              <w:rPr>
                <w:rFonts w:eastAsia="Calibri"/>
                <w:b/>
                <w:smallCaps/>
                <w:color w:val="auto"/>
                <w:sz w:val="18"/>
                <w:szCs w:val="18"/>
              </w:rPr>
              <w:t>Governance as Cross-cutting Theme</w:t>
            </w:r>
          </w:p>
        </w:tc>
      </w:tr>
      <w:tr w:rsidR="00B44D67" w:rsidRPr="00BA050E" w14:paraId="389BB9B3" w14:textId="77777777" w:rsidTr="00241C66">
        <w:tc>
          <w:tcPr>
            <w:tcW w:w="1274" w:type="pct"/>
            <w:tcBorders>
              <w:top w:val="single" w:sz="4" w:space="0" w:color="auto"/>
              <w:left w:val="single" w:sz="4" w:space="0" w:color="auto"/>
              <w:bottom w:val="single" w:sz="4" w:space="0" w:color="auto"/>
              <w:right w:val="single" w:sz="4" w:space="0" w:color="auto"/>
            </w:tcBorders>
          </w:tcPr>
          <w:p w14:paraId="351DB4AB"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Professionalization of public service through implementation of position of state secretaries.</w:t>
            </w:r>
          </w:p>
          <w:p w14:paraId="4FA8DC63"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1</w:t>
            </w:r>
            <w:r w:rsidRPr="00BA050E">
              <w:rPr>
                <w:color w:val="auto"/>
                <w:sz w:val="18"/>
                <w:szCs w:val="18"/>
              </w:rPr>
              <w:t>:</w:t>
            </w:r>
          </w:p>
          <w:p w14:paraId="1C1B9AC2"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All ministries &amp; central agencies managed by political appointees (2013)</w:t>
            </w:r>
          </w:p>
          <w:p w14:paraId="6A0CC151"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Target: All ministries &amp; central   agencies managed by professional state secretaries (2017)</w:t>
            </w:r>
          </w:p>
          <w:p w14:paraId="06612D27"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2</w:t>
            </w:r>
            <w:r w:rsidRPr="00BA050E">
              <w:rPr>
                <w:color w:val="auto"/>
                <w:sz w:val="18"/>
                <w:szCs w:val="18"/>
              </w:rPr>
              <w:t xml:space="preserve">: </w:t>
            </w:r>
          </w:p>
          <w:p w14:paraId="590DD3C9"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Number of professional development programs for senior executive officials, including state secretaries (2013)</w:t>
            </w:r>
          </w:p>
          <w:p w14:paraId="02829CB7" w14:textId="77777777" w:rsidR="00B44D67" w:rsidRPr="00BA050E" w:rsidRDefault="00B44D67" w:rsidP="00241C66">
            <w:pPr>
              <w:spacing w:after="0" w:line="240" w:lineRule="auto"/>
              <w:ind w:left="0" w:right="0" w:firstLine="0"/>
              <w:rPr>
                <w:rFonts w:eastAsia="Calibri"/>
                <w:b/>
                <w:color w:val="auto"/>
                <w:sz w:val="18"/>
                <w:szCs w:val="18"/>
              </w:rPr>
            </w:pPr>
            <w:r w:rsidRPr="00BA050E">
              <w:rPr>
                <w:color w:val="auto"/>
                <w:sz w:val="18"/>
                <w:szCs w:val="18"/>
              </w:rPr>
              <w:t>Target:   Professional development programs based on defined competencies and performance requirements approved and in place; and share of program-covered state secretaries (90 percent).</w:t>
            </w:r>
          </w:p>
        </w:tc>
        <w:tc>
          <w:tcPr>
            <w:tcW w:w="1380" w:type="pct"/>
            <w:tcBorders>
              <w:top w:val="single" w:sz="4" w:space="0" w:color="auto"/>
              <w:left w:val="single" w:sz="4" w:space="0" w:color="auto"/>
              <w:bottom w:val="single" w:sz="4" w:space="0" w:color="auto"/>
              <w:right w:val="single" w:sz="4" w:space="0" w:color="auto"/>
            </w:tcBorders>
          </w:tcPr>
          <w:p w14:paraId="67C2D206"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rFonts w:eastAsia="Calibri"/>
                <w:b/>
                <w:color w:val="auto"/>
                <w:sz w:val="18"/>
                <w:szCs w:val="18"/>
              </w:rPr>
              <w:t>Mostly achieved</w:t>
            </w:r>
          </w:p>
          <w:p w14:paraId="38001D34" w14:textId="77777777" w:rsidR="00B44D67" w:rsidRPr="00BA050E" w:rsidRDefault="00B44D67" w:rsidP="00241C66">
            <w:pPr>
              <w:spacing w:after="0" w:line="240" w:lineRule="auto"/>
              <w:ind w:left="0" w:right="0" w:firstLine="0"/>
              <w:jc w:val="left"/>
              <w:rPr>
                <w:rFonts w:eastAsia="Calibri"/>
                <w:color w:val="auto"/>
                <w:sz w:val="18"/>
                <w:szCs w:val="18"/>
              </w:rPr>
            </w:pPr>
          </w:p>
          <w:p w14:paraId="776D2961" w14:textId="77777777" w:rsidR="00B44D67" w:rsidRPr="00BA050E" w:rsidRDefault="00B44D67" w:rsidP="00241C66">
            <w:pPr>
              <w:spacing w:after="0" w:line="240" w:lineRule="auto"/>
              <w:ind w:left="0" w:right="0" w:firstLine="0"/>
              <w:jc w:val="left"/>
              <w:rPr>
                <w:rFonts w:eastAsia="Calibri"/>
                <w:color w:val="auto"/>
                <w:sz w:val="18"/>
                <w:szCs w:val="18"/>
              </w:rPr>
            </w:pPr>
          </w:p>
          <w:p w14:paraId="31D9781C"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Mostly achieved</w:t>
            </w:r>
            <w:r w:rsidRPr="00BA050E">
              <w:rPr>
                <w:rFonts w:eastAsia="Calibri"/>
                <w:color w:val="auto"/>
                <w:sz w:val="18"/>
                <w:szCs w:val="18"/>
              </w:rPr>
              <w:t>: Most ministries―13 of 16, or 80 percent―managed by non-political, professional state secretaries</w:t>
            </w:r>
          </w:p>
          <w:p w14:paraId="7EE18609" w14:textId="77777777" w:rsidR="00B44D67" w:rsidRPr="00BA050E" w:rsidRDefault="00B44D67" w:rsidP="00241C66">
            <w:pPr>
              <w:spacing w:after="0" w:line="240" w:lineRule="auto"/>
              <w:ind w:left="0" w:right="0" w:firstLine="0"/>
              <w:rPr>
                <w:rFonts w:eastAsia="Calibri"/>
                <w:color w:val="auto"/>
                <w:sz w:val="18"/>
                <w:szCs w:val="18"/>
              </w:rPr>
            </w:pPr>
          </w:p>
          <w:p w14:paraId="2CE00C7E" w14:textId="77777777" w:rsidR="00B44D67" w:rsidRPr="00BA050E" w:rsidRDefault="00B44D67" w:rsidP="00241C66">
            <w:pPr>
              <w:spacing w:after="0" w:line="240" w:lineRule="auto"/>
              <w:ind w:left="0" w:right="0" w:firstLine="0"/>
              <w:rPr>
                <w:rFonts w:eastAsia="Calibri"/>
                <w:color w:val="auto"/>
                <w:sz w:val="18"/>
                <w:szCs w:val="18"/>
              </w:rPr>
            </w:pPr>
          </w:p>
          <w:p w14:paraId="2A4C161E" w14:textId="77777777" w:rsidR="00B44D67" w:rsidRPr="00BA050E" w:rsidRDefault="00B44D67" w:rsidP="00241C66">
            <w:pPr>
              <w:spacing w:after="0" w:line="240" w:lineRule="auto"/>
              <w:ind w:left="0" w:right="0" w:firstLine="0"/>
              <w:rPr>
                <w:rFonts w:eastAsia="Calibri"/>
                <w:color w:val="auto"/>
                <w:sz w:val="18"/>
                <w:szCs w:val="18"/>
              </w:rPr>
            </w:pPr>
          </w:p>
          <w:p w14:paraId="43F9364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Mostly achieved</w:t>
            </w:r>
            <w:r w:rsidRPr="00BA050E">
              <w:rPr>
                <w:rFonts w:eastAsia="Calibri"/>
                <w:color w:val="auto"/>
                <w:sz w:val="18"/>
                <w:szCs w:val="18"/>
              </w:rPr>
              <w:t>: Professional development program comprising six modules approved and in place; all 13 state secretaries have completed at least one module</w:t>
            </w:r>
          </w:p>
        </w:tc>
        <w:tc>
          <w:tcPr>
            <w:tcW w:w="966" w:type="pct"/>
            <w:tcBorders>
              <w:top w:val="single" w:sz="4" w:space="0" w:color="auto"/>
              <w:left w:val="single" w:sz="4" w:space="0" w:color="auto"/>
              <w:bottom w:val="single" w:sz="4" w:space="0" w:color="auto"/>
              <w:right w:val="single" w:sz="4" w:space="0" w:color="auto"/>
            </w:tcBorders>
          </w:tcPr>
          <w:p w14:paraId="4AA4BA54"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Completed:</w:t>
            </w:r>
          </w:p>
          <w:p w14:paraId="2C8D159D"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Central Public Administration Reform project</w:t>
            </w:r>
            <w:r>
              <w:rPr>
                <w:color w:val="auto"/>
                <w:sz w:val="18"/>
                <w:szCs w:val="18"/>
              </w:rPr>
              <w:t xml:space="preserve"> (P</w:t>
            </w:r>
            <w:r w:rsidRPr="00B51EE2">
              <w:rPr>
                <w:color w:val="auto"/>
                <w:sz w:val="18"/>
                <w:szCs w:val="18"/>
              </w:rPr>
              <w:t>105602</w:t>
            </w:r>
            <w:r>
              <w:rPr>
                <w:color w:val="auto"/>
                <w:sz w:val="18"/>
                <w:szCs w:val="18"/>
              </w:rPr>
              <w:t>)</w:t>
            </w:r>
          </w:p>
          <w:p w14:paraId="3B82ED7F" w14:textId="77777777" w:rsidR="00B44D67" w:rsidRDefault="00B44D67" w:rsidP="00241C66">
            <w:pPr>
              <w:spacing w:after="0" w:line="240" w:lineRule="auto"/>
              <w:ind w:left="0" w:right="0" w:firstLine="0"/>
              <w:jc w:val="left"/>
              <w:rPr>
                <w:b/>
                <w:color w:val="auto"/>
                <w:sz w:val="18"/>
                <w:szCs w:val="18"/>
              </w:rPr>
            </w:pPr>
          </w:p>
          <w:p w14:paraId="28DDE33A"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Pipeline:</w:t>
            </w:r>
          </w:p>
          <w:p w14:paraId="6362E37D"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Government Services Modernization Reform project (MGSP</w:t>
            </w:r>
            <w:r>
              <w:rPr>
                <w:color w:val="auto"/>
                <w:sz w:val="18"/>
                <w:szCs w:val="18"/>
              </w:rPr>
              <w:t xml:space="preserve">, </w:t>
            </w:r>
            <w:r w:rsidRPr="00B51EE2">
              <w:rPr>
                <w:color w:val="auto"/>
                <w:sz w:val="18"/>
                <w:szCs w:val="18"/>
              </w:rPr>
              <w:t>P</w:t>
            </w:r>
            <w:r>
              <w:rPr>
                <w:color w:val="auto"/>
                <w:sz w:val="18"/>
                <w:szCs w:val="18"/>
              </w:rPr>
              <w:t>148537</w:t>
            </w:r>
            <w:r w:rsidRPr="00BA050E">
              <w:rPr>
                <w:color w:val="auto"/>
                <w:sz w:val="18"/>
                <w:szCs w:val="18"/>
              </w:rPr>
              <w:t>)</w:t>
            </w:r>
          </w:p>
          <w:p w14:paraId="63BE0DD2" w14:textId="77777777" w:rsidR="00B44D67" w:rsidRDefault="00B44D67" w:rsidP="00241C66">
            <w:pPr>
              <w:spacing w:after="0" w:line="240" w:lineRule="auto"/>
              <w:ind w:left="0" w:right="0" w:firstLine="0"/>
              <w:jc w:val="left"/>
              <w:rPr>
                <w:b/>
                <w:color w:val="auto"/>
                <w:sz w:val="18"/>
                <w:szCs w:val="18"/>
              </w:rPr>
            </w:pPr>
          </w:p>
          <w:p w14:paraId="0D252236"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Partners:</w:t>
            </w:r>
          </w:p>
          <w:p w14:paraId="649E1AD3" w14:textId="77777777" w:rsidR="00B44D67" w:rsidRPr="00BA050E" w:rsidRDefault="00B44D67" w:rsidP="00241C66">
            <w:pPr>
              <w:spacing w:after="0" w:line="240" w:lineRule="auto"/>
              <w:ind w:left="0" w:right="0" w:firstLine="0"/>
              <w:jc w:val="left"/>
              <w:rPr>
                <w:rFonts w:eastAsia="Calibri"/>
                <w:color w:val="auto"/>
                <w:sz w:val="18"/>
                <w:szCs w:val="18"/>
              </w:rPr>
            </w:pPr>
            <w:proofErr w:type="spellStart"/>
            <w:r w:rsidRPr="00BA050E">
              <w:rPr>
                <w:color w:val="auto"/>
                <w:sz w:val="18"/>
                <w:szCs w:val="18"/>
              </w:rPr>
              <w:t>Sida</w:t>
            </w:r>
            <w:proofErr w:type="spellEnd"/>
            <w:r w:rsidRPr="00BA050E">
              <w:rPr>
                <w:color w:val="auto"/>
                <w:sz w:val="18"/>
                <w:szCs w:val="18"/>
              </w:rPr>
              <w:t>, EU</w:t>
            </w:r>
          </w:p>
        </w:tc>
        <w:tc>
          <w:tcPr>
            <w:tcW w:w="1380" w:type="pct"/>
            <w:tcBorders>
              <w:top w:val="single" w:sz="4" w:space="0" w:color="auto"/>
              <w:left w:val="single" w:sz="4" w:space="0" w:color="auto"/>
              <w:bottom w:val="single" w:sz="4" w:space="0" w:color="auto"/>
              <w:right w:val="single" w:sz="4" w:space="0" w:color="auto"/>
            </w:tcBorders>
          </w:tcPr>
          <w:p w14:paraId="20780D1C" w14:textId="77777777" w:rsidR="00B44D67" w:rsidRPr="00BA050E" w:rsidRDefault="00B44D67" w:rsidP="00241C66">
            <w:pPr>
              <w:spacing w:after="0" w:line="240" w:lineRule="auto"/>
              <w:ind w:left="0" w:right="0" w:firstLine="0"/>
              <w:jc w:val="left"/>
              <w:rPr>
                <w:rFonts w:eastAsia="Calibri"/>
                <w:b/>
                <w:color w:val="auto"/>
                <w:sz w:val="18"/>
                <w:szCs w:val="18"/>
              </w:rPr>
            </w:pPr>
          </w:p>
        </w:tc>
      </w:tr>
      <w:tr w:rsidR="00B44D67" w:rsidRPr="00BA050E" w14:paraId="68B57EBF" w14:textId="77777777" w:rsidTr="00241C66">
        <w:tc>
          <w:tcPr>
            <w:tcW w:w="1274" w:type="pct"/>
            <w:tcBorders>
              <w:top w:val="single" w:sz="4" w:space="0" w:color="auto"/>
              <w:left w:val="single" w:sz="4" w:space="0" w:color="auto"/>
              <w:bottom w:val="single" w:sz="4" w:space="0" w:color="auto"/>
              <w:right w:val="single" w:sz="4" w:space="0" w:color="auto"/>
            </w:tcBorders>
          </w:tcPr>
          <w:p w14:paraId="492FC94A"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Improved legislative framework for tax administration.</w:t>
            </w:r>
          </w:p>
          <w:p w14:paraId="4949FDBD" w14:textId="77777777" w:rsidR="00B44D67" w:rsidRPr="00BA050E" w:rsidRDefault="00B44D67" w:rsidP="00241C66">
            <w:pPr>
              <w:spacing w:after="0" w:line="240" w:lineRule="auto"/>
              <w:ind w:left="0" w:right="0" w:firstLine="0"/>
              <w:rPr>
                <w:rFonts w:eastAsia="Calibri"/>
                <w:b/>
                <w:color w:val="auto"/>
                <w:sz w:val="18"/>
                <w:szCs w:val="18"/>
              </w:rPr>
            </w:pPr>
            <w:r w:rsidRPr="00BA050E">
              <w:rPr>
                <w:i/>
                <w:color w:val="auto"/>
                <w:sz w:val="18"/>
                <w:szCs w:val="18"/>
              </w:rPr>
              <w:t xml:space="preserve">Target: </w:t>
            </w:r>
            <w:r w:rsidRPr="00BA050E">
              <w:rPr>
                <w:color w:val="auto"/>
                <w:sz w:val="18"/>
                <w:szCs w:val="18"/>
              </w:rPr>
              <w:t>Adoption of revised Tax Code in line with requirements of EU-Moldova Association Agreement.</w:t>
            </w:r>
          </w:p>
        </w:tc>
        <w:tc>
          <w:tcPr>
            <w:tcW w:w="1380" w:type="pct"/>
            <w:tcBorders>
              <w:top w:val="single" w:sz="4" w:space="0" w:color="auto"/>
              <w:left w:val="single" w:sz="4" w:space="0" w:color="auto"/>
              <w:bottom w:val="single" w:sz="4" w:space="0" w:color="auto"/>
              <w:right w:val="single" w:sz="4" w:space="0" w:color="auto"/>
            </w:tcBorders>
          </w:tcPr>
          <w:p w14:paraId="36981E0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Partially achieved</w:t>
            </w:r>
            <w:r w:rsidRPr="00BA050E">
              <w:rPr>
                <w:rFonts w:eastAsia="Calibri"/>
                <w:color w:val="auto"/>
                <w:sz w:val="18"/>
                <w:szCs w:val="18"/>
              </w:rPr>
              <w:t>: Eight working groups currently finalizing revisions to Tax Code, which are expected to be approved during 2017.</w:t>
            </w:r>
          </w:p>
        </w:tc>
        <w:tc>
          <w:tcPr>
            <w:tcW w:w="966" w:type="pct"/>
            <w:tcBorders>
              <w:top w:val="single" w:sz="4" w:space="0" w:color="auto"/>
              <w:left w:val="single" w:sz="4" w:space="0" w:color="auto"/>
              <w:bottom w:val="single" w:sz="4" w:space="0" w:color="auto"/>
              <w:right w:val="single" w:sz="4" w:space="0" w:color="auto"/>
            </w:tcBorders>
          </w:tcPr>
          <w:p w14:paraId="04C5526F" w14:textId="77777777" w:rsidR="00B44D67" w:rsidRPr="00B51EE2" w:rsidRDefault="00B44D67" w:rsidP="00241C66">
            <w:pPr>
              <w:spacing w:after="0" w:line="240" w:lineRule="auto"/>
              <w:ind w:left="0" w:right="0" w:firstLine="0"/>
              <w:jc w:val="left"/>
              <w:rPr>
                <w:b/>
                <w:color w:val="auto"/>
                <w:sz w:val="18"/>
                <w:szCs w:val="18"/>
              </w:rPr>
            </w:pPr>
            <w:r w:rsidRPr="00B51EE2">
              <w:rPr>
                <w:b/>
                <w:color w:val="auto"/>
                <w:sz w:val="18"/>
                <w:szCs w:val="18"/>
              </w:rPr>
              <w:t>Ongoing:</w:t>
            </w:r>
          </w:p>
          <w:p w14:paraId="20F815E9"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Tax Administration Modernization project (TAMP</w:t>
            </w:r>
            <w:r>
              <w:rPr>
                <w:color w:val="auto"/>
                <w:sz w:val="18"/>
                <w:szCs w:val="18"/>
              </w:rPr>
              <w:t xml:space="preserve">, </w:t>
            </w:r>
            <w:r w:rsidRPr="00B51EE2">
              <w:rPr>
                <w:color w:val="auto"/>
                <w:sz w:val="18"/>
                <w:szCs w:val="18"/>
              </w:rPr>
              <w:t>P127734</w:t>
            </w:r>
            <w:r w:rsidRPr="00BA050E">
              <w:rPr>
                <w:color w:val="auto"/>
                <w:sz w:val="18"/>
                <w:szCs w:val="18"/>
              </w:rPr>
              <w:t>)</w:t>
            </w:r>
          </w:p>
          <w:p w14:paraId="686D5E37" w14:textId="77777777" w:rsidR="00B44D67" w:rsidRPr="00B51EE2" w:rsidRDefault="00B44D67" w:rsidP="00241C66">
            <w:pPr>
              <w:spacing w:after="0" w:line="240" w:lineRule="auto"/>
              <w:ind w:left="0" w:right="0" w:firstLine="0"/>
              <w:jc w:val="left"/>
              <w:rPr>
                <w:color w:val="auto"/>
                <w:sz w:val="18"/>
                <w:szCs w:val="18"/>
              </w:rPr>
            </w:pPr>
            <w:r w:rsidRPr="00BA050E">
              <w:rPr>
                <w:color w:val="auto"/>
                <w:sz w:val="18"/>
                <w:szCs w:val="18"/>
              </w:rPr>
              <w:t>DFID Good Governance TF: Tax Legislation Revision TA</w:t>
            </w:r>
            <w:r>
              <w:rPr>
                <w:color w:val="auto"/>
                <w:sz w:val="18"/>
                <w:szCs w:val="18"/>
              </w:rPr>
              <w:t xml:space="preserve"> (</w:t>
            </w:r>
            <w:r w:rsidRPr="00B51EE2">
              <w:rPr>
                <w:color w:val="auto"/>
                <w:sz w:val="18"/>
                <w:szCs w:val="18"/>
              </w:rPr>
              <w:t>P158228</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46C44443"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Leverage external anchors</w:t>
            </w:r>
          </w:p>
          <w:p w14:paraId="727BA7D6"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Build on engagement and expand</w:t>
            </w:r>
          </w:p>
          <w:p w14:paraId="0CE2B35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Peer learning is important</w:t>
            </w:r>
          </w:p>
          <w:p w14:paraId="70077236"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Political leadership is necessary condition</w:t>
            </w:r>
          </w:p>
        </w:tc>
      </w:tr>
      <w:tr w:rsidR="00B44D67" w:rsidRPr="00BA050E" w14:paraId="6F8D4FF6" w14:textId="77777777" w:rsidTr="00241C66">
        <w:tc>
          <w:tcPr>
            <w:tcW w:w="1274" w:type="pct"/>
            <w:tcBorders>
              <w:top w:val="single" w:sz="4" w:space="0" w:color="auto"/>
              <w:left w:val="single" w:sz="4" w:space="0" w:color="auto"/>
              <w:bottom w:val="single" w:sz="4" w:space="0" w:color="auto"/>
              <w:right w:val="single" w:sz="4" w:space="0" w:color="auto"/>
            </w:tcBorders>
          </w:tcPr>
          <w:p w14:paraId="15CC4C6B"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Strengthened capacity for monitoring implementation of governance reform</w:t>
            </w:r>
          </w:p>
          <w:p w14:paraId="599C4EFB" w14:textId="77777777" w:rsidR="00B44D67" w:rsidRPr="00BA050E" w:rsidRDefault="00B44D67" w:rsidP="00241C66">
            <w:pPr>
              <w:spacing w:after="0" w:line="240" w:lineRule="auto"/>
              <w:ind w:left="0" w:right="0" w:firstLine="0"/>
              <w:rPr>
                <w:rFonts w:eastAsia="Calibri"/>
                <w:b/>
                <w:color w:val="auto"/>
                <w:sz w:val="18"/>
                <w:szCs w:val="18"/>
              </w:rPr>
            </w:pPr>
            <w:r w:rsidRPr="00BA050E">
              <w:rPr>
                <w:i/>
                <w:color w:val="auto"/>
                <w:sz w:val="18"/>
                <w:szCs w:val="18"/>
              </w:rPr>
              <w:t>Target:</w:t>
            </w:r>
            <w:r w:rsidRPr="00BA050E">
              <w:rPr>
                <w:color w:val="auto"/>
                <w:sz w:val="18"/>
                <w:szCs w:val="18"/>
              </w:rPr>
              <w:t xml:space="preserve"> Initial Governance Scorecard publicly available on-line (April 2017)</w:t>
            </w:r>
          </w:p>
        </w:tc>
        <w:tc>
          <w:tcPr>
            <w:tcW w:w="1380" w:type="pct"/>
            <w:tcBorders>
              <w:top w:val="single" w:sz="4" w:space="0" w:color="auto"/>
              <w:left w:val="single" w:sz="4" w:space="0" w:color="auto"/>
              <w:bottom w:val="single" w:sz="4" w:space="0" w:color="auto"/>
              <w:right w:val="single" w:sz="4" w:space="0" w:color="auto"/>
            </w:tcBorders>
          </w:tcPr>
          <w:p w14:paraId="5C8ED02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Partially achieved: </w:t>
            </w:r>
            <w:r w:rsidRPr="00BA050E">
              <w:rPr>
                <w:rFonts w:eastAsia="Calibri"/>
                <w:color w:val="auto"/>
                <w:sz w:val="18"/>
                <w:szCs w:val="18"/>
              </w:rPr>
              <w:t>Initial Governance Scorecard covering three dimensions―public administration reform, cost of doing business, and social assistance―developed and approved December 1, 2016, with publication planned for June 2017.</w:t>
            </w:r>
          </w:p>
        </w:tc>
        <w:tc>
          <w:tcPr>
            <w:tcW w:w="966" w:type="pct"/>
            <w:tcBorders>
              <w:top w:val="single" w:sz="4" w:space="0" w:color="auto"/>
              <w:left w:val="single" w:sz="4" w:space="0" w:color="auto"/>
              <w:bottom w:val="single" w:sz="4" w:space="0" w:color="auto"/>
              <w:right w:val="single" w:sz="4" w:space="0" w:color="auto"/>
            </w:tcBorders>
          </w:tcPr>
          <w:p w14:paraId="6DD4EB6B"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Pipeline:</w:t>
            </w:r>
          </w:p>
          <w:p w14:paraId="1C5853FF" w14:textId="77777777" w:rsidR="00B44D67" w:rsidRPr="00BA050E" w:rsidRDefault="00B44D67" w:rsidP="00241C66">
            <w:pPr>
              <w:spacing w:after="0" w:line="240" w:lineRule="auto"/>
              <w:ind w:left="0" w:right="0" w:firstLine="0"/>
              <w:jc w:val="left"/>
              <w:rPr>
                <w:b/>
                <w:color w:val="auto"/>
                <w:sz w:val="18"/>
                <w:szCs w:val="18"/>
              </w:rPr>
            </w:pPr>
            <w:r w:rsidRPr="00BA050E">
              <w:rPr>
                <w:color w:val="auto"/>
                <w:sz w:val="18"/>
                <w:szCs w:val="18"/>
              </w:rPr>
              <w:t>DFID Good Governance TF: Governance Reform Scorecard TA</w:t>
            </w:r>
            <w:r>
              <w:rPr>
                <w:color w:val="auto"/>
                <w:sz w:val="18"/>
                <w:szCs w:val="18"/>
              </w:rPr>
              <w:t xml:space="preserve"> (</w:t>
            </w:r>
            <w:r w:rsidRPr="002909B3">
              <w:rPr>
                <w:color w:val="auto"/>
                <w:sz w:val="18"/>
                <w:szCs w:val="18"/>
              </w:rPr>
              <w:t>P158221</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039B1550"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Continued capacity building in results-based monitoring and their use for accelerating reforms is required, especially in central ministries/agencies</w:t>
            </w:r>
          </w:p>
        </w:tc>
      </w:tr>
      <w:tr w:rsidR="00B44D67" w:rsidRPr="00BA050E" w14:paraId="394565E4" w14:textId="77777777" w:rsidTr="00241C66">
        <w:tc>
          <w:tcPr>
            <w:tcW w:w="1274" w:type="pct"/>
            <w:tcBorders>
              <w:top w:val="single" w:sz="4" w:space="0" w:color="auto"/>
              <w:left w:val="single" w:sz="4" w:space="0" w:color="auto"/>
              <w:bottom w:val="single" w:sz="4" w:space="0" w:color="auto"/>
              <w:right w:val="single" w:sz="4" w:space="0" w:color="auto"/>
            </w:tcBorders>
          </w:tcPr>
          <w:p w14:paraId="1B418F86"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Government monitors public investment as means of improving strategic decision-making and resource allocation.</w:t>
            </w:r>
          </w:p>
          <w:p w14:paraId="3D2BC499"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lastRenderedPageBreak/>
              <w:t>Indicator 1</w:t>
            </w:r>
            <w:r w:rsidRPr="00BA050E">
              <w:rPr>
                <w:i/>
                <w:color w:val="auto"/>
                <w:sz w:val="18"/>
                <w:szCs w:val="18"/>
              </w:rPr>
              <w:t>:</w:t>
            </w:r>
            <w:r w:rsidRPr="00BA050E">
              <w:rPr>
                <w:color w:val="auto"/>
                <w:sz w:val="18"/>
                <w:szCs w:val="18"/>
              </w:rPr>
              <w:t xml:space="preserve"> Mechanism for monitoring public investment projects―</w:t>
            </w:r>
          </w:p>
          <w:p w14:paraId="5321EEE8"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No mechanism (2014)</w:t>
            </w:r>
          </w:p>
          <w:p w14:paraId="57D72581"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Target:   Mechanism developed and used. Existing public investment project databases developed, with update possibilities (2017)</w:t>
            </w:r>
          </w:p>
        </w:tc>
        <w:tc>
          <w:tcPr>
            <w:tcW w:w="1380" w:type="pct"/>
            <w:tcBorders>
              <w:top w:val="single" w:sz="4" w:space="0" w:color="auto"/>
              <w:left w:val="single" w:sz="4" w:space="0" w:color="auto"/>
              <w:bottom w:val="single" w:sz="4" w:space="0" w:color="auto"/>
              <w:right w:val="single" w:sz="4" w:space="0" w:color="auto"/>
            </w:tcBorders>
          </w:tcPr>
          <w:p w14:paraId="73C69CED"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lastRenderedPageBreak/>
              <w:t xml:space="preserve">Partially achieved: </w:t>
            </w:r>
            <w:r w:rsidRPr="00BA050E">
              <w:rPr>
                <w:rFonts w:eastAsia="Calibri"/>
                <w:color w:val="auto"/>
                <w:sz w:val="18"/>
                <w:szCs w:val="18"/>
              </w:rPr>
              <w:t xml:space="preserve">Public investment monitoring (PIM) methodology developed, including related legal framework. Ministry of Finance completed database for existing and </w:t>
            </w:r>
            <w:r w:rsidRPr="00BA050E">
              <w:rPr>
                <w:rFonts w:eastAsia="Calibri"/>
                <w:color w:val="auto"/>
                <w:sz w:val="18"/>
                <w:szCs w:val="18"/>
              </w:rPr>
              <w:lastRenderedPageBreak/>
              <w:t>proposed public investment projects for 2015 and 2016 state budgets. However, updated methodologies not yet implemented.</w:t>
            </w:r>
          </w:p>
        </w:tc>
        <w:tc>
          <w:tcPr>
            <w:tcW w:w="966" w:type="pct"/>
            <w:vMerge w:val="restart"/>
            <w:tcBorders>
              <w:top w:val="single" w:sz="4" w:space="0" w:color="auto"/>
              <w:left w:val="single" w:sz="4" w:space="0" w:color="auto"/>
              <w:right w:val="single" w:sz="4" w:space="0" w:color="auto"/>
            </w:tcBorders>
          </w:tcPr>
          <w:p w14:paraId="257F32D9"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lastRenderedPageBreak/>
              <w:t>TFs:</w:t>
            </w:r>
          </w:p>
          <w:p w14:paraId="1BCE8753"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color w:val="auto"/>
                <w:sz w:val="18"/>
                <w:szCs w:val="18"/>
              </w:rPr>
              <w:t>Public Investment Management TA</w:t>
            </w:r>
            <w:r>
              <w:rPr>
                <w:color w:val="auto"/>
                <w:sz w:val="18"/>
                <w:szCs w:val="18"/>
              </w:rPr>
              <w:t xml:space="preserve"> (</w:t>
            </w:r>
            <w:r w:rsidRPr="002909B3">
              <w:rPr>
                <w:color w:val="auto"/>
                <w:sz w:val="18"/>
                <w:szCs w:val="18"/>
              </w:rPr>
              <w:t>P130304</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5D2A427C"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To achieve sustainable results, Ministry of Finance needs more consistent advisory and technical support.</w:t>
            </w:r>
          </w:p>
        </w:tc>
      </w:tr>
      <w:tr w:rsidR="00B44D67" w:rsidRPr="00BA050E" w14:paraId="4A9FEBE3" w14:textId="77777777" w:rsidTr="00241C66">
        <w:tc>
          <w:tcPr>
            <w:tcW w:w="1274" w:type="pct"/>
            <w:tcBorders>
              <w:top w:val="single" w:sz="4" w:space="0" w:color="auto"/>
              <w:left w:val="single" w:sz="4" w:space="0" w:color="auto"/>
              <w:bottom w:val="single" w:sz="4" w:space="0" w:color="auto"/>
              <w:right w:val="single" w:sz="4" w:space="0" w:color="auto"/>
            </w:tcBorders>
          </w:tcPr>
          <w:p w14:paraId="3662A350"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Improved accountability of Executive for public investment through access to information.</w:t>
            </w:r>
          </w:p>
          <w:p w14:paraId="011FF27B" w14:textId="77777777" w:rsidR="00B44D67" w:rsidRPr="00BA050E" w:rsidRDefault="00B44D67" w:rsidP="00241C66">
            <w:pPr>
              <w:spacing w:after="0" w:line="240" w:lineRule="auto"/>
              <w:ind w:left="0" w:right="0" w:firstLine="0"/>
              <w:jc w:val="left"/>
              <w:rPr>
                <w:color w:val="auto"/>
                <w:sz w:val="18"/>
                <w:szCs w:val="18"/>
              </w:rPr>
            </w:pPr>
          </w:p>
          <w:p w14:paraId="41A617EC"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No publicly available information on public investment</w:t>
            </w:r>
          </w:p>
          <w:p w14:paraId="1BF09E44" w14:textId="77777777" w:rsidR="00B44D67" w:rsidRPr="00BA050E" w:rsidRDefault="00B44D67" w:rsidP="00241C66">
            <w:pPr>
              <w:spacing w:after="0" w:line="240" w:lineRule="auto"/>
              <w:ind w:left="0" w:right="0" w:firstLine="0"/>
              <w:rPr>
                <w:rFonts w:eastAsia="Calibri"/>
                <w:b/>
                <w:color w:val="auto"/>
                <w:sz w:val="18"/>
                <w:szCs w:val="18"/>
              </w:rPr>
            </w:pPr>
            <w:r w:rsidRPr="00BA050E">
              <w:rPr>
                <w:color w:val="auto"/>
                <w:sz w:val="18"/>
                <w:szCs w:val="18"/>
              </w:rPr>
              <w:t>Target:     Program evaluation mechanism developed and used, and at least 3 programs evaluated for targeting, effectiveness and efficiency of outcomes and impact.</w:t>
            </w:r>
          </w:p>
        </w:tc>
        <w:tc>
          <w:tcPr>
            <w:tcW w:w="1380" w:type="pct"/>
            <w:tcBorders>
              <w:top w:val="single" w:sz="4" w:space="0" w:color="auto"/>
              <w:left w:val="single" w:sz="4" w:space="0" w:color="auto"/>
              <w:bottom w:val="single" w:sz="4" w:space="0" w:color="auto"/>
              <w:right w:val="single" w:sz="4" w:space="0" w:color="auto"/>
            </w:tcBorders>
          </w:tcPr>
          <w:p w14:paraId="78F45A5C"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Partially achieved: </w:t>
            </w:r>
            <w:r w:rsidRPr="00BA050E">
              <w:rPr>
                <w:rFonts w:eastAsia="Calibri"/>
                <w:color w:val="auto"/>
                <w:sz w:val="18"/>
                <w:szCs w:val="18"/>
              </w:rPr>
              <w:t xml:space="preserve">Government Resolution No. 1029 dated 12/19/2013 established project evaluation mechanism; and Guidelines for Public Investment Project Preparation &amp; Appraisal adopted by Ministry of Finance Order No. 185 supports line ministry staff in project preparation appraisal, and evaluation. However, implementation slow and incomplete, partly due to limited budget resources. Moreover, Ministry of Finance’s webpage not updated regularly. </w:t>
            </w:r>
          </w:p>
        </w:tc>
        <w:tc>
          <w:tcPr>
            <w:tcW w:w="966" w:type="pct"/>
            <w:vMerge/>
            <w:tcBorders>
              <w:left w:val="single" w:sz="4" w:space="0" w:color="auto"/>
              <w:bottom w:val="single" w:sz="4" w:space="0" w:color="auto"/>
              <w:right w:val="single" w:sz="4" w:space="0" w:color="auto"/>
            </w:tcBorders>
          </w:tcPr>
          <w:p w14:paraId="513B7C73" w14:textId="77777777" w:rsidR="00B44D67" w:rsidRPr="00BA050E" w:rsidRDefault="00B44D67" w:rsidP="00241C66">
            <w:pPr>
              <w:spacing w:after="0" w:line="240" w:lineRule="auto"/>
              <w:ind w:left="0" w:right="0" w:firstLine="0"/>
              <w:jc w:val="left"/>
              <w:rPr>
                <w:rFonts w:eastAsia="Calibri"/>
                <w:b/>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72221985"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xml:space="preserve">Political instability affected pace and quality of implementation, and political pressures and vested interests created large space for corruption. </w:t>
            </w:r>
          </w:p>
          <w:p w14:paraId="213A0A0A"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Continued improvement in public investment monitoring remains priority for inclusion in next CPF and DPO</w:t>
            </w:r>
          </w:p>
        </w:tc>
      </w:tr>
      <w:tr w:rsidR="00B44D67" w:rsidRPr="00BA050E" w14:paraId="6ECCF587" w14:textId="77777777" w:rsidTr="00241C66">
        <w:tc>
          <w:tcPr>
            <w:tcW w:w="1274" w:type="pct"/>
            <w:tcBorders>
              <w:top w:val="single" w:sz="4" w:space="0" w:color="auto"/>
              <w:left w:val="single" w:sz="4" w:space="0" w:color="auto"/>
              <w:bottom w:val="single" w:sz="4" w:space="0" w:color="auto"/>
              <w:right w:val="single" w:sz="4" w:space="0" w:color="auto"/>
            </w:tcBorders>
          </w:tcPr>
          <w:p w14:paraId="74293D87"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Improved capacity for audit over-sight of public expenditure.</w:t>
            </w:r>
          </w:p>
          <w:p w14:paraId="6D2A4A9E" w14:textId="77777777" w:rsidR="00B44D67" w:rsidRPr="00BA050E" w:rsidRDefault="00B44D67" w:rsidP="00241C66">
            <w:pPr>
              <w:spacing w:after="0" w:line="240" w:lineRule="auto"/>
              <w:ind w:left="0" w:right="0" w:firstLine="0"/>
              <w:rPr>
                <w:b/>
                <w:color w:val="auto"/>
                <w:sz w:val="18"/>
                <w:szCs w:val="18"/>
              </w:rPr>
            </w:pPr>
            <w:r w:rsidRPr="00BA050E">
              <w:rPr>
                <w:color w:val="auto"/>
                <w:sz w:val="18"/>
                <w:szCs w:val="18"/>
              </w:rPr>
              <w:t>Target: Minimum 3 projects use national auditing procedures meeting following criteria: (a) audit performed in accordance with generally accepted auditing practices; (b) audit carried out by staff with professional qualifications and experience; (c) audit performed under constitutional or legal provisions designed to assure independence. (Baseline: 0)</w:t>
            </w:r>
          </w:p>
        </w:tc>
        <w:tc>
          <w:tcPr>
            <w:tcW w:w="1380" w:type="pct"/>
            <w:tcBorders>
              <w:top w:val="single" w:sz="4" w:space="0" w:color="auto"/>
              <w:left w:val="single" w:sz="4" w:space="0" w:color="auto"/>
              <w:bottom w:val="single" w:sz="4" w:space="0" w:color="auto"/>
              <w:right w:val="single" w:sz="4" w:space="0" w:color="auto"/>
            </w:tcBorders>
          </w:tcPr>
          <w:p w14:paraId="0A7D82DE"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Three projects are audited exclusively by Supreme Audit Institution (SAI), namely: Strengthening Effectiveness of Social Safety Net, Education Reform, and Health Transformation. Quality of audits is assessed as satisfactory and audits are in accordance with international standards.</w:t>
            </w:r>
          </w:p>
        </w:tc>
        <w:tc>
          <w:tcPr>
            <w:tcW w:w="966" w:type="pct"/>
            <w:vMerge w:val="restart"/>
            <w:tcBorders>
              <w:top w:val="single" w:sz="4" w:space="0" w:color="auto"/>
              <w:left w:val="single" w:sz="4" w:space="0" w:color="auto"/>
              <w:right w:val="single" w:sz="4" w:space="0" w:color="auto"/>
            </w:tcBorders>
          </w:tcPr>
          <w:p w14:paraId="0C122EAE"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 xml:space="preserve">Ongoing: </w:t>
            </w:r>
          </w:p>
          <w:p w14:paraId="30958D3F"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GPSA</w:t>
            </w:r>
          </w:p>
          <w:p w14:paraId="74588107" w14:textId="77777777" w:rsidR="00B44D67" w:rsidRPr="00BA050E" w:rsidRDefault="00B44D67" w:rsidP="00241C66">
            <w:pPr>
              <w:spacing w:after="0" w:line="240" w:lineRule="auto"/>
              <w:ind w:left="0" w:right="0" w:firstLine="0"/>
              <w:jc w:val="left"/>
              <w:rPr>
                <w:b/>
                <w:color w:val="auto"/>
                <w:sz w:val="18"/>
                <w:szCs w:val="18"/>
              </w:rPr>
            </w:pPr>
            <w:r w:rsidRPr="00BA050E">
              <w:rPr>
                <w:color w:val="auto"/>
                <w:sz w:val="18"/>
                <w:szCs w:val="18"/>
              </w:rPr>
              <w:t>WBI support</w:t>
            </w:r>
          </w:p>
          <w:p w14:paraId="025ACCE7" w14:textId="77777777" w:rsidR="00B44D67" w:rsidRDefault="00B44D67" w:rsidP="00241C66">
            <w:pPr>
              <w:spacing w:after="0" w:line="240" w:lineRule="auto"/>
              <w:ind w:left="0" w:right="0" w:firstLine="0"/>
              <w:jc w:val="left"/>
              <w:rPr>
                <w:b/>
                <w:color w:val="auto"/>
                <w:sz w:val="18"/>
                <w:szCs w:val="18"/>
              </w:rPr>
            </w:pPr>
          </w:p>
          <w:p w14:paraId="707367FF"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Pipeline:</w:t>
            </w:r>
          </w:p>
          <w:p w14:paraId="166996AE"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 xml:space="preserve">Modernization </w:t>
            </w:r>
            <w:r>
              <w:rPr>
                <w:color w:val="auto"/>
                <w:sz w:val="18"/>
                <w:szCs w:val="18"/>
              </w:rPr>
              <w:t xml:space="preserve">of Government Services </w:t>
            </w:r>
            <w:r w:rsidRPr="00BA050E">
              <w:rPr>
                <w:color w:val="auto"/>
                <w:sz w:val="18"/>
                <w:szCs w:val="18"/>
              </w:rPr>
              <w:t>project</w:t>
            </w:r>
            <w:r>
              <w:rPr>
                <w:color w:val="auto"/>
                <w:sz w:val="18"/>
                <w:szCs w:val="18"/>
              </w:rPr>
              <w:t xml:space="preserve"> (</w:t>
            </w:r>
            <w:r w:rsidRPr="00B51EE2">
              <w:rPr>
                <w:color w:val="auto"/>
                <w:sz w:val="18"/>
                <w:szCs w:val="18"/>
              </w:rPr>
              <w:t>P</w:t>
            </w:r>
            <w:r>
              <w:rPr>
                <w:color w:val="auto"/>
                <w:sz w:val="18"/>
                <w:szCs w:val="18"/>
              </w:rPr>
              <w:t>148537)</w:t>
            </w:r>
          </w:p>
          <w:p w14:paraId="6BC6511F" w14:textId="77777777" w:rsidR="00B44D67" w:rsidRDefault="00B44D67" w:rsidP="00241C66">
            <w:pPr>
              <w:spacing w:after="0" w:line="240" w:lineRule="auto"/>
              <w:ind w:left="0" w:right="0" w:firstLine="0"/>
              <w:jc w:val="left"/>
              <w:rPr>
                <w:b/>
                <w:color w:val="auto"/>
                <w:sz w:val="18"/>
                <w:szCs w:val="18"/>
              </w:rPr>
            </w:pPr>
          </w:p>
          <w:p w14:paraId="32231024"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ASA:</w:t>
            </w:r>
          </w:p>
          <w:p w14:paraId="062F14EA"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Financial Management TA</w:t>
            </w:r>
            <w:r>
              <w:rPr>
                <w:color w:val="auto"/>
                <w:sz w:val="18"/>
                <w:szCs w:val="18"/>
              </w:rPr>
              <w:t xml:space="preserve"> (</w:t>
            </w:r>
            <w:r w:rsidRPr="002909B3">
              <w:rPr>
                <w:color w:val="auto"/>
                <w:sz w:val="18"/>
                <w:szCs w:val="18"/>
              </w:rPr>
              <w:t>P082916</w:t>
            </w:r>
            <w:r>
              <w:rPr>
                <w:color w:val="auto"/>
                <w:sz w:val="18"/>
                <w:szCs w:val="18"/>
              </w:rPr>
              <w:t>)</w:t>
            </w:r>
          </w:p>
          <w:p w14:paraId="574214B2" w14:textId="77777777" w:rsidR="00B44D67" w:rsidRDefault="00B44D67" w:rsidP="00241C66">
            <w:pPr>
              <w:spacing w:after="0" w:line="240" w:lineRule="auto"/>
              <w:ind w:left="0" w:right="0" w:firstLine="0"/>
              <w:jc w:val="left"/>
              <w:rPr>
                <w:b/>
                <w:color w:val="auto"/>
                <w:sz w:val="18"/>
                <w:szCs w:val="18"/>
              </w:rPr>
            </w:pPr>
          </w:p>
          <w:p w14:paraId="1D20D9A4" w14:textId="77777777" w:rsidR="00B44D67" w:rsidRPr="00BA050E" w:rsidRDefault="00B44D67" w:rsidP="00241C66">
            <w:pPr>
              <w:spacing w:after="0" w:line="240" w:lineRule="auto"/>
              <w:ind w:left="0" w:right="0" w:firstLine="0"/>
              <w:jc w:val="left"/>
              <w:rPr>
                <w:b/>
                <w:color w:val="auto"/>
                <w:sz w:val="18"/>
                <w:szCs w:val="18"/>
              </w:rPr>
            </w:pPr>
            <w:r w:rsidRPr="00BA050E">
              <w:rPr>
                <w:b/>
                <w:color w:val="auto"/>
                <w:sz w:val="18"/>
                <w:szCs w:val="18"/>
              </w:rPr>
              <w:t>TFs:</w:t>
            </w:r>
          </w:p>
          <w:p w14:paraId="104A2E6A"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color w:val="auto"/>
                <w:sz w:val="18"/>
                <w:szCs w:val="18"/>
              </w:rPr>
              <w:t>Strengthening the CoA</w:t>
            </w:r>
            <w:r>
              <w:rPr>
                <w:color w:val="auto"/>
                <w:sz w:val="18"/>
                <w:szCs w:val="18"/>
              </w:rPr>
              <w:t xml:space="preserve"> (</w:t>
            </w:r>
            <w:r w:rsidRPr="002909B3">
              <w:rPr>
                <w:color w:val="auto"/>
                <w:sz w:val="18"/>
                <w:szCs w:val="18"/>
              </w:rPr>
              <w:t>P133554</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08E35714"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 xml:space="preserve">Despite significant improvement in presentation and impact of audit reports, SAI needs to professionalize its communications further  </w:t>
            </w:r>
          </w:p>
          <w:p w14:paraId="14904115"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 xml:space="preserve">Chamber of Accounts also needs to focus more on ensuring recommendations are properly formulated in audit reports to be understood and addressed.  Follow up implementation of recommendations remains challenging. </w:t>
            </w:r>
          </w:p>
          <w:p w14:paraId="7D1D798C"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 xml:space="preserve">Continued WBG engagement with SAI desirable to strengthen its capacity and effectiveness.  </w:t>
            </w:r>
          </w:p>
        </w:tc>
      </w:tr>
      <w:tr w:rsidR="00B44D67" w:rsidRPr="00BA050E" w14:paraId="7D4C016A" w14:textId="77777777" w:rsidTr="00241C66">
        <w:tc>
          <w:tcPr>
            <w:tcW w:w="1274" w:type="pct"/>
            <w:tcBorders>
              <w:top w:val="single" w:sz="4" w:space="0" w:color="auto"/>
              <w:left w:val="single" w:sz="4" w:space="0" w:color="auto"/>
              <w:bottom w:val="single" w:sz="4" w:space="0" w:color="auto"/>
              <w:right w:val="single" w:sz="4" w:space="0" w:color="auto"/>
            </w:tcBorders>
          </w:tcPr>
          <w:p w14:paraId="47F43E0B"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Improved Treasury system business processes</w:t>
            </w:r>
          </w:p>
          <w:p w14:paraId="7FFD0B87"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Manual processing of payment orders</w:t>
            </w:r>
          </w:p>
          <w:p w14:paraId="29B02A96"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color w:val="auto"/>
                <w:sz w:val="18"/>
                <w:szCs w:val="18"/>
              </w:rPr>
              <w:t>Target:    Real-time processing of payment orders</w:t>
            </w:r>
          </w:p>
        </w:tc>
        <w:tc>
          <w:tcPr>
            <w:tcW w:w="1380" w:type="pct"/>
            <w:tcBorders>
              <w:top w:val="single" w:sz="4" w:space="0" w:color="auto"/>
              <w:left w:val="single" w:sz="4" w:space="0" w:color="auto"/>
              <w:bottom w:val="single" w:sz="4" w:space="0" w:color="auto"/>
              <w:right w:val="single" w:sz="4" w:space="0" w:color="auto"/>
            </w:tcBorders>
          </w:tcPr>
          <w:p w14:paraId="665E8FBC"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Beginning January 1, 2016, improved Treasury system business processes allow payments prepared by PIUs to be processed electronically. </w:t>
            </w:r>
          </w:p>
        </w:tc>
        <w:tc>
          <w:tcPr>
            <w:tcW w:w="966" w:type="pct"/>
            <w:vMerge/>
            <w:tcBorders>
              <w:left w:val="single" w:sz="4" w:space="0" w:color="auto"/>
              <w:bottom w:val="single" w:sz="4" w:space="0" w:color="auto"/>
              <w:right w:val="single" w:sz="4" w:space="0" w:color="auto"/>
            </w:tcBorders>
          </w:tcPr>
          <w:p w14:paraId="54BD17EE" w14:textId="77777777" w:rsidR="00B44D67" w:rsidRPr="00BA050E" w:rsidRDefault="00B44D67" w:rsidP="00241C66">
            <w:pPr>
              <w:spacing w:after="0" w:line="240" w:lineRule="auto"/>
              <w:ind w:left="0" w:right="0" w:firstLine="0"/>
              <w:jc w:val="left"/>
              <w:rPr>
                <w:rFonts w:eastAsia="Calibri"/>
                <w:b/>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754BF03B" w14:textId="77777777" w:rsidR="00B44D67" w:rsidRPr="00BA050E" w:rsidRDefault="00B44D67" w:rsidP="00241C66">
            <w:pPr>
              <w:spacing w:after="0" w:line="240" w:lineRule="auto"/>
              <w:ind w:left="0" w:right="0" w:firstLine="0"/>
              <w:jc w:val="left"/>
              <w:rPr>
                <w:rFonts w:eastAsia="Calibri"/>
                <w:b/>
                <w:color w:val="auto"/>
                <w:sz w:val="18"/>
                <w:szCs w:val="18"/>
              </w:rPr>
            </w:pPr>
          </w:p>
        </w:tc>
      </w:tr>
      <w:tr w:rsidR="00B44D67" w:rsidRPr="00BA050E" w14:paraId="1C2B9C82" w14:textId="77777777" w:rsidTr="00241C66">
        <w:tc>
          <w:tcPr>
            <w:tcW w:w="1274" w:type="pct"/>
            <w:tcBorders>
              <w:top w:val="single" w:sz="4" w:space="0" w:color="auto"/>
              <w:left w:val="single" w:sz="4" w:space="0" w:color="auto"/>
              <w:bottom w:val="single" w:sz="4" w:space="0" w:color="auto"/>
              <w:right w:val="single" w:sz="4" w:space="0" w:color="auto"/>
            </w:tcBorders>
          </w:tcPr>
          <w:p w14:paraId="67DF349E"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 xml:space="preserve">Improved functionality and uptake of electronic procurement system.    </w:t>
            </w:r>
          </w:p>
          <w:p w14:paraId="78F28E00" w14:textId="77777777" w:rsidR="00B44D67" w:rsidRPr="00BA050E" w:rsidRDefault="00B44D67" w:rsidP="00241C66">
            <w:pPr>
              <w:spacing w:after="0" w:line="240" w:lineRule="auto"/>
              <w:ind w:left="0" w:right="0" w:firstLine="0"/>
              <w:rPr>
                <w:b/>
                <w:color w:val="auto"/>
                <w:sz w:val="18"/>
                <w:szCs w:val="18"/>
              </w:rPr>
            </w:pPr>
            <w:r w:rsidRPr="00BA050E">
              <w:rPr>
                <w:b/>
                <w:color w:val="auto"/>
                <w:sz w:val="18"/>
                <w:szCs w:val="18"/>
              </w:rPr>
              <w:t xml:space="preserve">  </w:t>
            </w:r>
          </w:p>
          <w:p w14:paraId="0C3E98D4"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Paper-based public procurement procedures (2011)</w:t>
            </w:r>
          </w:p>
          <w:p w14:paraId="5879B62F" w14:textId="77777777" w:rsidR="00B44D67" w:rsidRPr="00BA050E" w:rsidRDefault="00B44D67" w:rsidP="00241C66">
            <w:pPr>
              <w:spacing w:after="0" w:line="240" w:lineRule="auto"/>
              <w:ind w:left="0" w:right="0" w:firstLine="0"/>
              <w:rPr>
                <w:rFonts w:eastAsia="Calibri"/>
                <w:b/>
                <w:color w:val="auto"/>
                <w:sz w:val="18"/>
                <w:szCs w:val="18"/>
              </w:rPr>
            </w:pPr>
            <w:r w:rsidRPr="00BA050E">
              <w:rPr>
                <w:color w:val="auto"/>
                <w:sz w:val="18"/>
                <w:szCs w:val="18"/>
              </w:rPr>
              <w:t>Target:</w:t>
            </w:r>
            <w:r w:rsidRPr="00BA050E">
              <w:rPr>
                <w:i/>
                <w:color w:val="auto"/>
                <w:sz w:val="18"/>
                <w:szCs w:val="18"/>
              </w:rPr>
              <w:t xml:space="preserve">    </w:t>
            </w:r>
            <w:r w:rsidRPr="00BA050E">
              <w:rPr>
                <w:color w:val="auto"/>
                <w:sz w:val="18"/>
                <w:szCs w:val="18"/>
              </w:rPr>
              <w:t>Upgraded e-procurement software rolled out for use by all central line ministries and agencies (2015)</w:t>
            </w:r>
          </w:p>
        </w:tc>
        <w:tc>
          <w:tcPr>
            <w:tcW w:w="1380" w:type="pct"/>
            <w:tcBorders>
              <w:top w:val="single" w:sz="4" w:space="0" w:color="auto"/>
              <w:left w:val="single" w:sz="4" w:space="0" w:color="auto"/>
              <w:bottom w:val="single" w:sz="4" w:space="0" w:color="auto"/>
              <w:right w:val="single" w:sz="4" w:space="0" w:color="auto"/>
            </w:tcBorders>
          </w:tcPr>
          <w:p w14:paraId="504F199E"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Partially achieved: </w:t>
            </w:r>
            <w:r w:rsidRPr="00BA050E">
              <w:rPr>
                <w:rFonts w:eastAsia="Calibri"/>
                <w:color w:val="auto"/>
                <w:sz w:val="18"/>
                <w:szCs w:val="18"/>
              </w:rPr>
              <w:t>Roll-out of e-procurement system to all central contracting authorities only partially achieved due to missing electronic bid submission functionality;</w:t>
            </w:r>
          </w:p>
          <w:p w14:paraId="0596957F"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 xml:space="preserve">Standard procurement documents, technical specifications, catalogues and guidance notes developed, but not all standard bidding documents were developed; </w:t>
            </w:r>
          </w:p>
          <w:p w14:paraId="7CF1ED78"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lastRenderedPageBreak/>
              <w:t>All contracting authorities staffed with at least one certified procurement officer and certified procurement officers placed in Public Procurement Agency’s territorial offices.</w:t>
            </w:r>
          </w:p>
        </w:tc>
        <w:tc>
          <w:tcPr>
            <w:tcW w:w="966" w:type="pct"/>
            <w:tcBorders>
              <w:top w:val="single" w:sz="4" w:space="0" w:color="auto"/>
              <w:left w:val="single" w:sz="4" w:space="0" w:color="auto"/>
              <w:bottom w:val="single" w:sz="4" w:space="0" w:color="auto"/>
              <w:right w:val="single" w:sz="4" w:space="0" w:color="auto"/>
            </w:tcBorders>
          </w:tcPr>
          <w:p w14:paraId="6830079B" w14:textId="77777777" w:rsidR="00B44D67" w:rsidRPr="00BA050E" w:rsidRDefault="00B44D67" w:rsidP="00241C66">
            <w:pPr>
              <w:spacing w:after="0" w:line="240" w:lineRule="auto"/>
              <w:ind w:left="0" w:right="90" w:firstLine="0"/>
              <w:jc w:val="left"/>
              <w:rPr>
                <w:b/>
                <w:color w:val="auto"/>
                <w:sz w:val="18"/>
                <w:szCs w:val="18"/>
              </w:rPr>
            </w:pPr>
            <w:r w:rsidRPr="00BA050E">
              <w:rPr>
                <w:b/>
                <w:color w:val="auto"/>
                <w:sz w:val="18"/>
                <w:szCs w:val="18"/>
              </w:rPr>
              <w:lastRenderedPageBreak/>
              <w:t>TFs:</w:t>
            </w:r>
          </w:p>
          <w:p w14:paraId="15A0BE9F" w14:textId="77777777" w:rsidR="00B44D67" w:rsidRPr="00BA050E" w:rsidRDefault="00B44D67" w:rsidP="00241C66">
            <w:pPr>
              <w:spacing w:after="0" w:line="240" w:lineRule="auto"/>
              <w:ind w:left="0" w:right="0" w:firstLine="0"/>
              <w:jc w:val="left"/>
              <w:rPr>
                <w:rFonts w:eastAsia="Calibri"/>
                <w:color w:val="0070C0"/>
                <w:sz w:val="18"/>
                <w:szCs w:val="18"/>
              </w:rPr>
            </w:pPr>
            <w:r w:rsidRPr="00BA050E">
              <w:rPr>
                <w:color w:val="auto"/>
                <w:sz w:val="18"/>
                <w:szCs w:val="18"/>
              </w:rPr>
              <w:t>Strengthening Public Procurement IDF Grant</w:t>
            </w:r>
            <w:r>
              <w:rPr>
                <w:color w:val="auto"/>
                <w:sz w:val="18"/>
                <w:szCs w:val="18"/>
              </w:rPr>
              <w:t xml:space="preserve"> (</w:t>
            </w:r>
            <w:r w:rsidRPr="002909B3">
              <w:rPr>
                <w:color w:val="auto"/>
                <w:sz w:val="18"/>
                <w:szCs w:val="18"/>
              </w:rPr>
              <w:t>P129112</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52BD9029"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Clearly defined indicators in original project design;</w:t>
            </w:r>
          </w:p>
          <w:p w14:paraId="4D5049CA"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Better match needs assessment with available budget, as some activities could not be implemented due to high costs and lack of funds.</w:t>
            </w:r>
          </w:p>
        </w:tc>
      </w:tr>
      <w:tr w:rsidR="00B44D67" w:rsidRPr="00BA050E" w14:paraId="2EAFFA48" w14:textId="77777777" w:rsidTr="00241C66">
        <w:tc>
          <w:tcPr>
            <w:tcW w:w="1274" w:type="pct"/>
            <w:tcBorders>
              <w:top w:val="single" w:sz="4" w:space="0" w:color="auto"/>
              <w:left w:val="single" w:sz="4" w:space="0" w:color="auto"/>
              <w:bottom w:val="single" w:sz="4" w:space="0" w:color="auto"/>
              <w:right w:val="single" w:sz="4" w:space="0" w:color="auto"/>
            </w:tcBorders>
          </w:tcPr>
          <w:p w14:paraId="501FDDB3" w14:textId="77777777" w:rsidR="00B44D67" w:rsidRPr="00BA050E" w:rsidRDefault="00B44D67" w:rsidP="006D2153">
            <w:pPr>
              <w:numPr>
                <w:ilvl w:val="0"/>
                <w:numId w:val="29"/>
              </w:numPr>
              <w:spacing w:after="0" w:line="240" w:lineRule="auto"/>
              <w:ind w:right="0"/>
              <w:jc w:val="left"/>
              <w:rPr>
                <w:rFonts w:ascii="Calibri" w:hAnsi="Calibri"/>
                <w:b/>
                <w:color w:val="auto"/>
                <w:sz w:val="18"/>
                <w:szCs w:val="18"/>
              </w:rPr>
            </w:pPr>
            <w:r w:rsidRPr="00BA050E">
              <w:rPr>
                <w:b/>
                <w:color w:val="auto"/>
                <w:sz w:val="18"/>
                <w:szCs w:val="18"/>
              </w:rPr>
              <w:t xml:space="preserve">Improved social </w:t>
            </w:r>
            <w:r>
              <w:rPr>
                <w:b/>
                <w:color w:val="auto"/>
                <w:sz w:val="18"/>
                <w:szCs w:val="18"/>
              </w:rPr>
              <w:t xml:space="preserve">accountability environment – </w:t>
            </w:r>
            <w:r w:rsidRPr="00BA050E">
              <w:rPr>
                <w:color w:val="auto"/>
                <w:sz w:val="18"/>
                <w:szCs w:val="18"/>
              </w:rPr>
              <w:t>through opening of government data and opportunities and capacity building for broad citizen engagement in service delivery</w:t>
            </w:r>
            <w:r w:rsidRPr="00BA050E">
              <w:rPr>
                <w:rFonts w:ascii="Calibri" w:hAnsi="Calibri"/>
                <w:color w:val="auto"/>
                <w:sz w:val="18"/>
                <w:szCs w:val="18"/>
              </w:rPr>
              <w:t xml:space="preserve"> </w:t>
            </w:r>
            <w:r w:rsidRPr="00BA050E">
              <w:rPr>
                <w:color w:val="auto"/>
                <w:sz w:val="18"/>
                <w:szCs w:val="18"/>
              </w:rPr>
              <w:t>and public expenditure management processes.</w:t>
            </w:r>
          </w:p>
        </w:tc>
        <w:tc>
          <w:tcPr>
            <w:tcW w:w="1380" w:type="pct"/>
            <w:tcBorders>
              <w:top w:val="single" w:sz="4" w:space="0" w:color="auto"/>
              <w:left w:val="single" w:sz="4" w:space="0" w:color="auto"/>
              <w:bottom w:val="single" w:sz="4" w:space="0" w:color="auto"/>
              <w:right w:val="single" w:sz="4" w:space="0" w:color="auto"/>
            </w:tcBorders>
          </w:tcPr>
          <w:p w14:paraId="7188F7E3"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937 government data sets, including on public expenditure, publicly available through Open Data Portal</w:t>
            </w:r>
          </w:p>
        </w:tc>
        <w:tc>
          <w:tcPr>
            <w:tcW w:w="966" w:type="pct"/>
            <w:vMerge w:val="restart"/>
            <w:tcBorders>
              <w:top w:val="single" w:sz="4" w:space="0" w:color="auto"/>
              <w:left w:val="single" w:sz="4" w:space="0" w:color="auto"/>
              <w:bottom w:val="single" w:sz="4" w:space="0" w:color="auto"/>
              <w:right w:val="single" w:sz="4" w:space="0" w:color="auto"/>
            </w:tcBorders>
          </w:tcPr>
          <w:p w14:paraId="2E9AB3D4" w14:textId="77777777" w:rsidR="00B44D67" w:rsidRPr="002909B3" w:rsidRDefault="00B44D67" w:rsidP="00241C66">
            <w:pPr>
              <w:spacing w:after="0" w:line="240" w:lineRule="auto"/>
              <w:ind w:left="0" w:right="0" w:firstLine="0"/>
              <w:jc w:val="left"/>
              <w:rPr>
                <w:b/>
                <w:color w:val="auto"/>
                <w:sz w:val="18"/>
                <w:szCs w:val="18"/>
              </w:rPr>
            </w:pPr>
            <w:r w:rsidRPr="002909B3">
              <w:rPr>
                <w:b/>
                <w:color w:val="auto"/>
                <w:sz w:val="18"/>
                <w:szCs w:val="18"/>
              </w:rPr>
              <w:t>Ongoing:</w:t>
            </w:r>
          </w:p>
          <w:p w14:paraId="7FF1A94C"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Governance e-Transformation (</w:t>
            </w:r>
            <w:proofErr w:type="spellStart"/>
            <w:r w:rsidRPr="00BA050E">
              <w:rPr>
                <w:color w:val="auto"/>
                <w:sz w:val="18"/>
                <w:szCs w:val="18"/>
              </w:rPr>
              <w:t>GeT</w:t>
            </w:r>
            <w:proofErr w:type="spellEnd"/>
            <w:r w:rsidRPr="00BA050E">
              <w:rPr>
                <w:color w:val="auto"/>
                <w:sz w:val="18"/>
                <w:szCs w:val="18"/>
              </w:rPr>
              <w:t>) project</w:t>
            </w:r>
            <w:r>
              <w:rPr>
                <w:color w:val="auto"/>
                <w:sz w:val="18"/>
                <w:szCs w:val="18"/>
              </w:rPr>
              <w:t xml:space="preserve"> (</w:t>
            </w:r>
            <w:r w:rsidRPr="002909B3">
              <w:rPr>
                <w:color w:val="auto"/>
                <w:sz w:val="18"/>
                <w:szCs w:val="18"/>
              </w:rPr>
              <w:t>P121231</w:t>
            </w:r>
            <w:r>
              <w:rPr>
                <w:color w:val="auto"/>
                <w:sz w:val="18"/>
                <w:szCs w:val="18"/>
              </w:rPr>
              <w:t>)</w:t>
            </w:r>
          </w:p>
          <w:p w14:paraId="74F8CE47" w14:textId="77777777" w:rsidR="00B44D67" w:rsidRPr="002909B3" w:rsidRDefault="00B44D67" w:rsidP="00241C66">
            <w:pPr>
              <w:spacing w:after="0" w:line="240" w:lineRule="auto"/>
              <w:ind w:left="0" w:right="0" w:firstLine="0"/>
              <w:jc w:val="left"/>
              <w:rPr>
                <w:color w:val="auto"/>
                <w:sz w:val="18"/>
                <w:szCs w:val="18"/>
              </w:rPr>
            </w:pPr>
            <w:r w:rsidRPr="00BA050E">
              <w:rPr>
                <w:color w:val="auto"/>
                <w:sz w:val="18"/>
                <w:szCs w:val="18"/>
              </w:rPr>
              <w:t>Education GPSA</w:t>
            </w:r>
            <w:r>
              <w:rPr>
                <w:color w:val="auto"/>
                <w:sz w:val="18"/>
                <w:szCs w:val="18"/>
              </w:rPr>
              <w:t xml:space="preserve"> (</w:t>
            </w:r>
            <w:r w:rsidRPr="0034766C">
              <w:rPr>
                <w:color w:val="auto"/>
                <w:sz w:val="18"/>
                <w:szCs w:val="18"/>
              </w:rPr>
              <w:t>P147607</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080E7BCC"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Given slow private sector uptake of data analysis and applications, programs targeted to IT entrepreneurship development should be considered in future</w:t>
            </w:r>
          </w:p>
        </w:tc>
      </w:tr>
      <w:tr w:rsidR="00B44D67" w:rsidRPr="00BA050E" w14:paraId="7914BE91" w14:textId="77777777" w:rsidTr="00241C66">
        <w:tc>
          <w:tcPr>
            <w:tcW w:w="1274" w:type="pct"/>
            <w:tcBorders>
              <w:top w:val="single" w:sz="4" w:space="0" w:color="auto"/>
              <w:left w:val="single" w:sz="4" w:space="0" w:color="auto"/>
              <w:bottom w:val="single" w:sz="4" w:space="0" w:color="auto"/>
              <w:right w:val="single" w:sz="4" w:space="0" w:color="auto"/>
            </w:tcBorders>
          </w:tcPr>
          <w:p w14:paraId="30216656"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More participation in decision-making processes and enhanced quality of public debate.</w:t>
            </w:r>
          </w:p>
          <w:p w14:paraId="0C5FC457"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1</w:t>
            </w:r>
            <w:r w:rsidRPr="00BA050E">
              <w:rPr>
                <w:i/>
                <w:color w:val="auto"/>
                <w:sz w:val="18"/>
                <w:szCs w:val="18"/>
              </w:rPr>
              <w:t xml:space="preserve">: </w:t>
            </w:r>
            <w:r w:rsidRPr="00BA050E">
              <w:rPr>
                <w:color w:val="auto"/>
                <w:sz w:val="18"/>
                <w:szCs w:val="18"/>
              </w:rPr>
              <w:t>Number of WB-supported communities applying social account-ability tools in education sector</w:t>
            </w:r>
          </w:p>
          <w:p w14:paraId="50FC01F0"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0 (2013)</w:t>
            </w:r>
          </w:p>
          <w:p w14:paraId="6EE34733"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Target:    40 (2016)</w:t>
            </w:r>
          </w:p>
          <w:p w14:paraId="202F68C3" w14:textId="77777777" w:rsidR="00B44D67" w:rsidRPr="00BA050E" w:rsidRDefault="00B44D67" w:rsidP="00241C66">
            <w:pPr>
              <w:spacing w:after="0" w:line="240" w:lineRule="auto"/>
              <w:ind w:left="0" w:right="0" w:firstLine="0"/>
              <w:rPr>
                <w:bCs/>
                <w:color w:val="auto"/>
                <w:sz w:val="18"/>
                <w:szCs w:val="18"/>
              </w:rPr>
            </w:pPr>
            <w:r w:rsidRPr="00BA050E">
              <w:rPr>
                <w:b/>
                <w:i/>
                <w:color w:val="auto"/>
                <w:sz w:val="18"/>
                <w:szCs w:val="18"/>
              </w:rPr>
              <w:t>Indicator 2</w:t>
            </w:r>
            <w:r w:rsidRPr="00BA050E">
              <w:rPr>
                <w:i/>
                <w:color w:val="auto"/>
                <w:sz w:val="18"/>
                <w:szCs w:val="18"/>
              </w:rPr>
              <w:t>:</w:t>
            </w:r>
            <w:r w:rsidRPr="00BA050E">
              <w:rPr>
                <w:color w:val="auto"/>
                <w:sz w:val="18"/>
                <w:szCs w:val="18"/>
              </w:rPr>
              <w:t xml:space="preserve"> Number of government data sets’ downloads from Open Data Portal</w:t>
            </w:r>
          </w:p>
          <w:p w14:paraId="55D2D6C8"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0 (2013)</w:t>
            </w:r>
          </w:p>
          <w:p w14:paraId="14869D9C"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color w:val="auto"/>
                <w:sz w:val="18"/>
                <w:szCs w:val="18"/>
              </w:rPr>
              <w:t>Target:    1,450,000 (2016)</w:t>
            </w:r>
          </w:p>
        </w:tc>
        <w:tc>
          <w:tcPr>
            <w:tcW w:w="1380" w:type="pct"/>
            <w:tcBorders>
              <w:top w:val="single" w:sz="4" w:space="0" w:color="auto"/>
              <w:left w:val="single" w:sz="4" w:space="0" w:color="auto"/>
              <w:bottom w:val="single" w:sz="4" w:space="0" w:color="auto"/>
              <w:right w:val="single" w:sz="4" w:space="0" w:color="auto"/>
            </w:tcBorders>
          </w:tcPr>
          <w:p w14:paraId="0B59332E"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b/>
                <w:color w:val="auto"/>
                <w:sz w:val="18"/>
                <w:szCs w:val="18"/>
              </w:rPr>
              <w:t xml:space="preserve">Partially achieved </w:t>
            </w:r>
          </w:p>
          <w:p w14:paraId="780D2674" w14:textId="77777777" w:rsidR="00B44D67" w:rsidRPr="00BA050E" w:rsidRDefault="00B44D67" w:rsidP="00241C66">
            <w:pPr>
              <w:spacing w:after="0" w:line="240" w:lineRule="auto"/>
              <w:ind w:left="0" w:right="0" w:firstLine="0"/>
              <w:rPr>
                <w:rFonts w:eastAsia="Calibri"/>
                <w:b/>
                <w:color w:val="auto"/>
                <w:sz w:val="18"/>
                <w:szCs w:val="18"/>
              </w:rPr>
            </w:pPr>
            <w:r w:rsidRPr="00BA050E">
              <w:rPr>
                <w:rFonts w:eastAsia="Calibri"/>
                <w:color w:val="auto"/>
                <w:sz w:val="18"/>
                <w:szCs w:val="18"/>
              </w:rPr>
              <w:t>60 communities participating in GPSA project (2016) applied social accountability tools in secondary education. Students, teachers, parents and representatives of local and regional authorities dialogue on school budgets and performance, discuss school development priorities, and take collective decisions to improve learning environment. Moreover, 26 schools applied selected social accountability tools without formal participation in project activities.</w:t>
            </w:r>
          </w:p>
        </w:tc>
        <w:tc>
          <w:tcPr>
            <w:tcW w:w="966" w:type="pct"/>
            <w:vMerge/>
            <w:tcBorders>
              <w:top w:val="single" w:sz="4" w:space="0" w:color="auto"/>
              <w:left w:val="single" w:sz="4" w:space="0" w:color="auto"/>
              <w:bottom w:val="single" w:sz="4" w:space="0" w:color="auto"/>
              <w:right w:val="single" w:sz="4" w:space="0" w:color="auto"/>
            </w:tcBorders>
            <w:vAlign w:val="center"/>
            <w:hideMark/>
          </w:tcPr>
          <w:p w14:paraId="2B891991" w14:textId="77777777" w:rsidR="00B44D67" w:rsidRPr="00BA050E" w:rsidRDefault="00B44D67" w:rsidP="00241C66">
            <w:pPr>
              <w:spacing w:after="0" w:line="240" w:lineRule="auto"/>
              <w:ind w:left="0" w:right="0" w:firstLine="0"/>
              <w:jc w:val="left"/>
              <w:rPr>
                <w:color w:val="auto"/>
                <w:sz w:val="18"/>
                <w:szCs w:val="18"/>
              </w:rPr>
            </w:pPr>
          </w:p>
        </w:tc>
        <w:tc>
          <w:tcPr>
            <w:tcW w:w="1380" w:type="pct"/>
            <w:tcBorders>
              <w:top w:val="single" w:sz="4" w:space="0" w:color="auto"/>
              <w:left w:val="single" w:sz="4" w:space="0" w:color="auto"/>
              <w:bottom w:val="single" w:sz="4" w:space="0" w:color="auto"/>
              <w:right w:val="single" w:sz="4" w:space="0" w:color="auto"/>
            </w:tcBorders>
          </w:tcPr>
          <w:p w14:paraId="45A69908"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Trust funds are most effective instrument for supporting citizen engagement directly</w:t>
            </w:r>
          </w:p>
          <w:p w14:paraId="23499B14" w14:textId="77777777" w:rsidR="00B44D67" w:rsidRPr="00BA050E" w:rsidRDefault="00B44D67" w:rsidP="00241C66">
            <w:pPr>
              <w:spacing w:after="0" w:line="240" w:lineRule="auto"/>
              <w:ind w:left="0" w:right="0" w:firstLine="0"/>
              <w:rPr>
                <w:rFonts w:eastAsia="Calibri"/>
                <w:color w:val="auto"/>
                <w:sz w:val="18"/>
                <w:szCs w:val="18"/>
              </w:rPr>
            </w:pPr>
          </w:p>
          <w:p w14:paraId="59CF1991"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Effectiveness of citizen engagement activities depends largely on capacity of: local authorities and service providers to communicate; and on CSOs and beneficiaries to demand/understand information</w:t>
            </w:r>
          </w:p>
        </w:tc>
      </w:tr>
      <w:tr w:rsidR="00B44D67" w:rsidRPr="00BA050E" w14:paraId="2701BDC9" w14:textId="77777777" w:rsidTr="00241C66">
        <w:tc>
          <w:tcPr>
            <w:tcW w:w="1274" w:type="pct"/>
            <w:tcBorders>
              <w:top w:val="single" w:sz="4" w:space="0" w:color="auto"/>
              <w:left w:val="single" w:sz="4" w:space="0" w:color="auto"/>
              <w:bottom w:val="single" w:sz="4" w:space="0" w:color="auto"/>
              <w:right w:val="single" w:sz="4" w:space="0" w:color="auto"/>
            </w:tcBorders>
          </w:tcPr>
          <w:p w14:paraId="2BDFBA49"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Increased uptake of government e-services, including by females</w:t>
            </w:r>
          </w:p>
          <w:p w14:paraId="40FA54DE"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1</w:t>
            </w:r>
            <w:r w:rsidRPr="00BA050E">
              <w:rPr>
                <w:i/>
                <w:color w:val="auto"/>
                <w:sz w:val="18"/>
                <w:szCs w:val="18"/>
              </w:rPr>
              <w:t xml:space="preserve">: </w:t>
            </w:r>
            <w:r w:rsidRPr="00BA050E">
              <w:rPr>
                <w:color w:val="auto"/>
                <w:sz w:val="18"/>
                <w:szCs w:val="18"/>
              </w:rPr>
              <w:t>Percent of direct project beneficiaries (including female)</w:t>
            </w:r>
          </w:p>
          <w:p w14:paraId="5E969406"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20,000 (40 percent female) (2013)</w:t>
            </w:r>
          </w:p>
          <w:p w14:paraId="51B9A00B"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Target:    300,000 (50 percent female) (2017)</w:t>
            </w:r>
          </w:p>
        </w:tc>
        <w:tc>
          <w:tcPr>
            <w:tcW w:w="1380" w:type="pct"/>
            <w:tcBorders>
              <w:top w:val="single" w:sz="4" w:space="0" w:color="auto"/>
              <w:left w:val="single" w:sz="4" w:space="0" w:color="auto"/>
              <w:bottom w:val="single" w:sz="4" w:space="0" w:color="auto"/>
              <w:right w:val="single" w:sz="4" w:space="0" w:color="auto"/>
            </w:tcBorders>
          </w:tcPr>
          <w:p w14:paraId="593D951F"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Achieved</w:t>
            </w:r>
            <w:r w:rsidRPr="00BA050E">
              <w:rPr>
                <w:rFonts w:eastAsia="Calibri"/>
                <w:color w:val="auto"/>
                <w:sz w:val="18"/>
                <w:szCs w:val="18"/>
              </w:rPr>
              <w:t xml:space="preserve">: </w:t>
            </w:r>
            <w:proofErr w:type="spellStart"/>
            <w:r w:rsidRPr="00BA050E">
              <w:rPr>
                <w:rFonts w:eastAsia="Calibri"/>
                <w:color w:val="auto"/>
                <w:sz w:val="18"/>
                <w:szCs w:val="18"/>
              </w:rPr>
              <w:t>GeT</w:t>
            </w:r>
            <w:proofErr w:type="spellEnd"/>
            <w:r w:rsidRPr="00BA050E">
              <w:rPr>
                <w:rFonts w:eastAsia="Calibri"/>
                <w:color w:val="auto"/>
                <w:sz w:val="18"/>
                <w:szCs w:val="18"/>
              </w:rPr>
              <w:t xml:space="preserve"> project reached 617,354 beneficiaries, of which 51.8 percent were women</w:t>
            </w:r>
          </w:p>
        </w:tc>
        <w:tc>
          <w:tcPr>
            <w:tcW w:w="966" w:type="pct"/>
            <w:vMerge w:val="restart"/>
            <w:tcBorders>
              <w:top w:val="single" w:sz="4" w:space="0" w:color="auto"/>
              <w:left w:val="single" w:sz="4" w:space="0" w:color="auto"/>
              <w:right w:val="single" w:sz="4" w:space="0" w:color="auto"/>
            </w:tcBorders>
          </w:tcPr>
          <w:p w14:paraId="2A8E98E9" w14:textId="77777777" w:rsidR="00B44D67" w:rsidRPr="00BA050E" w:rsidRDefault="00B44D67" w:rsidP="00241C66">
            <w:pPr>
              <w:spacing w:after="0" w:line="240" w:lineRule="auto"/>
              <w:ind w:left="0" w:right="0" w:firstLine="0"/>
              <w:jc w:val="left"/>
              <w:rPr>
                <w:rFonts w:eastAsia="Calibri"/>
                <w:color w:val="0070C0"/>
                <w:sz w:val="18"/>
                <w:szCs w:val="18"/>
              </w:rPr>
            </w:pPr>
          </w:p>
        </w:tc>
        <w:tc>
          <w:tcPr>
            <w:tcW w:w="1380" w:type="pct"/>
            <w:tcBorders>
              <w:top w:val="single" w:sz="4" w:space="0" w:color="auto"/>
              <w:left w:val="single" w:sz="4" w:space="0" w:color="auto"/>
              <w:bottom w:val="single" w:sz="4" w:space="0" w:color="auto"/>
              <w:right w:val="single" w:sz="4" w:space="0" w:color="auto"/>
            </w:tcBorders>
          </w:tcPr>
          <w:p w14:paraId="3B8CE388" w14:textId="77777777" w:rsidR="00B44D67" w:rsidRPr="00BA050E" w:rsidRDefault="00B44D67" w:rsidP="00241C66">
            <w:pPr>
              <w:spacing w:after="0" w:line="240" w:lineRule="auto"/>
              <w:ind w:left="0" w:right="0" w:firstLine="0"/>
              <w:rPr>
                <w:rFonts w:ascii="Calibri" w:eastAsia="Calibri" w:hAnsi="Calibri"/>
                <w:b/>
                <w:color w:val="auto"/>
                <w:sz w:val="18"/>
                <w:szCs w:val="18"/>
              </w:rPr>
            </w:pPr>
            <w:r w:rsidRPr="00BA050E">
              <w:rPr>
                <w:rFonts w:eastAsia="Calibri"/>
                <w:color w:val="auto"/>
                <w:sz w:val="18"/>
                <w:szCs w:val="18"/>
              </w:rPr>
              <w:t>With uptake double the rate expected, Moldova’s population is evidently ready for transition to electronic services and government should therefore plan accordingly</w:t>
            </w:r>
          </w:p>
        </w:tc>
      </w:tr>
      <w:tr w:rsidR="00B44D67" w:rsidRPr="00BA050E" w14:paraId="254D22C9" w14:textId="77777777" w:rsidTr="00241C66">
        <w:tc>
          <w:tcPr>
            <w:tcW w:w="1274" w:type="pct"/>
            <w:tcBorders>
              <w:top w:val="single" w:sz="4" w:space="0" w:color="auto"/>
              <w:left w:val="single" w:sz="4" w:space="0" w:color="auto"/>
              <w:bottom w:val="single" w:sz="4" w:space="0" w:color="auto"/>
              <w:right w:val="single" w:sz="4" w:space="0" w:color="auto"/>
            </w:tcBorders>
          </w:tcPr>
          <w:p w14:paraId="08DA98A5"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Increased favorable citizen perception of quality of public service</w:t>
            </w:r>
          </w:p>
          <w:p w14:paraId="451EB680"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1</w:t>
            </w:r>
            <w:r w:rsidRPr="00BA050E">
              <w:rPr>
                <w:i/>
                <w:color w:val="auto"/>
                <w:sz w:val="18"/>
                <w:szCs w:val="18"/>
              </w:rPr>
              <w:t xml:space="preserve">: </w:t>
            </w:r>
            <w:r w:rsidRPr="00BA050E">
              <w:rPr>
                <w:color w:val="auto"/>
                <w:sz w:val="18"/>
                <w:szCs w:val="18"/>
              </w:rPr>
              <w:t>Share of satisfied citizens accessing Government Services Portal)</w:t>
            </w:r>
          </w:p>
          <w:p w14:paraId="464C2E0E"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45 percent (2013)</w:t>
            </w:r>
          </w:p>
          <w:p w14:paraId="738FBBF4" w14:textId="77777777" w:rsidR="00B44D67" w:rsidRPr="00BA050E" w:rsidRDefault="00B44D67" w:rsidP="00241C66">
            <w:pPr>
              <w:spacing w:after="0" w:line="240" w:lineRule="auto"/>
              <w:ind w:left="0" w:right="0" w:firstLine="0"/>
              <w:rPr>
                <w:rFonts w:eastAsia="Calibri"/>
                <w:b/>
                <w:color w:val="auto"/>
                <w:sz w:val="18"/>
                <w:szCs w:val="18"/>
              </w:rPr>
            </w:pPr>
            <w:r w:rsidRPr="00BA050E">
              <w:rPr>
                <w:color w:val="auto"/>
                <w:sz w:val="18"/>
                <w:szCs w:val="18"/>
              </w:rPr>
              <w:t>Target:     60 percent (2017)</w:t>
            </w:r>
          </w:p>
        </w:tc>
        <w:tc>
          <w:tcPr>
            <w:tcW w:w="1380" w:type="pct"/>
            <w:tcBorders>
              <w:top w:val="single" w:sz="4" w:space="0" w:color="auto"/>
              <w:left w:val="single" w:sz="4" w:space="0" w:color="auto"/>
              <w:bottom w:val="single" w:sz="4" w:space="0" w:color="auto"/>
              <w:right w:val="single" w:sz="4" w:space="0" w:color="auto"/>
            </w:tcBorders>
          </w:tcPr>
          <w:p w14:paraId="6C2A7CE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t xml:space="preserve">Achieved: </w:t>
            </w:r>
            <w:r w:rsidRPr="00BA050E">
              <w:rPr>
                <w:rFonts w:eastAsia="Calibri"/>
                <w:color w:val="auto"/>
                <w:sz w:val="18"/>
                <w:szCs w:val="18"/>
              </w:rPr>
              <w:t xml:space="preserve">Recent surveys under </w:t>
            </w:r>
            <w:proofErr w:type="spellStart"/>
            <w:r w:rsidRPr="00BA050E">
              <w:rPr>
                <w:rFonts w:eastAsia="Calibri"/>
                <w:color w:val="auto"/>
                <w:sz w:val="18"/>
                <w:szCs w:val="18"/>
              </w:rPr>
              <w:t>GeT</w:t>
            </w:r>
            <w:proofErr w:type="spellEnd"/>
            <w:r w:rsidRPr="00BA050E">
              <w:rPr>
                <w:rFonts w:eastAsia="Calibri"/>
                <w:color w:val="auto"/>
                <w:sz w:val="18"/>
                <w:szCs w:val="18"/>
              </w:rPr>
              <w:t xml:space="preserve"> project show 66 percent satisfaction with overall quality of transaction processing on main Government Services Portal</w:t>
            </w:r>
          </w:p>
        </w:tc>
        <w:tc>
          <w:tcPr>
            <w:tcW w:w="966" w:type="pct"/>
            <w:vMerge/>
            <w:tcBorders>
              <w:left w:val="single" w:sz="4" w:space="0" w:color="auto"/>
              <w:bottom w:val="single" w:sz="4" w:space="0" w:color="auto"/>
              <w:right w:val="single" w:sz="4" w:space="0" w:color="auto"/>
            </w:tcBorders>
          </w:tcPr>
          <w:p w14:paraId="3507382F" w14:textId="77777777" w:rsidR="00B44D67" w:rsidRPr="00BA050E" w:rsidRDefault="00B44D67" w:rsidP="00241C66">
            <w:pPr>
              <w:spacing w:after="0" w:line="240" w:lineRule="auto"/>
              <w:ind w:left="0" w:right="0" w:firstLine="0"/>
              <w:jc w:val="left"/>
              <w:rPr>
                <w:rFonts w:eastAsia="Calibri"/>
                <w:color w:val="0070C0"/>
                <w:sz w:val="18"/>
                <w:szCs w:val="18"/>
              </w:rPr>
            </w:pPr>
          </w:p>
        </w:tc>
        <w:tc>
          <w:tcPr>
            <w:tcW w:w="1380" w:type="pct"/>
            <w:tcBorders>
              <w:top w:val="single" w:sz="4" w:space="0" w:color="auto"/>
              <w:left w:val="single" w:sz="4" w:space="0" w:color="auto"/>
              <w:bottom w:val="single" w:sz="4" w:space="0" w:color="auto"/>
              <w:right w:val="single" w:sz="4" w:space="0" w:color="auto"/>
            </w:tcBorders>
          </w:tcPr>
          <w:p w14:paraId="710343CE" w14:textId="77777777" w:rsidR="00B44D67" w:rsidRPr="00BA050E" w:rsidRDefault="00B44D67" w:rsidP="00241C66">
            <w:pPr>
              <w:spacing w:after="0" w:line="240" w:lineRule="auto"/>
              <w:ind w:left="0" w:right="0" w:firstLine="0"/>
              <w:jc w:val="left"/>
              <w:rPr>
                <w:rFonts w:eastAsia="Calibri"/>
                <w:b/>
                <w:color w:val="auto"/>
                <w:sz w:val="18"/>
                <w:szCs w:val="18"/>
              </w:rPr>
            </w:pPr>
          </w:p>
        </w:tc>
      </w:tr>
      <w:tr w:rsidR="00B44D67" w:rsidRPr="00BA050E" w14:paraId="456721D4" w14:textId="77777777" w:rsidTr="00241C66">
        <w:tc>
          <w:tcPr>
            <w:tcW w:w="1274" w:type="pct"/>
            <w:tcBorders>
              <w:top w:val="single" w:sz="4" w:space="0" w:color="auto"/>
              <w:left w:val="single" w:sz="4" w:space="0" w:color="auto"/>
              <w:bottom w:val="single" w:sz="4" w:space="0" w:color="auto"/>
              <w:right w:val="single" w:sz="4" w:space="0" w:color="auto"/>
            </w:tcBorders>
          </w:tcPr>
          <w:p w14:paraId="1B3C30B2" w14:textId="77777777" w:rsidR="00B44D67" w:rsidRPr="00BA050E" w:rsidRDefault="00B44D67" w:rsidP="006D2153">
            <w:pPr>
              <w:numPr>
                <w:ilvl w:val="0"/>
                <w:numId w:val="29"/>
              </w:numPr>
              <w:spacing w:after="0" w:line="240" w:lineRule="auto"/>
              <w:ind w:right="0"/>
              <w:jc w:val="left"/>
              <w:rPr>
                <w:b/>
                <w:color w:val="auto"/>
                <w:sz w:val="18"/>
                <w:szCs w:val="18"/>
              </w:rPr>
            </w:pPr>
            <w:r w:rsidRPr="00BA050E">
              <w:rPr>
                <w:b/>
                <w:color w:val="auto"/>
                <w:sz w:val="18"/>
                <w:szCs w:val="18"/>
              </w:rPr>
              <w:t>Improved interaction and strengthened understanding of development challenges between representatives of both banks of Nistru river.</w:t>
            </w:r>
          </w:p>
          <w:p w14:paraId="6F24CE90" w14:textId="77777777" w:rsidR="00B44D67" w:rsidRDefault="00B44D67" w:rsidP="00241C66">
            <w:pPr>
              <w:spacing w:after="0" w:line="240" w:lineRule="auto"/>
              <w:ind w:left="0" w:right="0" w:firstLine="0"/>
              <w:rPr>
                <w:b/>
                <w:i/>
                <w:color w:val="auto"/>
                <w:sz w:val="18"/>
                <w:szCs w:val="18"/>
              </w:rPr>
            </w:pPr>
          </w:p>
          <w:p w14:paraId="72156977"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lastRenderedPageBreak/>
              <w:t>Indicator 1.1</w:t>
            </w:r>
            <w:r w:rsidRPr="00BA050E">
              <w:rPr>
                <w:color w:val="auto"/>
                <w:sz w:val="18"/>
                <w:szCs w:val="18"/>
              </w:rPr>
              <w:t>: Introduction to WBG instruments</w:t>
            </w:r>
          </w:p>
          <w:p w14:paraId="3A7BDD83"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32 (2015)</w:t>
            </w:r>
          </w:p>
          <w:p w14:paraId="3CEDB7FE"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Target:   40 Transnistrian and 15 right bank representatives (2015)</w:t>
            </w:r>
          </w:p>
          <w:p w14:paraId="06B8571B" w14:textId="77777777" w:rsidR="00B44D67" w:rsidRPr="00BA050E" w:rsidRDefault="00B44D67" w:rsidP="00241C66">
            <w:pPr>
              <w:spacing w:after="0" w:line="240" w:lineRule="auto"/>
              <w:ind w:left="0" w:right="0" w:firstLine="0"/>
              <w:rPr>
                <w:color w:val="auto"/>
                <w:sz w:val="18"/>
                <w:szCs w:val="18"/>
              </w:rPr>
            </w:pPr>
            <w:r w:rsidRPr="00BA050E">
              <w:rPr>
                <w:b/>
                <w:i/>
                <w:color w:val="auto"/>
                <w:sz w:val="18"/>
                <w:szCs w:val="18"/>
              </w:rPr>
              <w:t>Indicator 1.2</w:t>
            </w:r>
            <w:r w:rsidRPr="00BA050E">
              <w:rPr>
                <w:color w:val="auto"/>
                <w:sz w:val="18"/>
                <w:szCs w:val="18"/>
              </w:rPr>
              <w:t xml:space="preserve">: Training in international procurement and best practices </w:t>
            </w:r>
          </w:p>
          <w:p w14:paraId="68F25364" w14:textId="77777777" w:rsidR="00B44D67" w:rsidRPr="00BA050E" w:rsidRDefault="00B44D67" w:rsidP="00241C66">
            <w:pPr>
              <w:spacing w:after="0" w:line="240" w:lineRule="auto"/>
              <w:ind w:left="0" w:right="0" w:firstLine="0"/>
              <w:rPr>
                <w:color w:val="auto"/>
                <w:sz w:val="18"/>
                <w:szCs w:val="18"/>
              </w:rPr>
            </w:pPr>
            <w:r w:rsidRPr="00BA050E">
              <w:rPr>
                <w:color w:val="auto"/>
                <w:sz w:val="18"/>
                <w:szCs w:val="18"/>
              </w:rPr>
              <w:t>Baseline: 0 (2013)</w:t>
            </w:r>
          </w:p>
          <w:p w14:paraId="33760017"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Target:  20 Transnistrian representatives</w:t>
            </w:r>
          </w:p>
          <w:p w14:paraId="50EE4740" w14:textId="77777777" w:rsidR="00B44D67" w:rsidRPr="00BA050E" w:rsidRDefault="00B44D67" w:rsidP="00241C66">
            <w:pPr>
              <w:spacing w:after="0" w:line="240" w:lineRule="auto"/>
              <w:ind w:left="0" w:right="0" w:firstLine="0"/>
              <w:jc w:val="left"/>
              <w:rPr>
                <w:color w:val="auto"/>
                <w:sz w:val="18"/>
                <w:szCs w:val="18"/>
              </w:rPr>
            </w:pPr>
            <w:r w:rsidRPr="00BA050E">
              <w:rPr>
                <w:b/>
                <w:i/>
                <w:color w:val="auto"/>
                <w:sz w:val="18"/>
                <w:szCs w:val="18"/>
              </w:rPr>
              <w:t>Indicator 1.3</w:t>
            </w:r>
            <w:r w:rsidRPr="00BA050E">
              <w:rPr>
                <w:color w:val="auto"/>
                <w:sz w:val="18"/>
                <w:szCs w:val="18"/>
              </w:rPr>
              <w:t>: Training in public-private partnerships</w:t>
            </w:r>
          </w:p>
          <w:p w14:paraId="6030345F"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Baseline:   0 (2013)</w:t>
            </w:r>
          </w:p>
          <w:p w14:paraId="3455FD59" w14:textId="77777777" w:rsidR="00B44D67" w:rsidRPr="00BA050E" w:rsidRDefault="00B44D67" w:rsidP="00241C66">
            <w:pPr>
              <w:spacing w:after="0" w:line="240" w:lineRule="auto"/>
              <w:ind w:left="0" w:right="0" w:firstLine="0"/>
              <w:jc w:val="left"/>
              <w:rPr>
                <w:rFonts w:eastAsia="Calibri"/>
                <w:b/>
                <w:color w:val="auto"/>
                <w:sz w:val="18"/>
                <w:szCs w:val="18"/>
              </w:rPr>
            </w:pPr>
            <w:r w:rsidRPr="00BA050E">
              <w:rPr>
                <w:color w:val="auto"/>
                <w:sz w:val="18"/>
                <w:szCs w:val="18"/>
              </w:rPr>
              <w:t>Target:  20 Transnistrian representatives (2015)</w:t>
            </w:r>
          </w:p>
        </w:tc>
        <w:tc>
          <w:tcPr>
            <w:tcW w:w="1380" w:type="pct"/>
            <w:tcBorders>
              <w:top w:val="single" w:sz="4" w:space="0" w:color="auto"/>
              <w:left w:val="single" w:sz="4" w:space="0" w:color="auto"/>
              <w:bottom w:val="single" w:sz="4" w:space="0" w:color="auto"/>
              <w:right w:val="single" w:sz="4" w:space="0" w:color="auto"/>
            </w:tcBorders>
          </w:tcPr>
          <w:p w14:paraId="61E51B31"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b/>
                <w:color w:val="auto"/>
                <w:sz w:val="18"/>
                <w:szCs w:val="18"/>
              </w:rPr>
              <w:lastRenderedPageBreak/>
              <w:t xml:space="preserve">Achieved: </w:t>
            </w:r>
            <w:r w:rsidRPr="00BA050E">
              <w:rPr>
                <w:rFonts w:eastAsia="Calibri"/>
                <w:color w:val="auto"/>
                <w:sz w:val="18"/>
                <w:szCs w:val="18"/>
              </w:rPr>
              <w:t>While quantitative indicators were achieved, implementation of Korean TF Knowledge Program was slow, with only one of four pilot sub-projects completed by end-2015. Implementation of three remaining sub-projects planned for 2017.</w:t>
            </w:r>
          </w:p>
          <w:p w14:paraId="2D511B2A"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lastRenderedPageBreak/>
              <w:t>40 Transnistrian and 15 right bank representatives (2015)</w:t>
            </w:r>
          </w:p>
          <w:p w14:paraId="1B8BF779" w14:textId="77777777" w:rsidR="00B44D67" w:rsidRPr="00BA050E" w:rsidRDefault="00B44D67" w:rsidP="00241C66">
            <w:pPr>
              <w:spacing w:after="0" w:line="240" w:lineRule="auto"/>
              <w:ind w:left="0" w:right="0" w:firstLine="0"/>
              <w:jc w:val="left"/>
              <w:rPr>
                <w:rFonts w:eastAsia="Calibri"/>
                <w:color w:val="auto"/>
                <w:sz w:val="18"/>
                <w:szCs w:val="18"/>
              </w:rPr>
            </w:pPr>
          </w:p>
          <w:p w14:paraId="63A18EEF" w14:textId="77777777" w:rsidR="00B44D67" w:rsidRPr="00BA050E" w:rsidRDefault="00B44D67" w:rsidP="00241C66">
            <w:pPr>
              <w:spacing w:after="0" w:line="240" w:lineRule="auto"/>
              <w:ind w:left="0" w:right="0" w:firstLine="0"/>
              <w:jc w:val="left"/>
              <w:rPr>
                <w:rFonts w:eastAsia="Calibri"/>
                <w:color w:val="auto"/>
                <w:sz w:val="18"/>
                <w:szCs w:val="18"/>
              </w:rPr>
            </w:pPr>
          </w:p>
          <w:p w14:paraId="47F54695" w14:textId="77777777" w:rsidR="00B44D67" w:rsidRDefault="00B44D67" w:rsidP="00241C66">
            <w:pPr>
              <w:spacing w:after="0" w:line="240" w:lineRule="auto"/>
              <w:ind w:left="0" w:right="0" w:firstLine="0"/>
              <w:jc w:val="left"/>
              <w:rPr>
                <w:color w:val="auto"/>
                <w:sz w:val="18"/>
                <w:szCs w:val="18"/>
              </w:rPr>
            </w:pPr>
          </w:p>
          <w:p w14:paraId="27A1A137" w14:textId="77777777" w:rsidR="00B44D67" w:rsidRPr="00BA050E" w:rsidRDefault="00B44D67" w:rsidP="00241C66">
            <w:pPr>
              <w:spacing w:after="0" w:line="240" w:lineRule="auto"/>
              <w:ind w:left="0" w:right="0" w:firstLine="0"/>
              <w:jc w:val="left"/>
              <w:rPr>
                <w:color w:val="auto"/>
                <w:sz w:val="18"/>
                <w:szCs w:val="18"/>
              </w:rPr>
            </w:pPr>
            <w:r w:rsidRPr="00BA050E">
              <w:rPr>
                <w:color w:val="auto"/>
                <w:sz w:val="18"/>
                <w:szCs w:val="18"/>
              </w:rPr>
              <w:t>20 Transnistrian representatives (2015)</w:t>
            </w:r>
          </w:p>
          <w:p w14:paraId="7EB281B6" w14:textId="77777777" w:rsidR="00B44D67" w:rsidRDefault="00B44D67" w:rsidP="00241C66">
            <w:pPr>
              <w:spacing w:after="0" w:line="240" w:lineRule="auto"/>
              <w:ind w:left="0" w:right="0" w:firstLine="0"/>
              <w:jc w:val="left"/>
              <w:rPr>
                <w:color w:val="auto"/>
                <w:sz w:val="18"/>
                <w:szCs w:val="18"/>
              </w:rPr>
            </w:pPr>
          </w:p>
          <w:p w14:paraId="21270EF1" w14:textId="77777777" w:rsidR="00B44D67" w:rsidRDefault="00B44D67" w:rsidP="00241C66">
            <w:pPr>
              <w:spacing w:after="0" w:line="240" w:lineRule="auto"/>
              <w:ind w:left="0" w:right="0" w:firstLine="0"/>
              <w:jc w:val="left"/>
              <w:rPr>
                <w:color w:val="auto"/>
                <w:sz w:val="18"/>
                <w:szCs w:val="18"/>
              </w:rPr>
            </w:pPr>
          </w:p>
          <w:p w14:paraId="7274F5B6" w14:textId="77777777" w:rsidR="00B44D67" w:rsidRDefault="00B44D67" w:rsidP="00241C66">
            <w:pPr>
              <w:spacing w:after="0" w:line="240" w:lineRule="auto"/>
              <w:ind w:left="0" w:right="0" w:firstLine="0"/>
              <w:jc w:val="left"/>
              <w:rPr>
                <w:color w:val="auto"/>
                <w:sz w:val="18"/>
                <w:szCs w:val="18"/>
              </w:rPr>
            </w:pPr>
          </w:p>
          <w:p w14:paraId="0C032FDF" w14:textId="77777777" w:rsidR="00B44D67" w:rsidRPr="00BA050E" w:rsidRDefault="00B44D67" w:rsidP="00241C66">
            <w:pPr>
              <w:spacing w:after="0" w:line="240" w:lineRule="auto"/>
              <w:ind w:left="0" w:right="0" w:firstLine="0"/>
              <w:jc w:val="left"/>
              <w:rPr>
                <w:rFonts w:eastAsia="Calibri"/>
                <w:color w:val="auto"/>
                <w:sz w:val="18"/>
                <w:szCs w:val="18"/>
              </w:rPr>
            </w:pPr>
            <w:r w:rsidRPr="00BA050E">
              <w:rPr>
                <w:color w:val="auto"/>
                <w:sz w:val="18"/>
                <w:szCs w:val="18"/>
              </w:rPr>
              <w:t>20 Transnistrian representatives (2015)</w:t>
            </w:r>
          </w:p>
        </w:tc>
        <w:tc>
          <w:tcPr>
            <w:tcW w:w="966" w:type="pct"/>
            <w:tcBorders>
              <w:top w:val="single" w:sz="4" w:space="0" w:color="auto"/>
              <w:left w:val="single" w:sz="4" w:space="0" w:color="auto"/>
              <w:bottom w:val="single" w:sz="4" w:space="0" w:color="auto"/>
              <w:right w:val="single" w:sz="4" w:space="0" w:color="auto"/>
            </w:tcBorders>
          </w:tcPr>
          <w:p w14:paraId="71502F16" w14:textId="77777777" w:rsidR="00B44D67" w:rsidRPr="0034766C" w:rsidRDefault="00B44D67" w:rsidP="00241C66">
            <w:pPr>
              <w:spacing w:after="0" w:line="240" w:lineRule="auto"/>
              <w:ind w:left="0" w:right="0" w:firstLine="0"/>
              <w:jc w:val="left"/>
              <w:rPr>
                <w:b/>
                <w:color w:val="auto"/>
                <w:sz w:val="18"/>
                <w:szCs w:val="18"/>
              </w:rPr>
            </w:pPr>
            <w:r w:rsidRPr="0034766C">
              <w:rPr>
                <w:b/>
                <w:color w:val="auto"/>
                <w:sz w:val="18"/>
                <w:szCs w:val="18"/>
              </w:rPr>
              <w:lastRenderedPageBreak/>
              <w:t>TFs:</w:t>
            </w:r>
          </w:p>
          <w:p w14:paraId="2C2B5E39" w14:textId="77777777" w:rsidR="00B44D67" w:rsidRPr="0034766C" w:rsidRDefault="00B44D67" w:rsidP="00241C66">
            <w:pPr>
              <w:spacing w:after="0" w:line="240" w:lineRule="auto"/>
              <w:ind w:left="0" w:right="0" w:firstLine="0"/>
              <w:jc w:val="left"/>
              <w:rPr>
                <w:color w:val="auto"/>
                <w:sz w:val="18"/>
                <w:szCs w:val="18"/>
              </w:rPr>
            </w:pPr>
            <w:r w:rsidRPr="00BA050E">
              <w:rPr>
                <w:color w:val="auto"/>
                <w:sz w:val="18"/>
                <w:szCs w:val="18"/>
              </w:rPr>
              <w:t>Korean TF for Knowledge Program for Confidence Building in Moldova and Transnistria</w:t>
            </w:r>
            <w:r>
              <w:rPr>
                <w:color w:val="auto"/>
                <w:sz w:val="18"/>
                <w:szCs w:val="18"/>
              </w:rPr>
              <w:t xml:space="preserve"> (</w:t>
            </w:r>
            <w:r w:rsidRPr="0034766C">
              <w:rPr>
                <w:color w:val="auto"/>
                <w:sz w:val="18"/>
                <w:szCs w:val="18"/>
              </w:rPr>
              <w:t>P151996</w:t>
            </w:r>
            <w:r>
              <w:rPr>
                <w:color w:val="auto"/>
                <w:sz w:val="18"/>
                <w:szCs w:val="18"/>
              </w:rPr>
              <w:t>)</w:t>
            </w:r>
          </w:p>
        </w:tc>
        <w:tc>
          <w:tcPr>
            <w:tcW w:w="1380" w:type="pct"/>
            <w:tcBorders>
              <w:top w:val="single" w:sz="4" w:space="0" w:color="auto"/>
              <w:left w:val="single" w:sz="4" w:space="0" w:color="auto"/>
              <w:bottom w:val="single" w:sz="4" w:space="0" w:color="auto"/>
              <w:right w:val="single" w:sz="4" w:space="0" w:color="auto"/>
            </w:tcBorders>
          </w:tcPr>
          <w:p w14:paraId="16CA74AB"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Greater realism in setting objectives, with more emphasis on, and resources built into project design process</w:t>
            </w:r>
          </w:p>
          <w:p w14:paraId="6FEA944B" w14:textId="77777777" w:rsidR="00B44D67" w:rsidRPr="00BA050E" w:rsidRDefault="00B44D67" w:rsidP="00241C66">
            <w:pPr>
              <w:spacing w:after="0" w:line="240" w:lineRule="auto"/>
              <w:ind w:left="0" w:right="0" w:firstLine="0"/>
              <w:rPr>
                <w:rFonts w:eastAsia="Calibri"/>
                <w:color w:val="auto"/>
                <w:sz w:val="18"/>
                <w:szCs w:val="18"/>
              </w:rPr>
            </w:pPr>
          </w:p>
          <w:p w14:paraId="1547E8BA"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International experts and study tours may help facilitate dialogue between policy makers</w:t>
            </w:r>
          </w:p>
          <w:p w14:paraId="02B7D535" w14:textId="77777777" w:rsidR="00B44D67" w:rsidRPr="00BA050E" w:rsidRDefault="00B44D67" w:rsidP="00241C66">
            <w:pPr>
              <w:spacing w:after="0" w:line="240" w:lineRule="auto"/>
              <w:ind w:left="0" w:right="0" w:firstLine="0"/>
              <w:rPr>
                <w:rFonts w:eastAsia="Calibri"/>
                <w:color w:val="auto"/>
                <w:sz w:val="18"/>
                <w:szCs w:val="18"/>
              </w:rPr>
            </w:pPr>
          </w:p>
          <w:p w14:paraId="617AF71E" w14:textId="77777777" w:rsidR="00B44D67" w:rsidRPr="00BA050E" w:rsidRDefault="00B44D67" w:rsidP="00241C66">
            <w:pPr>
              <w:spacing w:after="0" w:line="240" w:lineRule="auto"/>
              <w:ind w:left="0" w:right="0" w:firstLine="0"/>
              <w:rPr>
                <w:rFonts w:eastAsia="Calibri"/>
                <w:color w:val="auto"/>
                <w:sz w:val="18"/>
                <w:szCs w:val="18"/>
              </w:rPr>
            </w:pPr>
            <w:r w:rsidRPr="00BA050E">
              <w:rPr>
                <w:rFonts w:eastAsia="Calibri"/>
                <w:color w:val="auto"/>
                <w:sz w:val="18"/>
                <w:szCs w:val="18"/>
              </w:rPr>
              <w:t>Pilot projects should be in areas of low political importance, e.g. environment, infrastructure, utilities.</w:t>
            </w:r>
          </w:p>
        </w:tc>
      </w:tr>
    </w:tbl>
    <w:p w14:paraId="20898A06" w14:textId="77777777" w:rsidR="00B44D67" w:rsidRPr="00BA050E" w:rsidRDefault="00B44D67" w:rsidP="00B44D67">
      <w:pPr>
        <w:spacing w:after="12" w:line="240" w:lineRule="auto"/>
        <w:ind w:left="0" w:right="0" w:firstLine="0"/>
        <w:jc w:val="center"/>
        <w:rPr>
          <w:rFonts w:eastAsia="Calibri"/>
          <w:b/>
          <w:color w:val="auto"/>
          <w:sz w:val="18"/>
          <w:szCs w:val="18"/>
        </w:rPr>
      </w:pPr>
    </w:p>
    <w:p w14:paraId="5780D102" w14:textId="77777777" w:rsidR="00B44D67" w:rsidRDefault="00B44D67" w:rsidP="00B44D67">
      <w:pPr>
        <w:spacing w:after="12" w:line="240" w:lineRule="auto"/>
        <w:ind w:left="0" w:right="0" w:firstLine="0"/>
        <w:jc w:val="center"/>
        <w:rPr>
          <w:rFonts w:eastAsia="Calibri"/>
          <w:b/>
          <w:color w:val="auto"/>
          <w:sz w:val="18"/>
          <w:szCs w:val="18"/>
        </w:rPr>
      </w:pPr>
    </w:p>
    <w:p w14:paraId="03DF28D9" w14:textId="77777777" w:rsidR="00B44D67" w:rsidRPr="00BA050E" w:rsidRDefault="00B44D67" w:rsidP="00B44D67">
      <w:pPr>
        <w:spacing w:after="12" w:line="240" w:lineRule="auto"/>
        <w:ind w:left="0" w:right="0" w:firstLine="0"/>
        <w:jc w:val="center"/>
        <w:rPr>
          <w:rFonts w:eastAsia="Calibri"/>
          <w:color w:val="auto"/>
          <w:sz w:val="18"/>
          <w:szCs w:val="18"/>
        </w:rPr>
      </w:pPr>
      <w:r w:rsidRPr="00BA050E">
        <w:rPr>
          <w:rFonts w:eastAsia="Calibri"/>
          <w:b/>
          <w:color w:val="auto"/>
          <w:sz w:val="18"/>
          <w:szCs w:val="18"/>
        </w:rPr>
        <w:t>Table 1. Summary of outcome ratings</w:t>
      </w:r>
    </w:p>
    <w:tbl>
      <w:tblPr>
        <w:tblStyle w:val="TableGrid11"/>
        <w:tblW w:w="12932" w:type="dxa"/>
        <w:tblInd w:w="113" w:type="dxa"/>
        <w:tblLayout w:type="fixed"/>
        <w:tblCellMar>
          <w:top w:w="88" w:type="dxa"/>
          <w:left w:w="80" w:type="dxa"/>
          <w:right w:w="39" w:type="dxa"/>
        </w:tblCellMar>
        <w:tblLook w:val="04A0" w:firstRow="1" w:lastRow="0" w:firstColumn="1" w:lastColumn="0" w:noHBand="0" w:noVBand="1"/>
      </w:tblPr>
      <w:tblGrid>
        <w:gridCol w:w="4202"/>
        <w:gridCol w:w="1455"/>
        <w:gridCol w:w="1455"/>
        <w:gridCol w:w="1455"/>
        <w:gridCol w:w="1455"/>
        <w:gridCol w:w="1455"/>
        <w:gridCol w:w="1455"/>
      </w:tblGrid>
      <w:tr w:rsidR="00B44D67" w:rsidRPr="00BA050E" w14:paraId="1A7AD17F" w14:textId="77777777" w:rsidTr="00241C66">
        <w:trPr>
          <w:trHeight w:val="334"/>
        </w:trPr>
        <w:tc>
          <w:tcPr>
            <w:tcW w:w="4202" w:type="dxa"/>
            <w:tcBorders>
              <w:top w:val="single" w:sz="4" w:space="0" w:color="000000"/>
              <w:left w:val="single" w:sz="4" w:space="0" w:color="000000"/>
              <w:bottom w:val="single" w:sz="4" w:space="0" w:color="000000"/>
              <w:right w:val="single" w:sz="4" w:space="0" w:color="000000"/>
            </w:tcBorders>
          </w:tcPr>
          <w:p w14:paraId="232ECE9F" w14:textId="77777777" w:rsidR="00B44D67" w:rsidRPr="00BA050E" w:rsidRDefault="00B44D67" w:rsidP="00241C66">
            <w:pPr>
              <w:spacing w:after="0" w:line="259" w:lineRule="auto"/>
              <w:ind w:left="0" w:right="0" w:firstLine="0"/>
              <w:jc w:val="center"/>
              <w:rPr>
                <w:color w:val="auto"/>
                <w:sz w:val="18"/>
                <w:szCs w:val="18"/>
              </w:rPr>
            </w:pPr>
            <w:r w:rsidRPr="00BA050E">
              <w:rPr>
                <w:color w:val="auto"/>
                <w:sz w:val="18"/>
                <w:szCs w:val="18"/>
              </w:rPr>
              <w:t>Pillar</w:t>
            </w:r>
          </w:p>
        </w:tc>
        <w:tc>
          <w:tcPr>
            <w:tcW w:w="1455" w:type="dxa"/>
            <w:tcBorders>
              <w:top w:val="single" w:sz="4" w:space="0" w:color="000000"/>
              <w:left w:val="single" w:sz="4" w:space="0" w:color="000000"/>
              <w:bottom w:val="single" w:sz="4" w:space="0" w:color="000000"/>
              <w:right w:val="single" w:sz="4" w:space="0" w:color="000000"/>
            </w:tcBorders>
          </w:tcPr>
          <w:p w14:paraId="55B96FAB" w14:textId="77777777" w:rsidR="00B44D67" w:rsidRPr="00BA050E" w:rsidRDefault="00B44D67" w:rsidP="00241C66">
            <w:pPr>
              <w:spacing w:after="0" w:line="240" w:lineRule="auto"/>
              <w:ind w:left="0" w:right="0" w:firstLine="0"/>
              <w:jc w:val="center"/>
              <w:rPr>
                <w:color w:val="auto"/>
                <w:sz w:val="18"/>
                <w:szCs w:val="18"/>
              </w:rPr>
            </w:pPr>
            <w:r w:rsidRPr="00BA050E">
              <w:rPr>
                <w:color w:val="auto"/>
                <w:sz w:val="18"/>
                <w:szCs w:val="18"/>
              </w:rPr>
              <w:t>No. of outcomes</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45FDDF05" w14:textId="77777777" w:rsidR="00B44D67" w:rsidRPr="00BA050E" w:rsidRDefault="00B44D67" w:rsidP="00241C66">
            <w:pPr>
              <w:spacing w:after="0" w:line="259" w:lineRule="auto"/>
              <w:ind w:left="0" w:right="40" w:firstLine="0"/>
              <w:jc w:val="center"/>
              <w:rPr>
                <w:color w:val="auto"/>
                <w:sz w:val="18"/>
                <w:szCs w:val="18"/>
              </w:rPr>
            </w:pPr>
            <w:r w:rsidRPr="00BA050E">
              <w:rPr>
                <w:color w:val="auto"/>
                <w:sz w:val="18"/>
                <w:szCs w:val="18"/>
              </w:rPr>
              <w:t>Achieved</w:t>
            </w:r>
          </w:p>
        </w:tc>
        <w:tc>
          <w:tcPr>
            <w:tcW w:w="1455" w:type="dxa"/>
            <w:tcBorders>
              <w:top w:val="single" w:sz="4" w:space="0" w:color="000000"/>
              <w:left w:val="single" w:sz="4" w:space="0" w:color="000000"/>
              <w:bottom w:val="single" w:sz="4" w:space="0" w:color="000000"/>
              <w:right w:val="single" w:sz="4" w:space="0" w:color="000000"/>
            </w:tcBorders>
          </w:tcPr>
          <w:p w14:paraId="37618BDF" w14:textId="77777777" w:rsidR="00B44D67" w:rsidRPr="00BA050E" w:rsidRDefault="00B44D67" w:rsidP="00241C66">
            <w:pPr>
              <w:spacing w:after="0" w:line="240" w:lineRule="auto"/>
              <w:ind w:left="0" w:right="0" w:firstLine="0"/>
              <w:jc w:val="center"/>
              <w:rPr>
                <w:color w:val="auto"/>
                <w:sz w:val="18"/>
                <w:szCs w:val="18"/>
              </w:rPr>
            </w:pPr>
            <w:r w:rsidRPr="00BA050E">
              <w:rPr>
                <w:color w:val="auto"/>
                <w:sz w:val="18"/>
                <w:szCs w:val="18"/>
              </w:rPr>
              <w:t>Mostly Achieved</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343FC7AC" w14:textId="77777777" w:rsidR="00B44D67" w:rsidRPr="00BA050E" w:rsidRDefault="00B44D67" w:rsidP="00241C66">
            <w:pPr>
              <w:spacing w:after="0" w:line="240" w:lineRule="auto"/>
              <w:ind w:left="0" w:right="44" w:firstLine="0"/>
              <w:jc w:val="center"/>
              <w:rPr>
                <w:color w:val="auto"/>
                <w:sz w:val="18"/>
                <w:szCs w:val="18"/>
              </w:rPr>
            </w:pPr>
            <w:r w:rsidRPr="00BA050E">
              <w:rPr>
                <w:color w:val="auto"/>
                <w:sz w:val="18"/>
                <w:szCs w:val="18"/>
              </w:rPr>
              <w:t xml:space="preserve">Partially </w:t>
            </w:r>
          </w:p>
          <w:p w14:paraId="0DDBED46" w14:textId="77777777" w:rsidR="00B44D67" w:rsidRPr="00BA050E" w:rsidRDefault="00B44D67" w:rsidP="00241C66">
            <w:pPr>
              <w:spacing w:after="0" w:line="240" w:lineRule="auto"/>
              <w:ind w:left="0" w:right="42" w:firstLine="0"/>
              <w:jc w:val="center"/>
              <w:rPr>
                <w:color w:val="auto"/>
                <w:sz w:val="18"/>
                <w:szCs w:val="18"/>
              </w:rPr>
            </w:pPr>
            <w:r w:rsidRPr="00BA050E">
              <w:rPr>
                <w:color w:val="auto"/>
                <w:sz w:val="18"/>
                <w:szCs w:val="18"/>
              </w:rPr>
              <w:t>Achieved</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492A5D76" w14:textId="77777777" w:rsidR="00B44D67" w:rsidRPr="00BA050E" w:rsidRDefault="00B44D67" w:rsidP="00241C66">
            <w:pPr>
              <w:spacing w:after="0" w:line="259" w:lineRule="auto"/>
              <w:ind w:left="0" w:right="0" w:firstLine="0"/>
              <w:jc w:val="left"/>
              <w:rPr>
                <w:color w:val="auto"/>
                <w:sz w:val="18"/>
                <w:szCs w:val="18"/>
              </w:rPr>
            </w:pPr>
            <w:r w:rsidRPr="00BA050E">
              <w:rPr>
                <w:color w:val="auto"/>
                <w:sz w:val="18"/>
                <w:szCs w:val="18"/>
              </w:rPr>
              <w:t>Not Achieved</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79505932"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Not verified</w:t>
            </w:r>
          </w:p>
        </w:tc>
      </w:tr>
      <w:tr w:rsidR="00B44D67" w:rsidRPr="00BA050E" w14:paraId="500A5B6C" w14:textId="77777777" w:rsidTr="00241C66">
        <w:trPr>
          <w:trHeight w:val="181"/>
        </w:trPr>
        <w:tc>
          <w:tcPr>
            <w:tcW w:w="4202" w:type="dxa"/>
            <w:tcBorders>
              <w:top w:val="single" w:sz="4" w:space="0" w:color="000000"/>
              <w:left w:val="single" w:sz="4" w:space="0" w:color="000000"/>
              <w:bottom w:val="single" w:sz="4" w:space="0" w:color="000000"/>
              <w:right w:val="single" w:sz="4" w:space="0" w:color="000000"/>
            </w:tcBorders>
          </w:tcPr>
          <w:p w14:paraId="74C3B233" w14:textId="77777777" w:rsidR="00B44D67" w:rsidRPr="00BA050E" w:rsidRDefault="00B44D67" w:rsidP="00241C66">
            <w:pPr>
              <w:spacing w:after="0" w:line="240" w:lineRule="auto"/>
              <w:ind w:left="0" w:right="0" w:firstLine="0"/>
              <w:jc w:val="center"/>
              <w:rPr>
                <w:color w:val="auto"/>
                <w:sz w:val="18"/>
                <w:szCs w:val="18"/>
              </w:rPr>
            </w:pPr>
            <w:r w:rsidRPr="00BA050E">
              <w:rPr>
                <w:color w:val="auto"/>
                <w:sz w:val="18"/>
                <w:szCs w:val="18"/>
              </w:rPr>
              <w:t>Improving Competitiveness</w:t>
            </w:r>
          </w:p>
        </w:tc>
        <w:tc>
          <w:tcPr>
            <w:tcW w:w="1455" w:type="dxa"/>
            <w:tcBorders>
              <w:top w:val="single" w:sz="4" w:space="0" w:color="000000"/>
              <w:left w:val="single" w:sz="4" w:space="0" w:color="000000"/>
              <w:bottom w:val="single" w:sz="4" w:space="0" w:color="000000"/>
              <w:right w:val="single" w:sz="4" w:space="0" w:color="000000"/>
            </w:tcBorders>
            <w:vAlign w:val="center"/>
          </w:tcPr>
          <w:p w14:paraId="12985028"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9</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7847CB4C"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2</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754F085C"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3</w:t>
            </w:r>
          </w:p>
        </w:tc>
        <w:tc>
          <w:tcPr>
            <w:tcW w:w="1455" w:type="dxa"/>
            <w:tcBorders>
              <w:top w:val="single" w:sz="4" w:space="0" w:color="000000"/>
              <w:left w:val="single" w:sz="4" w:space="0" w:color="000000"/>
              <w:bottom w:val="single" w:sz="4" w:space="0" w:color="000000"/>
              <w:right w:val="single" w:sz="4" w:space="0" w:color="000000"/>
            </w:tcBorders>
            <w:vAlign w:val="center"/>
          </w:tcPr>
          <w:p w14:paraId="7400A509"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3</w:t>
            </w:r>
          </w:p>
        </w:tc>
        <w:tc>
          <w:tcPr>
            <w:tcW w:w="1455" w:type="dxa"/>
            <w:tcBorders>
              <w:top w:val="single" w:sz="4" w:space="0" w:color="000000"/>
              <w:left w:val="single" w:sz="4" w:space="0" w:color="000000"/>
              <w:bottom w:val="single" w:sz="4" w:space="0" w:color="000000"/>
              <w:right w:val="single" w:sz="4" w:space="0" w:color="000000"/>
            </w:tcBorders>
            <w:vAlign w:val="center"/>
          </w:tcPr>
          <w:p w14:paraId="57C82E99"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1</w:t>
            </w:r>
          </w:p>
        </w:tc>
        <w:tc>
          <w:tcPr>
            <w:tcW w:w="1455" w:type="dxa"/>
            <w:tcBorders>
              <w:top w:val="single" w:sz="4" w:space="0" w:color="000000"/>
              <w:left w:val="single" w:sz="4" w:space="0" w:color="000000"/>
              <w:bottom w:val="single" w:sz="4" w:space="0" w:color="000000"/>
              <w:right w:val="single" w:sz="4" w:space="0" w:color="000000"/>
            </w:tcBorders>
            <w:vAlign w:val="center"/>
          </w:tcPr>
          <w:p w14:paraId="35B085D0" w14:textId="77777777" w:rsidR="00B44D67" w:rsidRPr="00BA050E" w:rsidRDefault="00B44D67" w:rsidP="00241C66">
            <w:pPr>
              <w:spacing w:after="0" w:line="259" w:lineRule="auto"/>
              <w:ind w:left="0" w:right="43" w:firstLine="0"/>
              <w:jc w:val="center"/>
              <w:rPr>
                <w:color w:val="auto"/>
                <w:sz w:val="18"/>
                <w:szCs w:val="18"/>
              </w:rPr>
            </w:pPr>
            <w:r w:rsidRPr="00BA050E">
              <w:rPr>
                <w:rFonts w:ascii="Arial" w:eastAsia="Arial" w:hAnsi="Arial" w:cs="Arial"/>
                <w:color w:val="auto"/>
                <w:sz w:val="18"/>
                <w:szCs w:val="18"/>
              </w:rPr>
              <w:t xml:space="preserve">0 </w:t>
            </w:r>
          </w:p>
        </w:tc>
      </w:tr>
      <w:tr w:rsidR="00B44D67" w:rsidRPr="00BA050E" w14:paraId="609127A8" w14:textId="77777777" w:rsidTr="00241C66">
        <w:trPr>
          <w:trHeight w:val="226"/>
        </w:trPr>
        <w:tc>
          <w:tcPr>
            <w:tcW w:w="4202" w:type="dxa"/>
            <w:tcBorders>
              <w:top w:val="single" w:sz="4" w:space="0" w:color="000000"/>
              <w:left w:val="single" w:sz="4" w:space="0" w:color="000000"/>
              <w:bottom w:val="single" w:sz="4" w:space="0" w:color="000000"/>
              <w:right w:val="single" w:sz="4" w:space="0" w:color="000000"/>
            </w:tcBorders>
          </w:tcPr>
          <w:p w14:paraId="3862166D" w14:textId="77777777" w:rsidR="00B44D67" w:rsidRPr="00BA050E" w:rsidRDefault="00B44D67" w:rsidP="00241C66">
            <w:pPr>
              <w:spacing w:after="0" w:line="240" w:lineRule="auto"/>
              <w:ind w:left="0" w:right="0" w:firstLine="0"/>
              <w:jc w:val="center"/>
              <w:rPr>
                <w:color w:val="auto"/>
                <w:sz w:val="18"/>
                <w:szCs w:val="18"/>
              </w:rPr>
            </w:pPr>
            <w:r w:rsidRPr="00BA050E">
              <w:rPr>
                <w:color w:val="auto"/>
                <w:sz w:val="18"/>
                <w:szCs w:val="18"/>
              </w:rPr>
              <w:t>Enhancing Human Capital &amp; Minimizing Social Risks</w:t>
            </w:r>
          </w:p>
        </w:tc>
        <w:tc>
          <w:tcPr>
            <w:tcW w:w="1455" w:type="dxa"/>
            <w:tcBorders>
              <w:top w:val="single" w:sz="4" w:space="0" w:color="000000"/>
              <w:left w:val="single" w:sz="4" w:space="0" w:color="000000"/>
              <w:bottom w:val="single" w:sz="4" w:space="0" w:color="000000"/>
              <w:right w:val="single" w:sz="4" w:space="0" w:color="000000"/>
            </w:tcBorders>
            <w:vAlign w:val="center"/>
          </w:tcPr>
          <w:p w14:paraId="2603256C" w14:textId="77777777" w:rsidR="00B44D67" w:rsidRPr="00BA050E" w:rsidRDefault="00B44D67" w:rsidP="00241C66">
            <w:pPr>
              <w:spacing w:after="0" w:line="259" w:lineRule="auto"/>
              <w:ind w:left="0" w:right="41" w:firstLine="0"/>
              <w:jc w:val="center"/>
              <w:rPr>
                <w:color w:val="auto"/>
                <w:sz w:val="18"/>
                <w:szCs w:val="18"/>
              </w:rPr>
            </w:pPr>
            <w:r w:rsidRPr="00BA050E">
              <w:rPr>
                <w:color w:val="auto"/>
                <w:sz w:val="18"/>
                <w:szCs w:val="18"/>
              </w:rPr>
              <w:t>6</w:t>
            </w:r>
          </w:p>
        </w:tc>
        <w:tc>
          <w:tcPr>
            <w:tcW w:w="1455" w:type="dxa"/>
            <w:tcBorders>
              <w:top w:val="single" w:sz="4" w:space="0" w:color="000000"/>
              <w:left w:val="single" w:sz="4" w:space="0" w:color="000000"/>
              <w:bottom w:val="single" w:sz="4" w:space="0" w:color="000000"/>
              <w:right w:val="single" w:sz="4" w:space="0" w:color="000000"/>
            </w:tcBorders>
            <w:vAlign w:val="center"/>
          </w:tcPr>
          <w:p w14:paraId="61BF6132"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1</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0600A784"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0</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62271917"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3</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10FA72A8"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1</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730D4EB3"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1</w:t>
            </w:r>
            <w:r w:rsidRPr="00BA050E">
              <w:rPr>
                <w:rFonts w:ascii="Arial" w:eastAsia="Arial" w:hAnsi="Arial" w:cs="Arial"/>
                <w:color w:val="auto"/>
                <w:sz w:val="18"/>
                <w:szCs w:val="18"/>
              </w:rPr>
              <w:t xml:space="preserve"> </w:t>
            </w:r>
          </w:p>
        </w:tc>
      </w:tr>
      <w:tr w:rsidR="00B44D67" w:rsidRPr="00BA050E" w14:paraId="3528BA70" w14:textId="77777777" w:rsidTr="00241C66">
        <w:trPr>
          <w:trHeight w:val="262"/>
        </w:trPr>
        <w:tc>
          <w:tcPr>
            <w:tcW w:w="4202" w:type="dxa"/>
            <w:tcBorders>
              <w:top w:val="single" w:sz="4" w:space="0" w:color="000000"/>
              <w:left w:val="single" w:sz="4" w:space="0" w:color="000000"/>
              <w:bottom w:val="single" w:sz="4" w:space="0" w:color="000000"/>
              <w:right w:val="single" w:sz="4" w:space="0" w:color="000000"/>
            </w:tcBorders>
          </w:tcPr>
          <w:p w14:paraId="3BAB30F9" w14:textId="77777777" w:rsidR="00B44D67" w:rsidRPr="00BA050E" w:rsidRDefault="00B44D67" w:rsidP="00241C66">
            <w:pPr>
              <w:spacing w:after="0" w:line="240" w:lineRule="auto"/>
              <w:ind w:left="0" w:right="0" w:firstLine="0"/>
              <w:jc w:val="center"/>
              <w:rPr>
                <w:color w:val="auto"/>
                <w:sz w:val="18"/>
                <w:szCs w:val="18"/>
              </w:rPr>
            </w:pPr>
            <w:r w:rsidRPr="00BA050E">
              <w:rPr>
                <w:color w:val="auto"/>
                <w:sz w:val="18"/>
                <w:szCs w:val="18"/>
              </w:rPr>
              <w:t>Promoting a Green, Clean, and Resilient Moldova</w:t>
            </w:r>
          </w:p>
        </w:tc>
        <w:tc>
          <w:tcPr>
            <w:tcW w:w="1455" w:type="dxa"/>
            <w:tcBorders>
              <w:top w:val="single" w:sz="4" w:space="0" w:color="000000"/>
              <w:left w:val="single" w:sz="4" w:space="0" w:color="000000"/>
              <w:bottom w:val="single" w:sz="4" w:space="0" w:color="000000"/>
              <w:right w:val="single" w:sz="4" w:space="0" w:color="000000"/>
            </w:tcBorders>
            <w:vAlign w:val="center"/>
          </w:tcPr>
          <w:p w14:paraId="31828B3D" w14:textId="77777777" w:rsidR="00B44D67" w:rsidRPr="00BA050E" w:rsidRDefault="00B44D67" w:rsidP="00241C66">
            <w:pPr>
              <w:spacing w:after="0" w:line="259" w:lineRule="auto"/>
              <w:ind w:left="0" w:right="41" w:firstLine="0"/>
              <w:jc w:val="center"/>
              <w:rPr>
                <w:color w:val="auto"/>
                <w:sz w:val="18"/>
                <w:szCs w:val="18"/>
              </w:rPr>
            </w:pPr>
            <w:r w:rsidRPr="00BA050E">
              <w:rPr>
                <w:color w:val="auto"/>
                <w:sz w:val="18"/>
                <w:szCs w:val="18"/>
              </w:rPr>
              <w:t>6</w:t>
            </w:r>
          </w:p>
        </w:tc>
        <w:tc>
          <w:tcPr>
            <w:tcW w:w="1455" w:type="dxa"/>
            <w:tcBorders>
              <w:top w:val="single" w:sz="4" w:space="0" w:color="000000"/>
              <w:left w:val="single" w:sz="4" w:space="0" w:color="000000"/>
              <w:bottom w:val="single" w:sz="4" w:space="0" w:color="000000"/>
              <w:right w:val="single" w:sz="4" w:space="0" w:color="000000"/>
            </w:tcBorders>
            <w:vAlign w:val="center"/>
          </w:tcPr>
          <w:p w14:paraId="78246146"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3</w:t>
            </w:r>
          </w:p>
        </w:tc>
        <w:tc>
          <w:tcPr>
            <w:tcW w:w="1455" w:type="dxa"/>
            <w:tcBorders>
              <w:top w:val="single" w:sz="4" w:space="0" w:color="000000"/>
              <w:left w:val="single" w:sz="4" w:space="0" w:color="000000"/>
              <w:bottom w:val="single" w:sz="4" w:space="0" w:color="000000"/>
              <w:right w:val="single" w:sz="4" w:space="0" w:color="000000"/>
            </w:tcBorders>
            <w:vAlign w:val="center"/>
          </w:tcPr>
          <w:p w14:paraId="26B4AA86"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1</w:t>
            </w:r>
          </w:p>
        </w:tc>
        <w:tc>
          <w:tcPr>
            <w:tcW w:w="1455" w:type="dxa"/>
            <w:tcBorders>
              <w:top w:val="single" w:sz="4" w:space="0" w:color="000000"/>
              <w:left w:val="single" w:sz="4" w:space="0" w:color="000000"/>
              <w:bottom w:val="single" w:sz="4" w:space="0" w:color="000000"/>
              <w:right w:val="single" w:sz="4" w:space="0" w:color="000000"/>
            </w:tcBorders>
            <w:vAlign w:val="center"/>
          </w:tcPr>
          <w:p w14:paraId="7BFEA653"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1</w:t>
            </w:r>
          </w:p>
        </w:tc>
        <w:tc>
          <w:tcPr>
            <w:tcW w:w="1455" w:type="dxa"/>
            <w:tcBorders>
              <w:top w:val="single" w:sz="4" w:space="0" w:color="000000"/>
              <w:left w:val="single" w:sz="4" w:space="0" w:color="000000"/>
              <w:bottom w:val="single" w:sz="4" w:space="0" w:color="000000"/>
              <w:right w:val="single" w:sz="4" w:space="0" w:color="000000"/>
            </w:tcBorders>
            <w:vAlign w:val="center"/>
          </w:tcPr>
          <w:p w14:paraId="733FC193"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1</w:t>
            </w:r>
          </w:p>
        </w:tc>
        <w:tc>
          <w:tcPr>
            <w:tcW w:w="1455" w:type="dxa"/>
            <w:tcBorders>
              <w:top w:val="single" w:sz="4" w:space="0" w:color="000000"/>
              <w:left w:val="single" w:sz="4" w:space="0" w:color="000000"/>
              <w:bottom w:val="single" w:sz="4" w:space="0" w:color="000000"/>
              <w:right w:val="single" w:sz="4" w:space="0" w:color="000000"/>
            </w:tcBorders>
            <w:vAlign w:val="center"/>
          </w:tcPr>
          <w:p w14:paraId="6FF21551"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0</w:t>
            </w:r>
          </w:p>
        </w:tc>
      </w:tr>
      <w:tr w:rsidR="00B44D67" w:rsidRPr="00BA050E" w14:paraId="0EB51B27" w14:textId="77777777" w:rsidTr="00241C66">
        <w:trPr>
          <w:trHeight w:val="172"/>
        </w:trPr>
        <w:tc>
          <w:tcPr>
            <w:tcW w:w="4202" w:type="dxa"/>
            <w:tcBorders>
              <w:top w:val="single" w:sz="4" w:space="0" w:color="000000"/>
              <w:left w:val="single" w:sz="4" w:space="0" w:color="000000"/>
              <w:bottom w:val="single" w:sz="4" w:space="0" w:color="000000"/>
              <w:right w:val="single" w:sz="4" w:space="0" w:color="000000"/>
            </w:tcBorders>
          </w:tcPr>
          <w:p w14:paraId="768537D2" w14:textId="77777777" w:rsidR="00B44D67" w:rsidRPr="00BA050E" w:rsidRDefault="00B44D67" w:rsidP="00241C66">
            <w:pPr>
              <w:spacing w:after="0" w:line="259" w:lineRule="auto"/>
              <w:ind w:left="0" w:right="0" w:firstLine="0"/>
              <w:jc w:val="center"/>
              <w:rPr>
                <w:color w:val="auto"/>
                <w:sz w:val="18"/>
                <w:szCs w:val="18"/>
              </w:rPr>
            </w:pPr>
            <w:r w:rsidRPr="00BA050E">
              <w:rPr>
                <w:color w:val="auto"/>
                <w:sz w:val="18"/>
                <w:szCs w:val="18"/>
              </w:rPr>
              <w:t>Governance</w:t>
            </w:r>
          </w:p>
        </w:tc>
        <w:tc>
          <w:tcPr>
            <w:tcW w:w="1455" w:type="dxa"/>
            <w:tcBorders>
              <w:top w:val="single" w:sz="4" w:space="0" w:color="000000"/>
              <w:left w:val="single" w:sz="4" w:space="0" w:color="000000"/>
              <w:bottom w:val="single" w:sz="4" w:space="0" w:color="000000"/>
              <w:right w:val="single" w:sz="4" w:space="0" w:color="000000"/>
            </w:tcBorders>
            <w:vAlign w:val="center"/>
          </w:tcPr>
          <w:p w14:paraId="6FBB6B06" w14:textId="77777777" w:rsidR="00B44D67" w:rsidRPr="00BA050E" w:rsidRDefault="00B44D67" w:rsidP="00241C66">
            <w:pPr>
              <w:spacing w:after="0" w:line="259" w:lineRule="auto"/>
              <w:ind w:left="0" w:right="41" w:firstLine="0"/>
              <w:jc w:val="center"/>
              <w:rPr>
                <w:color w:val="auto"/>
                <w:sz w:val="18"/>
                <w:szCs w:val="18"/>
              </w:rPr>
            </w:pPr>
            <w:r w:rsidRPr="00BA050E">
              <w:rPr>
                <w:color w:val="auto"/>
                <w:sz w:val="18"/>
                <w:szCs w:val="18"/>
              </w:rPr>
              <w:t>13</w:t>
            </w:r>
          </w:p>
        </w:tc>
        <w:tc>
          <w:tcPr>
            <w:tcW w:w="1455" w:type="dxa"/>
            <w:tcBorders>
              <w:top w:val="single" w:sz="4" w:space="0" w:color="000000"/>
              <w:left w:val="single" w:sz="4" w:space="0" w:color="000000"/>
              <w:bottom w:val="single" w:sz="4" w:space="0" w:color="000000"/>
              <w:right w:val="single" w:sz="4" w:space="0" w:color="000000"/>
            </w:tcBorders>
            <w:vAlign w:val="center"/>
          </w:tcPr>
          <w:p w14:paraId="0405A937"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6</w:t>
            </w:r>
          </w:p>
        </w:tc>
        <w:tc>
          <w:tcPr>
            <w:tcW w:w="1455" w:type="dxa"/>
            <w:tcBorders>
              <w:top w:val="single" w:sz="4" w:space="0" w:color="000000"/>
              <w:left w:val="single" w:sz="4" w:space="0" w:color="000000"/>
              <w:bottom w:val="single" w:sz="4" w:space="0" w:color="000000"/>
              <w:right w:val="single" w:sz="4" w:space="0" w:color="000000"/>
            </w:tcBorders>
            <w:vAlign w:val="center"/>
          </w:tcPr>
          <w:p w14:paraId="683942F9"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1</w:t>
            </w:r>
          </w:p>
        </w:tc>
        <w:tc>
          <w:tcPr>
            <w:tcW w:w="1455" w:type="dxa"/>
            <w:tcBorders>
              <w:top w:val="single" w:sz="4" w:space="0" w:color="000000"/>
              <w:left w:val="single" w:sz="4" w:space="0" w:color="000000"/>
              <w:bottom w:val="single" w:sz="4" w:space="0" w:color="000000"/>
              <w:right w:val="single" w:sz="4" w:space="0" w:color="000000"/>
            </w:tcBorders>
            <w:vAlign w:val="center"/>
          </w:tcPr>
          <w:p w14:paraId="77CB39CC"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6</w:t>
            </w:r>
          </w:p>
        </w:tc>
        <w:tc>
          <w:tcPr>
            <w:tcW w:w="1455" w:type="dxa"/>
            <w:tcBorders>
              <w:top w:val="single" w:sz="4" w:space="0" w:color="000000"/>
              <w:left w:val="single" w:sz="4" w:space="0" w:color="000000"/>
              <w:bottom w:val="single" w:sz="4" w:space="0" w:color="000000"/>
              <w:right w:val="single" w:sz="4" w:space="0" w:color="000000"/>
            </w:tcBorders>
            <w:vAlign w:val="center"/>
          </w:tcPr>
          <w:p w14:paraId="4A75442A" w14:textId="77777777" w:rsidR="00B44D67" w:rsidRPr="00BA050E" w:rsidRDefault="00B44D67" w:rsidP="00241C66">
            <w:pPr>
              <w:spacing w:after="0" w:line="259" w:lineRule="auto"/>
              <w:ind w:left="0" w:right="42" w:firstLine="0"/>
              <w:jc w:val="center"/>
              <w:rPr>
                <w:color w:val="auto"/>
                <w:sz w:val="18"/>
                <w:szCs w:val="18"/>
              </w:rPr>
            </w:pPr>
            <w:r w:rsidRPr="00BA050E">
              <w:rPr>
                <w:color w:val="auto"/>
                <w:sz w:val="18"/>
                <w:szCs w:val="18"/>
              </w:rPr>
              <w:t>0</w:t>
            </w:r>
          </w:p>
        </w:tc>
        <w:tc>
          <w:tcPr>
            <w:tcW w:w="1455" w:type="dxa"/>
            <w:tcBorders>
              <w:top w:val="single" w:sz="4" w:space="0" w:color="000000"/>
              <w:left w:val="single" w:sz="4" w:space="0" w:color="000000"/>
              <w:bottom w:val="single" w:sz="4" w:space="0" w:color="000000"/>
              <w:right w:val="single" w:sz="4" w:space="0" w:color="000000"/>
            </w:tcBorders>
            <w:vAlign w:val="center"/>
          </w:tcPr>
          <w:p w14:paraId="0FC4DF3F" w14:textId="77777777" w:rsidR="00B44D67" w:rsidRPr="00BA050E" w:rsidRDefault="00B44D67" w:rsidP="00241C66">
            <w:pPr>
              <w:spacing w:after="0" w:line="259" w:lineRule="auto"/>
              <w:ind w:left="0" w:right="43" w:firstLine="0"/>
              <w:jc w:val="center"/>
              <w:rPr>
                <w:color w:val="auto"/>
                <w:sz w:val="18"/>
                <w:szCs w:val="18"/>
              </w:rPr>
            </w:pPr>
            <w:r w:rsidRPr="00BA050E">
              <w:rPr>
                <w:color w:val="auto"/>
                <w:sz w:val="18"/>
                <w:szCs w:val="18"/>
              </w:rPr>
              <w:t>0</w:t>
            </w:r>
          </w:p>
        </w:tc>
      </w:tr>
      <w:tr w:rsidR="00B44D67" w:rsidRPr="00BA050E" w14:paraId="171377ED" w14:textId="77777777" w:rsidTr="00241C66">
        <w:trPr>
          <w:trHeight w:val="334"/>
        </w:trPr>
        <w:tc>
          <w:tcPr>
            <w:tcW w:w="4202" w:type="dxa"/>
            <w:tcBorders>
              <w:top w:val="single" w:sz="4" w:space="0" w:color="000000"/>
              <w:left w:val="single" w:sz="4" w:space="0" w:color="000000"/>
              <w:bottom w:val="single" w:sz="4" w:space="0" w:color="000000"/>
              <w:right w:val="single" w:sz="4" w:space="0" w:color="000000"/>
            </w:tcBorders>
          </w:tcPr>
          <w:p w14:paraId="54DF6189" w14:textId="77777777" w:rsidR="00B44D67" w:rsidRPr="00BA050E" w:rsidRDefault="00B44D67" w:rsidP="00241C66">
            <w:pPr>
              <w:spacing w:after="0" w:line="259" w:lineRule="auto"/>
              <w:ind w:left="0" w:right="0" w:firstLine="0"/>
              <w:jc w:val="center"/>
              <w:rPr>
                <w:color w:val="auto"/>
                <w:sz w:val="18"/>
                <w:szCs w:val="18"/>
              </w:rPr>
            </w:pPr>
            <w:r w:rsidRPr="00BA050E">
              <w:rPr>
                <w:color w:val="auto"/>
                <w:sz w:val="18"/>
                <w:szCs w:val="18"/>
              </w:rPr>
              <w:t>TOTALS:</w:t>
            </w:r>
          </w:p>
        </w:tc>
        <w:tc>
          <w:tcPr>
            <w:tcW w:w="1455" w:type="dxa"/>
            <w:tcBorders>
              <w:top w:val="single" w:sz="4" w:space="0" w:color="000000"/>
              <w:left w:val="single" w:sz="4" w:space="0" w:color="000000"/>
              <w:bottom w:val="single" w:sz="4" w:space="0" w:color="000000"/>
              <w:right w:val="single" w:sz="4" w:space="0" w:color="000000"/>
            </w:tcBorders>
            <w:vAlign w:val="center"/>
          </w:tcPr>
          <w:p w14:paraId="18ADB1B8" w14:textId="77777777" w:rsidR="00B44D67" w:rsidRPr="00BA050E" w:rsidRDefault="00B44D67" w:rsidP="00241C66">
            <w:pPr>
              <w:spacing w:after="0" w:line="240" w:lineRule="auto"/>
              <w:ind w:left="0" w:right="0" w:firstLine="0"/>
              <w:jc w:val="center"/>
              <w:rPr>
                <w:color w:val="auto"/>
                <w:sz w:val="18"/>
                <w:szCs w:val="18"/>
              </w:rPr>
            </w:pPr>
            <w:r w:rsidRPr="00BA050E">
              <w:rPr>
                <w:color w:val="auto"/>
                <w:sz w:val="18"/>
                <w:szCs w:val="18"/>
              </w:rPr>
              <w:t>34</w:t>
            </w:r>
          </w:p>
          <w:p w14:paraId="5A87975D" w14:textId="77777777" w:rsidR="00B44D67" w:rsidRPr="00BA050E" w:rsidRDefault="00B44D67" w:rsidP="00241C66">
            <w:pPr>
              <w:spacing w:after="0" w:line="240" w:lineRule="auto"/>
              <w:ind w:left="0" w:right="0" w:firstLine="0"/>
              <w:jc w:val="center"/>
              <w:rPr>
                <w:color w:val="auto"/>
                <w:sz w:val="18"/>
                <w:szCs w:val="18"/>
              </w:rPr>
            </w:pPr>
            <w:r w:rsidRPr="00BA050E">
              <w:rPr>
                <w:color w:val="auto"/>
                <w:sz w:val="18"/>
                <w:szCs w:val="18"/>
              </w:rPr>
              <w:t>(100%)</w:t>
            </w:r>
          </w:p>
        </w:tc>
        <w:tc>
          <w:tcPr>
            <w:tcW w:w="1455" w:type="dxa"/>
            <w:tcBorders>
              <w:top w:val="single" w:sz="4" w:space="0" w:color="000000"/>
              <w:left w:val="single" w:sz="4" w:space="0" w:color="000000"/>
              <w:bottom w:val="single" w:sz="4" w:space="0" w:color="000000"/>
              <w:right w:val="single" w:sz="4" w:space="0" w:color="000000"/>
            </w:tcBorders>
            <w:vAlign w:val="center"/>
          </w:tcPr>
          <w:p w14:paraId="1EC6BB7B" w14:textId="77777777" w:rsidR="00B44D67" w:rsidRPr="00BA050E" w:rsidRDefault="00B44D67" w:rsidP="00241C66">
            <w:pPr>
              <w:spacing w:after="0" w:line="240" w:lineRule="auto"/>
              <w:ind w:left="0" w:right="43" w:firstLine="0"/>
              <w:jc w:val="center"/>
              <w:rPr>
                <w:color w:val="auto"/>
                <w:sz w:val="18"/>
                <w:szCs w:val="18"/>
              </w:rPr>
            </w:pPr>
            <w:r w:rsidRPr="00BA050E">
              <w:rPr>
                <w:color w:val="auto"/>
                <w:sz w:val="18"/>
                <w:szCs w:val="18"/>
              </w:rPr>
              <w:t>12</w:t>
            </w:r>
          </w:p>
          <w:p w14:paraId="4913185A" w14:textId="77777777" w:rsidR="00B44D67" w:rsidRPr="00BA050E" w:rsidRDefault="00B44D67" w:rsidP="00241C66">
            <w:pPr>
              <w:spacing w:after="0" w:line="240" w:lineRule="auto"/>
              <w:ind w:left="0" w:right="43" w:firstLine="0"/>
              <w:jc w:val="center"/>
              <w:rPr>
                <w:color w:val="auto"/>
                <w:sz w:val="18"/>
                <w:szCs w:val="18"/>
              </w:rPr>
            </w:pPr>
            <w:r w:rsidRPr="00BA050E">
              <w:rPr>
                <w:color w:val="auto"/>
                <w:sz w:val="18"/>
                <w:szCs w:val="18"/>
              </w:rPr>
              <w:t xml:space="preserve"> (35%)</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7C9A1726" w14:textId="77777777" w:rsidR="00B44D67" w:rsidRPr="00BA050E" w:rsidRDefault="00B44D67" w:rsidP="00241C66">
            <w:pPr>
              <w:spacing w:after="0" w:line="240" w:lineRule="auto"/>
              <w:ind w:left="0" w:right="44" w:firstLine="0"/>
              <w:jc w:val="center"/>
              <w:rPr>
                <w:color w:val="auto"/>
                <w:sz w:val="18"/>
                <w:szCs w:val="18"/>
              </w:rPr>
            </w:pPr>
            <w:r w:rsidRPr="00BA050E">
              <w:rPr>
                <w:color w:val="auto"/>
                <w:sz w:val="18"/>
                <w:szCs w:val="18"/>
              </w:rPr>
              <w:t>5</w:t>
            </w:r>
          </w:p>
          <w:p w14:paraId="3E770092" w14:textId="77777777" w:rsidR="00B44D67" w:rsidRPr="00BA050E" w:rsidRDefault="00B44D67" w:rsidP="00241C66">
            <w:pPr>
              <w:spacing w:after="0" w:line="240" w:lineRule="auto"/>
              <w:ind w:left="0" w:right="44" w:firstLine="0"/>
              <w:jc w:val="center"/>
              <w:rPr>
                <w:color w:val="auto"/>
                <w:sz w:val="18"/>
                <w:szCs w:val="18"/>
              </w:rPr>
            </w:pPr>
            <w:r w:rsidRPr="00BA050E">
              <w:rPr>
                <w:color w:val="auto"/>
                <w:sz w:val="18"/>
                <w:szCs w:val="18"/>
              </w:rPr>
              <w:t>(15%)</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765DACF0" w14:textId="77777777" w:rsidR="00B44D67" w:rsidRPr="00BA050E" w:rsidRDefault="00B44D67" w:rsidP="00241C66">
            <w:pPr>
              <w:spacing w:after="0" w:line="240" w:lineRule="auto"/>
              <w:ind w:left="0" w:right="43" w:firstLine="0"/>
              <w:jc w:val="center"/>
              <w:rPr>
                <w:color w:val="auto"/>
                <w:sz w:val="18"/>
                <w:szCs w:val="18"/>
              </w:rPr>
            </w:pPr>
            <w:r w:rsidRPr="00BA050E">
              <w:rPr>
                <w:color w:val="auto"/>
                <w:sz w:val="18"/>
                <w:szCs w:val="18"/>
              </w:rPr>
              <w:t>13</w:t>
            </w:r>
          </w:p>
          <w:p w14:paraId="02C07378" w14:textId="77777777" w:rsidR="00B44D67" w:rsidRPr="00BA050E" w:rsidRDefault="00B44D67" w:rsidP="00241C66">
            <w:pPr>
              <w:spacing w:after="0" w:line="240" w:lineRule="auto"/>
              <w:ind w:left="0" w:right="43" w:firstLine="0"/>
              <w:jc w:val="center"/>
              <w:rPr>
                <w:color w:val="auto"/>
                <w:sz w:val="18"/>
                <w:szCs w:val="18"/>
              </w:rPr>
            </w:pPr>
            <w:r w:rsidRPr="00BA050E">
              <w:rPr>
                <w:color w:val="auto"/>
                <w:sz w:val="18"/>
                <w:szCs w:val="18"/>
              </w:rPr>
              <w:t xml:space="preserve"> (38%)</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2C1A74DF" w14:textId="77777777" w:rsidR="00B44D67" w:rsidRPr="00BA050E" w:rsidRDefault="00B44D67" w:rsidP="00241C66">
            <w:pPr>
              <w:spacing w:after="0" w:line="240" w:lineRule="auto"/>
              <w:ind w:left="0" w:right="43" w:firstLine="0"/>
              <w:jc w:val="center"/>
              <w:rPr>
                <w:color w:val="auto"/>
                <w:sz w:val="18"/>
                <w:szCs w:val="18"/>
              </w:rPr>
            </w:pPr>
            <w:r w:rsidRPr="00BA050E">
              <w:rPr>
                <w:color w:val="auto"/>
                <w:sz w:val="18"/>
                <w:szCs w:val="18"/>
              </w:rPr>
              <w:t>3</w:t>
            </w:r>
          </w:p>
          <w:p w14:paraId="0E026449" w14:textId="77777777" w:rsidR="00B44D67" w:rsidRPr="00BA050E" w:rsidRDefault="00B44D67" w:rsidP="00241C66">
            <w:pPr>
              <w:spacing w:after="0" w:line="240" w:lineRule="auto"/>
              <w:ind w:left="0" w:right="43" w:firstLine="0"/>
              <w:jc w:val="center"/>
              <w:rPr>
                <w:color w:val="auto"/>
                <w:sz w:val="18"/>
                <w:szCs w:val="18"/>
              </w:rPr>
            </w:pPr>
            <w:r w:rsidRPr="00BA050E">
              <w:rPr>
                <w:color w:val="auto"/>
                <w:sz w:val="18"/>
                <w:szCs w:val="18"/>
              </w:rPr>
              <w:t xml:space="preserve"> (9%)</w:t>
            </w:r>
            <w:r w:rsidRPr="00BA050E">
              <w:rPr>
                <w:rFonts w:ascii="Arial" w:eastAsia="Arial" w:hAnsi="Arial" w:cs="Arial"/>
                <w:color w:val="auto"/>
                <w:sz w:val="18"/>
                <w:szCs w:val="18"/>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14:paraId="0CCE03C3" w14:textId="77777777" w:rsidR="00B44D67" w:rsidRPr="00BA050E" w:rsidRDefault="00B44D67" w:rsidP="00241C66">
            <w:pPr>
              <w:spacing w:after="0" w:line="240" w:lineRule="auto"/>
              <w:ind w:left="0" w:right="44" w:firstLine="0"/>
              <w:jc w:val="center"/>
              <w:rPr>
                <w:rFonts w:ascii="Arial" w:eastAsia="Arial" w:hAnsi="Arial" w:cs="Arial"/>
                <w:color w:val="auto"/>
                <w:sz w:val="18"/>
                <w:szCs w:val="18"/>
              </w:rPr>
            </w:pPr>
            <w:r w:rsidRPr="00BA050E">
              <w:rPr>
                <w:color w:val="auto"/>
                <w:sz w:val="18"/>
                <w:szCs w:val="18"/>
              </w:rPr>
              <w:t>1</w:t>
            </w:r>
            <w:r w:rsidRPr="00BA050E">
              <w:rPr>
                <w:rFonts w:ascii="Arial" w:eastAsia="Arial" w:hAnsi="Arial" w:cs="Arial"/>
                <w:color w:val="auto"/>
                <w:sz w:val="18"/>
                <w:szCs w:val="18"/>
              </w:rPr>
              <w:t xml:space="preserve"> </w:t>
            </w:r>
          </w:p>
          <w:p w14:paraId="56730F01" w14:textId="77777777" w:rsidR="00B44D67" w:rsidRPr="00BA050E" w:rsidRDefault="00B44D67" w:rsidP="00241C66">
            <w:pPr>
              <w:spacing w:after="0" w:line="240" w:lineRule="auto"/>
              <w:ind w:left="0" w:right="44" w:firstLine="0"/>
              <w:jc w:val="center"/>
              <w:rPr>
                <w:color w:val="auto"/>
                <w:sz w:val="18"/>
                <w:szCs w:val="18"/>
              </w:rPr>
            </w:pPr>
            <w:r w:rsidRPr="00BA050E">
              <w:rPr>
                <w:rFonts w:eastAsia="Arial"/>
                <w:color w:val="auto"/>
                <w:sz w:val="18"/>
                <w:szCs w:val="18"/>
              </w:rPr>
              <w:t>(3%)</w:t>
            </w:r>
          </w:p>
        </w:tc>
      </w:tr>
    </w:tbl>
    <w:p w14:paraId="60EC7B6A" w14:textId="77777777" w:rsidR="00B44D67" w:rsidRPr="00BA050E" w:rsidRDefault="00B44D67" w:rsidP="00B44D67">
      <w:pPr>
        <w:rPr>
          <w:sz w:val="22"/>
        </w:rPr>
        <w:sectPr w:rsidR="00B44D67" w:rsidRPr="00BA050E" w:rsidSect="00241C66">
          <w:pgSz w:w="15840" w:h="12240" w:orient="landscape"/>
          <w:pgMar w:top="1440" w:right="1440" w:bottom="1440" w:left="1440" w:header="720" w:footer="720" w:gutter="0"/>
          <w:cols w:space="720"/>
          <w:docGrid w:linePitch="360"/>
        </w:sectPr>
      </w:pPr>
    </w:p>
    <w:p w14:paraId="6B4773D0" w14:textId="77777777" w:rsidR="00B44D67" w:rsidRPr="00BA050E" w:rsidRDefault="00B44D67" w:rsidP="00B44D67">
      <w:pPr>
        <w:spacing w:after="0" w:line="240" w:lineRule="auto"/>
        <w:ind w:left="0" w:right="0" w:firstLine="0"/>
        <w:jc w:val="center"/>
        <w:rPr>
          <w:b/>
          <w:color w:val="auto"/>
          <w:szCs w:val="24"/>
        </w:rPr>
      </w:pPr>
      <w:r w:rsidRPr="00BA050E">
        <w:rPr>
          <w:b/>
          <w:color w:val="auto"/>
          <w:szCs w:val="24"/>
        </w:rPr>
        <w:lastRenderedPageBreak/>
        <w:t>A</w:t>
      </w:r>
      <w:r>
        <w:rPr>
          <w:b/>
          <w:color w:val="auto"/>
          <w:szCs w:val="24"/>
        </w:rPr>
        <w:t>ttachment</w:t>
      </w:r>
      <w:r w:rsidRPr="00BA050E">
        <w:rPr>
          <w:b/>
          <w:color w:val="auto"/>
          <w:szCs w:val="24"/>
        </w:rPr>
        <w:t xml:space="preserve"> 2: C</w:t>
      </w:r>
      <w:r>
        <w:rPr>
          <w:b/>
          <w:color w:val="auto"/>
          <w:szCs w:val="24"/>
        </w:rPr>
        <w:t>itizen Engagement in Moldova</w:t>
      </w:r>
      <w:r w:rsidRPr="00BA050E">
        <w:rPr>
          <w:b/>
          <w:color w:val="auto"/>
          <w:szCs w:val="24"/>
        </w:rPr>
        <w:t xml:space="preserve"> (FY14-17)</w:t>
      </w:r>
    </w:p>
    <w:p w14:paraId="2F32D864" w14:textId="77777777" w:rsidR="00B44D67" w:rsidRPr="00BA050E" w:rsidRDefault="00B44D67" w:rsidP="00B44D67">
      <w:pPr>
        <w:spacing w:after="0" w:line="240" w:lineRule="auto"/>
        <w:ind w:left="0" w:right="0" w:firstLine="0"/>
        <w:rPr>
          <w:color w:val="auto"/>
          <w:sz w:val="22"/>
        </w:rPr>
      </w:pPr>
    </w:p>
    <w:p w14:paraId="4CA44879" w14:textId="77777777" w:rsidR="00B44D67" w:rsidRPr="00BA050E" w:rsidRDefault="00B44D67" w:rsidP="006D2153">
      <w:pPr>
        <w:numPr>
          <w:ilvl w:val="0"/>
          <w:numId w:val="34"/>
        </w:numPr>
        <w:autoSpaceDE w:val="0"/>
        <w:autoSpaceDN w:val="0"/>
        <w:adjustRightInd w:val="0"/>
        <w:spacing w:after="0" w:line="240" w:lineRule="auto"/>
        <w:ind w:left="0" w:right="0" w:firstLine="0"/>
        <w:contextualSpacing/>
        <w:rPr>
          <w:color w:val="auto"/>
          <w:sz w:val="22"/>
        </w:rPr>
      </w:pPr>
      <w:r w:rsidRPr="00BA050E">
        <w:rPr>
          <w:b/>
          <w:color w:val="auto"/>
          <w:sz w:val="22"/>
        </w:rPr>
        <w:t>Civil society organizations (CSOs) play a potentially important role in Moldovan public life and are generally concentrated in the capital, Chisinau, where some have access to decision-makers</w:t>
      </w:r>
      <w:r w:rsidRPr="00BA050E">
        <w:rPr>
          <w:color w:val="auto"/>
          <w:sz w:val="22"/>
        </w:rPr>
        <w:t>.</w:t>
      </w:r>
      <w:r w:rsidRPr="00BA050E">
        <w:rPr>
          <w:color w:val="auto"/>
          <w:sz w:val="22"/>
          <w:vertAlign w:val="superscript"/>
        </w:rPr>
        <w:footnoteReference w:id="11"/>
      </w:r>
      <w:r w:rsidRPr="00BA050E">
        <w:rPr>
          <w:color w:val="auto"/>
          <w:sz w:val="22"/>
          <w:vertAlign w:val="superscript"/>
        </w:rPr>
        <w:footnoteReference w:id="12"/>
      </w:r>
      <w:r w:rsidRPr="00BA050E">
        <w:rPr>
          <w:color w:val="auto"/>
          <w:sz w:val="22"/>
        </w:rPr>
        <w:t xml:space="preserve"> While their number is increasing, few function effectively, due to limited financial resources and lack of trust and civic engagement by ordinary citizens.</w:t>
      </w:r>
      <w:r w:rsidRPr="00BA050E">
        <w:rPr>
          <w:color w:val="auto"/>
          <w:sz w:val="22"/>
          <w:vertAlign w:val="superscript"/>
        </w:rPr>
        <w:footnoteReference w:id="13"/>
      </w:r>
      <w:r w:rsidRPr="00BA050E">
        <w:rPr>
          <w:color w:val="auto"/>
          <w:sz w:val="22"/>
        </w:rPr>
        <w:t xml:space="preserve"> Meanwhile, media independence and the transparency of media ownership are major challenges.</w:t>
      </w:r>
      <w:r w:rsidRPr="00BA050E">
        <w:rPr>
          <w:color w:val="auto"/>
          <w:sz w:val="22"/>
          <w:vertAlign w:val="superscript"/>
        </w:rPr>
        <w:footnoteReference w:id="14"/>
      </w:r>
      <w:r w:rsidRPr="00BA050E">
        <w:rPr>
          <w:color w:val="auto"/>
          <w:sz w:val="22"/>
        </w:rPr>
        <w:t xml:space="preserve"> In 2016, Moldova’s ranking on the WGI index for Voice and Accountability improved marginally</w:t>
      </w:r>
      <w:r w:rsidRPr="00BA050E">
        <w:rPr>
          <w:color w:val="auto"/>
          <w:sz w:val="22"/>
          <w:szCs w:val="24"/>
        </w:rPr>
        <w:t>, from 47 of 204 countries compared to 46 in 2010,</w:t>
      </w:r>
      <w:r w:rsidRPr="00BA050E">
        <w:rPr>
          <w:color w:val="auto"/>
          <w:sz w:val="22"/>
          <w:szCs w:val="24"/>
          <w:vertAlign w:val="superscript"/>
        </w:rPr>
        <w:footnoteReference w:id="15"/>
      </w:r>
      <w:r w:rsidRPr="00BA050E">
        <w:rPr>
          <w:color w:val="auto"/>
          <w:sz w:val="22"/>
          <w:szCs w:val="24"/>
        </w:rPr>
        <w:t xml:space="preserve"> but its place on the </w:t>
      </w:r>
      <w:r w:rsidRPr="00BA050E">
        <w:rPr>
          <w:rFonts w:eastAsia="Calibri"/>
          <w:color w:val="auto"/>
          <w:sz w:val="22"/>
        </w:rPr>
        <w:t xml:space="preserve">World Press Freedom Index declined significantly, from 55 of 179 countries in 2013 to </w:t>
      </w:r>
      <w:r w:rsidRPr="00BA050E">
        <w:rPr>
          <w:color w:val="auto"/>
          <w:sz w:val="22"/>
          <w:szCs w:val="24"/>
        </w:rPr>
        <w:t>76 of 180 countries in 2016</w:t>
      </w:r>
      <w:r w:rsidRPr="00BA050E">
        <w:rPr>
          <w:rFonts w:eastAsia="Calibri"/>
          <w:bCs/>
          <w:color w:val="auto"/>
          <w:sz w:val="22"/>
        </w:rPr>
        <w:t xml:space="preserve">. Moreover, the National Platform of the Eastern Partnership Civil Society Forum very recently expressed concern about what it perceives as the “… </w:t>
      </w:r>
      <w:r w:rsidRPr="00BA050E">
        <w:rPr>
          <w:rFonts w:eastAsia="Calibri"/>
          <w:bCs/>
          <w:i/>
          <w:color w:val="auto"/>
          <w:sz w:val="22"/>
        </w:rPr>
        <w:t>worsening environment for CSOs and for rule of law principles in Moldova</w:t>
      </w:r>
      <w:r w:rsidRPr="00BA050E">
        <w:rPr>
          <w:rFonts w:eastAsia="Calibri"/>
          <w:bCs/>
          <w:color w:val="auto"/>
          <w:sz w:val="22"/>
        </w:rPr>
        <w:t>.”</w:t>
      </w:r>
      <w:r w:rsidRPr="00BA050E">
        <w:rPr>
          <w:rFonts w:eastAsia="Calibri"/>
          <w:bCs/>
          <w:color w:val="auto"/>
          <w:sz w:val="22"/>
          <w:vertAlign w:val="superscript"/>
        </w:rPr>
        <w:footnoteReference w:id="16"/>
      </w:r>
      <w:r w:rsidRPr="00BA050E">
        <w:rPr>
          <w:rFonts w:eastAsia="Calibri"/>
          <w:bCs/>
          <w:color w:val="auto"/>
          <w:sz w:val="22"/>
        </w:rPr>
        <w:t xml:space="preserve"> Thus, </w:t>
      </w:r>
      <w:r w:rsidRPr="00BA050E">
        <w:rPr>
          <w:color w:val="auto"/>
          <w:sz w:val="22"/>
        </w:rPr>
        <w:t>fostering civic engagement (CE) for development and social change and for combatting corruption remain important challenges, including for Bank Group activities in Moldova.</w:t>
      </w:r>
    </w:p>
    <w:p w14:paraId="557D231F" w14:textId="77777777" w:rsidR="00B44D67" w:rsidRPr="00BA050E" w:rsidRDefault="00B44D67" w:rsidP="00B44D67">
      <w:pPr>
        <w:autoSpaceDE w:val="0"/>
        <w:autoSpaceDN w:val="0"/>
        <w:adjustRightInd w:val="0"/>
        <w:spacing w:after="0" w:line="240" w:lineRule="auto"/>
        <w:ind w:left="0" w:right="0" w:firstLine="0"/>
        <w:contextualSpacing/>
        <w:rPr>
          <w:color w:val="auto"/>
          <w:sz w:val="22"/>
        </w:rPr>
      </w:pPr>
    </w:p>
    <w:p w14:paraId="3CB93BF2" w14:textId="77777777" w:rsidR="00B44D67" w:rsidRPr="00BA050E" w:rsidRDefault="00B44D67" w:rsidP="006D2153">
      <w:pPr>
        <w:numPr>
          <w:ilvl w:val="0"/>
          <w:numId w:val="34"/>
        </w:numPr>
        <w:autoSpaceDE w:val="0"/>
        <w:autoSpaceDN w:val="0"/>
        <w:adjustRightInd w:val="0"/>
        <w:spacing w:after="0" w:line="240" w:lineRule="auto"/>
        <w:ind w:left="0" w:right="0" w:firstLine="0"/>
        <w:contextualSpacing/>
        <w:rPr>
          <w:color w:val="auto"/>
          <w:sz w:val="22"/>
        </w:rPr>
      </w:pPr>
      <w:r w:rsidRPr="00BA050E">
        <w:rPr>
          <w:rFonts w:eastAsia="Calibri"/>
          <w:b/>
          <w:color w:val="auto"/>
          <w:sz w:val="22"/>
        </w:rPr>
        <w:t>Against this background, the FY14-17 CPS, launched contemporaneously with the Strategic Framework for Citizen Engagement in WBG Operations, incorporated improved public and social accountability in its cross-cutting governance theme</w:t>
      </w:r>
      <w:r w:rsidRPr="00BA050E">
        <w:rPr>
          <w:color w:val="auto"/>
          <w:sz w:val="22"/>
        </w:rPr>
        <w:t xml:space="preserve">. Given the governance risks, a key mitigation measure was the CPS’ use of a </w:t>
      </w:r>
      <w:r w:rsidRPr="00BA050E">
        <w:rPr>
          <w:rFonts w:eastAsia="Calibri"/>
          <w:color w:val="auto"/>
          <w:sz w:val="22"/>
        </w:rPr>
        <w:t xml:space="preserve">governance and anti-corruption filter in all operations. The </w:t>
      </w:r>
      <w:r w:rsidRPr="00BA050E">
        <w:rPr>
          <w:color w:val="auto"/>
          <w:sz w:val="22"/>
        </w:rPr>
        <w:t>results framework included one CE indicator related to improved public services and referred to several other outcomes, albeit without indicators for their measurement.</w:t>
      </w:r>
    </w:p>
    <w:p w14:paraId="293D8B08" w14:textId="77777777" w:rsidR="00B44D67" w:rsidRPr="00BA050E" w:rsidRDefault="00B44D67" w:rsidP="00B44D67">
      <w:pPr>
        <w:spacing w:after="0" w:line="240" w:lineRule="auto"/>
        <w:ind w:left="720" w:right="0" w:firstLine="0"/>
        <w:contextualSpacing/>
        <w:rPr>
          <w:color w:val="auto"/>
          <w:sz w:val="22"/>
        </w:rPr>
      </w:pPr>
    </w:p>
    <w:p w14:paraId="390B7CC3" w14:textId="77777777" w:rsidR="00B44D67" w:rsidRPr="00BA050E" w:rsidRDefault="00B44D67" w:rsidP="006D2153">
      <w:pPr>
        <w:numPr>
          <w:ilvl w:val="0"/>
          <w:numId w:val="34"/>
        </w:numPr>
        <w:autoSpaceDE w:val="0"/>
        <w:autoSpaceDN w:val="0"/>
        <w:adjustRightInd w:val="0"/>
        <w:spacing w:after="0" w:line="240" w:lineRule="auto"/>
        <w:ind w:left="0" w:right="0" w:firstLine="0"/>
        <w:contextualSpacing/>
        <w:rPr>
          <w:color w:val="auto"/>
          <w:sz w:val="22"/>
        </w:rPr>
      </w:pPr>
      <w:r w:rsidRPr="00BA050E">
        <w:rPr>
          <w:b/>
          <w:color w:val="auto"/>
          <w:sz w:val="22"/>
        </w:rPr>
        <w:t>A CE review was undertaken to inform this CLR and the forthcoming CPF</w:t>
      </w:r>
      <w:r w:rsidRPr="00BA050E">
        <w:rPr>
          <w:color w:val="auto"/>
          <w:sz w:val="22"/>
        </w:rPr>
        <w:t xml:space="preserve">. Consistent with WBG corporate requirements, efforts were made to identify potential entry points for CE in Bank Group-supported activities, </w:t>
      </w:r>
      <w:r w:rsidRPr="00BA050E">
        <w:rPr>
          <w:rFonts w:eastAsia="Calibri"/>
          <w:bCs/>
          <w:color w:val="auto"/>
          <w:sz w:val="22"/>
        </w:rPr>
        <w:t xml:space="preserve">to integrate </w:t>
      </w:r>
      <w:r w:rsidRPr="00BA050E">
        <w:rPr>
          <w:color w:val="auto"/>
          <w:sz w:val="22"/>
        </w:rPr>
        <w:t>CE mechanisms</w:t>
      </w:r>
      <w:r w:rsidRPr="00BA050E">
        <w:rPr>
          <w:rFonts w:eastAsia="Calibri"/>
          <w:bCs/>
          <w:color w:val="auto"/>
          <w:sz w:val="22"/>
        </w:rPr>
        <w:t xml:space="preserve"> in projects, and to measure progress</w:t>
      </w:r>
      <w:r w:rsidRPr="00BA050E">
        <w:rPr>
          <w:color w:val="auto"/>
          <w:sz w:val="22"/>
        </w:rPr>
        <w:t>. C</w:t>
      </w:r>
      <w:r w:rsidRPr="00BA050E">
        <w:rPr>
          <w:rFonts w:eastAsia="Calibri"/>
          <w:color w:val="auto"/>
          <w:sz w:val="22"/>
        </w:rPr>
        <w:t>onsultations with citizens and project beneficiaries were undertaken across all three pillars.</w:t>
      </w:r>
    </w:p>
    <w:p w14:paraId="08BE09ED" w14:textId="77777777" w:rsidR="00B44D67" w:rsidRPr="00BA050E" w:rsidRDefault="00B44D67" w:rsidP="00B44D67">
      <w:pPr>
        <w:spacing w:after="0" w:line="240" w:lineRule="auto"/>
        <w:ind w:left="0" w:right="0" w:firstLine="0"/>
        <w:rPr>
          <w:rFonts w:eastAsia="Calibri"/>
          <w:color w:val="auto"/>
          <w:sz w:val="12"/>
        </w:rPr>
      </w:pPr>
    </w:p>
    <w:p w14:paraId="7D8F8EB4" w14:textId="77777777" w:rsidR="00B44D67" w:rsidRPr="00BA050E" w:rsidRDefault="00B44D67" w:rsidP="00B44D67">
      <w:pPr>
        <w:spacing w:after="0" w:line="240" w:lineRule="auto"/>
        <w:ind w:left="0" w:right="0" w:firstLine="0"/>
        <w:jc w:val="center"/>
        <w:rPr>
          <w:b/>
          <w:color w:val="auto"/>
          <w:sz w:val="20"/>
        </w:rPr>
      </w:pPr>
      <w:r w:rsidRPr="00BA050E">
        <w:rPr>
          <w:b/>
          <w:color w:val="auto"/>
          <w:sz w:val="20"/>
        </w:rPr>
        <w:t>Table 1: IPF compliance with CE corporate requirements at appraisal</w:t>
      </w:r>
    </w:p>
    <w:p w14:paraId="076285C8" w14:textId="77777777" w:rsidR="00B44D67" w:rsidRPr="00BA050E" w:rsidRDefault="00B44D67" w:rsidP="00B44D67">
      <w:pPr>
        <w:spacing w:after="0" w:line="240" w:lineRule="auto"/>
        <w:ind w:left="0" w:right="0" w:firstLine="0"/>
        <w:rPr>
          <w:color w:val="auto"/>
          <w:sz w:val="2"/>
        </w:rPr>
      </w:pPr>
    </w:p>
    <w:tbl>
      <w:tblPr>
        <w:tblStyle w:val="TableGrid110"/>
        <w:tblW w:w="0" w:type="auto"/>
        <w:jc w:val="center"/>
        <w:tblLook w:val="04A0" w:firstRow="1" w:lastRow="0" w:firstColumn="1" w:lastColumn="0" w:noHBand="0" w:noVBand="1"/>
      </w:tblPr>
      <w:tblGrid>
        <w:gridCol w:w="3656"/>
        <w:gridCol w:w="1913"/>
        <w:gridCol w:w="1913"/>
        <w:gridCol w:w="1877"/>
      </w:tblGrid>
      <w:tr w:rsidR="00B44D67" w:rsidRPr="00BA050E" w14:paraId="1A505FF3" w14:textId="77777777" w:rsidTr="00241C66">
        <w:trPr>
          <w:trHeight w:val="359"/>
          <w:jc w:val="center"/>
        </w:trPr>
        <w:tc>
          <w:tcPr>
            <w:tcW w:w="3656" w:type="dxa"/>
          </w:tcPr>
          <w:p w14:paraId="69B2FCD4" w14:textId="77777777" w:rsidR="00B44D67" w:rsidRPr="00BA050E" w:rsidRDefault="00B44D67" w:rsidP="00241C66">
            <w:pPr>
              <w:spacing w:after="0" w:line="240" w:lineRule="auto"/>
              <w:ind w:left="0" w:right="0" w:firstLine="0"/>
              <w:jc w:val="center"/>
              <w:rPr>
                <w:color w:val="auto"/>
                <w:sz w:val="20"/>
              </w:rPr>
            </w:pPr>
          </w:p>
        </w:tc>
        <w:tc>
          <w:tcPr>
            <w:tcW w:w="1913" w:type="dxa"/>
          </w:tcPr>
          <w:p w14:paraId="129A538B" w14:textId="77777777" w:rsidR="00B44D67" w:rsidRPr="00BA050E" w:rsidRDefault="00B44D67" w:rsidP="00241C66">
            <w:pPr>
              <w:spacing w:after="0" w:line="240" w:lineRule="auto"/>
              <w:ind w:left="0" w:right="0" w:firstLine="0"/>
              <w:jc w:val="center"/>
              <w:rPr>
                <w:color w:val="auto"/>
                <w:sz w:val="20"/>
              </w:rPr>
            </w:pPr>
            <w:r w:rsidRPr="00BA050E">
              <w:rPr>
                <w:color w:val="auto"/>
                <w:sz w:val="20"/>
              </w:rPr>
              <w:t>% Compliance</w:t>
            </w:r>
          </w:p>
          <w:p w14:paraId="4583BF02" w14:textId="77777777" w:rsidR="00B44D67" w:rsidRPr="00BA050E" w:rsidRDefault="00B44D67" w:rsidP="00241C66">
            <w:pPr>
              <w:spacing w:after="0" w:line="240" w:lineRule="auto"/>
              <w:ind w:left="0" w:right="0" w:firstLine="0"/>
              <w:jc w:val="center"/>
              <w:rPr>
                <w:color w:val="auto"/>
                <w:sz w:val="20"/>
              </w:rPr>
            </w:pPr>
            <w:r w:rsidRPr="00BA050E">
              <w:rPr>
                <w:color w:val="auto"/>
                <w:sz w:val="20"/>
              </w:rPr>
              <w:t xml:space="preserve">Citizen-oriented </w:t>
            </w:r>
            <w:r w:rsidRPr="00BA050E">
              <w:rPr>
                <w:color w:val="auto"/>
                <w:sz w:val="20"/>
              </w:rPr>
              <w:br/>
              <w:t>design</w:t>
            </w:r>
          </w:p>
        </w:tc>
        <w:tc>
          <w:tcPr>
            <w:tcW w:w="1913" w:type="dxa"/>
          </w:tcPr>
          <w:p w14:paraId="6A437C73" w14:textId="77777777" w:rsidR="00B44D67" w:rsidRPr="00BA050E" w:rsidRDefault="00B44D67" w:rsidP="00241C66">
            <w:pPr>
              <w:spacing w:after="0" w:line="240" w:lineRule="auto"/>
              <w:ind w:left="0" w:right="0" w:firstLine="0"/>
              <w:jc w:val="center"/>
              <w:rPr>
                <w:color w:val="auto"/>
                <w:sz w:val="20"/>
              </w:rPr>
            </w:pPr>
            <w:r w:rsidRPr="00BA050E">
              <w:rPr>
                <w:color w:val="auto"/>
                <w:sz w:val="20"/>
              </w:rPr>
              <w:t>% Compliance</w:t>
            </w:r>
          </w:p>
          <w:p w14:paraId="3A0A47FB" w14:textId="77777777" w:rsidR="00B44D67" w:rsidRPr="00BA050E" w:rsidRDefault="00B44D67" w:rsidP="00241C66">
            <w:pPr>
              <w:spacing w:after="0" w:line="240" w:lineRule="auto"/>
              <w:ind w:left="0" w:right="0" w:firstLine="0"/>
              <w:jc w:val="center"/>
              <w:rPr>
                <w:color w:val="auto"/>
                <w:sz w:val="20"/>
              </w:rPr>
            </w:pPr>
            <w:r w:rsidRPr="00BA050E">
              <w:rPr>
                <w:color w:val="auto"/>
                <w:sz w:val="20"/>
              </w:rPr>
              <w:t>Beneficiary feedback indicator</w:t>
            </w:r>
          </w:p>
        </w:tc>
        <w:tc>
          <w:tcPr>
            <w:tcW w:w="1877" w:type="dxa"/>
          </w:tcPr>
          <w:p w14:paraId="377839DB" w14:textId="77777777" w:rsidR="00B44D67" w:rsidRPr="00BA050E" w:rsidRDefault="00B44D67" w:rsidP="00241C66">
            <w:pPr>
              <w:spacing w:after="0" w:line="240" w:lineRule="auto"/>
              <w:ind w:left="0" w:right="0" w:firstLine="0"/>
              <w:jc w:val="center"/>
              <w:rPr>
                <w:color w:val="auto"/>
                <w:sz w:val="20"/>
                <w:highlight w:val="yellow"/>
              </w:rPr>
            </w:pPr>
            <w:r w:rsidRPr="00BA050E">
              <w:rPr>
                <w:color w:val="auto"/>
                <w:sz w:val="20"/>
              </w:rPr>
              <w:t>Progress toward reporting on the BF indicator in ISRs</w:t>
            </w:r>
          </w:p>
        </w:tc>
      </w:tr>
      <w:tr w:rsidR="00B44D67" w:rsidRPr="00BA050E" w14:paraId="797E89FE" w14:textId="77777777" w:rsidTr="00241C66">
        <w:trPr>
          <w:jc w:val="center"/>
        </w:trPr>
        <w:tc>
          <w:tcPr>
            <w:tcW w:w="3656" w:type="dxa"/>
          </w:tcPr>
          <w:p w14:paraId="187DBB81" w14:textId="77777777" w:rsidR="00B44D67" w:rsidRPr="00BA050E" w:rsidRDefault="00B44D67" w:rsidP="00241C66">
            <w:pPr>
              <w:spacing w:after="0" w:line="360" w:lineRule="auto"/>
              <w:ind w:left="0" w:right="0" w:firstLine="0"/>
              <w:rPr>
                <w:color w:val="auto"/>
                <w:sz w:val="20"/>
              </w:rPr>
            </w:pPr>
            <w:r w:rsidRPr="00BA050E">
              <w:rPr>
                <w:color w:val="auto"/>
                <w:sz w:val="20"/>
              </w:rPr>
              <w:t>FY14 (no project approved)</w:t>
            </w:r>
          </w:p>
        </w:tc>
        <w:tc>
          <w:tcPr>
            <w:tcW w:w="1913" w:type="dxa"/>
          </w:tcPr>
          <w:p w14:paraId="2A8F0F9E"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N/A</w:t>
            </w:r>
          </w:p>
        </w:tc>
        <w:tc>
          <w:tcPr>
            <w:tcW w:w="1913" w:type="dxa"/>
          </w:tcPr>
          <w:p w14:paraId="4D56EC60"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N/A</w:t>
            </w:r>
          </w:p>
        </w:tc>
        <w:tc>
          <w:tcPr>
            <w:tcW w:w="1877" w:type="dxa"/>
          </w:tcPr>
          <w:p w14:paraId="1AB6FFC3"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N/A</w:t>
            </w:r>
          </w:p>
        </w:tc>
      </w:tr>
      <w:tr w:rsidR="00B44D67" w:rsidRPr="00BA050E" w14:paraId="31C3E0D7" w14:textId="77777777" w:rsidTr="00241C66">
        <w:trPr>
          <w:jc w:val="center"/>
        </w:trPr>
        <w:tc>
          <w:tcPr>
            <w:tcW w:w="3656" w:type="dxa"/>
            <w:tcBorders>
              <w:bottom w:val="single" w:sz="4" w:space="0" w:color="auto"/>
            </w:tcBorders>
          </w:tcPr>
          <w:p w14:paraId="0680D149" w14:textId="77777777" w:rsidR="00B44D67" w:rsidRPr="00BA050E" w:rsidRDefault="00B44D67" w:rsidP="00241C66">
            <w:pPr>
              <w:spacing w:after="0" w:line="360" w:lineRule="auto"/>
              <w:ind w:left="0" w:right="0" w:firstLine="0"/>
              <w:rPr>
                <w:color w:val="auto"/>
                <w:sz w:val="20"/>
              </w:rPr>
            </w:pPr>
            <w:r w:rsidRPr="00BA050E">
              <w:rPr>
                <w:color w:val="auto"/>
                <w:sz w:val="20"/>
              </w:rPr>
              <w:t>FY15 (4 projects)</w:t>
            </w:r>
          </w:p>
        </w:tc>
        <w:tc>
          <w:tcPr>
            <w:tcW w:w="1913" w:type="dxa"/>
            <w:tcBorders>
              <w:bottom w:val="single" w:sz="4" w:space="0" w:color="auto"/>
            </w:tcBorders>
          </w:tcPr>
          <w:p w14:paraId="16E98250"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25%</w:t>
            </w:r>
          </w:p>
        </w:tc>
        <w:tc>
          <w:tcPr>
            <w:tcW w:w="1913" w:type="dxa"/>
            <w:tcBorders>
              <w:bottom w:val="single" w:sz="4" w:space="0" w:color="auto"/>
            </w:tcBorders>
          </w:tcPr>
          <w:p w14:paraId="1738F1A9"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75%</w:t>
            </w:r>
          </w:p>
        </w:tc>
        <w:tc>
          <w:tcPr>
            <w:tcW w:w="1877" w:type="dxa"/>
            <w:tcBorders>
              <w:bottom w:val="single" w:sz="4" w:space="0" w:color="auto"/>
            </w:tcBorders>
          </w:tcPr>
          <w:p w14:paraId="7E9B9584"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75%</w:t>
            </w:r>
          </w:p>
        </w:tc>
      </w:tr>
      <w:tr w:rsidR="00B44D67" w:rsidRPr="00BA050E" w14:paraId="0BD00C5F" w14:textId="77777777" w:rsidTr="00241C66">
        <w:trPr>
          <w:jc w:val="center"/>
        </w:trPr>
        <w:tc>
          <w:tcPr>
            <w:tcW w:w="3656" w:type="dxa"/>
            <w:tcBorders>
              <w:bottom w:val="single" w:sz="4" w:space="0" w:color="auto"/>
            </w:tcBorders>
          </w:tcPr>
          <w:p w14:paraId="4295638F" w14:textId="77777777" w:rsidR="00B44D67" w:rsidRPr="00BA050E" w:rsidRDefault="00B44D67" w:rsidP="00241C66">
            <w:pPr>
              <w:spacing w:after="0" w:line="360" w:lineRule="auto"/>
              <w:ind w:left="0" w:right="0" w:firstLine="0"/>
              <w:rPr>
                <w:color w:val="auto"/>
                <w:sz w:val="20"/>
              </w:rPr>
            </w:pPr>
            <w:r w:rsidRPr="00BA050E">
              <w:rPr>
                <w:color w:val="auto"/>
                <w:sz w:val="20"/>
              </w:rPr>
              <w:t>FY16 (2 project)</w:t>
            </w:r>
          </w:p>
        </w:tc>
        <w:tc>
          <w:tcPr>
            <w:tcW w:w="1913" w:type="dxa"/>
            <w:tcBorders>
              <w:bottom w:val="single" w:sz="4" w:space="0" w:color="auto"/>
            </w:tcBorders>
          </w:tcPr>
          <w:p w14:paraId="78193B6A"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100%</w:t>
            </w:r>
          </w:p>
        </w:tc>
        <w:tc>
          <w:tcPr>
            <w:tcW w:w="1913" w:type="dxa"/>
            <w:tcBorders>
              <w:bottom w:val="single" w:sz="4" w:space="0" w:color="auto"/>
            </w:tcBorders>
          </w:tcPr>
          <w:p w14:paraId="7B0942DF"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100%</w:t>
            </w:r>
          </w:p>
        </w:tc>
        <w:tc>
          <w:tcPr>
            <w:tcW w:w="1877" w:type="dxa"/>
            <w:tcBorders>
              <w:bottom w:val="single" w:sz="4" w:space="0" w:color="auto"/>
            </w:tcBorders>
          </w:tcPr>
          <w:p w14:paraId="2D575E79" w14:textId="77777777" w:rsidR="00B44D67" w:rsidRPr="00BA050E" w:rsidRDefault="00B44D67" w:rsidP="00241C66">
            <w:pPr>
              <w:tabs>
                <w:tab w:val="left" w:pos="613"/>
                <w:tab w:val="center" w:pos="830"/>
              </w:tabs>
              <w:spacing w:after="0" w:line="360" w:lineRule="auto"/>
              <w:ind w:left="0" w:right="0" w:firstLine="0"/>
              <w:jc w:val="center"/>
              <w:rPr>
                <w:color w:val="auto"/>
                <w:sz w:val="20"/>
              </w:rPr>
            </w:pPr>
            <w:r w:rsidRPr="00BA050E">
              <w:rPr>
                <w:color w:val="auto"/>
                <w:sz w:val="20"/>
              </w:rPr>
              <w:t>Not yet due</w:t>
            </w:r>
          </w:p>
        </w:tc>
      </w:tr>
      <w:tr w:rsidR="00B44D67" w:rsidRPr="00BA050E" w14:paraId="08464FA0" w14:textId="77777777" w:rsidTr="00241C66">
        <w:trPr>
          <w:jc w:val="center"/>
        </w:trPr>
        <w:tc>
          <w:tcPr>
            <w:tcW w:w="3656" w:type="dxa"/>
            <w:tcBorders>
              <w:top w:val="single" w:sz="4" w:space="0" w:color="auto"/>
              <w:left w:val="single" w:sz="4" w:space="0" w:color="808080"/>
              <w:bottom w:val="single" w:sz="4" w:space="0" w:color="808080"/>
              <w:right w:val="single" w:sz="4" w:space="0" w:color="808080"/>
            </w:tcBorders>
            <w:shd w:val="clear" w:color="auto" w:fill="FFFFFF"/>
          </w:tcPr>
          <w:p w14:paraId="477745C5" w14:textId="77777777" w:rsidR="00B44D67" w:rsidRPr="00BA050E" w:rsidRDefault="00B44D67" w:rsidP="00241C66">
            <w:pPr>
              <w:spacing w:after="0" w:line="360" w:lineRule="auto"/>
              <w:ind w:left="0" w:right="0" w:firstLine="0"/>
              <w:rPr>
                <w:b/>
                <w:color w:val="auto"/>
                <w:sz w:val="20"/>
              </w:rPr>
            </w:pPr>
            <w:r w:rsidRPr="00BA050E">
              <w:rPr>
                <w:b/>
                <w:color w:val="auto"/>
                <w:sz w:val="20"/>
              </w:rPr>
              <w:t>FY14-16 average</w:t>
            </w:r>
          </w:p>
        </w:tc>
        <w:tc>
          <w:tcPr>
            <w:tcW w:w="1913" w:type="dxa"/>
            <w:tcBorders>
              <w:top w:val="single" w:sz="4" w:space="0" w:color="auto"/>
              <w:left w:val="single" w:sz="4" w:space="0" w:color="808080"/>
              <w:bottom w:val="single" w:sz="4" w:space="0" w:color="808080"/>
              <w:right w:val="single" w:sz="4" w:space="0" w:color="808080"/>
            </w:tcBorders>
            <w:shd w:val="clear" w:color="auto" w:fill="FFFFFF"/>
          </w:tcPr>
          <w:p w14:paraId="45BC6551"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50%</w:t>
            </w:r>
          </w:p>
        </w:tc>
        <w:tc>
          <w:tcPr>
            <w:tcW w:w="1913" w:type="dxa"/>
            <w:tcBorders>
              <w:top w:val="single" w:sz="4" w:space="0" w:color="auto"/>
              <w:left w:val="single" w:sz="4" w:space="0" w:color="808080"/>
              <w:bottom w:val="single" w:sz="4" w:space="0" w:color="808080"/>
              <w:right w:val="single" w:sz="4" w:space="0" w:color="808080"/>
            </w:tcBorders>
            <w:shd w:val="clear" w:color="auto" w:fill="FFFFFF"/>
          </w:tcPr>
          <w:p w14:paraId="6787AA97"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83%</w:t>
            </w:r>
          </w:p>
        </w:tc>
        <w:tc>
          <w:tcPr>
            <w:tcW w:w="1877" w:type="dxa"/>
            <w:tcBorders>
              <w:top w:val="single" w:sz="4" w:space="0" w:color="auto"/>
              <w:left w:val="single" w:sz="4" w:space="0" w:color="808080"/>
              <w:bottom w:val="single" w:sz="4" w:space="0" w:color="808080"/>
              <w:right w:val="single" w:sz="4" w:space="0" w:color="808080"/>
            </w:tcBorders>
            <w:shd w:val="clear" w:color="auto" w:fill="FFFFFF"/>
          </w:tcPr>
          <w:p w14:paraId="5AA85EB6" w14:textId="77777777" w:rsidR="00B44D67" w:rsidRPr="00BA050E" w:rsidRDefault="00B44D67" w:rsidP="00241C66">
            <w:pPr>
              <w:spacing w:after="0" w:line="360" w:lineRule="auto"/>
              <w:ind w:left="0" w:right="0" w:firstLine="0"/>
              <w:jc w:val="center"/>
              <w:rPr>
                <w:color w:val="auto"/>
                <w:sz w:val="20"/>
                <w:highlight w:val="yellow"/>
              </w:rPr>
            </w:pPr>
            <w:r w:rsidRPr="00BA050E">
              <w:rPr>
                <w:color w:val="auto"/>
                <w:sz w:val="20"/>
              </w:rPr>
              <w:t>75%</w:t>
            </w:r>
          </w:p>
        </w:tc>
      </w:tr>
      <w:tr w:rsidR="00B44D67" w:rsidRPr="00BA050E" w14:paraId="5ED85BC0" w14:textId="77777777" w:rsidTr="00241C66">
        <w:trPr>
          <w:jc w:val="center"/>
        </w:trPr>
        <w:tc>
          <w:tcPr>
            <w:tcW w:w="3656" w:type="dxa"/>
            <w:tcBorders>
              <w:top w:val="single" w:sz="4" w:space="0" w:color="auto"/>
              <w:left w:val="single" w:sz="4" w:space="0" w:color="808080"/>
              <w:bottom w:val="single" w:sz="4" w:space="0" w:color="808080"/>
              <w:right w:val="single" w:sz="4" w:space="0" w:color="808080"/>
            </w:tcBorders>
            <w:shd w:val="clear" w:color="auto" w:fill="FFFFFF"/>
          </w:tcPr>
          <w:p w14:paraId="0C6968FF" w14:textId="77777777" w:rsidR="00B44D67" w:rsidRPr="00BA050E" w:rsidRDefault="00B44D67" w:rsidP="00241C66">
            <w:pPr>
              <w:spacing w:after="0" w:line="360" w:lineRule="auto"/>
              <w:ind w:left="0" w:right="0" w:firstLine="0"/>
              <w:rPr>
                <w:color w:val="auto"/>
                <w:sz w:val="20"/>
              </w:rPr>
            </w:pPr>
            <w:r w:rsidRPr="00BA050E">
              <w:rPr>
                <w:color w:val="auto"/>
                <w:sz w:val="20"/>
              </w:rPr>
              <w:t>ECA average FY14-16</w:t>
            </w:r>
          </w:p>
        </w:tc>
        <w:tc>
          <w:tcPr>
            <w:tcW w:w="1913" w:type="dxa"/>
            <w:tcBorders>
              <w:top w:val="single" w:sz="4" w:space="0" w:color="auto"/>
              <w:left w:val="single" w:sz="4" w:space="0" w:color="808080"/>
              <w:bottom w:val="single" w:sz="4" w:space="0" w:color="808080"/>
              <w:right w:val="single" w:sz="4" w:space="0" w:color="808080"/>
            </w:tcBorders>
            <w:shd w:val="clear" w:color="auto" w:fill="FFFFFF"/>
          </w:tcPr>
          <w:p w14:paraId="42EDB722"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85%</w:t>
            </w:r>
          </w:p>
        </w:tc>
        <w:tc>
          <w:tcPr>
            <w:tcW w:w="1913" w:type="dxa"/>
            <w:tcBorders>
              <w:top w:val="single" w:sz="4" w:space="0" w:color="auto"/>
              <w:left w:val="single" w:sz="4" w:space="0" w:color="808080"/>
              <w:bottom w:val="single" w:sz="4" w:space="0" w:color="808080"/>
              <w:right w:val="single" w:sz="4" w:space="0" w:color="808080"/>
            </w:tcBorders>
            <w:shd w:val="clear" w:color="auto" w:fill="FFFFFF"/>
          </w:tcPr>
          <w:p w14:paraId="34976B8B" w14:textId="77777777" w:rsidR="00B44D67" w:rsidRPr="00BA050E" w:rsidRDefault="00B44D67" w:rsidP="00241C66">
            <w:pPr>
              <w:spacing w:after="0" w:line="360" w:lineRule="auto"/>
              <w:ind w:left="0" w:right="0" w:firstLine="0"/>
              <w:jc w:val="center"/>
              <w:rPr>
                <w:color w:val="auto"/>
                <w:sz w:val="20"/>
              </w:rPr>
            </w:pPr>
            <w:r w:rsidRPr="00BA050E">
              <w:rPr>
                <w:color w:val="auto"/>
                <w:sz w:val="20"/>
              </w:rPr>
              <w:t>69%</w:t>
            </w:r>
          </w:p>
        </w:tc>
        <w:tc>
          <w:tcPr>
            <w:tcW w:w="1877" w:type="dxa"/>
            <w:tcBorders>
              <w:top w:val="single" w:sz="4" w:space="0" w:color="auto"/>
              <w:left w:val="single" w:sz="4" w:space="0" w:color="808080"/>
              <w:bottom w:val="single" w:sz="4" w:space="0" w:color="808080"/>
              <w:right w:val="single" w:sz="4" w:space="0" w:color="808080"/>
            </w:tcBorders>
            <w:shd w:val="clear" w:color="auto" w:fill="FFFFFF"/>
          </w:tcPr>
          <w:p w14:paraId="30058552" w14:textId="77777777" w:rsidR="00B44D67" w:rsidRPr="00BA050E" w:rsidRDefault="00B44D67" w:rsidP="00241C66">
            <w:pPr>
              <w:spacing w:after="0" w:line="360" w:lineRule="auto"/>
              <w:ind w:left="0" w:right="0" w:firstLine="0"/>
              <w:jc w:val="center"/>
              <w:rPr>
                <w:color w:val="auto"/>
                <w:sz w:val="20"/>
                <w:highlight w:val="yellow"/>
              </w:rPr>
            </w:pPr>
            <w:r w:rsidRPr="00BA050E">
              <w:rPr>
                <w:color w:val="auto"/>
                <w:sz w:val="20"/>
              </w:rPr>
              <w:t>N/A</w:t>
            </w:r>
          </w:p>
        </w:tc>
      </w:tr>
      <w:tr w:rsidR="00B44D67" w:rsidRPr="00BA050E" w14:paraId="6335651E" w14:textId="77777777" w:rsidTr="00241C66">
        <w:trPr>
          <w:trHeight w:val="323"/>
          <w:jc w:val="center"/>
        </w:trPr>
        <w:tc>
          <w:tcPr>
            <w:tcW w:w="3656" w:type="dxa"/>
            <w:tcBorders>
              <w:top w:val="single" w:sz="4" w:space="0" w:color="auto"/>
              <w:left w:val="single" w:sz="4" w:space="0" w:color="808080"/>
              <w:bottom w:val="single" w:sz="4" w:space="0" w:color="808080"/>
              <w:right w:val="single" w:sz="4" w:space="0" w:color="808080"/>
            </w:tcBorders>
            <w:shd w:val="clear" w:color="auto" w:fill="E7E6E6"/>
          </w:tcPr>
          <w:p w14:paraId="2D44C119" w14:textId="77777777" w:rsidR="00B44D67" w:rsidRPr="00BA050E" w:rsidRDefault="00B44D67" w:rsidP="00241C66">
            <w:pPr>
              <w:spacing w:after="0" w:line="240" w:lineRule="auto"/>
              <w:ind w:left="0" w:right="0" w:firstLine="0"/>
              <w:rPr>
                <w:color w:val="auto"/>
                <w:sz w:val="20"/>
              </w:rPr>
            </w:pPr>
            <w:r w:rsidRPr="00BA050E">
              <w:rPr>
                <w:color w:val="808080"/>
                <w:sz w:val="20"/>
              </w:rPr>
              <w:t>Pre-FY14 (4 projects still active)</w:t>
            </w:r>
          </w:p>
        </w:tc>
        <w:tc>
          <w:tcPr>
            <w:tcW w:w="1913" w:type="dxa"/>
            <w:tcBorders>
              <w:top w:val="single" w:sz="4" w:space="0" w:color="auto"/>
              <w:left w:val="single" w:sz="4" w:space="0" w:color="808080"/>
              <w:bottom w:val="single" w:sz="4" w:space="0" w:color="808080"/>
              <w:right w:val="single" w:sz="4" w:space="0" w:color="808080"/>
            </w:tcBorders>
            <w:shd w:val="clear" w:color="auto" w:fill="E7E6E6"/>
          </w:tcPr>
          <w:p w14:paraId="41B0A896" w14:textId="77777777" w:rsidR="00B44D67" w:rsidRPr="00BA050E" w:rsidRDefault="00B44D67" w:rsidP="00241C66">
            <w:pPr>
              <w:spacing w:after="0" w:line="240" w:lineRule="auto"/>
              <w:ind w:left="0" w:right="0" w:firstLine="0"/>
              <w:jc w:val="center"/>
              <w:rPr>
                <w:color w:val="808080"/>
                <w:sz w:val="20"/>
              </w:rPr>
            </w:pPr>
            <w:r w:rsidRPr="00BA050E">
              <w:rPr>
                <w:color w:val="808080"/>
                <w:sz w:val="20"/>
              </w:rPr>
              <w:t>50%</w:t>
            </w:r>
          </w:p>
        </w:tc>
        <w:tc>
          <w:tcPr>
            <w:tcW w:w="1913" w:type="dxa"/>
            <w:tcBorders>
              <w:top w:val="single" w:sz="4" w:space="0" w:color="auto"/>
              <w:left w:val="single" w:sz="4" w:space="0" w:color="808080"/>
              <w:bottom w:val="single" w:sz="4" w:space="0" w:color="808080"/>
              <w:right w:val="single" w:sz="4" w:space="0" w:color="808080"/>
            </w:tcBorders>
            <w:shd w:val="clear" w:color="auto" w:fill="E7E6E6"/>
          </w:tcPr>
          <w:p w14:paraId="3140476D" w14:textId="77777777" w:rsidR="00B44D67" w:rsidRPr="00BA050E" w:rsidRDefault="00B44D67" w:rsidP="00241C66">
            <w:pPr>
              <w:spacing w:after="0" w:line="240" w:lineRule="auto"/>
              <w:ind w:left="0" w:right="0" w:firstLine="0"/>
              <w:jc w:val="center"/>
              <w:rPr>
                <w:color w:val="auto"/>
                <w:sz w:val="20"/>
              </w:rPr>
            </w:pPr>
            <w:r w:rsidRPr="00BA050E">
              <w:rPr>
                <w:color w:val="808080"/>
                <w:sz w:val="20"/>
              </w:rPr>
              <w:t>25%</w:t>
            </w:r>
          </w:p>
        </w:tc>
        <w:tc>
          <w:tcPr>
            <w:tcW w:w="1877" w:type="dxa"/>
            <w:tcBorders>
              <w:top w:val="single" w:sz="4" w:space="0" w:color="auto"/>
              <w:left w:val="single" w:sz="4" w:space="0" w:color="808080"/>
              <w:bottom w:val="single" w:sz="4" w:space="0" w:color="808080"/>
              <w:right w:val="single" w:sz="4" w:space="0" w:color="808080"/>
            </w:tcBorders>
            <w:shd w:val="clear" w:color="auto" w:fill="E7E6E6"/>
          </w:tcPr>
          <w:p w14:paraId="0A00FEA3" w14:textId="77777777" w:rsidR="00B44D67" w:rsidRPr="00BA050E" w:rsidRDefault="00B44D67" w:rsidP="00241C66">
            <w:pPr>
              <w:spacing w:after="0" w:line="240" w:lineRule="auto"/>
              <w:ind w:left="0" w:right="0" w:firstLine="0"/>
              <w:jc w:val="center"/>
              <w:rPr>
                <w:color w:val="808080"/>
                <w:sz w:val="20"/>
                <w:highlight w:val="yellow"/>
              </w:rPr>
            </w:pPr>
            <w:r w:rsidRPr="00BA050E">
              <w:rPr>
                <w:color w:val="808080"/>
                <w:sz w:val="20"/>
              </w:rPr>
              <w:t>25%</w:t>
            </w:r>
          </w:p>
        </w:tc>
      </w:tr>
      <w:tr w:rsidR="00B44D67" w:rsidRPr="00BA050E" w14:paraId="3A2085D5" w14:textId="77777777" w:rsidTr="00241C66">
        <w:trPr>
          <w:trHeight w:val="359"/>
          <w:jc w:val="center"/>
        </w:trPr>
        <w:tc>
          <w:tcPr>
            <w:tcW w:w="3656" w:type="dxa"/>
            <w:tcBorders>
              <w:top w:val="single" w:sz="4" w:space="0" w:color="808080"/>
              <w:left w:val="single" w:sz="4" w:space="0" w:color="808080"/>
              <w:bottom w:val="single" w:sz="4" w:space="0" w:color="808080"/>
              <w:right w:val="single" w:sz="4" w:space="0" w:color="808080"/>
            </w:tcBorders>
            <w:shd w:val="clear" w:color="auto" w:fill="E7E6E6"/>
          </w:tcPr>
          <w:p w14:paraId="127508B1" w14:textId="77777777" w:rsidR="00B44D67" w:rsidRPr="00BA050E" w:rsidRDefault="00B44D67" w:rsidP="00241C66">
            <w:pPr>
              <w:spacing w:after="0" w:line="240" w:lineRule="auto"/>
              <w:ind w:left="0" w:right="0" w:firstLine="0"/>
              <w:jc w:val="left"/>
              <w:rPr>
                <w:color w:val="auto"/>
                <w:sz w:val="20"/>
              </w:rPr>
            </w:pPr>
            <w:r w:rsidRPr="00BA050E">
              <w:rPr>
                <w:color w:val="808080"/>
                <w:sz w:val="20"/>
              </w:rPr>
              <w:t>Overall level of CE in active portfolio</w:t>
            </w:r>
          </w:p>
        </w:tc>
        <w:tc>
          <w:tcPr>
            <w:tcW w:w="1913" w:type="dxa"/>
            <w:tcBorders>
              <w:top w:val="single" w:sz="4" w:space="0" w:color="808080"/>
              <w:left w:val="single" w:sz="4" w:space="0" w:color="808080"/>
              <w:bottom w:val="single" w:sz="4" w:space="0" w:color="808080"/>
              <w:right w:val="single" w:sz="4" w:space="0" w:color="808080"/>
            </w:tcBorders>
            <w:shd w:val="clear" w:color="auto" w:fill="E7E6E6"/>
          </w:tcPr>
          <w:p w14:paraId="2EDB2B25" w14:textId="77777777" w:rsidR="00B44D67" w:rsidRPr="00BA050E" w:rsidRDefault="00B44D67" w:rsidP="00241C66">
            <w:pPr>
              <w:spacing w:after="0" w:line="240" w:lineRule="auto"/>
              <w:ind w:left="0" w:right="0" w:firstLine="0"/>
              <w:jc w:val="center"/>
              <w:rPr>
                <w:color w:val="808080"/>
                <w:sz w:val="20"/>
              </w:rPr>
            </w:pPr>
            <w:r w:rsidRPr="00BA050E">
              <w:rPr>
                <w:color w:val="808080"/>
                <w:sz w:val="20"/>
              </w:rPr>
              <w:t>50%</w:t>
            </w:r>
          </w:p>
        </w:tc>
        <w:tc>
          <w:tcPr>
            <w:tcW w:w="1913" w:type="dxa"/>
            <w:tcBorders>
              <w:top w:val="single" w:sz="4" w:space="0" w:color="808080"/>
              <w:left w:val="single" w:sz="4" w:space="0" w:color="808080"/>
              <w:bottom w:val="single" w:sz="4" w:space="0" w:color="808080"/>
              <w:right w:val="single" w:sz="4" w:space="0" w:color="808080"/>
            </w:tcBorders>
            <w:shd w:val="clear" w:color="auto" w:fill="E7E6E6"/>
          </w:tcPr>
          <w:p w14:paraId="2912F0CD" w14:textId="77777777" w:rsidR="00B44D67" w:rsidRPr="00BA050E" w:rsidRDefault="00B44D67" w:rsidP="00241C66">
            <w:pPr>
              <w:spacing w:after="0" w:line="240" w:lineRule="auto"/>
              <w:ind w:left="0" w:right="0" w:firstLine="0"/>
              <w:jc w:val="center"/>
              <w:rPr>
                <w:color w:val="auto"/>
                <w:sz w:val="20"/>
              </w:rPr>
            </w:pPr>
            <w:r w:rsidRPr="00BA050E">
              <w:rPr>
                <w:color w:val="808080"/>
                <w:sz w:val="20"/>
              </w:rPr>
              <w:t>60%</w:t>
            </w:r>
          </w:p>
        </w:tc>
        <w:tc>
          <w:tcPr>
            <w:tcW w:w="1877" w:type="dxa"/>
            <w:tcBorders>
              <w:top w:val="single" w:sz="4" w:space="0" w:color="808080"/>
              <w:left w:val="single" w:sz="4" w:space="0" w:color="808080"/>
              <w:bottom w:val="single" w:sz="4" w:space="0" w:color="808080"/>
              <w:right w:val="single" w:sz="4" w:space="0" w:color="808080"/>
            </w:tcBorders>
            <w:shd w:val="clear" w:color="auto" w:fill="E7E6E6"/>
          </w:tcPr>
          <w:p w14:paraId="56ACB174" w14:textId="77777777" w:rsidR="00B44D67" w:rsidRPr="00BA050E" w:rsidRDefault="00B44D67" w:rsidP="00241C66">
            <w:pPr>
              <w:spacing w:after="0" w:line="240" w:lineRule="auto"/>
              <w:ind w:left="0" w:right="0" w:firstLine="0"/>
              <w:jc w:val="center"/>
              <w:rPr>
                <w:color w:val="808080"/>
                <w:sz w:val="20"/>
                <w:highlight w:val="yellow"/>
              </w:rPr>
            </w:pPr>
            <w:r w:rsidRPr="00BA050E">
              <w:rPr>
                <w:color w:val="808080"/>
                <w:sz w:val="20"/>
              </w:rPr>
              <w:t>40%</w:t>
            </w:r>
          </w:p>
        </w:tc>
      </w:tr>
    </w:tbl>
    <w:p w14:paraId="0CBB1C4A" w14:textId="77777777" w:rsidR="00B44D67" w:rsidRPr="00BA050E" w:rsidRDefault="00B44D67" w:rsidP="00B44D67">
      <w:pPr>
        <w:spacing w:after="0" w:line="240" w:lineRule="auto"/>
        <w:ind w:left="0" w:right="0" w:firstLine="0"/>
        <w:rPr>
          <w:rFonts w:eastAsia="Calibri"/>
          <w:color w:val="auto"/>
          <w:sz w:val="22"/>
        </w:rPr>
      </w:pPr>
    </w:p>
    <w:p w14:paraId="0139098B" w14:textId="77777777" w:rsidR="00B44D67" w:rsidRPr="00BA050E" w:rsidRDefault="00B44D67" w:rsidP="006D2153">
      <w:pPr>
        <w:numPr>
          <w:ilvl w:val="0"/>
          <w:numId w:val="34"/>
        </w:numPr>
        <w:spacing w:after="100" w:afterAutospacing="1" w:line="240" w:lineRule="auto"/>
        <w:ind w:left="0" w:right="0" w:firstLine="0"/>
        <w:contextualSpacing/>
        <w:rPr>
          <w:color w:val="auto"/>
          <w:sz w:val="22"/>
        </w:rPr>
      </w:pPr>
      <w:r w:rsidRPr="00BA050E">
        <w:rPr>
          <w:rFonts w:eastAsia="Calibri"/>
          <w:b/>
          <w:color w:val="auto"/>
          <w:sz w:val="22"/>
        </w:rPr>
        <w:t>Compliance</w:t>
      </w:r>
      <w:r w:rsidRPr="00BA050E">
        <w:rPr>
          <w:rFonts w:eastAsia="Calibri"/>
          <w:color w:val="auto"/>
          <w:sz w:val="22"/>
        </w:rPr>
        <w:t xml:space="preserve"> with corporate indicators is mixed (Table 1). The relatively low results for “citizen-oriented design” is probably due to the weak description of CE activities in appraisal documents for projects approved in FY15. This was corrected in FY16 when the portfolio reached full compliance. Though only a small sample, the level of CE reporting and the transparency of task teams about CE progress is comparatively high: </w:t>
      </w:r>
      <w:r w:rsidRPr="00BA050E">
        <w:rPr>
          <w:color w:val="auto"/>
          <w:sz w:val="22"/>
        </w:rPr>
        <w:t>of 4 projects, effective for at least six months, 3 included a beneficiary feedback indicator in the results framework and all reported on the indicator in (more than one) implementation status report (ISR).</w:t>
      </w:r>
    </w:p>
    <w:p w14:paraId="042FD7FE" w14:textId="77777777" w:rsidR="00B44D67" w:rsidRPr="00BA050E" w:rsidRDefault="00B44D67" w:rsidP="00B44D67">
      <w:pPr>
        <w:spacing w:after="100" w:afterAutospacing="1" w:line="240" w:lineRule="auto"/>
        <w:ind w:left="0" w:right="0" w:firstLine="0"/>
        <w:contextualSpacing/>
        <w:rPr>
          <w:color w:val="auto"/>
          <w:sz w:val="22"/>
        </w:rPr>
      </w:pPr>
    </w:p>
    <w:p w14:paraId="3A7DCB1F" w14:textId="77777777" w:rsidR="00B44D67" w:rsidRPr="00BA050E" w:rsidRDefault="00B44D67" w:rsidP="006D2153">
      <w:pPr>
        <w:numPr>
          <w:ilvl w:val="0"/>
          <w:numId w:val="34"/>
        </w:numPr>
        <w:spacing w:after="100" w:afterAutospacing="1" w:line="240" w:lineRule="auto"/>
        <w:ind w:left="0" w:right="0" w:firstLine="0"/>
        <w:contextualSpacing/>
        <w:rPr>
          <w:color w:val="auto"/>
          <w:sz w:val="22"/>
        </w:rPr>
      </w:pPr>
      <w:r w:rsidRPr="00BA050E">
        <w:rPr>
          <w:bCs/>
          <w:color w:val="auto"/>
          <w:sz w:val="22"/>
          <w:szCs w:val="24"/>
        </w:rPr>
        <w:t xml:space="preserve">The </w:t>
      </w:r>
      <w:r w:rsidRPr="00BA050E">
        <w:rPr>
          <w:b/>
          <w:bCs/>
          <w:color w:val="auto"/>
          <w:sz w:val="22"/>
          <w:szCs w:val="24"/>
        </w:rPr>
        <w:t xml:space="preserve">quality </w:t>
      </w:r>
      <w:r w:rsidRPr="00BA050E">
        <w:rPr>
          <w:bCs/>
          <w:color w:val="auto"/>
          <w:sz w:val="22"/>
          <w:szCs w:val="24"/>
        </w:rPr>
        <w:t xml:space="preserve">of planned CE </w:t>
      </w:r>
      <w:r w:rsidRPr="00BA050E">
        <w:rPr>
          <w:color w:val="auto"/>
          <w:sz w:val="22"/>
          <w:szCs w:val="24"/>
        </w:rPr>
        <w:t xml:space="preserve">was also assessed for all 10 projects in the current portfolio. In Moldova, 66 percent of projects have two or more feedback channels―an important indicator of CE quality. The review also showed that 70 percent of projects enable citizens to engage on any issue, </w:t>
      </w:r>
      <w:r w:rsidRPr="00BA050E">
        <w:rPr>
          <w:i/>
          <w:color w:val="auto"/>
          <w:sz w:val="22"/>
          <w:szCs w:val="24"/>
        </w:rPr>
        <w:t>i.e.</w:t>
      </w:r>
      <w:r w:rsidRPr="00BA050E">
        <w:rPr>
          <w:color w:val="auto"/>
          <w:sz w:val="22"/>
          <w:szCs w:val="24"/>
        </w:rPr>
        <w:t xml:space="preserve"> feedback is not restricted to a particular pre-defined topic (</w:t>
      </w:r>
      <w:r w:rsidRPr="00BA050E">
        <w:rPr>
          <w:i/>
          <w:color w:val="auto"/>
          <w:sz w:val="22"/>
          <w:szCs w:val="24"/>
        </w:rPr>
        <w:t>e.g.</w:t>
      </w:r>
      <w:r w:rsidRPr="00BA050E">
        <w:rPr>
          <w:color w:val="auto"/>
          <w:sz w:val="22"/>
          <w:szCs w:val="24"/>
        </w:rPr>
        <w:t xml:space="preserve"> resettlement). The portfolio also scores well on frequency of feedback, with 70 percent of projects facilitating feedback at least once annually during the project life. A weaker result is that only </w:t>
      </w:r>
      <w:r w:rsidRPr="00BA050E">
        <w:rPr>
          <w:color w:val="auto"/>
          <w:sz w:val="22"/>
          <w:szCs w:val="24"/>
        </w:rPr>
        <w:lastRenderedPageBreak/>
        <w:t>33 percent of projects adopted tools that enable interaction between government and citizens, although this improved substantially in FY16. While the quality of CE interventions included in FY16 projects was excellent, the review noted a fall back around these four indicators due to the FY15 projects. A unique characteristic of the Moldovan portfolio is the overall number of active CE mechanisms (participatory planning and decision-making, citizen monitoring, participatory budgeting) supplementing the more passive tools (grievance redress mechanisms (GRMs), satisfaction surveys and consultations). Enhancing design quality will be taken up in the CE roadmap for the forthcoming CPF.</w:t>
      </w:r>
    </w:p>
    <w:p w14:paraId="06E62ACE" w14:textId="77777777" w:rsidR="00B44D67" w:rsidRPr="00BA050E" w:rsidRDefault="00B44D67" w:rsidP="00B44D67">
      <w:pPr>
        <w:spacing w:after="100" w:afterAutospacing="1" w:line="240" w:lineRule="auto"/>
        <w:ind w:left="0" w:right="0" w:firstLine="0"/>
        <w:contextualSpacing/>
        <w:rPr>
          <w:color w:val="auto"/>
          <w:sz w:val="22"/>
        </w:rPr>
      </w:pPr>
    </w:p>
    <w:p w14:paraId="4704E073" w14:textId="77777777" w:rsidR="00B44D67" w:rsidRPr="00BA050E" w:rsidRDefault="00B44D67" w:rsidP="006D2153">
      <w:pPr>
        <w:numPr>
          <w:ilvl w:val="0"/>
          <w:numId w:val="34"/>
        </w:numPr>
        <w:spacing w:after="100" w:afterAutospacing="1" w:line="240" w:lineRule="auto"/>
        <w:ind w:left="0" w:right="0" w:firstLine="0"/>
        <w:contextualSpacing/>
        <w:rPr>
          <w:color w:val="auto"/>
          <w:sz w:val="22"/>
        </w:rPr>
      </w:pPr>
      <w:r w:rsidRPr="00BA050E">
        <w:rPr>
          <w:color w:val="auto"/>
          <w:sz w:val="22"/>
        </w:rPr>
        <w:t xml:space="preserve">The </w:t>
      </w:r>
      <w:r w:rsidRPr="00BA050E">
        <w:rPr>
          <w:b/>
          <w:color w:val="auto"/>
          <w:sz w:val="22"/>
        </w:rPr>
        <w:t>level of implementation</w:t>
      </w:r>
      <w:r w:rsidRPr="00BA050E">
        <w:rPr>
          <w:color w:val="auto"/>
          <w:sz w:val="22"/>
        </w:rPr>
        <w:t xml:space="preserve"> of CE activities in the Moldova portfolio is one the strongest amongst 100+ projects reviewed in 12 ECA countries over the last year. </w:t>
      </w:r>
      <w:r w:rsidRPr="00BA050E">
        <w:rPr>
          <w:color w:val="auto"/>
          <w:sz w:val="22"/>
          <w:szCs w:val="24"/>
        </w:rPr>
        <w:t xml:space="preserve">PIUs’ follow through, </w:t>
      </w:r>
      <w:r w:rsidRPr="00BA050E">
        <w:rPr>
          <w:i/>
          <w:color w:val="auto"/>
          <w:sz w:val="22"/>
          <w:szCs w:val="24"/>
        </w:rPr>
        <w:t>i.e.</w:t>
      </w:r>
      <w:r w:rsidRPr="00BA050E">
        <w:rPr>
          <w:color w:val="auto"/>
          <w:sz w:val="22"/>
          <w:szCs w:val="24"/>
        </w:rPr>
        <w:t xml:space="preserve"> their planning, designing, budgeting, operationalizing, monitoring and reporting on CE is high compared with those in other countries. With 75 percent of tools planned by projects designed in guidelines and budgeted, this is significantly higher than in other countries and ensures that most of those projects were operationalized. In addition, progress reporting by PIUs and transparent monitoring by task teams is high, indicating an overall commitment to implementation of CE activities and to projects being accountable for CE commitments made at project approval. The impacts of this outstanding result are yet to be measured, but should be considered as part of the CE country roadmap in the next CPF.</w:t>
      </w:r>
    </w:p>
    <w:p w14:paraId="21237DC9" w14:textId="77777777" w:rsidR="00B44D67" w:rsidRPr="00BA050E" w:rsidRDefault="00B44D67" w:rsidP="00B44D67">
      <w:pPr>
        <w:spacing w:after="0" w:line="240" w:lineRule="auto"/>
        <w:ind w:left="720" w:right="0" w:firstLine="0"/>
        <w:contextualSpacing/>
        <w:rPr>
          <w:color w:val="auto"/>
          <w:sz w:val="22"/>
        </w:rPr>
      </w:pPr>
    </w:p>
    <w:p w14:paraId="699D51F9" w14:textId="77777777" w:rsidR="00B44D67" w:rsidRPr="00BA050E" w:rsidRDefault="00B44D67" w:rsidP="006D2153">
      <w:pPr>
        <w:numPr>
          <w:ilvl w:val="0"/>
          <w:numId w:val="34"/>
        </w:numPr>
        <w:spacing w:after="100" w:afterAutospacing="1" w:line="240" w:lineRule="auto"/>
        <w:ind w:left="0" w:right="0" w:firstLine="0"/>
        <w:contextualSpacing/>
        <w:rPr>
          <w:color w:val="auto"/>
          <w:sz w:val="22"/>
        </w:rPr>
      </w:pPr>
      <w:r w:rsidRPr="00BA050E">
        <w:rPr>
          <w:color w:val="auto"/>
          <w:sz w:val="22"/>
        </w:rPr>
        <w:t>The following three projects illustrate how WBG investments engage citizens in Moldova:</w:t>
      </w:r>
    </w:p>
    <w:p w14:paraId="535EA203" w14:textId="77777777" w:rsidR="00B44D67" w:rsidRPr="00BA050E" w:rsidRDefault="00B44D67" w:rsidP="00B44D67">
      <w:pPr>
        <w:spacing w:after="0" w:line="240" w:lineRule="auto"/>
        <w:ind w:left="720" w:right="0" w:firstLine="0"/>
        <w:contextualSpacing/>
        <w:rPr>
          <w:color w:val="auto"/>
          <w:sz w:val="22"/>
        </w:rPr>
      </w:pPr>
    </w:p>
    <w:p w14:paraId="707A1DC9" w14:textId="77777777" w:rsidR="00B44D67" w:rsidRPr="00BA050E" w:rsidRDefault="00B44D67" w:rsidP="006D2153">
      <w:pPr>
        <w:numPr>
          <w:ilvl w:val="0"/>
          <w:numId w:val="33"/>
        </w:numPr>
        <w:spacing w:after="0" w:line="240" w:lineRule="auto"/>
        <w:ind w:right="0"/>
        <w:contextualSpacing/>
        <w:rPr>
          <w:color w:val="auto"/>
          <w:sz w:val="22"/>
        </w:rPr>
      </w:pPr>
      <w:r w:rsidRPr="00BA050E">
        <w:rPr>
          <w:b/>
          <w:sz w:val="22"/>
          <w:szCs w:val="18"/>
        </w:rPr>
        <w:t xml:space="preserve">Strengthen Social Safety Nets Results </w:t>
      </w:r>
      <w:r w:rsidRPr="00BA050E">
        <w:rPr>
          <w:sz w:val="22"/>
          <w:szCs w:val="18"/>
        </w:rPr>
        <w:t>(</w:t>
      </w:r>
      <w:r w:rsidRPr="00BA050E">
        <w:rPr>
          <w:color w:val="auto"/>
          <w:sz w:val="22"/>
          <w:szCs w:val="18"/>
        </w:rPr>
        <w:t xml:space="preserve">P120913, FY11). Integrated with the Ministry of Labor, Social Protection and Family MIS, the project supports the development of a GRM (including a hotline and reception and consulting center), and capacity building to expedite system management. A broad public communications campaign was undertaken, with </w:t>
      </w:r>
      <w:r w:rsidRPr="00BA050E">
        <w:rPr>
          <w:sz w:val="22"/>
          <w:szCs w:val="18"/>
        </w:rPr>
        <w:t>mass media and CSOs disseminating information about the social safety net reform. Regional CSO participation in monitoring, and a National Consultative Council on social assistance have raised awareness of social assistance reforms and engaged a broad range of policy-makers, NGO experts and opinion leaders to support sustainability.</w:t>
      </w:r>
    </w:p>
    <w:p w14:paraId="17D599EA" w14:textId="77777777" w:rsidR="00B44D67" w:rsidRPr="00BA050E" w:rsidRDefault="00B44D67" w:rsidP="00B44D67">
      <w:pPr>
        <w:spacing w:after="0" w:line="240" w:lineRule="auto"/>
        <w:ind w:left="720" w:right="0" w:firstLine="0"/>
        <w:contextualSpacing/>
        <w:rPr>
          <w:color w:val="auto"/>
          <w:sz w:val="22"/>
        </w:rPr>
      </w:pPr>
    </w:p>
    <w:p w14:paraId="787E5D14" w14:textId="77777777" w:rsidR="00B44D67" w:rsidRPr="00BA050E" w:rsidRDefault="00B44D67" w:rsidP="006D2153">
      <w:pPr>
        <w:numPr>
          <w:ilvl w:val="0"/>
          <w:numId w:val="33"/>
        </w:numPr>
        <w:spacing w:after="0" w:line="240" w:lineRule="auto"/>
        <w:ind w:right="0"/>
        <w:contextualSpacing/>
        <w:rPr>
          <w:color w:val="auto"/>
          <w:sz w:val="22"/>
        </w:rPr>
      </w:pPr>
      <w:r w:rsidRPr="00BA050E">
        <w:rPr>
          <w:b/>
          <w:sz w:val="22"/>
          <w:szCs w:val="18"/>
        </w:rPr>
        <w:t xml:space="preserve">Moldova e-Transformation </w:t>
      </w:r>
      <w:r w:rsidRPr="00BA050E">
        <w:rPr>
          <w:sz w:val="22"/>
          <w:szCs w:val="18"/>
        </w:rPr>
        <w:t>(P121231</w:t>
      </w:r>
      <w:r w:rsidRPr="00BA050E">
        <w:rPr>
          <w:color w:val="auto"/>
          <w:sz w:val="22"/>
          <w:szCs w:val="18"/>
        </w:rPr>
        <w:t xml:space="preserve">, FY11). </w:t>
      </w:r>
      <w:r w:rsidRPr="00BA050E">
        <w:rPr>
          <w:sz w:val="22"/>
          <w:szCs w:val="18"/>
        </w:rPr>
        <w:t xml:space="preserve"> To increase outreach and monitor performance, the project involves citizens and civil society as follows: (a) a group of CSOs engage in participatory planning, including consultations on public policy documents and involvement in the development and revision of the Open Government Action Plan; (b) roundtables and workshops are held annually on e-Governance to engage with civil society representatives; and (c) citizens’ perception of the quality of e-service, the uptake of e-governance, and support for the e-governance initiative are measured annually.</w:t>
      </w:r>
    </w:p>
    <w:p w14:paraId="22C5B583" w14:textId="77777777" w:rsidR="00B44D67" w:rsidRPr="00BA050E" w:rsidRDefault="00B44D67" w:rsidP="00B44D67">
      <w:pPr>
        <w:spacing w:after="0" w:line="240" w:lineRule="auto"/>
        <w:ind w:left="0" w:right="0" w:firstLine="0"/>
        <w:rPr>
          <w:color w:val="auto"/>
          <w:sz w:val="22"/>
        </w:rPr>
      </w:pPr>
    </w:p>
    <w:p w14:paraId="15D13623" w14:textId="77777777" w:rsidR="00B44D67" w:rsidRPr="00BA050E" w:rsidRDefault="00B44D67" w:rsidP="006D2153">
      <w:pPr>
        <w:numPr>
          <w:ilvl w:val="0"/>
          <w:numId w:val="33"/>
        </w:numPr>
        <w:spacing w:after="0" w:line="240" w:lineRule="auto"/>
        <w:ind w:right="0"/>
        <w:contextualSpacing/>
        <w:rPr>
          <w:color w:val="auto"/>
          <w:sz w:val="22"/>
        </w:rPr>
      </w:pPr>
      <w:r w:rsidRPr="00BA050E">
        <w:rPr>
          <w:b/>
          <w:sz w:val="22"/>
          <w:szCs w:val="18"/>
        </w:rPr>
        <w:t xml:space="preserve">Education Reform </w:t>
      </w:r>
      <w:r w:rsidRPr="00BA050E">
        <w:rPr>
          <w:sz w:val="22"/>
          <w:szCs w:val="18"/>
        </w:rPr>
        <w:t>(P127388</w:t>
      </w:r>
      <w:r w:rsidRPr="00BA050E">
        <w:rPr>
          <w:color w:val="auto"/>
          <w:sz w:val="22"/>
          <w:szCs w:val="18"/>
        </w:rPr>
        <w:t xml:space="preserve">, FY13). </w:t>
      </w:r>
      <w:r w:rsidRPr="00BA050E">
        <w:rPr>
          <w:sz w:val="22"/>
          <w:szCs w:val="18"/>
        </w:rPr>
        <w:t xml:space="preserve"> Through a parallel grant, the project aims to empower civil society to: (a) engage local, regional and national authorities in evidence-based policy and budget dialogue; and (b) promote an enabling environment for social accountability. CSO coalitions have been created at regional and local levels to conduct public discussions on school budgets and to monitor the implementation of user report cards on the quality of schooling, school policies and practices. The project is particularly outstanding in its efforts to report back to citizens. Through an online platform “</w:t>
      </w:r>
      <w:proofErr w:type="spellStart"/>
      <w:r w:rsidRPr="00BA050E">
        <w:rPr>
          <w:i/>
          <w:sz w:val="22"/>
          <w:szCs w:val="18"/>
        </w:rPr>
        <w:t>ScoalaMea</w:t>
      </w:r>
      <w:proofErr w:type="spellEnd"/>
      <w:r w:rsidRPr="00BA050E">
        <w:rPr>
          <w:sz w:val="22"/>
          <w:szCs w:val="18"/>
        </w:rPr>
        <w:t>”, the project publishes information needed for citizens to engage in project activities and reports back on the results of CE mechanisms.</w:t>
      </w:r>
    </w:p>
    <w:p w14:paraId="1616A480" w14:textId="77777777" w:rsidR="00B44D67" w:rsidRPr="00BA050E" w:rsidRDefault="00B44D67" w:rsidP="00B44D67">
      <w:pPr>
        <w:spacing w:after="0" w:line="240" w:lineRule="auto"/>
        <w:ind w:left="720" w:right="0" w:firstLine="0"/>
        <w:contextualSpacing/>
        <w:rPr>
          <w:color w:val="auto"/>
          <w:sz w:val="22"/>
        </w:rPr>
      </w:pPr>
    </w:p>
    <w:p w14:paraId="7DB1766C" w14:textId="77777777" w:rsidR="00B44D67" w:rsidRPr="00BA050E" w:rsidRDefault="00B44D67" w:rsidP="006D2153">
      <w:pPr>
        <w:numPr>
          <w:ilvl w:val="0"/>
          <w:numId w:val="33"/>
        </w:numPr>
        <w:spacing w:after="0" w:line="240" w:lineRule="auto"/>
        <w:ind w:right="0"/>
        <w:contextualSpacing/>
        <w:rPr>
          <w:color w:val="auto"/>
          <w:sz w:val="22"/>
        </w:rPr>
      </w:pPr>
      <w:r w:rsidRPr="00BA050E">
        <w:rPr>
          <w:b/>
          <w:sz w:val="22"/>
        </w:rPr>
        <w:t xml:space="preserve">Open Contracting </w:t>
      </w:r>
      <w:r w:rsidRPr="00BA050E">
        <w:rPr>
          <w:sz w:val="22"/>
        </w:rPr>
        <w:t>(P151413). This Bank-executed activity</w:t>
      </w:r>
      <w:r w:rsidRPr="00BA050E">
        <w:rPr>
          <w:color w:val="auto"/>
          <w:sz w:val="22"/>
        </w:rPr>
        <w:t xml:space="preserve"> focuses on: (a) disclosure of procurement information through government portals; (b) building the capacity of non-government stakeholders to monitor and advise on public contracting performance; and (c) strengthening cooperation between government and non-governmental stakeholders in monitoring public contracting.</w:t>
      </w:r>
    </w:p>
    <w:p w14:paraId="1C1908B8" w14:textId="77777777" w:rsidR="00B44D67" w:rsidRPr="00BA050E" w:rsidRDefault="00B44D67" w:rsidP="00B44D67">
      <w:pPr>
        <w:tabs>
          <w:tab w:val="left" w:pos="1073"/>
        </w:tabs>
        <w:spacing w:after="0" w:line="240" w:lineRule="auto"/>
        <w:ind w:left="0" w:right="0" w:firstLine="0"/>
        <w:rPr>
          <w:sz w:val="22"/>
          <w:szCs w:val="18"/>
        </w:rPr>
      </w:pPr>
    </w:p>
    <w:p w14:paraId="07703B83" w14:textId="77777777" w:rsidR="00B44D67" w:rsidRPr="00BA050E" w:rsidRDefault="00B44D67" w:rsidP="00B44D67">
      <w:pPr>
        <w:rPr>
          <w:sz w:val="22"/>
        </w:rPr>
        <w:sectPr w:rsidR="00B44D67" w:rsidRPr="00BA050E" w:rsidSect="00241C66">
          <w:footerReference w:type="default" r:id="rId11"/>
          <w:pgSz w:w="11906" w:h="16838" w:code="9"/>
          <w:pgMar w:top="1170" w:right="990" w:bottom="540" w:left="1080" w:header="720" w:footer="354" w:gutter="0"/>
          <w:cols w:space="720"/>
          <w:docGrid w:linePitch="360"/>
        </w:sectPr>
      </w:pPr>
    </w:p>
    <w:p w14:paraId="77A7BAB2" w14:textId="77777777" w:rsidR="00B44D67" w:rsidRPr="00DA1A15" w:rsidRDefault="00B44D67" w:rsidP="00B44D67">
      <w:pPr>
        <w:spacing w:after="160" w:line="256" w:lineRule="auto"/>
        <w:ind w:left="0" w:right="0" w:firstLine="720"/>
        <w:jc w:val="center"/>
        <w:rPr>
          <w:rFonts w:eastAsia="Calibri"/>
          <w:b/>
          <w:color w:val="auto"/>
          <w:szCs w:val="24"/>
        </w:rPr>
      </w:pPr>
      <w:r w:rsidRPr="00DA1A15">
        <w:rPr>
          <w:rFonts w:eastAsia="Calibri"/>
          <w:b/>
          <w:color w:val="auto"/>
          <w:szCs w:val="24"/>
        </w:rPr>
        <w:lastRenderedPageBreak/>
        <w:t>Attachment 3: Gender in Moldova (FY14-17)</w:t>
      </w:r>
    </w:p>
    <w:p w14:paraId="78B24203" w14:textId="77777777" w:rsidR="00B44D67" w:rsidRPr="00BA050E" w:rsidRDefault="00B44D67" w:rsidP="00B44D67">
      <w:pPr>
        <w:spacing w:after="160" w:line="256" w:lineRule="auto"/>
        <w:ind w:left="0" w:right="0" w:firstLine="0"/>
        <w:jc w:val="left"/>
        <w:rPr>
          <w:rFonts w:eastAsia="Calibri"/>
          <w:b/>
          <w:color w:val="auto"/>
          <w:sz w:val="22"/>
        </w:rPr>
      </w:pPr>
      <w:r w:rsidRPr="00BA050E">
        <w:rPr>
          <w:rFonts w:eastAsia="Calibri"/>
          <w:b/>
          <w:color w:val="auto"/>
          <w:sz w:val="22"/>
        </w:rPr>
        <w:t>Background</w:t>
      </w:r>
    </w:p>
    <w:p w14:paraId="699B56F6" w14:textId="77777777" w:rsidR="00B44D67" w:rsidRPr="00BA050E" w:rsidRDefault="00B44D67" w:rsidP="006D2153">
      <w:pPr>
        <w:numPr>
          <w:ilvl w:val="0"/>
          <w:numId w:val="35"/>
        </w:numPr>
        <w:spacing w:after="0" w:line="240" w:lineRule="auto"/>
        <w:ind w:left="0" w:right="0" w:firstLine="0"/>
        <w:contextualSpacing/>
        <w:rPr>
          <w:rFonts w:eastAsia="Calibri"/>
          <w:sz w:val="22"/>
        </w:rPr>
      </w:pPr>
      <w:r w:rsidRPr="00BA050E">
        <w:rPr>
          <w:rFonts w:eastAsia="Calibri"/>
          <w:b/>
          <w:sz w:val="22"/>
        </w:rPr>
        <w:t>By global and regional standards, gender equality in Moldova is high</w:t>
      </w:r>
      <w:r w:rsidRPr="00BA050E">
        <w:rPr>
          <w:rFonts w:eastAsia="Calibri"/>
          <w:b/>
          <w:i/>
          <w:sz w:val="22"/>
        </w:rPr>
        <w:t xml:space="preserve">.  </w:t>
      </w:r>
      <w:r w:rsidRPr="00BA050E">
        <w:rPr>
          <w:rFonts w:eastAsia="Calibri"/>
          <w:sz w:val="22"/>
        </w:rPr>
        <w:t>The World Economic Forum’s most recent Global Gender Gap Index (2015) ranks Moldova 26 of 145 countries, with only Latvia (18) and Estonia (22) rated higher amongst East European and former Soviet states. Primary and secondary education completion rates are close to 100 percent and essentially equal for boys and girls; the university completion rate is also high, and 58 percent of university graduates are female. Women’s labor force participation is relatively high and women are slightly more likely than men to hold secure, albeit less well-paid, public sector jobs.</w:t>
      </w:r>
    </w:p>
    <w:p w14:paraId="07640E89" w14:textId="77777777" w:rsidR="00B44D67" w:rsidRPr="00BA050E" w:rsidRDefault="00B44D67" w:rsidP="00B44D67">
      <w:pPr>
        <w:spacing w:after="0" w:line="240" w:lineRule="auto"/>
        <w:ind w:left="0" w:right="0" w:firstLine="0"/>
        <w:contextualSpacing/>
        <w:rPr>
          <w:rFonts w:eastAsia="Calibri"/>
          <w:sz w:val="22"/>
        </w:rPr>
      </w:pPr>
    </w:p>
    <w:p w14:paraId="248E5837" w14:textId="77777777" w:rsidR="00B44D67" w:rsidRPr="00BA050E" w:rsidRDefault="00B44D67" w:rsidP="006D2153">
      <w:pPr>
        <w:numPr>
          <w:ilvl w:val="0"/>
          <w:numId w:val="35"/>
        </w:numPr>
        <w:spacing w:after="0" w:line="240" w:lineRule="auto"/>
        <w:ind w:left="0" w:right="0" w:firstLine="0"/>
        <w:contextualSpacing/>
        <w:rPr>
          <w:rFonts w:eastAsia="Calibri"/>
          <w:sz w:val="22"/>
        </w:rPr>
      </w:pPr>
      <w:r w:rsidRPr="00BA050E">
        <w:rPr>
          <w:rFonts w:eastAsia="Calibri"/>
          <w:b/>
          <w:sz w:val="22"/>
        </w:rPr>
        <w:t>Moldova has also progressed substantially in terms of legislation</w:t>
      </w:r>
      <w:r w:rsidRPr="00BA050E">
        <w:rPr>
          <w:rFonts w:eastAsia="Calibri"/>
          <w:b/>
          <w:i/>
          <w:sz w:val="22"/>
        </w:rPr>
        <w:t xml:space="preserve">.  </w:t>
      </w:r>
      <w:r w:rsidRPr="00BA050E">
        <w:rPr>
          <w:rFonts w:eastAsia="Calibri"/>
          <w:sz w:val="22"/>
        </w:rPr>
        <w:t xml:space="preserve"> Its constitution provides for gender equality as does the 2006 Law on Ensuring Equal Opportunities for Men and Women. A more recent law strengthened protection mechanisms for victims of gender-based violence and a National Action Plan is under preparation.</w:t>
      </w:r>
      <w:r w:rsidRPr="00BA050E">
        <w:rPr>
          <w:rFonts w:eastAsia="Calibri"/>
          <w:sz w:val="22"/>
          <w:vertAlign w:val="superscript"/>
        </w:rPr>
        <w:footnoteReference w:id="17"/>
      </w:r>
      <w:r w:rsidRPr="00BA050E">
        <w:rPr>
          <w:rFonts w:eastAsia="Calibri"/>
          <w:sz w:val="22"/>
        </w:rPr>
        <w:t xml:space="preserve"> In line with commitments under its Association Agreement with the EU, Moldova has also an established a Gender Equality Coordination Council, which recently completed a National Gender Equality Strategy, 2016-2020 that is designed to mainstream gender equality in public policy.</w:t>
      </w:r>
    </w:p>
    <w:p w14:paraId="03DB0389" w14:textId="77777777" w:rsidR="00B44D67" w:rsidRPr="00BA050E" w:rsidRDefault="00B44D67" w:rsidP="00B44D67">
      <w:pPr>
        <w:spacing w:after="160" w:line="256" w:lineRule="auto"/>
        <w:ind w:left="0" w:right="0" w:firstLine="0"/>
        <w:contextualSpacing/>
        <w:rPr>
          <w:rFonts w:eastAsia="Calibri"/>
          <w:sz w:val="22"/>
        </w:rPr>
      </w:pPr>
    </w:p>
    <w:p w14:paraId="0423522D" w14:textId="77777777" w:rsidR="00B44D67" w:rsidRDefault="00B44D67" w:rsidP="006D2153">
      <w:pPr>
        <w:numPr>
          <w:ilvl w:val="0"/>
          <w:numId w:val="35"/>
        </w:numPr>
        <w:spacing w:after="0" w:line="240" w:lineRule="auto"/>
        <w:ind w:left="0" w:right="0" w:firstLine="0"/>
        <w:contextualSpacing/>
        <w:rPr>
          <w:rFonts w:eastAsia="Calibri"/>
          <w:sz w:val="22"/>
        </w:rPr>
      </w:pPr>
      <w:r w:rsidRPr="00BA050E">
        <w:rPr>
          <w:rFonts w:eastAsia="Calibri"/>
          <w:b/>
          <w:bCs/>
          <w:color w:val="auto"/>
          <w:sz w:val="22"/>
        </w:rPr>
        <w:t xml:space="preserve">Despite these advances, </w:t>
      </w:r>
      <w:r w:rsidRPr="00BA050E">
        <w:rPr>
          <w:b/>
          <w:bCs/>
          <w:color w:val="auto"/>
          <w:sz w:val="22"/>
        </w:rPr>
        <w:t>gender equality on key indicators such as</w:t>
      </w:r>
      <w:r w:rsidRPr="00BA050E">
        <w:rPr>
          <w:rFonts w:eastAsia="Calibri"/>
          <w:b/>
          <w:bCs/>
          <w:color w:val="auto"/>
          <w:sz w:val="22"/>
        </w:rPr>
        <w:t xml:space="preserve"> the Global Gender Equality Index and a national Gender Equality Index (GEI), </w:t>
      </w:r>
      <w:r w:rsidRPr="00BA050E">
        <w:rPr>
          <w:b/>
          <w:bCs/>
          <w:color w:val="auto"/>
          <w:sz w:val="22"/>
        </w:rPr>
        <w:t>is declining</w:t>
      </w:r>
      <w:r w:rsidRPr="00BA050E">
        <w:rPr>
          <w:rFonts w:eastAsia="Calibri"/>
          <w:b/>
          <w:bCs/>
          <w:i/>
          <w:color w:val="auto"/>
          <w:sz w:val="22"/>
        </w:rPr>
        <w:t>.</w:t>
      </w:r>
      <w:r w:rsidRPr="00BA050E">
        <w:rPr>
          <w:b/>
          <w:bCs/>
          <w:i/>
          <w:color w:val="auto"/>
          <w:sz w:val="22"/>
        </w:rPr>
        <w:t xml:space="preserve"> </w:t>
      </w:r>
      <w:r w:rsidRPr="00BA050E">
        <w:rPr>
          <w:bCs/>
          <w:color w:val="auto"/>
          <w:sz w:val="22"/>
        </w:rPr>
        <w:t>According to the national GEI, developed by a local think tank (</w:t>
      </w:r>
      <w:r w:rsidRPr="00BA050E">
        <w:rPr>
          <w:rFonts w:eastAsia="Calibri"/>
          <w:color w:val="auto"/>
          <w:sz w:val="22"/>
        </w:rPr>
        <w:t>Partnership for Development Center) and</w:t>
      </w:r>
      <w:r w:rsidRPr="00BA050E">
        <w:rPr>
          <w:rFonts w:eastAsia="Calibri"/>
          <w:color w:val="auto"/>
          <w:sz w:val="18"/>
          <w:szCs w:val="18"/>
        </w:rPr>
        <w:t xml:space="preserve"> </w:t>
      </w:r>
      <w:r w:rsidRPr="00BA050E">
        <w:rPr>
          <w:bCs/>
          <w:color w:val="auto"/>
          <w:sz w:val="22"/>
        </w:rPr>
        <w:t xml:space="preserve">based on 31 indicators in six areas, </w:t>
      </w:r>
      <w:r w:rsidRPr="00BA050E">
        <w:rPr>
          <w:rFonts w:eastAsia="Calibri"/>
          <w:color w:val="auto"/>
          <w:sz w:val="22"/>
        </w:rPr>
        <w:t xml:space="preserve">four areas regressed during 2009-14, the </w:t>
      </w:r>
      <w:r w:rsidRPr="00BA050E">
        <w:rPr>
          <w:bCs/>
          <w:color w:val="auto"/>
          <w:sz w:val="22"/>
        </w:rPr>
        <w:t>decline being most evident in the labor market.</w:t>
      </w:r>
      <w:r w:rsidRPr="00BA050E">
        <w:rPr>
          <w:bCs/>
          <w:color w:val="auto"/>
          <w:sz w:val="22"/>
          <w:vertAlign w:val="superscript"/>
        </w:rPr>
        <w:footnoteReference w:id="18"/>
      </w:r>
      <w:r w:rsidRPr="00BA050E">
        <w:rPr>
          <w:bCs/>
          <w:color w:val="auto"/>
          <w:sz w:val="22"/>
        </w:rPr>
        <w:t xml:space="preserve"> Second, the same think tank’s assessment of 25 policies adopted by parliament between 2012-14 concluded that none considered gender issues explicitly. Third, </w:t>
      </w:r>
      <w:r w:rsidRPr="00BA050E">
        <w:rPr>
          <w:rFonts w:eastAsia="Calibri"/>
          <w:sz w:val="22"/>
        </w:rPr>
        <w:t>there is clear evidence that gender discrepancies persist in important areas of the economy and society, including the following:</w:t>
      </w:r>
      <w:r w:rsidRPr="00BA050E">
        <w:rPr>
          <w:rFonts w:eastAsia="Calibri"/>
          <w:sz w:val="22"/>
          <w:vertAlign w:val="superscript"/>
        </w:rPr>
        <w:footnoteReference w:id="19"/>
      </w:r>
    </w:p>
    <w:p w14:paraId="5A142CB0" w14:textId="77777777" w:rsidR="00B44D67" w:rsidRDefault="00B44D67" w:rsidP="00B44D67">
      <w:pPr>
        <w:pStyle w:val="ListParagraph"/>
        <w:rPr>
          <w:rFonts w:eastAsia="Calibri"/>
          <w:sz w:val="22"/>
        </w:rPr>
      </w:pPr>
    </w:p>
    <w:p w14:paraId="53033972" w14:textId="77777777" w:rsidR="00B44D67" w:rsidRPr="00DE0C63" w:rsidRDefault="00B44D67" w:rsidP="006D2153">
      <w:pPr>
        <w:pStyle w:val="ListParagraph"/>
        <w:numPr>
          <w:ilvl w:val="0"/>
          <w:numId w:val="42"/>
        </w:numPr>
        <w:spacing w:after="0" w:line="240" w:lineRule="auto"/>
        <w:ind w:left="1080" w:right="0"/>
        <w:rPr>
          <w:rFonts w:eastAsia="Calibri"/>
          <w:sz w:val="22"/>
        </w:rPr>
      </w:pPr>
      <w:r w:rsidRPr="00DE0C63">
        <w:rPr>
          <w:rFonts w:eastAsia="Calibri"/>
          <w:sz w:val="22"/>
        </w:rPr>
        <w:t>Occupational segregation and earnings gap: Despite evident equality in education and labor force participation, there are still significantly fewer women in higher-earning professions and industries.</w:t>
      </w:r>
    </w:p>
    <w:p w14:paraId="3DBFBEA1" w14:textId="77777777" w:rsidR="00B44D67" w:rsidRPr="00DE0C63" w:rsidRDefault="00B44D67" w:rsidP="006D2153">
      <w:pPr>
        <w:pStyle w:val="ListParagraph"/>
        <w:numPr>
          <w:ilvl w:val="0"/>
          <w:numId w:val="42"/>
        </w:numPr>
        <w:spacing w:after="0" w:line="240" w:lineRule="auto"/>
        <w:ind w:left="1080" w:right="0"/>
        <w:rPr>
          <w:rFonts w:eastAsia="Calibri"/>
          <w:sz w:val="22"/>
        </w:rPr>
      </w:pPr>
      <w:r w:rsidRPr="00DE0C63">
        <w:rPr>
          <w:rFonts w:eastAsia="Calibri"/>
          <w:sz w:val="22"/>
        </w:rPr>
        <w:t>Discrepancies in labor force participation: Women delay entry into the labor force and take longer breaks. There is a substantial gap in labor force participation between women with and without children―20 percent in 2014, one of the highest in Europe―and, despite a labor code that prohibits gender discrimination, there remains significant bias in the labor market, due partly to restrictive maternity leave policies, inflexible workplace arrangements, and limited childcare options.</w:t>
      </w:r>
    </w:p>
    <w:p w14:paraId="0000F5C4" w14:textId="77777777" w:rsidR="00B44D67" w:rsidRPr="00DE0C63" w:rsidRDefault="00B44D67" w:rsidP="006D2153">
      <w:pPr>
        <w:pStyle w:val="ListParagraph"/>
        <w:numPr>
          <w:ilvl w:val="0"/>
          <w:numId w:val="42"/>
        </w:numPr>
        <w:spacing w:after="0" w:line="240" w:lineRule="auto"/>
        <w:ind w:left="1080" w:right="0"/>
        <w:rPr>
          <w:rFonts w:eastAsia="Calibri"/>
          <w:sz w:val="22"/>
        </w:rPr>
      </w:pPr>
      <w:r w:rsidRPr="00DE0C63">
        <w:rPr>
          <w:rFonts w:eastAsia="Calibri"/>
          <w:sz w:val="22"/>
        </w:rPr>
        <w:t xml:space="preserve">Entrepreneurship and livelihoods: Women in Moldova are less likely to start a business, and when they do, are less likely to expand and employ others. Available data suggests that these barriers ae related to social norms, limited access to productive assets, as well as inadequate leadership, management, and financial literacy skills, </w:t>
      </w:r>
      <w:r w:rsidRPr="00DE0C63">
        <w:rPr>
          <w:rFonts w:eastAsia="Calibri"/>
          <w:i/>
          <w:sz w:val="22"/>
        </w:rPr>
        <w:t>etc</w:t>
      </w:r>
      <w:r w:rsidRPr="00DE0C63">
        <w:rPr>
          <w:rFonts w:eastAsia="Calibri"/>
          <w:sz w:val="22"/>
        </w:rPr>
        <w:t>.</w:t>
      </w:r>
    </w:p>
    <w:p w14:paraId="3FE11A6C" w14:textId="77777777" w:rsidR="00B44D67" w:rsidRPr="00DE0C63" w:rsidRDefault="00B44D67" w:rsidP="006D2153">
      <w:pPr>
        <w:pStyle w:val="ListParagraph"/>
        <w:numPr>
          <w:ilvl w:val="0"/>
          <w:numId w:val="42"/>
        </w:numPr>
        <w:spacing w:after="0" w:line="240" w:lineRule="auto"/>
        <w:ind w:left="1080" w:right="0"/>
        <w:rPr>
          <w:rFonts w:eastAsia="Calibri"/>
          <w:sz w:val="22"/>
        </w:rPr>
      </w:pPr>
      <w:r w:rsidRPr="00DE0C63">
        <w:rPr>
          <w:rFonts w:eastAsia="Calibri"/>
          <w:sz w:val="22"/>
        </w:rPr>
        <w:t>Agency, voice, and gender-based violence: Women are under-represented in leadership positons in both local and national governments, as well as in the civil service, the judiciary, the legislature, and the media. At the same time, Moldova has one of the highest rates in Europe and Central Asia of domestic violence and human trafficking (primarily as a source country).</w:t>
      </w:r>
    </w:p>
    <w:p w14:paraId="39BF803F" w14:textId="77777777" w:rsidR="00B44D67" w:rsidRPr="00BA050E" w:rsidRDefault="00B44D67" w:rsidP="00B44D67">
      <w:pPr>
        <w:spacing w:after="160" w:line="256" w:lineRule="auto"/>
        <w:ind w:left="0" w:right="0" w:firstLine="0"/>
        <w:contextualSpacing/>
        <w:rPr>
          <w:rFonts w:eastAsia="Calibri"/>
          <w:sz w:val="22"/>
        </w:rPr>
      </w:pPr>
    </w:p>
    <w:p w14:paraId="02A7BE71" w14:textId="77777777" w:rsidR="00B44D67" w:rsidRPr="00BA050E" w:rsidRDefault="00B44D67" w:rsidP="006D2153">
      <w:pPr>
        <w:numPr>
          <w:ilvl w:val="0"/>
          <w:numId w:val="35"/>
        </w:numPr>
        <w:spacing w:after="0" w:line="240" w:lineRule="auto"/>
        <w:ind w:left="0" w:right="0" w:firstLine="0"/>
        <w:contextualSpacing/>
        <w:rPr>
          <w:rFonts w:eastAsia="Calibri"/>
          <w:sz w:val="22"/>
        </w:rPr>
      </w:pPr>
      <w:r w:rsidRPr="00BA050E">
        <w:rPr>
          <w:rFonts w:eastAsia="Calibri"/>
          <w:b/>
          <w:color w:val="auto"/>
          <w:sz w:val="22"/>
        </w:rPr>
        <w:t xml:space="preserve">National priorities on gender focus on equality in the labor market, increasing women’s representation in politics, improving the enabling environment for women entrepreneurs, and combating gender-based violence. </w:t>
      </w:r>
      <w:r>
        <w:rPr>
          <w:rFonts w:eastAsia="Calibri"/>
          <w:b/>
          <w:color w:val="auto"/>
          <w:sz w:val="22"/>
        </w:rPr>
        <w:t xml:space="preserve"> </w:t>
      </w:r>
      <w:r w:rsidRPr="00BA050E">
        <w:rPr>
          <w:rFonts w:eastAsia="Calibri"/>
          <w:color w:val="auto"/>
          <w:sz w:val="22"/>
        </w:rPr>
        <w:t xml:space="preserve">Moldova recently elaborated a new Gender Equality Strategy, 2016-2020 that aims to mainstream gender in a wide range of areas including health, education, social services, labor market, climate change and disaster management, political participation, </w:t>
      </w:r>
      <w:r w:rsidRPr="00BA050E">
        <w:rPr>
          <w:rFonts w:eastAsia="Calibri"/>
          <w:i/>
          <w:color w:val="auto"/>
          <w:sz w:val="22"/>
        </w:rPr>
        <w:t>etc.</w:t>
      </w:r>
      <w:r w:rsidRPr="00BA050E">
        <w:rPr>
          <w:rFonts w:eastAsia="Calibri"/>
          <w:color w:val="auto"/>
          <w:sz w:val="22"/>
        </w:rPr>
        <w:t xml:space="preserve"> The Ministry of Labor, Health, and Social Affairs is mandated to coordinate implementation of this strategy across the government, although each sectoral agency is responsible for allocating financial resources.</w:t>
      </w:r>
    </w:p>
    <w:p w14:paraId="7841A873" w14:textId="77777777" w:rsidR="00B44D67" w:rsidRPr="00BA050E" w:rsidRDefault="00B44D67" w:rsidP="00B44D67">
      <w:pPr>
        <w:spacing w:after="0" w:line="240" w:lineRule="auto"/>
        <w:ind w:left="0" w:right="0" w:firstLine="0"/>
        <w:rPr>
          <w:rFonts w:eastAsia="Calibri"/>
          <w:sz w:val="22"/>
        </w:rPr>
      </w:pPr>
    </w:p>
    <w:p w14:paraId="09E834DA" w14:textId="77777777" w:rsidR="00E50CB4" w:rsidRDefault="00E50CB4" w:rsidP="00B44D67">
      <w:pPr>
        <w:spacing w:after="0" w:line="240" w:lineRule="auto"/>
        <w:ind w:left="0" w:right="0" w:firstLine="0"/>
        <w:rPr>
          <w:rFonts w:eastAsia="Calibri"/>
          <w:b/>
          <w:sz w:val="22"/>
        </w:rPr>
      </w:pPr>
    </w:p>
    <w:p w14:paraId="2C4036FC" w14:textId="77777777" w:rsidR="00B44D67" w:rsidRPr="00BA050E" w:rsidRDefault="00B44D67" w:rsidP="00B44D67">
      <w:pPr>
        <w:spacing w:after="0" w:line="240" w:lineRule="auto"/>
        <w:ind w:left="0" w:right="0" w:firstLine="0"/>
        <w:rPr>
          <w:rFonts w:eastAsia="Calibri"/>
          <w:b/>
          <w:sz w:val="22"/>
        </w:rPr>
      </w:pPr>
      <w:r w:rsidRPr="00BA050E">
        <w:rPr>
          <w:rFonts w:eastAsia="Calibri"/>
          <w:b/>
          <w:sz w:val="22"/>
        </w:rPr>
        <w:lastRenderedPageBreak/>
        <w:t>Gender in Bank Group’s Program</w:t>
      </w:r>
    </w:p>
    <w:p w14:paraId="368A2655" w14:textId="77777777" w:rsidR="00B44D67" w:rsidRPr="00BA050E" w:rsidRDefault="00B44D67" w:rsidP="00B44D67">
      <w:pPr>
        <w:spacing w:after="0" w:line="240" w:lineRule="auto"/>
        <w:ind w:left="0" w:right="0" w:firstLine="0"/>
        <w:rPr>
          <w:rFonts w:eastAsia="Calibri"/>
          <w:sz w:val="22"/>
        </w:rPr>
      </w:pPr>
    </w:p>
    <w:p w14:paraId="6CED5AFA" w14:textId="77777777" w:rsidR="00B44D67" w:rsidRPr="00BA050E" w:rsidRDefault="00B44D67" w:rsidP="006D2153">
      <w:pPr>
        <w:numPr>
          <w:ilvl w:val="0"/>
          <w:numId w:val="35"/>
        </w:numPr>
        <w:spacing w:after="0" w:line="240" w:lineRule="auto"/>
        <w:ind w:left="0" w:right="0" w:firstLine="0"/>
        <w:contextualSpacing/>
        <w:rPr>
          <w:rFonts w:eastAsia="Calibri"/>
          <w:color w:val="auto"/>
          <w:sz w:val="22"/>
        </w:rPr>
      </w:pPr>
      <w:r w:rsidRPr="00BA050E">
        <w:rPr>
          <w:rFonts w:eastAsia="Calibri"/>
          <w:b/>
          <w:color w:val="auto"/>
          <w:sz w:val="22"/>
        </w:rPr>
        <w:t xml:space="preserve">Bank Group analytics and operations have an important role to play in addressing occupational segregation and labor force participation through education and labor interventions, opening opportunities for women as entrepreneurs, as well as promoting change in healthy lifestyles and access to health for men.  </w:t>
      </w:r>
      <w:r w:rsidRPr="00BA050E">
        <w:rPr>
          <w:rFonts w:eastAsia="Calibri"/>
          <w:color w:val="auto"/>
          <w:sz w:val="22"/>
        </w:rPr>
        <w:t>Bank Group lending and knowledge products can contribute to: establishing the evidence base for linkages between gender equality and social and economic empowerment; piloting specific skills, training, or capacity-building programs; bringing good practice knowledge in public awareness and communications on gender issues; and helping build government capacity for establishing better statistics and continuous monitoring of gender outcomes.</w:t>
      </w:r>
    </w:p>
    <w:p w14:paraId="68C80953" w14:textId="77777777" w:rsidR="00B44D67" w:rsidRPr="00BA050E" w:rsidRDefault="00B44D67" w:rsidP="00B44D67">
      <w:pPr>
        <w:spacing w:after="0" w:line="240" w:lineRule="auto"/>
        <w:ind w:left="0" w:right="0" w:firstLine="0"/>
        <w:contextualSpacing/>
        <w:rPr>
          <w:rFonts w:eastAsia="Calibri"/>
          <w:color w:val="auto"/>
          <w:sz w:val="22"/>
        </w:rPr>
      </w:pPr>
    </w:p>
    <w:p w14:paraId="5D1AB38E" w14:textId="77777777" w:rsidR="00B44D67" w:rsidRPr="00BA050E" w:rsidRDefault="00B44D67" w:rsidP="006D2153">
      <w:pPr>
        <w:numPr>
          <w:ilvl w:val="0"/>
          <w:numId w:val="35"/>
        </w:numPr>
        <w:spacing w:after="0" w:line="240" w:lineRule="auto"/>
        <w:ind w:left="0" w:right="0" w:firstLine="0"/>
        <w:contextualSpacing/>
        <w:rPr>
          <w:rFonts w:eastAsia="Calibri"/>
          <w:color w:val="auto"/>
          <w:sz w:val="22"/>
        </w:rPr>
      </w:pPr>
      <w:r w:rsidRPr="00BA050E">
        <w:rPr>
          <w:rFonts w:eastAsia="Calibri"/>
          <w:b/>
          <w:color w:val="auto"/>
          <w:sz w:val="22"/>
        </w:rPr>
        <w:t>A review of projects underway during the current FY14-17 CPS revealed increasing gender analysis and monitoring</w:t>
      </w:r>
      <w:r w:rsidRPr="00BA050E">
        <w:rPr>
          <w:rFonts w:eastAsia="Calibri"/>
          <w:b/>
          <w:i/>
          <w:color w:val="auto"/>
          <w:sz w:val="22"/>
        </w:rPr>
        <w:t>.</w:t>
      </w:r>
      <w:r w:rsidRPr="00BA050E">
        <w:rPr>
          <w:rFonts w:eastAsia="Calibri"/>
          <w:color w:val="auto"/>
          <w:sz w:val="22"/>
          <w:vertAlign w:val="superscript"/>
        </w:rPr>
        <w:footnoteReference w:id="20"/>
      </w:r>
      <w:r w:rsidRPr="00BA050E">
        <w:rPr>
          <w:rFonts w:eastAsia="Calibri"/>
          <w:color w:val="auto"/>
          <w:sz w:val="22"/>
        </w:rPr>
        <w:t xml:space="preserve"> Ten, or two-thirds, are informed by some type of gender analysis and most include gender indicators in their results framework (RF). Overall, 80 percent can be considered gender-informed, </w:t>
      </w:r>
      <w:r w:rsidRPr="00BA050E">
        <w:rPr>
          <w:rFonts w:eastAsia="Calibri"/>
          <w:i/>
          <w:color w:val="auto"/>
          <w:sz w:val="22"/>
        </w:rPr>
        <w:t>i.e.</w:t>
      </w:r>
      <w:r w:rsidRPr="00BA050E">
        <w:rPr>
          <w:rFonts w:eastAsia="Calibri"/>
          <w:color w:val="auto"/>
          <w:sz w:val="22"/>
        </w:rPr>
        <w:t>, meeting at least two of three criteria: gender analysis, gender actions, and/or gender monitoring. Compared to FY11-13, all projects approved since FY14 were informed by gender analysis and include gender-related indicators. At the design stage, gender is integrated either through project-specific analysis (</w:t>
      </w:r>
      <w:r w:rsidRPr="00BA050E">
        <w:rPr>
          <w:rFonts w:eastAsia="Calibri"/>
          <w:i/>
          <w:color w:val="auto"/>
          <w:sz w:val="22"/>
        </w:rPr>
        <w:t xml:space="preserve">e.g., </w:t>
      </w:r>
      <w:r w:rsidRPr="00BA050E">
        <w:rPr>
          <w:rFonts w:eastAsia="Calibri"/>
          <w:color w:val="auto"/>
          <w:sz w:val="22"/>
        </w:rPr>
        <w:t>part of a social assessment, PSIA, or baseline survey</w:t>
      </w:r>
      <w:r w:rsidRPr="00BA050E">
        <w:rPr>
          <w:rFonts w:eastAsia="Calibri"/>
          <w:color w:val="auto"/>
          <w:sz w:val="22"/>
          <w:vertAlign w:val="superscript"/>
        </w:rPr>
        <w:footnoteReference w:id="21"/>
      </w:r>
      <w:r w:rsidRPr="00BA050E">
        <w:rPr>
          <w:rFonts w:eastAsia="Calibri"/>
          <w:color w:val="auto"/>
          <w:sz w:val="22"/>
        </w:rPr>
        <w:t>) or a review of secondary data (</w:t>
      </w:r>
      <w:r w:rsidRPr="00BA050E">
        <w:rPr>
          <w:rFonts w:eastAsia="Calibri"/>
          <w:i/>
          <w:color w:val="auto"/>
          <w:sz w:val="22"/>
        </w:rPr>
        <w:t xml:space="preserve">e.g., </w:t>
      </w:r>
      <w:r w:rsidRPr="00BA050E">
        <w:rPr>
          <w:rFonts w:eastAsia="Calibri"/>
          <w:color w:val="auto"/>
          <w:sz w:val="22"/>
        </w:rPr>
        <w:t>household survey, sector-specific data, evaluations or analysis under previous projects</w:t>
      </w:r>
      <w:r w:rsidRPr="00BA050E">
        <w:rPr>
          <w:rFonts w:eastAsia="Calibri"/>
          <w:color w:val="auto"/>
          <w:sz w:val="22"/>
          <w:vertAlign w:val="superscript"/>
        </w:rPr>
        <w:footnoteReference w:id="22"/>
      </w:r>
      <w:r w:rsidRPr="00BA050E">
        <w:rPr>
          <w:rFonts w:eastAsia="Calibri"/>
          <w:color w:val="auto"/>
          <w:sz w:val="22"/>
        </w:rPr>
        <w:t>). Two DPOs approved in FY14 and FY17 respectively are grounded in gender-informed PSIA work.</w:t>
      </w:r>
      <w:r w:rsidRPr="00BA050E">
        <w:rPr>
          <w:rFonts w:eastAsia="Calibri"/>
          <w:color w:val="auto"/>
          <w:sz w:val="22"/>
          <w:vertAlign w:val="superscript"/>
        </w:rPr>
        <w:footnoteReference w:id="23"/>
      </w:r>
      <w:r w:rsidRPr="00BA050E">
        <w:rPr>
          <w:rFonts w:eastAsia="Calibri"/>
          <w:color w:val="auto"/>
          <w:sz w:val="22"/>
        </w:rPr>
        <w:t xml:space="preserve"> Monitoring in most projects consists of collecting gender-disaggregated data on beneficiaries.</w:t>
      </w:r>
    </w:p>
    <w:p w14:paraId="646738D5" w14:textId="77777777" w:rsidR="00B44D67" w:rsidRPr="00BA050E" w:rsidRDefault="00B44D67" w:rsidP="00B44D67">
      <w:pPr>
        <w:spacing w:after="160" w:line="256" w:lineRule="auto"/>
        <w:ind w:left="0" w:right="0" w:firstLine="0"/>
        <w:contextualSpacing/>
        <w:rPr>
          <w:rFonts w:eastAsia="Calibri"/>
          <w:color w:val="auto"/>
          <w:sz w:val="22"/>
        </w:rPr>
      </w:pPr>
    </w:p>
    <w:p w14:paraId="66FC32F2" w14:textId="77777777" w:rsidR="00B44D67" w:rsidRPr="00BA050E" w:rsidRDefault="00B44D67" w:rsidP="006D2153">
      <w:pPr>
        <w:numPr>
          <w:ilvl w:val="0"/>
          <w:numId w:val="35"/>
        </w:numPr>
        <w:spacing w:after="0" w:line="240" w:lineRule="auto"/>
        <w:ind w:left="0" w:right="0" w:firstLine="0"/>
        <w:contextualSpacing/>
        <w:rPr>
          <w:rFonts w:eastAsia="Calibri"/>
          <w:color w:val="auto"/>
          <w:sz w:val="22"/>
        </w:rPr>
      </w:pPr>
      <w:r w:rsidRPr="00BA050E">
        <w:rPr>
          <w:rFonts w:eastAsia="Calibri"/>
          <w:b/>
          <w:color w:val="auto"/>
          <w:sz w:val="22"/>
        </w:rPr>
        <w:t>Although the portfolio is gender-informed, it still faces challenges in terms of making a transformational impact on key gender equality issues</w:t>
      </w:r>
      <w:r w:rsidRPr="00BA050E">
        <w:rPr>
          <w:rFonts w:eastAsia="Calibri"/>
          <w:b/>
          <w:i/>
          <w:color w:val="auto"/>
          <w:sz w:val="22"/>
        </w:rPr>
        <w:t>.</w:t>
      </w:r>
      <w:r w:rsidRPr="00BA050E">
        <w:rPr>
          <w:rFonts w:eastAsia="Calibri"/>
          <w:color w:val="auto"/>
          <w:sz w:val="22"/>
        </w:rPr>
        <w:t xml:space="preserve"> Only one project (</w:t>
      </w:r>
      <w:r w:rsidRPr="00BA050E">
        <w:rPr>
          <w:rFonts w:eastAsia="Calibri"/>
          <w:i/>
          <w:color w:val="auto"/>
          <w:sz w:val="22"/>
        </w:rPr>
        <w:t>E-Transformation</w:t>
      </w:r>
      <w:r w:rsidRPr="00BA050E">
        <w:rPr>
          <w:rFonts w:eastAsia="Calibri"/>
          <w:color w:val="auto"/>
          <w:sz w:val="22"/>
        </w:rPr>
        <w:t>) incorporates and reports on a gender-specific target and no projects target gender equality outcomes in their results framework. Moreover, many projects report gender activities at the design stage, but few provide evidence during implementation. Not all projects can advance gender equality outcomes, but where there is the potential, technical support to task teams would be desirable to help design activities, adopt realistic results indicators, and report consistently on implementation and outcomes.</w:t>
      </w:r>
    </w:p>
    <w:p w14:paraId="743B5982" w14:textId="77777777" w:rsidR="00B44D67" w:rsidRPr="00BA050E" w:rsidRDefault="00B44D67" w:rsidP="00B44D67">
      <w:pPr>
        <w:spacing w:after="160" w:line="256" w:lineRule="auto"/>
        <w:ind w:left="0" w:right="0" w:firstLine="0"/>
        <w:contextualSpacing/>
        <w:rPr>
          <w:rFonts w:eastAsia="Calibri"/>
          <w:color w:val="auto"/>
          <w:sz w:val="22"/>
        </w:rPr>
      </w:pPr>
    </w:p>
    <w:p w14:paraId="23E5CA23" w14:textId="77777777" w:rsidR="00B44D67" w:rsidRPr="00BA050E" w:rsidRDefault="00B44D67" w:rsidP="006D2153">
      <w:pPr>
        <w:numPr>
          <w:ilvl w:val="0"/>
          <w:numId w:val="35"/>
        </w:numPr>
        <w:spacing w:after="0" w:line="240" w:lineRule="auto"/>
        <w:ind w:left="0" w:right="0" w:firstLine="0"/>
        <w:contextualSpacing/>
        <w:rPr>
          <w:rFonts w:eastAsia="Calibri"/>
          <w:color w:val="auto"/>
          <w:sz w:val="22"/>
        </w:rPr>
      </w:pPr>
      <w:r w:rsidRPr="00BA050E">
        <w:rPr>
          <w:rFonts w:eastAsia="Calibri"/>
          <w:b/>
          <w:color w:val="auto"/>
          <w:sz w:val="22"/>
        </w:rPr>
        <w:t>The Bank Group’s knowledge work is also contributing significantly to the evidence base on specific gender gaps</w:t>
      </w:r>
      <w:r w:rsidRPr="00BA050E">
        <w:rPr>
          <w:rFonts w:eastAsia="Calibri"/>
          <w:b/>
          <w:i/>
          <w:color w:val="auto"/>
          <w:sz w:val="22"/>
        </w:rPr>
        <w:t xml:space="preserve">.  </w:t>
      </w:r>
      <w:r w:rsidRPr="00BA050E">
        <w:rPr>
          <w:rFonts w:eastAsia="Calibri"/>
          <w:color w:val="auto"/>
          <w:sz w:val="22"/>
        </w:rPr>
        <w:t>For example</w:t>
      </w:r>
      <w:r w:rsidRPr="00BA050E">
        <w:rPr>
          <w:rFonts w:eastAsia="Calibri"/>
          <w:b/>
          <w:i/>
          <w:color w:val="auto"/>
          <w:sz w:val="22"/>
        </w:rPr>
        <w:t xml:space="preserve">, </w:t>
      </w:r>
      <w:r w:rsidRPr="00BA050E">
        <w:rPr>
          <w:rFonts w:eastAsia="Calibri"/>
          <w:color w:val="auto"/>
          <w:sz w:val="22"/>
        </w:rPr>
        <w:t xml:space="preserve">the 2015 study </w:t>
      </w:r>
      <w:r w:rsidRPr="00BA050E">
        <w:rPr>
          <w:rFonts w:eastAsia="Calibri"/>
          <w:i/>
          <w:color w:val="auto"/>
          <w:sz w:val="22"/>
        </w:rPr>
        <w:t>From Aspirations to Occupations</w:t>
      </w:r>
      <w:r w:rsidRPr="00BA050E">
        <w:rPr>
          <w:rFonts w:eastAsia="Calibri"/>
          <w:color w:val="auto"/>
          <w:sz w:val="22"/>
        </w:rPr>
        <w:t xml:space="preserve"> and the 2016 Systematic Country Diagnostic highlighted the gap in occupational preferences between men and women, with few women entering high-earning STEM professions and many tending to delay their entry into the labor force. In this connection, technical assistance to Moldova’s Small and Medium Business Development Agency (ODIMM) is undertaking a first national survey on barriers for women entrepreneurs. The findings of these knowledge products will help inform gender-specific actions in education, entrepreneurship, and livelihoods. Meanwhile, the Pension Reform Law, approved in December 2016 with Bank-financed technical assistance, equalized the retirement age for men and women (at 63) and is expected to improve women’s pension and related benefits and reduce the income gap between men and women retirees.</w:t>
      </w:r>
    </w:p>
    <w:p w14:paraId="41886892" w14:textId="77777777" w:rsidR="00B44D67" w:rsidRPr="00BA050E" w:rsidRDefault="00B44D67" w:rsidP="00B44D67">
      <w:pPr>
        <w:spacing w:after="160" w:line="256" w:lineRule="auto"/>
        <w:ind w:left="0" w:right="0" w:firstLine="0"/>
        <w:contextualSpacing/>
        <w:rPr>
          <w:rFonts w:eastAsia="Calibri"/>
          <w:color w:val="auto"/>
          <w:sz w:val="22"/>
        </w:rPr>
      </w:pPr>
    </w:p>
    <w:p w14:paraId="29208A4C" w14:textId="77777777" w:rsidR="00B44D67" w:rsidRPr="00BA050E" w:rsidRDefault="00B44D67" w:rsidP="00B44D67">
      <w:pPr>
        <w:spacing w:after="0" w:line="240" w:lineRule="auto"/>
        <w:ind w:left="0" w:right="0" w:firstLine="0"/>
        <w:contextualSpacing/>
        <w:rPr>
          <w:rFonts w:eastAsia="Calibri"/>
          <w:color w:val="auto"/>
          <w:sz w:val="22"/>
        </w:rPr>
      </w:pPr>
    </w:p>
    <w:p w14:paraId="6066569B" w14:textId="77777777" w:rsidR="00B44D67" w:rsidRPr="00BA050E" w:rsidRDefault="00B44D67" w:rsidP="00B44D67">
      <w:pPr>
        <w:spacing w:after="0" w:line="240" w:lineRule="auto"/>
        <w:ind w:left="0" w:right="0" w:firstLine="0"/>
        <w:contextualSpacing/>
        <w:rPr>
          <w:rFonts w:eastAsia="Calibri"/>
          <w:color w:val="auto"/>
          <w:sz w:val="22"/>
        </w:rPr>
        <w:sectPr w:rsidR="00B44D67" w:rsidRPr="00BA050E" w:rsidSect="00241C66">
          <w:pgSz w:w="11906" w:h="16838" w:code="9"/>
          <w:pgMar w:top="1170" w:right="990" w:bottom="540" w:left="1080" w:header="720" w:footer="354" w:gutter="0"/>
          <w:cols w:space="720"/>
          <w:docGrid w:linePitch="360"/>
        </w:sectPr>
      </w:pPr>
    </w:p>
    <w:p w14:paraId="51155FB5" w14:textId="36A3C368" w:rsidR="00B44D67" w:rsidRPr="00BA050E" w:rsidRDefault="00B44D67" w:rsidP="00B44D67">
      <w:pPr>
        <w:spacing w:after="160" w:line="240" w:lineRule="auto"/>
        <w:ind w:left="0" w:right="0" w:firstLine="0"/>
        <w:jc w:val="center"/>
        <w:rPr>
          <w:rFonts w:eastAsia="Calibri"/>
          <w:b/>
          <w:color w:val="auto"/>
          <w:szCs w:val="24"/>
        </w:rPr>
      </w:pPr>
      <w:r w:rsidRPr="00BA050E">
        <w:rPr>
          <w:rFonts w:eastAsia="Calibri"/>
          <w:b/>
          <w:color w:val="auto"/>
          <w:szCs w:val="24"/>
        </w:rPr>
        <w:lastRenderedPageBreak/>
        <w:t>A</w:t>
      </w:r>
      <w:r>
        <w:rPr>
          <w:rFonts w:eastAsia="Calibri"/>
          <w:b/>
          <w:color w:val="auto"/>
          <w:szCs w:val="24"/>
        </w:rPr>
        <w:t>ttachment</w:t>
      </w:r>
      <w:r w:rsidRPr="00BA050E">
        <w:rPr>
          <w:rFonts w:eastAsia="Calibri"/>
          <w:b/>
          <w:color w:val="auto"/>
          <w:szCs w:val="24"/>
        </w:rPr>
        <w:t xml:space="preserve"> 4: Planned Lending and Actual Deliveries</w:t>
      </w:r>
      <w:r w:rsidR="00A96045">
        <w:rPr>
          <w:rFonts w:eastAsia="Calibri"/>
          <w:b/>
          <w:color w:val="auto"/>
          <w:szCs w:val="24"/>
        </w:rPr>
        <w:t xml:space="preserve"> (USD million)</w:t>
      </w:r>
    </w:p>
    <w:tbl>
      <w:tblPr>
        <w:tblStyle w:val="TableGrid21"/>
        <w:tblW w:w="12055" w:type="dxa"/>
        <w:tblLook w:val="04A0" w:firstRow="1" w:lastRow="0" w:firstColumn="1" w:lastColumn="0" w:noHBand="0" w:noVBand="1"/>
      </w:tblPr>
      <w:tblGrid>
        <w:gridCol w:w="3998"/>
        <w:gridCol w:w="917"/>
        <w:gridCol w:w="901"/>
        <w:gridCol w:w="917"/>
        <w:gridCol w:w="789"/>
        <w:gridCol w:w="917"/>
        <w:gridCol w:w="982"/>
        <w:gridCol w:w="984"/>
        <w:gridCol w:w="1650"/>
      </w:tblGrid>
      <w:tr w:rsidR="00B44D67" w:rsidRPr="00BA050E" w14:paraId="6510C9FC" w14:textId="77777777" w:rsidTr="00241C66">
        <w:tc>
          <w:tcPr>
            <w:tcW w:w="3998" w:type="dxa"/>
            <w:vMerge w:val="restart"/>
          </w:tcPr>
          <w:p w14:paraId="3C059612" w14:textId="77777777" w:rsidR="00B44D67" w:rsidRPr="00BA050E" w:rsidRDefault="00B44D67" w:rsidP="00241C66">
            <w:pPr>
              <w:spacing w:after="0" w:line="240" w:lineRule="auto"/>
              <w:ind w:left="0" w:right="0" w:firstLine="0"/>
              <w:jc w:val="center"/>
              <w:rPr>
                <w:b/>
                <w:sz w:val="20"/>
              </w:rPr>
            </w:pPr>
            <w:r w:rsidRPr="00BA050E">
              <w:rPr>
                <w:b/>
                <w:sz w:val="20"/>
              </w:rPr>
              <w:t>Project Name</w:t>
            </w:r>
          </w:p>
        </w:tc>
        <w:tc>
          <w:tcPr>
            <w:tcW w:w="1818" w:type="dxa"/>
            <w:gridSpan w:val="2"/>
            <w:tcBorders>
              <w:bottom w:val="single" w:sz="4" w:space="0" w:color="auto"/>
            </w:tcBorders>
          </w:tcPr>
          <w:p w14:paraId="3D5AF8EC" w14:textId="77777777" w:rsidR="00B44D67" w:rsidRPr="00BA050E" w:rsidRDefault="00B44D67" w:rsidP="00241C66">
            <w:pPr>
              <w:spacing w:after="0" w:line="240" w:lineRule="auto"/>
              <w:ind w:left="0" w:right="0" w:firstLine="0"/>
              <w:jc w:val="center"/>
              <w:rPr>
                <w:b/>
                <w:sz w:val="20"/>
              </w:rPr>
            </w:pPr>
            <w:r w:rsidRPr="00BA050E">
              <w:rPr>
                <w:b/>
                <w:sz w:val="20"/>
              </w:rPr>
              <w:t>FY14</w:t>
            </w:r>
          </w:p>
        </w:tc>
        <w:tc>
          <w:tcPr>
            <w:tcW w:w="1706" w:type="dxa"/>
            <w:gridSpan w:val="2"/>
            <w:tcBorders>
              <w:bottom w:val="single" w:sz="4" w:space="0" w:color="auto"/>
            </w:tcBorders>
          </w:tcPr>
          <w:p w14:paraId="660C3B0B" w14:textId="77777777" w:rsidR="00B44D67" w:rsidRPr="00BA050E" w:rsidRDefault="00B44D67" w:rsidP="00241C66">
            <w:pPr>
              <w:spacing w:after="0" w:line="240" w:lineRule="auto"/>
              <w:ind w:left="0" w:right="0" w:firstLine="0"/>
              <w:jc w:val="center"/>
              <w:rPr>
                <w:b/>
                <w:sz w:val="20"/>
              </w:rPr>
            </w:pPr>
            <w:r w:rsidRPr="00BA050E">
              <w:rPr>
                <w:b/>
                <w:sz w:val="20"/>
              </w:rPr>
              <w:t>FY15</w:t>
            </w:r>
          </w:p>
        </w:tc>
        <w:tc>
          <w:tcPr>
            <w:tcW w:w="1899" w:type="dxa"/>
            <w:gridSpan w:val="2"/>
            <w:tcBorders>
              <w:bottom w:val="single" w:sz="4" w:space="0" w:color="auto"/>
            </w:tcBorders>
          </w:tcPr>
          <w:p w14:paraId="7E41EF82" w14:textId="77777777" w:rsidR="00B44D67" w:rsidRPr="00BA050E" w:rsidRDefault="00B44D67" w:rsidP="00241C66">
            <w:pPr>
              <w:spacing w:after="0" w:line="240" w:lineRule="auto"/>
              <w:ind w:left="0" w:right="0" w:firstLine="0"/>
              <w:jc w:val="center"/>
              <w:rPr>
                <w:b/>
                <w:sz w:val="20"/>
              </w:rPr>
            </w:pPr>
            <w:r w:rsidRPr="00BA050E">
              <w:rPr>
                <w:b/>
                <w:sz w:val="20"/>
              </w:rPr>
              <w:t>FY16</w:t>
            </w:r>
          </w:p>
        </w:tc>
        <w:tc>
          <w:tcPr>
            <w:tcW w:w="2634" w:type="dxa"/>
            <w:gridSpan w:val="2"/>
            <w:tcBorders>
              <w:bottom w:val="single" w:sz="4" w:space="0" w:color="auto"/>
            </w:tcBorders>
          </w:tcPr>
          <w:p w14:paraId="428E3840" w14:textId="77777777" w:rsidR="00B44D67" w:rsidRPr="00BA050E" w:rsidRDefault="00B44D67" w:rsidP="00241C66">
            <w:pPr>
              <w:spacing w:after="0" w:line="240" w:lineRule="auto"/>
              <w:ind w:left="0" w:right="0" w:firstLine="0"/>
              <w:jc w:val="center"/>
              <w:rPr>
                <w:b/>
                <w:sz w:val="20"/>
              </w:rPr>
            </w:pPr>
            <w:r w:rsidRPr="00BA050E">
              <w:rPr>
                <w:b/>
                <w:sz w:val="20"/>
              </w:rPr>
              <w:t>FY17</w:t>
            </w:r>
          </w:p>
        </w:tc>
      </w:tr>
      <w:tr w:rsidR="00B44D67" w:rsidRPr="00BA050E" w14:paraId="6C76C67E" w14:textId="77777777" w:rsidTr="00241C66">
        <w:tc>
          <w:tcPr>
            <w:tcW w:w="3998" w:type="dxa"/>
            <w:vMerge/>
            <w:tcBorders>
              <w:bottom w:val="single" w:sz="4" w:space="0" w:color="auto"/>
            </w:tcBorders>
          </w:tcPr>
          <w:p w14:paraId="5021C77A" w14:textId="77777777" w:rsidR="00B44D67" w:rsidRPr="00BA050E" w:rsidRDefault="00B44D67" w:rsidP="00241C66">
            <w:pPr>
              <w:spacing w:after="0" w:line="240" w:lineRule="auto"/>
              <w:ind w:left="0" w:right="0" w:firstLine="0"/>
              <w:jc w:val="left"/>
              <w:rPr>
                <w:sz w:val="20"/>
              </w:rPr>
            </w:pPr>
          </w:p>
        </w:tc>
        <w:tc>
          <w:tcPr>
            <w:tcW w:w="917" w:type="dxa"/>
            <w:tcBorders>
              <w:bottom w:val="single" w:sz="4" w:space="0" w:color="auto"/>
            </w:tcBorders>
            <w:shd w:val="clear" w:color="auto" w:fill="E2EFD9"/>
          </w:tcPr>
          <w:p w14:paraId="3AEE619F" w14:textId="77777777" w:rsidR="00B44D67" w:rsidRPr="00BA050E" w:rsidRDefault="00B44D67" w:rsidP="00241C66">
            <w:pPr>
              <w:spacing w:after="0" w:line="240" w:lineRule="auto"/>
              <w:ind w:left="0" w:right="0" w:firstLine="0"/>
              <w:jc w:val="center"/>
              <w:rPr>
                <w:b/>
                <w:sz w:val="20"/>
              </w:rPr>
            </w:pPr>
            <w:r w:rsidRPr="00BA050E">
              <w:rPr>
                <w:b/>
                <w:sz w:val="20"/>
              </w:rPr>
              <w:t>Planned</w:t>
            </w:r>
          </w:p>
        </w:tc>
        <w:tc>
          <w:tcPr>
            <w:tcW w:w="901" w:type="dxa"/>
            <w:tcBorders>
              <w:bottom w:val="single" w:sz="4" w:space="0" w:color="auto"/>
            </w:tcBorders>
            <w:shd w:val="clear" w:color="auto" w:fill="FFF2CC"/>
          </w:tcPr>
          <w:p w14:paraId="6623E37B" w14:textId="77777777" w:rsidR="00B44D67" w:rsidRPr="00BA050E" w:rsidRDefault="00B44D67" w:rsidP="00241C66">
            <w:pPr>
              <w:spacing w:after="0" w:line="240" w:lineRule="auto"/>
              <w:ind w:left="0" w:right="0" w:firstLine="0"/>
              <w:jc w:val="center"/>
              <w:rPr>
                <w:b/>
                <w:sz w:val="20"/>
              </w:rPr>
            </w:pPr>
            <w:r w:rsidRPr="00BA050E">
              <w:rPr>
                <w:b/>
                <w:sz w:val="20"/>
              </w:rPr>
              <w:t>Actual</w:t>
            </w:r>
          </w:p>
        </w:tc>
        <w:tc>
          <w:tcPr>
            <w:tcW w:w="917" w:type="dxa"/>
            <w:tcBorders>
              <w:bottom w:val="single" w:sz="4" w:space="0" w:color="auto"/>
            </w:tcBorders>
            <w:shd w:val="clear" w:color="auto" w:fill="E2EFD9"/>
          </w:tcPr>
          <w:p w14:paraId="09DAD3E8" w14:textId="77777777" w:rsidR="00B44D67" w:rsidRPr="00BA050E" w:rsidRDefault="00B44D67" w:rsidP="00241C66">
            <w:pPr>
              <w:spacing w:after="0" w:line="240" w:lineRule="auto"/>
              <w:ind w:left="0" w:right="0" w:firstLine="0"/>
              <w:jc w:val="center"/>
              <w:rPr>
                <w:b/>
                <w:sz w:val="20"/>
              </w:rPr>
            </w:pPr>
            <w:r w:rsidRPr="00BA050E">
              <w:rPr>
                <w:b/>
                <w:sz w:val="20"/>
              </w:rPr>
              <w:t>Planned</w:t>
            </w:r>
          </w:p>
        </w:tc>
        <w:tc>
          <w:tcPr>
            <w:tcW w:w="789" w:type="dxa"/>
            <w:tcBorders>
              <w:bottom w:val="single" w:sz="4" w:space="0" w:color="auto"/>
            </w:tcBorders>
            <w:shd w:val="clear" w:color="auto" w:fill="FFF2CC"/>
          </w:tcPr>
          <w:p w14:paraId="2B00262D" w14:textId="77777777" w:rsidR="00B44D67" w:rsidRPr="00BA050E" w:rsidRDefault="00B44D67" w:rsidP="00241C66">
            <w:pPr>
              <w:spacing w:after="0" w:line="240" w:lineRule="auto"/>
              <w:ind w:left="0" w:right="0" w:firstLine="0"/>
              <w:jc w:val="center"/>
              <w:rPr>
                <w:b/>
                <w:sz w:val="20"/>
              </w:rPr>
            </w:pPr>
            <w:r w:rsidRPr="00BA050E">
              <w:rPr>
                <w:b/>
                <w:sz w:val="20"/>
              </w:rPr>
              <w:t>Actual</w:t>
            </w:r>
          </w:p>
        </w:tc>
        <w:tc>
          <w:tcPr>
            <w:tcW w:w="917" w:type="dxa"/>
            <w:tcBorders>
              <w:bottom w:val="single" w:sz="4" w:space="0" w:color="auto"/>
            </w:tcBorders>
            <w:shd w:val="clear" w:color="auto" w:fill="E2EFD9"/>
          </w:tcPr>
          <w:p w14:paraId="3FC55D58" w14:textId="77777777" w:rsidR="00B44D67" w:rsidRPr="00BA050E" w:rsidRDefault="00B44D67" w:rsidP="00241C66">
            <w:pPr>
              <w:spacing w:after="0" w:line="240" w:lineRule="auto"/>
              <w:ind w:left="0" w:right="0" w:firstLine="0"/>
              <w:jc w:val="center"/>
              <w:rPr>
                <w:b/>
                <w:sz w:val="20"/>
              </w:rPr>
            </w:pPr>
            <w:r w:rsidRPr="00BA050E">
              <w:rPr>
                <w:b/>
                <w:sz w:val="20"/>
              </w:rPr>
              <w:t>Planned</w:t>
            </w:r>
          </w:p>
        </w:tc>
        <w:tc>
          <w:tcPr>
            <w:tcW w:w="982" w:type="dxa"/>
            <w:tcBorders>
              <w:bottom w:val="single" w:sz="4" w:space="0" w:color="auto"/>
            </w:tcBorders>
            <w:shd w:val="clear" w:color="auto" w:fill="FFF2CC"/>
          </w:tcPr>
          <w:p w14:paraId="119AE05F" w14:textId="77777777" w:rsidR="00B44D67" w:rsidRPr="00BA050E" w:rsidRDefault="00B44D67" w:rsidP="00241C66">
            <w:pPr>
              <w:spacing w:after="0" w:line="240" w:lineRule="auto"/>
              <w:ind w:left="0" w:right="0" w:firstLine="0"/>
              <w:jc w:val="center"/>
              <w:rPr>
                <w:b/>
                <w:sz w:val="20"/>
              </w:rPr>
            </w:pPr>
            <w:r w:rsidRPr="00BA050E">
              <w:rPr>
                <w:b/>
                <w:sz w:val="20"/>
              </w:rPr>
              <w:t>Actual</w:t>
            </w:r>
          </w:p>
        </w:tc>
        <w:tc>
          <w:tcPr>
            <w:tcW w:w="984" w:type="dxa"/>
            <w:tcBorders>
              <w:bottom w:val="single" w:sz="4" w:space="0" w:color="auto"/>
            </w:tcBorders>
            <w:shd w:val="clear" w:color="auto" w:fill="E2EFD9"/>
          </w:tcPr>
          <w:p w14:paraId="7D9E6976" w14:textId="77777777" w:rsidR="00B44D67" w:rsidRPr="00BA050E" w:rsidRDefault="00B44D67" w:rsidP="00241C66">
            <w:pPr>
              <w:spacing w:after="0" w:line="240" w:lineRule="auto"/>
              <w:ind w:left="0" w:right="0" w:firstLine="0"/>
              <w:jc w:val="center"/>
              <w:rPr>
                <w:b/>
                <w:sz w:val="20"/>
              </w:rPr>
            </w:pPr>
            <w:r w:rsidRPr="00BA050E">
              <w:rPr>
                <w:b/>
                <w:sz w:val="20"/>
              </w:rPr>
              <w:t>Planned</w:t>
            </w:r>
          </w:p>
        </w:tc>
        <w:tc>
          <w:tcPr>
            <w:tcW w:w="1650" w:type="dxa"/>
            <w:tcBorders>
              <w:bottom w:val="single" w:sz="4" w:space="0" w:color="auto"/>
            </w:tcBorders>
            <w:shd w:val="clear" w:color="auto" w:fill="FFF2CC"/>
          </w:tcPr>
          <w:p w14:paraId="4140C29D" w14:textId="77777777" w:rsidR="00B44D67" w:rsidRPr="00BA050E" w:rsidRDefault="00B44D67" w:rsidP="00241C66">
            <w:pPr>
              <w:spacing w:after="0" w:line="240" w:lineRule="auto"/>
              <w:ind w:left="0" w:right="0" w:firstLine="0"/>
              <w:jc w:val="center"/>
              <w:rPr>
                <w:b/>
                <w:sz w:val="20"/>
              </w:rPr>
            </w:pPr>
            <w:r w:rsidRPr="00BA050E">
              <w:rPr>
                <w:b/>
                <w:sz w:val="20"/>
              </w:rPr>
              <w:t>Actual</w:t>
            </w:r>
          </w:p>
        </w:tc>
      </w:tr>
      <w:tr w:rsidR="00B44D67" w:rsidRPr="00BA050E" w14:paraId="410D44A3" w14:textId="77777777" w:rsidTr="00241C66">
        <w:trPr>
          <w:trHeight w:val="260"/>
        </w:trPr>
        <w:tc>
          <w:tcPr>
            <w:tcW w:w="12055" w:type="dxa"/>
            <w:gridSpan w:val="9"/>
            <w:tcBorders>
              <w:bottom w:val="single" w:sz="4" w:space="0" w:color="auto"/>
            </w:tcBorders>
            <w:shd w:val="clear" w:color="auto" w:fill="DEEAF6"/>
          </w:tcPr>
          <w:p w14:paraId="23A9B83A" w14:textId="77777777" w:rsidR="00B44D67" w:rsidRPr="00BA050E" w:rsidRDefault="00B44D67" w:rsidP="00241C66">
            <w:pPr>
              <w:spacing w:after="80" w:line="240" w:lineRule="auto"/>
              <w:ind w:left="0" w:right="0" w:firstLine="0"/>
              <w:jc w:val="center"/>
              <w:rPr>
                <w:b/>
                <w:i/>
                <w:sz w:val="20"/>
              </w:rPr>
            </w:pPr>
            <w:r w:rsidRPr="00BA050E">
              <w:rPr>
                <w:b/>
                <w:i/>
                <w:sz w:val="20"/>
              </w:rPr>
              <w:t>Pillar 1: Increasing Competitiveness</w:t>
            </w:r>
          </w:p>
        </w:tc>
      </w:tr>
      <w:tr w:rsidR="00B44D67" w:rsidRPr="00BA050E" w14:paraId="2C5390EC" w14:textId="77777777" w:rsidTr="00241C66">
        <w:tc>
          <w:tcPr>
            <w:tcW w:w="3998" w:type="dxa"/>
            <w:tcBorders>
              <w:top w:val="nil"/>
            </w:tcBorders>
          </w:tcPr>
          <w:p w14:paraId="350F0A91" w14:textId="77777777" w:rsidR="00B44D67" w:rsidRPr="00BA050E" w:rsidRDefault="00B44D67" w:rsidP="00241C66">
            <w:pPr>
              <w:spacing w:after="0" w:line="240" w:lineRule="auto"/>
              <w:ind w:left="0" w:right="0" w:firstLine="0"/>
              <w:jc w:val="left"/>
              <w:rPr>
                <w:sz w:val="20"/>
              </w:rPr>
            </w:pPr>
            <w:r w:rsidRPr="00BA050E">
              <w:rPr>
                <w:sz w:val="20"/>
              </w:rPr>
              <w:t>Development Policy Operation</w:t>
            </w:r>
          </w:p>
        </w:tc>
        <w:tc>
          <w:tcPr>
            <w:tcW w:w="917" w:type="dxa"/>
            <w:tcBorders>
              <w:top w:val="nil"/>
            </w:tcBorders>
          </w:tcPr>
          <w:p w14:paraId="1D151EFD" w14:textId="77777777" w:rsidR="00B44D67" w:rsidRPr="00BA050E" w:rsidRDefault="00B44D67" w:rsidP="00241C66">
            <w:pPr>
              <w:spacing w:after="0" w:line="240" w:lineRule="auto"/>
              <w:ind w:left="0" w:right="0" w:firstLine="0"/>
              <w:jc w:val="center"/>
              <w:rPr>
                <w:sz w:val="20"/>
              </w:rPr>
            </w:pPr>
            <w:r w:rsidRPr="00BA050E">
              <w:rPr>
                <w:sz w:val="20"/>
              </w:rPr>
              <w:t>30</w:t>
            </w:r>
          </w:p>
        </w:tc>
        <w:tc>
          <w:tcPr>
            <w:tcW w:w="901" w:type="dxa"/>
            <w:tcBorders>
              <w:top w:val="nil"/>
            </w:tcBorders>
          </w:tcPr>
          <w:p w14:paraId="4E52A03C" w14:textId="77777777" w:rsidR="00B44D67" w:rsidRPr="00BA050E" w:rsidRDefault="00B44D67" w:rsidP="00241C66">
            <w:pPr>
              <w:spacing w:after="0" w:line="240" w:lineRule="auto"/>
              <w:ind w:left="0" w:right="0" w:firstLine="0"/>
              <w:jc w:val="center"/>
              <w:rPr>
                <w:sz w:val="20"/>
              </w:rPr>
            </w:pPr>
            <w:r w:rsidRPr="00BA050E">
              <w:rPr>
                <w:sz w:val="20"/>
              </w:rPr>
              <w:t>30</w:t>
            </w:r>
          </w:p>
        </w:tc>
        <w:tc>
          <w:tcPr>
            <w:tcW w:w="917" w:type="dxa"/>
            <w:tcBorders>
              <w:top w:val="nil"/>
            </w:tcBorders>
          </w:tcPr>
          <w:p w14:paraId="52D9ECD8" w14:textId="77777777" w:rsidR="00B44D67" w:rsidRPr="00BA050E" w:rsidRDefault="00B44D67" w:rsidP="00241C66">
            <w:pPr>
              <w:spacing w:after="0" w:line="240" w:lineRule="auto"/>
              <w:ind w:left="0" w:right="0" w:firstLine="0"/>
              <w:jc w:val="center"/>
              <w:rPr>
                <w:sz w:val="20"/>
              </w:rPr>
            </w:pPr>
          </w:p>
        </w:tc>
        <w:tc>
          <w:tcPr>
            <w:tcW w:w="789" w:type="dxa"/>
            <w:tcBorders>
              <w:top w:val="nil"/>
            </w:tcBorders>
          </w:tcPr>
          <w:p w14:paraId="0D600C83" w14:textId="77777777" w:rsidR="00B44D67" w:rsidRPr="00BA050E" w:rsidRDefault="00B44D67" w:rsidP="00241C66">
            <w:pPr>
              <w:spacing w:after="0" w:line="240" w:lineRule="auto"/>
              <w:ind w:left="0" w:right="0" w:firstLine="0"/>
              <w:jc w:val="center"/>
              <w:rPr>
                <w:sz w:val="20"/>
              </w:rPr>
            </w:pPr>
          </w:p>
        </w:tc>
        <w:tc>
          <w:tcPr>
            <w:tcW w:w="917" w:type="dxa"/>
            <w:tcBorders>
              <w:top w:val="nil"/>
            </w:tcBorders>
          </w:tcPr>
          <w:p w14:paraId="38CCC299" w14:textId="77777777" w:rsidR="00B44D67" w:rsidRPr="00BA050E" w:rsidRDefault="00B44D67" w:rsidP="00241C66">
            <w:pPr>
              <w:spacing w:after="0" w:line="240" w:lineRule="auto"/>
              <w:ind w:left="0" w:right="0" w:firstLine="0"/>
              <w:jc w:val="center"/>
              <w:rPr>
                <w:sz w:val="20"/>
              </w:rPr>
            </w:pPr>
          </w:p>
        </w:tc>
        <w:tc>
          <w:tcPr>
            <w:tcW w:w="982" w:type="dxa"/>
            <w:tcBorders>
              <w:top w:val="nil"/>
            </w:tcBorders>
          </w:tcPr>
          <w:p w14:paraId="22524C96" w14:textId="77777777" w:rsidR="00B44D67" w:rsidRPr="00BA050E" w:rsidRDefault="00B44D67" w:rsidP="00241C66">
            <w:pPr>
              <w:spacing w:after="0" w:line="240" w:lineRule="auto"/>
              <w:ind w:left="0" w:right="0" w:firstLine="0"/>
              <w:jc w:val="center"/>
              <w:rPr>
                <w:sz w:val="20"/>
              </w:rPr>
            </w:pPr>
          </w:p>
        </w:tc>
        <w:tc>
          <w:tcPr>
            <w:tcW w:w="984" w:type="dxa"/>
            <w:tcBorders>
              <w:top w:val="nil"/>
            </w:tcBorders>
          </w:tcPr>
          <w:p w14:paraId="4A50EAA3" w14:textId="77777777" w:rsidR="00B44D67" w:rsidRPr="00BA050E" w:rsidRDefault="00B44D67" w:rsidP="00241C66">
            <w:pPr>
              <w:spacing w:after="0" w:line="240" w:lineRule="auto"/>
              <w:ind w:left="0" w:right="0" w:firstLine="0"/>
              <w:jc w:val="center"/>
              <w:rPr>
                <w:sz w:val="20"/>
              </w:rPr>
            </w:pPr>
          </w:p>
        </w:tc>
        <w:tc>
          <w:tcPr>
            <w:tcW w:w="1650" w:type="dxa"/>
            <w:tcBorders>
              <w:top w:val="nil"/>
            </w:tcBorders>
          </w:tcPr>
          <w:p w14:paraId="1D464862" w14:textId="77777777" w:rsidR="00B44D67" w:rsidRPr="00BA050E" w:rsidRDefault="00B44D67" w:rsidP="00241C66">
            <w:pPr>
              <w:spacing w:after="0" w:line="240" w:lineRule="auto"/>
              <w:ind w:left="0" w:right="0" w:firstLine="0"/>
              <w:jc w:val="center"/>
              <w:rPr>
                <w:sz w:val="20"/>
              </w:rPr>
            </w:pPr>
          </w:p>
        </w:tc>
      </w:tr>
      <w:tr w:rsidR="00B44D67" w:rsidRPr="00BA050E" w14:paraId="2CBCC0CC" w14:textId="77777777" w:rsidTr="00241C66">
        <w:tc>
          <w:tcPr>
            <w:tcW w:w="3998" w:type="dxa"/>
          </w:tcPr>
          <w:p w14:paraId="1CEB85DA" w14:textId="77777777" w:rsidR="00B44D67" w:rsidRPr="00BA050E" w:rsidRDefault="00B44D67" w:rsidP="00241C66">
            <w:pPr>
              <w:spacing w:after="0" w:line="240" w:lineRule="auto"/>
              <w:ind w:left="0" w:right="0" w:firstLine="0"/>
              <w:jc w:val="left"/>
              <w:rPr>
                <w:sz w:val="20"/>
              </w:rPr>
            </w:pPr>
            <w:r w:rsidRPr="00BA050E">
              <w:rPr>
                <w:sz w:val="20"/>
              </w:rPr>
              <w:t>DPO-2</w:t>
            </w:r>
          </w:p>
        </w:tc>
        <w:tc>
          <w:tcPr>
            <w:tcW w:w="917" w:type="dxa"/>
          </w:tcPr>
          <w:p w14:paraId="127AC70D" w14:textId="77777777" w:rsidR="00B44D67" w:rsidRPr="00BA050E" w:rsidRDefault="00B44D67" w:rsidP="00241C66">
            <w:pPr>
              <w:spacing w:after="0" w:line="240" w:lineRule="auto"/>
              <w:ind w:left="0" w:right="0" w:firstLine="0"/>
              <w:jc w:val="center"/>
              <w:rPr>
                <w:sz w:val="20"/>
              </w:rPr>
            </w:pPr>
          </w:p>
        </w:tc>
        <w:tc>
          <w:tcPr>
            <w:tcW w:w="901" w:type="dxa"/>
          </w:tcPr>
          <w:p w14:paraId="0B3302CF" w14:textId="77777777" w:rsidR="00B44D67" w:rsidRPr="00BA050E" w:rsidRDefault="00B44D67" w:rsidP="00241C66">
            <w:pPr>
              <w:spacing w:after="0" w:line="240" w:lineRule="auto"/>
              <w:ind w:left="0" w:right="0" w:firstLine="0"/>
              <w:jc w:val="center"/>
              <w:rPr>
                <w:sz w:val="20"/>
              </w:rPr>
            </w:pPr>
          </w:p>
        </w:tc>
        <w:tc>
          <w:tcPr>
            <w:tcW w:w="917" w:type="dxa"/>
          </w:tcPr>
          <w:p w14:paraId="3EFF84CF" w14:textId="77777777" w:rsidR="00B44D67" w:rsidRPr="00BA050E" w:rsidRDefault="00B44D67" w:rsidP="00241C66">
            <w:pPr>
              <w:spacing w:after="0" w:line="240" w:lineRule="auto"/>
              <w:ind w:left="0" w:right="0" w:firstLine="0"/>
              <w:jc w:val="center"/>
              <w:rPr>
                <w:sz w:val="20"/>
              </w:rPr>
            </w:pPr>
          </w:p>
        </w:tc>
        <w:tc>
          <w:tcPr>
            <w:tcW w:w="789" w:type="dxa"/>
          </w:tcPr>
          <w:p w14:paraId="6B96C938" w14:textId="77777777" w:rsidR="00B44D67" w:rsidRPr="00BA050E" w:rsidRDefault="00B44D67" w:rsidP="00241C66">
            <w:pPr>
              <w:spacing w:after="0" w:line="240" w:lineRule="auto"/>
              <w:ind w:left="0" w:right="0" w:firstLine="0"/>
              <w:jc w:val="center"/>
              <w:rPr>
                <w:sz w:val="20"/>
              </w:rPr>
            </w:pPr>
          </w:p>
        </w:tc>
        <w:tc>
          <w:tcPr>
            <w:tcW w:w="917" w:type="dxa"/>
          </w:tcPr>
          <w:p w14:paraId="12B26940" w14:textId="77777777" w:rsidR="00B44D67" w:rsidRPr="00BA050E" w:rsidRDefault="00B44D67" w:rsidP="00241C66">
            <w:pPr>
              <w:spacing w:after="0" w:line="240" w:lineRule="auto"/>
              <w:ind w:left="0" w:right="0" w:firstLine="0"/>
              <w:jc w:val="center"/>
              <w:rPr>
                <w:sz w:val="20"/>
              </w:rPr>
            </w:pPr>
            <w:r w:rsidRPr="00BA050E">
              <w:rPr>
                <w:sz w:val="20"/>
              </w:rPr>
              <w:t>45</w:t>
            </w:r>
          </w:p>
        </w:tc>
        <w:tc>
          <w:tcPr>
            <w:tcW w:w="982" w:type="dxa"/>
          </w:tcPr>
          <w:p w14:paraId="617C721F" w14:textId="77777777" w:rsidR="00B44D67" w:rsidRPr="00BA050E" w:rsidRDefault="00B44D67" w:rsidP="00241C66">
            <w:pPr>
              <w:spacing w:after="0" w:line="240" w:lineRule="auto"/>
              <w:ind w:left="0" w:right="0" w:firstLine="0"/>
              <w:jc w:val="center"/>
              <w:rPr>
                <w:sz w:val="20"/>
              </w:rPr>
            </w:pPr>
            <w:r w:rsidRPr="00BA050E">
              <w:rPr>
                <w:sz w:val="20"/>
              </w:rPr>
              <w:t>approved in FY17</w:t>
            </w:r>
          </w:p>
        </w:tc>
        <w:tc>
          <w:tcPr>
            <w:tcW w:w="984" w:type="dxa"/>
          </w:tcPr>
          <w:p w14:paraId="7E33001A" w14:textId="77777777" w:rsidR="00B44D67" w:rsidRPr="00BA050E" w:rsidRDefault="00B44D67" w:rsidP="00241C66">
            <w:pPr>
              <w:spacing w:after="0" w:line="240" w:lineRule="auto"/>
              <w:ind w:left="0" w:right="0" w:firstLine="0"/>
              <w:jc w:val="center"/>
              <w:rPr>
                <w:sz w:val="20"/>
              </w:rPr>
            </w:pPr>
          </w:p>
        </w:tc>
        <w:tc>
          <w:tcPr>
            <w:tcW w:w="1650" w:type="dxa"/>
          </w:tcPr>
          <w:p w14:paraId="0597D46B" w14:textId="77777777" w:rsidR="00B44D67" w:rsidRPr="00BA050E" w:rsidRDefault="00B44D67" w:rsidP="00241C66">
            <w:pPr>
              <w:spacing w:after="0" w:line="240" w:lineRule="auto"/>
              <w:ind w:left="0" w:right="0" w:firstLine="0"/>
              <w:jc w:val="center"/>
              <w:rPr>
                <w:sz w:val="20"/>
              </w:rPr>
            </w:pPr>
            <w:r w:rsidRPr="00BA050E">
              <w:rPr>
                <w:sz w:val="20"/>
              </w:rPr>
              <w:t>45</w:t>
            </w:r>
          </w:p>
        </w:tc>
      </w:tr>
      <w:tr w:rsidR="00B44D67" w:rsidRPr="00BA050E" w14:paraId="68150348" w14:textId="77777777" w:rsidTr="00241C66">
        <w:tc>
          <w:tcPr>
            <w:tcW w:w="3998" w:type="dxa"/>
          </w:tcPr>
          <w:p w14:paraId="603D273A" w14:textId="77777777" w:rsidR="00B44D67" w:rsidRPr="00BA050E" w:rsidRDefault="00B44D67" w:rsidP="00241C66">
            <w:pPr>
              <w:spacing w:after="0" w:line="240" w:lineRule="auto"/>
              <w:ind w:left="0" w:right="0" w:firstLine="0"/>
              <w:jc w:val="left"/>
              <w:rPr>
                <w:sz w:val="20"/>
              </w:rPr>
            </w:pPr>
            <w:r w:rsidRPr="00BA050E">
              <w:rPr>
                <w:sz w:val="20"/>
              </w:rPr>
              <w:t>Competitiveness Enhancement II</w:t>
            </w:r>
          </w:p>
        </w:tc>
        <w:tc>
          <w:tcPr>
            <w:tcW w:w="917" w:type="dxa"/>
          </w:tcPr>
          <w:p w14:paraId="2516C319" w14:textId="77777777" w:rsidR="00B44D67" w:rsidRPr="00BA050E" w:rsidRDefault="00B44D67" w:rsidP="00241C66">
            <w:pPr>
              <w:spacing w:after="0" w:line="240" w:lineRule="auto"/>
              <w:ind w:left="0" w:right="0" w:firstLine="0"/>
              <w:jc w:val="center"/>
              <w:rPr>
                <w:sz w:val="20"/>
              </w:rPr>
            </w:pPr>
          </w:p>
        </w:tc>
        <w:tc>
          <w:tcPr>
            <w:tcW w:w="901" w:type="dxa"/>
          </w:tcPr>
          <w:p w14:paraId="7547668D" w14:textId="77777777" w:rsidR="00B44D67" w:rsidRPr="00BA050E" w:rsidRDefault="00B44D67" w:rsidP="00241C66">
            <w:pPr>
              <w:spacing w:after="0" w:line="240" w:lineRule="auto"/>
              <w:ind w:left="0" w:right="0" w:firstLine="0"/>
              <w:jc w:val="center"/>
              <w:rPr>
                <w:sz w:val="20"/>
              </w:rPr>
            </w:pPr>
          </w:p>
        </w:tc>
        <w:tc>
          <w:tcPr>
            <w:tcW w:w="917" w:type="dxa"/>
          </w:tcPr>
          <w:p w14:paraId="4F363292" w14:textId="77777777" w:rsidR="00B44D67" w:rsidRPr="00BA050E" w:rsidRDefault="00B44D67" w:rsidP="00241C66">
            <w:pPr>
              <w:spacing w:after="0" w:line="240" w:lineRule="auto"/>
              <w:ind w:left="0" w:right="0" w:firstLine="0"/>
              <w:jc w:val="center"/>
              <w:rPr>
                <w:sz w:val="20"/>
              </w:rPr>
            </w:pPr>
            <w:r w:rsidRPr="00BA050E">
              <w:rPr>
                <w:sz w:val="20"/>
              </w:rPr>
              <w:t>45</w:t>
            </w:r>
          </w:p>
        </w:tc>
        <w:tc>
          <w:tcPr>
            <w:tcW w:w="789" w:type="dxa"/>
          </w:tcPr>
          <w:p w14:paraId="6D3EF4E9" w14:textId="77777777" w:rsidR="00B44D67" w:rsidRPr="00BA050E" w:rsidRDefault="00B44D67" w:rsidP="00241C66">
            <w:pPr>
              <w:spacing w:after="0" w:line="240" w:lineRule="auto"/>
              <w:ind w:left="0" w:right="0" w:firstLine="0"/>
              <w:jc w:val="center"/>
              <w:rPr>
                <w:sz w:val="20"/>
              </w:rPr>
            </w:pPr>
            <w:r w:rsidRPr="00BA050E">
              <w:rPr>
                <w:sz w:val="20"/>
              </w:rPr>
              <w:t>45</w:t>
            </w:r>
          </w:p>
        </w:tc>
        <w:tc>
          <w:tcPr>
            <w:tcW w:w="917" w:type="dxa"/>
          </w:tcPr>
          <w:p w14:paraId="234681BD" w14:textId="77777777" w:rsidR="00B44D67" w:rsidRPr="00BA050E" w:rsidRDefault="00B44D67" w:rsidP="00241C66">
            <w:pPr>
              <w:spacing w:after="0" w:line="240" w:lineRule="auto"/>
              <w:ind w:left="0" w:right="0" w:firstLine="0"/>
              <w:jc w:val="center"/>
              <w:rPr>
                <w:sz w:val="20"/>
              </w:rPr>
            </w:pPr>
          </w:p>
        </w:tc>
        <w:tc>
          <w:tcPr>
            <w:tcW w:w="982" w:type="dxa"/>
          </w:tcPr>
          <w:p w14:paraId="62EBE322" w14:textId="77777777" w:rsidR="00B44D67" w:rsidRPr="00BA050E" w:rsidRDefault="00B44D67" w:rsidP="00241C66">
            <w:pPr>
              <w:spacing w:after="0" w:line="240" w:lineRule="auto"/>
              <w:ind w:left="0" w:right="0" w:firstLine="0"/>
              <w:jc w:val="center"/>
              <w:rPr>
                <w:sz w:val="20"/>
              </w:rPr>
            </w:pPr>
          </w:p>
        </w:tc>
        <w:tc>
          <w:tcPr>
            <w:tcW w:w="984" w:type="dxa"/>
          </w:tcPr>
          <w:p w14:paraId="0E758764" w14:textId="77777777" w:rsidR="00B44D67" w:rsidRPr="00BA050E" w:rsidRDefault="00B44D67" w:rsidP="00241C66">
            <w:pPr>
              <w:spacing w:after="0" w:line="240" w:lineRule="auto"/>
              <w:ind w:left="0" w:right="0" w:firstLine="0"/>
              <w:jc w:val="center"/>
              <w:rPr>
                <w:sz w:val="20"/>
              </w:rPr>
            </w:pPr>
          </w:p>
        </w:tc>
        <w:tc>
          <w:tcPr>
            <w:tcW w:w="1650" w:type="dxa"/>
          </w:tcPr>
          <w:p w14:paraId="4DD7BA5B" w14:textId="77777777" w:rsidR="00B44D67" w:rsidRPr="00BA050E" w:rsidRDefault="00B44D67" w:rsidP="00241C66">
            <w:pPr>
              <w:spacing w:after="0" w:line="240" w:lineRule="auto"/>
              <w:ind w:left="0" w:right="0" w:firstLine="0"/>
              <w:jc w:val="center"/>
              <w:rPr>
                <w:sz w:val="20"/>
              </w:rPr>
            </w:pPr>
          </w:p>
        </w:tc>
      </w:tr>
      <w:tr w:rsidR="00B44D67" w:rsidRPr="00BA050E" w14:paraId="0BF89561" w14:textId="77777777" w:rsidTr="00241C66">
        <w:tc>
          <w:tcPr>
            <w:tcW w:w="3998" w:type="dxa"/>
          </w:tcPr>
          <w:p w14:paraId="092BD347" w14:textId="77777777" w:rsidR="00B44D67" w:rsidRPr="00BA050E" w:rsidRDefault="00B44D67" w:rsidP="00241C66">
            <w:pPr>
              <w:spacing w:after="0" w:line="240" w:lineRule="auto"/>
              <w:ind w:left="0" w:right="0" w:firstLine="0"/>
              <w:jc w:val="left"/>
              <w:rPr>
                <w:sz w:val="20"/>
              </w:rPr>
            </w:pPr>
            <w:r w:rsidRPr="00BA050E">
              <w:rPr>
                <w:sz w:val="20"/>
              </w:rPr>
              <w:t>Agriculture Competitiveness AFs</w:t>
            </w:r>
          </w:p>
        </w:tc>
        <w:tc>
          <w:tcPr>
            <w:tcW w:w="917" w:type="dxa"/>
          </w:tcPr>
          <w:p w14:paraId="7154F067" w14:textId="77777777" w:rsidR="00B44D67" w:rsidRPr="00BA050E" w:rsidRDefault="00B44D67" w:rsidP="00241C66">
            <w:pPr>
              <w:spacing w:after="0" w:line="240" w:lineRule="auto"/>
              <w:ind w:left="0" w:right="0" w:firstLine="0"/>
              <w:jc w:val="center"/>
              <w:rPr>
                <w:sz w:val="20"/>
              </w:rPr>
            </w:pPr>
          </w:p>
        </w:tc>
        <w:tc>
          <w:tcPr>
            <w:tcW w:w="901" w:type="dxa"/>
          </w:tcPr>
          <w:p w14:paraId="6297A6A9" w14:textId="77777777" w:rsidR="00B44D67" w:rsidRPr="00BA050E" w:rsidRDefault="00B44D67" w:rsidP="00241C66">
            <w:pPr>
              <w:spacing w:after="0" w:line="240" w:lineRule="auto"/>
              <w:ind w:left="0" w:right="0" w:firstLine="0"/>
              <w:jc w:val="center"/>
              <w:rPr>
                <w:sz w:val="20"/>
              </w:rPr>
            </w:pPr>
          </w:p>
        </w:tc>
        <w:tc>
          <w:tcPr>
            <w:tcW w:w="917" w:type="dxa"/>
          </w:tcPr>
          <w:p w14:paraId="6EE19C59" w14:textId="77777777" w:rsidR="00B44D67" w:rsidRPr="00BA050E" w:rsidRDefault="00B44D67" w:rsidP="00241C66">
            <w:pPr>
              <w:spacing w:after="0" w:line="240" w:lineRule="auto"/>
              <w:ind w:left="0" w:right="0" w:firstLine="0"/>
              <w:jc w:val="center"/>
              <w:rPr>
                <w:sz w:val="20"/>
              </w:rPr>
            </w:pPr>
            <w:r w:rsidRPr="00BA050E">
              <w:rPr>
                <w:sz w:val="20"/>
              </w:rPr>
              <w:t>12</w:t>
            </w:r>
          </w:p>
        </w:tc>
        <w:tc>
          <w:tcPr>
            <w:tcW w:w="789" w:type="dxa"/>
          </w:tcPr>
          <w:p w14:paraId="6038054E" w14:textId="77777777" w:rsidR="00B44D67" w:rsidRPr="00BA050E" w:rsidRDefault="00B44D67" w:rsidP="00241C66">
            <w:pPr>
              <w:spacing w:after="0" w:line="240" w:lineRule="auto"/>
              <w:ind w:left="0" w:right="0" w:firstLine="0"/>
              <w:jc w:val="center"/>
              <w:rPr>
                <w:sz w:val="20"/>
              </w:rPr>
            </w:pPr>
            <w:r w:rsidRPr="00BA050E">
              <w:rPr>
                <w:sz w:val="20"/>
              </w:rPr>
              <w:t>12</w:t>
            </w:r>
          </w:p>
        </w:tc>
        <w:tc>
          <w:tcPr>
            <w:tcW w:w="917" w:type="dxa"/>
          </w:tcPr>
          <w:p w14:paraId="60306EA8" w14:textId="77777777" w:rsidR="00B44D67" w:rsidRPr="00BA050E" w:rsidRDefault="00B44D67" w:rsidP="00241C66">
            <w:pPr>
              <w:spacing w:after="0" w:line="240" w:lineRule="auto"/>
              <w:ind w:left="0" w:right="0" w:firstLine="0"/>
              <w:jc w:val="center"/>
              <w:rPr>
                <w:sz w:val="20"/>
              </w:rPr>
            </w:pPr>
            <w:r w:rsidRPr="00BA050E">
              <w:rPr>
                <w:sz w:val="20"/>
              </w:rPr>
              <w:t xml:space="preserve">10 </w:t>
            </w:r>
          </w:p>
        </w:tc>
        <w:tc>
          <w:tcPr>
            <w:tcW w:w="982" w:type="dxa"/>
          </w:tcPr>
          <w:p w14:paraId="3D11FD65" w14:textId="77777777" w:rsidR="00B44D67" w:rsidRPr="00BA050E" w:rsidRDefault="00B44D67" w:rsidP="00241C66">
            <w:pPr>
              <w:spacing w:after="0" w:line="240" w:lineRule="auto"/>
              <w:ind w:left="0" w:right="0" w:firstLine="0"/>
              <w:jc w:val="center"/>
              <w:rPr>
                <w:sz w:val="20"/>
              </w:rPr>
            </w:pPr>
            <w:r w:rsidRPr="00BA050E">
              <w:rPr>
                <w:sz w:val="20"/>
              </w:rPr>
              <w:t>approved in FY17</w:t>
            </w:r>
          </w:p>
        </w:tc>
        <w:tc>
          <w:tcPr>
            <w:tcW w:w="984" w:type="dxa"/>
          </w:tcPr>
          <w:p w14:paraId="7632E7C6" w14:textId="77777777" w:rsidR="00B44D67" w:rsidRPr="00BA050E" w:rsidRDefault="00B44D67" w:rsidP="00241C66">
            <w:pPr>
              <w:spacing w:after="0" w:line="240" w:lineRule="auto"/>
              <w:ind w:left="0" w:right="0" w:firstLine="0"/>
              <w:jc w:val="center"/>
              <w:rPr>
                <w:sz w:val="20"/>
              </w:rPr>
            </w:pPr>
          </w:p>
        </w:tc>
        <w:tc>
          <w:tcPr>
            <w:tcW w:w="1650" w:type="dxa"/>
          </w:tcPr>
          <w:p w14:paraId="19F2A033" w14:textId="77777777" w:rsidR="00B44D67" w:rsidRPr="00BA050E" w:rsidRDefault="00B44D67" w:rsidP="00241C66">
            <w:pPr>
              <w:spacing w:after="0" w:line="240" w:lineRule="auto"/>
              <w:ind w:left="0" w:right="0" w:firstLine="0"/>
              <w:jc w:val="center"/>
              <w:rPr>
                <w:sz w:val="20"/>
              </w:rPr>
            </w:pPr>
            <w:r w:rsidRPr="00BA050E">
              <w:rPr>
                <w:sz w:val="20"/>
              </w:rPr>
              <w:t>10</w:t>
            </w:r>
          </w:p>
        </w:tc>
      </w:tr>
      <w:tr w:rsidR="00B44D67" w:rsidRPr="00BA050E" w14:paraId="1DADC0A8" w14:textId="77777777" w:rsidTr="00241C66">
        <w:tc>
          <w:tcPr>
            <w:tcW w:w="3998" w:type="dxa"/>
          </w:tcPr>
          <w:p w14:paraId="5A875D57" w14:textId="77777777" w:rsidR="00B44D67" w:rsidRPr="00BA050E" w:rsidRDefault="00B44D67" w:rsidP="00241C66">
            <w:pPr>
              <w:spacing w:after="0" w:line="240" w:lineRule="auto"/>
              <w:ind w:left="0" w:right="0" w:firstLine="0"/>
              <w:jc w:val="left"/>
              <w:rPr>
                <w:sz w:val="20"/>
              </w:rPr>
            </w:pPr>
            <w:r w:rsidRPr="00BA050E">
              <w:rPr>
                <w:sz w:val="20"/>
              </w:rPr>
              <w:t>District Heating Partial Credit Risk Guarantee</w:t>
            </w:r>
          </w:p>
        </w:tc>
        <w:tc>
          <w:tcPr>
            <w:tcW w:w="917" w:type="dxa"/>
          </w:tcPr>
          <w:p w14:paraId="1614A7CD" w14:textId="77777777" w:rsidR="00B44D67" w:rsidRPr="00BA050E" w:rsidRDefault="00B44D67" w:rsidP="00241C66">
            <w:pPr>
              <w:spacing w:after="0" w:line="240" w:lineRule="auto"/>
              <w:ind w:left="0" w:right="0" w:firstLine="0"/>
              <w:jc w:val="center"/>
              <w:rPr>
                <w:sz w:val="20"/>
              </w:rPr>
            </w:pPr>
          </w:p>
        </w:tc>
        <w:tc>
          <w:tcPr>
            <w:tcW w:w="901" w:type="dxa"/>
          </w:tcPr>
          <w:p w14:paraId="31762B1B" w14:textId="77777777" w:rsidR="00B44D67" w:rsidRPr="00BA050E" w:rsidRDefault="00B44D67" w:rsidP="00241C66">
            <w:pPr>
              <w:spacing w:after="0" w:line="240" w:lineRule="auto"/>
              <w:ind w:left="0" w:right="0" w:firstLine="0"/>
              <w:jc w:val="center"/>
              <w:rPr>
                <w:sz w:val="20"/>
              </w:rPr>
            </w:pPr>
          </w:p>
        </w:tc>
        <w:tc>
          <w:tcPr>
            <w:tcW w:w="917" w:type="dxa"/>
          </w:tcPr>
          <w:p w14:paraId="1D60772A" w14:textId="77777777" w:rsidR="00B44D67" w:rsidRPr="00BA050E" w:rsidRDefault="00B44D67" w:rsidP="00241C66">
            <w:pPr>
              <w:spacing w:after="0" w:line="240" w:lineRule="auto"/>
              <w:ind w:left="0" w:right="0" w:firstLine="0"/>
              <w:jc w:val="center"/>
              <w:rPr>
                <w:sz w:val="20"/>
              </w:rPr>
            </w:pPr>
          </w:p>
        </w:tc>
        <w:tc>
          <w:tcPr>
            <w:tcW w:w="789" w:type="dxa"/>
          </w:tcPr>
          <w:p w14:paraId="18C83D42" w14:textId="77777777" w:rsidR="00B44D67" w:rsidRPr="00BA050E" w:rsidRDefault="00B44D67" w:rsidP="00241C66">
            <w:pPr>
              <w:spacing w:after="0" w:line="240" w:lineRule="auto"/>
              <w:ind w:left="0" w:right="0" w:firstLine="0"/>
              <w:jc w:val="center"/>
              <w:rPr>
                <w:sz w:val="20"/>
              </w:rPr>
            </w:pPr>
          </w:p>
        </w:tc>
        <w:tc>
          <w:tcPr>
            <w:tcW w:w="917" w:type="dxa"/>
          </w:tcPr>
          <w:p w14:paraId="54E2CCE4" w14:textId="77777777" w:rsidR="00B44D67" w:rsidRPr="00BA050E" w:rsidRDefault="00B44D67" w:rsidP="00241C66">
            <w:pPr>
              <w:spacing w:after="0" w:line="240" w:lineRule="auto"/>
              <w:ind w:left="0" w:right="0" w:firstLine="0"/>
              <w:jc w:val="center"/>
              <w:rPr>
                <w:sz w:val="20"/>
              </w:rPr>
            </w:pPr>
          </w:p>
        </w:tc>
        <w:tc>
          <w:tcPr>
            <w:tcW w:w="982" w:type="dxa"/>
          </w:tcPr>
          <w:p w14:paraId="1BDB1E59" w14:textId="77777777" w:rsidR="00B44D67" w:rsidRPr="00BA050E" w:rsidRDefault="00B44D67" w:rsidP="00241C66">
            <w:pPr>
              <w:spacing w:after="0" w:line="240" w:lineRule="auto"/>
              <w:ind w:left="0" w:right="0" w:firstLine="0"/>
              <w:jc w:val="center"/>
              <w:rPr>
                <w:sz w:val="20"/>
              </w:rPr>
            </w:pPr>
          </w:p>
        </w:tc>
        <w:tc>
          <w:tcPr>
            <w:tcW w:w="984" w:type="dxa"/>
          </w:tcPr>
          <w:p w14:paraId="4027F5CD" w14:textId="77777777" w:rsidR="00B44D67" w:rsidRPr="00BA050E" w:rsidRDefault="00B44D67" w:rsidP="00241C66">
            <w:pPr>
              <w:spacing w:after="0" w:line="240" w:lineRule="auto"/>
              <w:ind w:left="0" w:right="0" w:firstLine="0"/>
              <w:jc w:val="center"/>
              <w:rPr>
                <w:sz w:val="20"/>
              </w:rPr>
            </w:pPr>
            <w:r w:rsidRPr="00BA050E">
              <w:rPr>
                <w:sz w:val="20"/>
              </w:rPr>
              <w:t>80</w:t>
            </w:r>
          </w:p>
        </w:tc>
        <w:tc>
          <w:tcPr>
            <w:tcW w:w="1650" w:type="dxa"/>
          </w:tcPr>
          <w:p w14:paraId="580D9F86" w14:textId="77777777" w:rsidR="00B44D67" w:rsidRPr="00BA050E" w:rsidRDefault="00B44D67" w:rsidP="00241C66">
            <w:pPr>
              <w:spacing w:after="0" w:line="240" w:lineRule="auto"/>
              <w:ind w:left="0" w:right="0" w:firstLine="0"/>
              <w:jc w:val="center"/>
              <w:rPr>
                <w:sz w:val="20"/>
              </w:rPr>
            </w:pPr>
            <w:r w:rsidRPr="00BA050E">
              <w:rPr>
                <w:sz w:val="20"/>
              </w:rPr>
              <w:t>dropped</w:t>
            </w:r>
          </w:p>
        </w:tc>
      </w:tr>
      <w:tr w:rsidR="00B44D67" w:rsidRPr="00BA050E" w14:paraId="6E0EAD36" w14:textId="77777777" w:rsidTr="00241C66">
        <w:tc>
          <w:tcPr>
            <w:tcW w:w="12055" w:type="dxa"/>
            <w:gridSpan w:val="9"/>
            <w:shd w:val="clear" w:color="auto" w:fill="DEEAF6"/>
          </w:tcPr>
          <w:p w14:paraId="2DC4B2DE" w14:textId="77777777" w:rsidR="00B44D67" w:rsidRPr="00BA050E" w:rsidRDefault="00B44D67" w:rsidP="00241C66">
            <w:pPr>
              <w:spacing w:after="80" w:line="240" w:lineRule="auto"/>
              <w:ind w:left="0" w:right="0" w:firstLine="0"/>
              <w:jc w:val="center"/>
              <w:rPr>
                <w:b/>
                <w:i/>
                <w:sz w:val="20"/>
              </w:rPr>
            </w:pPr>
            <w:r w:rsidRPr="00BA050E">
              <w:rPr>
                <w:b/>
                <w:i/>
                <w:sz w:val="20"/>
              </w:rPr>
              <w:t>Pillar 2: Enhancing Human Capital and Minimizing Social Risks</w:t>
            </w:r>
          </w:p>
        </w:tc>
      </w:tr>
      <w:tr w:rsidR="00B44D67" w:rsidRPr="00BA050E" w14:paraId="2A5D6D1E" w14:textId="77777777" w:rsidTr="00241C66">
        <w:tc>
          <w:tcPr>
            <w:tcW w:w="3998" w:type="dxa"/>
          </w:tcPr>
          <w:p w14:paraId="4417E428" w14:textId="77777777" w:rsidR="00B44D67" w:rsidRPr="00BA050E" w:rsidRDefault="00B44D67" w:rsidP="00241C66">
            <w:pPr>
              <w:spacing w:after="0" w:line="240" w:lineRule="auto"/>
              <w:ind w:left="0" w:right="0" w:firstLine="0"/>
              <w:jc w:val="left"/>
              <w:rPr>
                <w:sz w:val="20"/>
              </w:rPr>
            </w:pPr>
            <w:r w:rsidRPr="00BA050E">
              <w:rPr>
                <w:sz w:val="20"/>
              </w:rPr>
              <w:t>Health Transformation Operation</w:t>
            </w:r>
          </w:p>
        </w:tc>
        <w:tc>
          <w:tcPr>
            <w:tcW w:w="917" w:type="dxa"/>
          </w:tcPr>
          <w:p w14:paraId="6398AFF7" w14:textId="77777777" w:rsidR="00B44D67" w:rsidRPr="00BA050E" w:rsidRDefault="00B44D67" w:rsidP="00241C66">
            <w:pPr>
              <w:spacing w:after="0" w:line="240" w:lineRule="auto"/>
              <w:ind w:left="0" w:right="0" w:firstLine="0"/>
              <w:jc w:val="center"/>
              <w:rPr>
                <w:sz w:val="20"/>
              </w:rPr>
            </w:pPr>
            <w:r w:rsidRPr="00BA050E">
              <w:rPr>
                <w:sz w:val="20"/>
              </w:rPr>
              <w:t>30.8</w:t>
            </w:r>
          </w:p>
        </w:tc>
        <w:tc>
          <w:tcPr>
            <w:tcW w:w="901" w:type="dxa"/>
          </w:tcPr>
          <w:p w14:paraId="73A383F9" w14:textId="77777777" w:rsidR="00B44D67" w:rsidRPr="00BA050E" w:rsidRDefault="00B44D67" w:rsidP="00241C66">
            <w:pPr>
              <w:spacing w:after="0" w:line="240" w:lineRule="auto"/>
              <w:ind w:left="0" w:right="0" w:firstLine="0"/>
              <w:jc w:val="center"/>
              <w:rPr>
                <w:sz w:val="20"/>
              </w:rPr>
            </w:pPr>
            <w:r w:rsidRPr="00BA050E">
              <w:rPr>
                <w:sz w:val="20"/>
              </w:rPr>
              <w:t>30.8</w:t>
            </w:r>
          </w:p>
        </w:tc>
        <w:tc>
          <w:tcPr>
            <w:tcW w:w="917" w:type="dxa"/>
          </w:tcPr>
          <w:p w14:paraId="630AE137" w14:textId="77777777" w:rsidR="00B44D67" w:rsidRPr="00BA050E" w:rsidRDefault="00B44D67" w:rsidP="00241C66">
            <w:pPr>
              <w:spacing w:after="0" w:line="240" w:lineRule="auto"/>
              <w:ind w:left="0" w:right="0" w:firstLine="0"/>
              <w:jc w:val="center"/>
              <w:rPr>
                <w:sz w:val="20"/>
              </w:rPr>
            </w:pPr>
          </w:p>
        </w:tc>
        <w:tc>
          <w:tcPr>
            <w:tcW w:w="789" w:type="dxa"/>
          </w:tcPr>
          <w:p w14:paraId="336EDB44" w14:textId="77777777" w:rsidR="00B44D67" w:rsidRPr="00BA050E" w:rsidRDefault="00B44D67" w:rsidP="00241C66">
            <w:pPr>
              <w:spacing w:after="0" w:line="240" w:lineRule="auto"/>
              <w:ind w:left="0" w:right="0" w:firstLine="0"/>
              <w:jc w:val="center"/>
              <w:rPr>
                <w:sz w:val="20"/>
              </w:rPr>
            </w:pPr>
          </w:p>
        </w:tc>
        <w:tc>
          <w:tcPr>
            <w:tcW w:w="917" w:type="dxa"/>
          </w:tcPr>
          <w:p w14:paraId="3EDE82D7" w14:textId="77777777" w:rsidR="00B44D67" w:rsidRPr="00BA050E" w:rsidRDefault="00B44D67" w:rsidP="00241C66">
            <w:pPr>
              <w:spacing w:after="0" w:line="240" w:lineRule="auto"/>
              <w:ind w:left="0" w:right="0" w:firstLine="0"/>
              <w:jc w:val="center"/>
              <w:rPr>
                <w:sz w:val="20"/>
              </w:rPr>
            </w:pPr>
          </w:p>
        </w:tc>
        <w:tc>
          <w:tcPr>
            <w:tcW w:w="982" w:type="dxa"/>
          </w:tcPr>
          <w:p w14:paraId="794E425A" w14:textId="77777777" w:rsidR="00B44D67" w:rsidRPr="00BA050E" w:rsidRDefault="00B44D67" w:rsidP="00241C66">
            <w:pPr>
              <w:spacing w:after="0" w:line="240" w:lineRule="auto"/>
              <w:ind w:left="0" w:right="0" w:firstLine="0"/>
              <w:jc w:val="center"/>
              <w:rPr>
                <w:sz w:val="20"/>
              </w:rPr>
            </w:pPr>
          </w:p>
        </w:tc>
        <w:tc>
          <w:tcPr>
            <w:tcW w:w="984" w:type="dxa"/>
          </w:tcPr>
          <w:p w14:paraId="4A546524" w14:textId="77777777" w:rsidR="00B44D67" w:rsidRPr="00BA050E" w:rsidRDefault="00B44D67" w:rsidP="00241C66">
            <w:pPr>
              <w:spacing w:after="0" w:line="240" w:lineRule="auto"/>
              <w:ind w:left="0" w:right="0" w:firstLine="0"/>
              <w:jc w:val="center"/>
              <w:rPr>
                <w:sz w:val="20"/>
              </w:rPr>
            </w:pPr>
          </w:p>
        </w:tc>
        <w:tc>
          <w:tcPr>
            <w:tcW w:w="1650" w:type="dxa"/>
          </w:tcPr>
          <w:p w14:paraId="22B8E607" w14:textId="77777777" w:rsidR="00B44D67" w:rsidRPr="00BA050E" w:rsidRDefault="00B44D67" w:rsidP="00241C66">
            <w:pPr>
              <w:spacing w:after="0" w:line="240" w:lineRule="auto"/>
              <w:ind w:left="0" w:right="0" w:firstLine="0"/>
              <w:jc w:val="center"/>
              <w:rPr>
                <w:sz w:val="20"/>
              </w:rPr>
            </w:pPr>
          </w:p>
        </w:tc>
      </w:tr>
      <w:tr w:rsidR="00B44D67" w:rsidRPr="00BA050E" w14:paraId="50F8D940" w14:textId="77777777" w:rsidTr="00241C66">
        <w:tc>
          <w:tcPr>
            <w:tcW w:w="3998" w:type="dxa"/>
          </w:tcPr>
          <w:p w14:paraId="5D2FD1D1" w14:textId="77777777" w:rsidR="00B44D67" w:rsidRPr="00BA050E" w:rsidRDefault="00B44D67" w:rsidP="00241C66">
            <w:pPr>
              <w:spacing w:after="0" w:line="240" w:lineRule="auto"/>
              <w:ind w:left="0" w:right="0" w:firstLine="0"/>
              <w:jc w:val="left"/>
              <w:rPr>
                <w:sz w:val="20"/>
              </w:rPr>
            </w:pPr>
            <w:r w:rsidRPr="00BA050E">
              <w:rPr>
                <w:sz w:val="20"/>
              </w:rPr>
              <w:t>Education Reform AF</w:t>
            </w:r>
          </w:p>
        </w:tc>
        <w:tc>
          <w:tcPr>
            <w:tcW w:w="917" w:type="dxa"/>
          </w:tcPr>
          <w:p w14:paraId="0E91286E" w14:textId="77777777" w:rsidR="00B44D67" w:rsidRPr="00BA050E" w:rsidRDefault="00B44D67" w:rsidP="00241C66">
            <w:pPr>
              <w:spacing w:after="0" w:line="240" w:lineRule="auto"/>
              <w:ind w:left="0" w:right="0" w:firstLine="0"/>
              <w:jc w:val="center"/>
              <w:rPr>
                <w:sz w:val="20"/>
              </w:rPr>
            </w:pPr>
          </w:p>
        </w:tc>
        <w:tc>
          <w:tcPr>
            <w:tcW w:w="901" w:type="dxa"/>
          </w:tcPr>
          <w:p w14:paraId="71C8ADD8" w14:textId="77777777" w:rsidR="00B44D67" w:rsidRPr="00BA050E" w:rsidRDefault="00B44D67" w:rsidP="00241C66">
            <w:pPr>
              <w:spacing w:after="0" w:line="240" w:lineRule="auto"/>
              <w:ind w:left="0" w:right="0" w:firstLine="0"/>
              <w:jc w:val="center"/>
              <w:rPr>
                <w:sz w:val="20"/>
              </w:rPr>
            </w:pPr>
          </w:p>
        </w:tc>
        <w:tc>
          <w:tcPr>
            <w:tcW w:w="917" w:type="dxa"/>
          </w:tcPr>
          <w:p w14:paraId="3AC225EA" w14:textId="77777777" w:rsidR="00B44D67" w:rsidRPr="00BA050E" w:rsidRDefault="00B44D67" w:rsidP="00241C66">
            <w:pPr>
              <w:spacing w:after="0" w:line="240" w:lineRule="auto"/>
              <w:ind w:left="0" w:right="0" w:firstLine="0"/>
              <w:jc w:val="center"/>
              <w:rPr>
                <w:sz w:val="20"/>
              </w:rPr>
            </w:pPr>
          </w:p>
        </w:tc>
        <w:tc>
          <w:tcPr>
            <w:tcW w:w="789" w:type="dxa"/>
          </w:tcPr>
          <w:p w14:paraId="453551F5" w14:textId="77777777" w:rsidR="00B44D67" w:rsidRPr="00BA050E" w:rsidRDefault="00B44D67" w:rsidP="00241C66">
            <w:pPr>
              <w:spacing w:after="0" w:line="240" w:lineRule="auto"/>
              <w:ind w:left="0" w:right="0" w:firstLine="0"/>
              <w:jc w:val="center"/>
              <w:rPr>
                <w:sz w:val="20"/>
              </w:rPr>
            </w:pPr>
          </w:p>
        </w:tc>
        <w:tc>
          <w:tcPr>
            <w:tcW w:w="917" w:type="dxa"/>
          </w:tcPr>
          <w:p w14:paraId="2995F694" w14:textId="77777777" w:rsidR="00B44D67" w:rsidRPr="00BA050E" w:rsidRDefault="00B44D67" w:rsidP="00241C66">
            <w:pPr>
              <w:spacing w:after="0" w:line="240" w:lineRule="auto"/>
              <w:ind w:left="0" w:right="0" w:firstLine="0"/>
              <w:jc w:val="center"/>
              <w:rPr>
                <w:sz w:val="20"/>
              </w:rPr>
            </w:pPr>
          </w:p>
        </w:tc>
        <w:tc>
          <w:tcPr>
            <w:tcW w:w="982" w:type="dxa"/>
          </w:tcPr>
          <w:p w14:paraId="792145AF" w14:textId="77777777" w:rsidR="00B44D67" w:rsidRPr="00BA050E" w:rsidRDefault="00B44D67" w:rsidP="00241C66">
            <w:pPr>
              <w:spacing w:after="0" w:line="240" w:lineRule="auto"/>
              <w:ind w:left="0" w:right="0" w:firstLine="0"/>
              <w:jc w:val="center"/>
              <w:rPr>
                <w:sz w:val="20"/>
              </w:rPr>
            </w:pPr>
          </w:p>
        </w:tc>
        <w:tc>
          <w:tcPr>
            <w:tcW w:w="984" w:type="dxa"/>
          </w:tcPr>
          <w:p w14:paraId="0C7B3414" w14:textId="77777777" w:rsidR="00B44D67" w:rsidRPr="00BA050E" w:rsidRDefault="00B44D67" w:rsidP="00241C66">
            <w:pPr>
              <w:spacing w:after="0" w:line="240" w:lineRule="auto"/>
              <w:ind w:left="0" w:right="0" w:firstLine="0"/>
              <w:jc w:val="center"/>
              <w:rPr>
                <w:sz w:val="20"/>
              </w:rPr>
            </w:pPr>
            <w:r w:rsidRPr="00BA050E">
              <w:rPr>
                <w:sz w:val="20"/>
              </w:rPr>
              <w:t>15</w:t>
            </w:r>
          </w:p>
        </w:tc>
        <w:tc>
          <w:tcPr>
            <w:tcW w:w="1650" w:type="dxa"/>
          </w:tcPr>
          <w:p w14:paraId="6D898D26" w14:textId="5986FCD6" w:rsidR="00B44D67" w:rsidRPr="00BA050E" w:rsidRDefault="00B44D67" w:rsidP="00241C66">
            <w:pPr>
              <w:spacing w:after="0" w:line="240" w:lineRule="auto"/>
              <w:ind w:left="0" w:right="0" w:firstLine="0"/>
              <w:jc w:val="center"/>
              <w:rPr>
                <w:sz w:val="20"/>
              </w:rPr>
            </w:pPr>
            <w:r w:rsidRPr="00BA050E">
              <w:rPr>
                <w:sz w:val="20"/>
              </w:rPr>
              <w:t>moved to FY18 – 10</w:t>
            </w:r>
          </w:p>
        </w:tc>
      </w:tr>
      <w:tr w:rsidR="00B44D67" w:rsidRPr="00BA050E" w14:paraId="27C72423" w14:textId="77777777" w:rsidTr="00241C66">
        <w:tc>
          <w:tcPr>
            <w:tcW w:w="3998" w:type="dxa"/>
          </w:tcPr>
          <w:p w14:paraId="75B33C32" w14:textId="77777777" w:rsidR="00B44D67" w:rsidRPr="00BA050E" w:rsidRDefault="00B44D67" w:rsidP="00241C66">
            <w:pPr>
              <w:spacing w:after="0" w:line="240" w:lineRule="auto"/>
              <w:ind w:left="0" w:right="0" w:firstLine="0"/>
              <w:jc w:val="left"/>
              <w:rPr>
                <w:sz w:val="20"/>
              </w:rPr>
            </w:pPr>
            <w:r w:rsidRPr="00BA050E">
              <w:rPr>
                <w:sz w:val="20"/>
              </w:rPr>
              <w:t>Local Roads Improvement</w:t>
            </w:r>
          </w:p>
        </w:tc>
        <w:tc>
          <w:tcPr>
            <w:tcW w:w="917" w:type="dxa"/>
          </w:tcPr>
          <w:p w14:paraId="78194318" w14:textId="77777777" w:rsidR="00B44D67" w:rsidRPr="00BA050E" w:rsidRDefault="00B44D67" w:rsidP="00241C66">
            <w:pPr>
              <w:spacing w:after="0" w:line="240" w:lineRule="auto"/>
              <w:ind w:left="0" w:right="0" w:firstLine="0"/>
              <w:jc w:val="center"/>
              <w:rPr>
                <w:sz w:val="20"/>
              </w:rPr>
            </w:pPr>
          </w:p>
        </w:tc>
        <w:tc>
          <w:tcPr>
            <w:tcW w:w="901" w:type="dxa"/>
          </w:tcPr>
          <w:p w14:paraId="7C2FF683" w14:textId="77777777" w:rsidR="00B44D67" w:rsidRPr="00BA050E" w:rsidRDefault="00B44D67" w:rsidP="00241C66">
            <w:pPr>
              <w:spacing w:after="0" w:line="240" w:lineRule="auto"/>
              <w:ind w:left="0" w:right="0" w:firstLine="0"/>
              <w:jc w:val="center"/>
              <w:rPr>
                <w:sz w:val="20"/>
              </w:rPr>
            </w:pPr>
          </w:p>
        </w:tc>
        <w:tc>
          <w:tcPr>
            <w:tcW w:w="917" w:type="dxa"/>
          </w:tcPr>
          <w:p w14:paraId="5710F719" w14:textId="77777777" w:rsidR="00B44D67" w:rsidRPr="00BA050E" w:rsidRDefault="00B44D67" w:rsidP="00241C66">
            <w:pPr>
              <w:spacing w:after="0" w:line="240" w:lineRule="auto"/>
              <w:ind w:left="0" w:right="0" w:firstLine="0"/>
              <w:jc w:val="center"/>
              <w:rPr>
                <w:sz w:val="20"/>
              </w:rPr>
            </w:pPr>
          </w:p>
        </w:tc>
        <w:tc>
          <w:tcPr>
            <w:tcW w:w="789" w:type="dxa"/>
          </w:tcPr>
          <w:p w14:paraId="40E46F7F" w14:textId="77777777" w:rsidR="00B44D67" w:rsidRPr="00BA050E" w:rsidRDefault="00B44D67" w:rsidP="00241C66">
            <w:pPr>
              <w:spacing w:after="0" w:line="240" w:lineRule="auto"/>
              <w:ind w:left="0" w:right="0" w:firstLine="0"/>
              <w:jc w:val="center"/>
              <w:rPr>
                <w:sz w:val="20"/>
              </w:rPr>
            </w:pPr>
          </w:p>
        </w:tc>
        <w:tc>
          <w:tcPr>
            <w:tcW w:w="917" w:type="dxa"/>
          </w:tcPr>
          <w:p w14:paraId="169626D1" w14:textId="77777777" w:rsidR="00B44D67" w:rsidRPr="00BA050E" w:rsidRDefault="00B44D67" w:rsidP="00241C66">
            <w:pPr>
              <w:spacing w:after="0" w:line="240" w:lineRule="auto"/>
              <w:ind w:left="0" w:right="0" w:firstLine="0"/>
              <w:jc w:val="center"/>
              <w:rPr>
                <w:sz w:val="20"/>
              </w:rPr>
            </w:pPr>
            <w:r w:rsidRPr="00BA050E">
              <w:rPr>
                <w:sz w:val="20"/>
              </w:rPr>
              <w:t>80</w:t>
            </w:r>
          </w:p>
        </w:tc>
        <w:tc>
          <w:tcPr>
            <w:tcW w:w="982" w:type="dxa"/>
          </w:tcPr>
          <w:p w14:paraId="195BE4F0" w14:textId="77777777" w:rsidR="00B44D67" w:rsidRPr="00BA050E" w:rsidRDefault="00B44D67" w:rsidP="00241C66">
            <w:pPr>
              <w:spacing w:after="0" w:line="240" w:lineRule="auto"/>
              <w:ind w:left="0" w:right="0" w:firstLine="0"/>
              <w:jc w:val="center"/>
              <w:rPr>
                <w:sz w:val="20"/>
              </w:rPr>
            </w:pPr>
            <w:r w:rsidRPr="00BA050E">
              <w:rPr>
                <w:sz w:val="20"/>
              </w:rPr>
              <w:t>80</w:t>
            </w:r>
          </w:p>
        </w:tc>
        <w:tc>
          <w:tcPr>
            <w:tcW w:w="984" w:type="dxa"/>
          </w:tcPr>
          <w:p w14:paraId="756A89D3" w14:textId="77777777" w:rsidR="00B44D67" w:rsidRPr="00BA050E" w:rsidRDefault="00B44D67" w:rsidP="00241C66">
            <w:pPr>
              <w:spacing w:after="0" w:line="240" w:lineRule="auto"/>
              <w:ind w:left="0" w:right="0" w:firstLine="0"/>
              <w:jc w:val="center"/>
              <w:rPr>
                <w:sz w:val="20"/>
              </w:rPr>
            </w:pPr>
          </w:p>
        </w:tc>
        <w:tc>
          <w:tcPr>
            <w:tcW w:w="1650" w:type="dxa"/>
          </w:tcPr>
          <w:p w14:paraId="13365E2A" w14:textId="77777777" w:rsidR="00B44D67" w:rsidRPr="00BA050E" w:rsidRDefault="00B44D67" w:rsidP="00241C66">
            <w:pPr>
              <w:spacing w:after="0" w:line="240" w:lineRule="auto"/>
              <w:ind w:left="0" w:right="0" w:firstLine="0"/>
              <w:jc w:val="center"/>
              <w:rPr>
                <w:sz w:val="20"/>
              </w:rPr>
            </w:pPr>
          </w:p>
        </w:tc>
      </w:tr>
      <w:tr w:rsidR="00B44D67" w:rsidRPr="00BA050E" w14:paraId="395FE15C" w14:textId="77777777" w:rsidTr="00241C66">
        <w:tc>
          <w:tcPr>
            <w:tcW w:w="12055" w:type="dxa"/>
            <w:gridSpan w:val="9"/>
            <w:shd w:val="clear" w:color="auto" w:fill="DEEAF6"/>
          </w:tcPr>
          <w:p w14:paraId="1DC21301" w14:textId="77777777" w:rsidR="00B44D67" w:rsidRPr="00BA050E" w:rsidRDefault="00B44D67" w:rsidP="00241C66">
            <w:pPr>
              <w:spacing w:after="80" w:line="240" w:lineRule="auto"/>
              <w:ind w:left="0" w:right="0" w:firstLine="0"/>
              <w:jc w:val="center"/>
              <w:rPr>
                <w:i/>
                <w:sz w:val="20"/>
              </w:rPr>
            </w:pPr>
            <w:r w:rsidRPr="00BA050E">
              <w:rPr>
                <w:b/>
                <w:i/>
                <w:sz w:val="20"/>
              </w:rPr>
              <w:t>Pillar 3: Promoting a Green, Clean and Resilient Moldova</w:t>
            </w:r>
          </w:p>
        </w:tc>
      </w:tr>
      <w:tr w:rsidR="00B44D67" w:rsidRPr="00BA050E" w14:paraId="6EAA5CAF" w14:textId="77777777" w:rsidTr="00241C66">
        <w:tc>
          <w:tcPr>
            <w:tcW w:w="3998" w:type="dxa"/>
            <w:vAlign w:val="center"/>
          </w:tcPr>
          <w:p w14:paraId="2E5551A7" w14:textId="77777777" w:rsidR="00B44D67" w:rsidRPr="00BA050E" w:rsidRDefault="00B44D67" w:rsidP="00241C66">
            <w:pPr>
              <w:spacing w:after="0" w:line="240" w:lineRule="auto"/>
              <w:ind w:left="0" w:right="0" w:firstLine="0"/>
              <w:jc w:val="left"/>
              <w:rPr>
                <w:sz w:val="20"/>
              </w:rPr>
            </w:pPr>
            <w:r w:rsidRPr="00BA050E">
              <w:rPr>
                <w:sz w:val="20"/>
              </w:rPr>
              <w:t>District Heating Efficiency Improvement</w:t>
            </w:r>
          </w:p>
        </w:tc>
        <w:tc>
          <w:tcPr>
            <w:tcW w:w="917" w:type="dxa"/>
          </w:tcPr>
          <w:p w14:paraId="1A2A353C" w14:textId="77777777" w:rsidR="00B44D67" w:rsidRPr="00BA050E" w:rsidRDefault="00B44D67" w:rsidP="00241C66">
            <w:pPr>
              <w:spacing w:after="0" w:line="240" w:lineRule="auto"/>
              <w:ind w:left="0" w:right="0" w:firstLine="0"/>
              <w:jc w:val="center"/>
              <w:rPr>
                <w:sz w:val="20"/>
              </w:rPr>
            </w:pPr>
          </w:p>
        </w:tc>
        <w:tc>
          <w:tcPr>
            <w:tcW w:w="901" w:type="dxa"/>
          </w:tcPr>
          <w:p w14:paraId="6048EFCC" w14:textId="77777777" w:rsidR="00B44D67" w:rsidRPr="00BA050E" w:rsidRDefault="00B44D67" w:rsidP="00241C66">
            <w:pPr>
              <w:spacing w:after="0" w:line="240" w:lineRule="auto"/>
              <w:ind w:left="0" w:right="0" w:firstLine="0"/>
              <w:jc w:val="center"/>
              <w:rPr>
                <w:sz w:val="20"/>
              </w:rPr>
            </w:pPr>
          </w:p>
        </w:tc>
        <w:tc>
          <w:tcPr>
            <w:tcW w:w="917" w:type="dxa"/>
          </w:tcPr>
          <w:p w14:paraId="69245D5E" w14:textId="77777777" w:rsidR="00B44D67" w:rsidRPr="00BA050E" w:rsidRDefault="00B44D67" w:rsidP="00241C66">
            <w:pPr>
              <w:spacing w:after="0" w:line="240" w:lineRule="auto"/>
              <w:ind w:left="0" w:right="0" w:firstLine="0"/>
              <w:jc w:val="center"/>
              <w:rPr>
                <w:sz w:val="20"/>
              </w:rPr>
            </w:pPr>
            <w:r w:rsidRPr="00BA050E">
              <w:rPr>
                <w:sz w:val="20"/>
              </w:rPr>
              <w:t>40.5</w:t>
            </w:r>
          </w:p>
        </w:tc>
        <w:tc>
          <w:tcPr>
            <w:tcW w:w="789" w:type="dxa"/>
          </w:tcPr>
          <w:p w14:paraId="331ECD72" w14:textId="77777777" w:rsidR="00B44D67" w:rsidRPr="00BA050E" w:rsidRDefault="00B44D67" w:rsidP="00241C66">
            <w:pPr>
              <w:spacing w:after="0" w:line="240" w:lineRule="auto"/>
              <w:ind w:left="0" w:right="0" w:firstLine="0"/>
              <w:jc w:val="center"/>
              <w:rPr>
                <w:sz w:val="20"/>
              </w:rPr>
            </w:pPr>
            <w:r w:rsidRPr="00BA050E">
              <w:rPr>
                <w:sz w:val="20"/>
              </w:rPr>
              <w:t>40.5</w:t>
            </w:r>
          </w:p>
        </w:tc>
        <w:tc>
          <w:tcPr>
            <w:tcW w:w="917" w:type="dxa"/>
          </w:tcPr>
          <w:p w14:paraId="3FBC5047" w14:textId="77777777" w:rsidR="00B44D67" w:rsidRPr="00BA050E" w:rsidRDefault="00B44D67" w:rsidP="00241C66">
            <w:pPr>
              <w:spacing w:after="0" w:line="240" w:lineRule="auto"/>
              <w:ind w:left="0" w:right="0" w:firstLine="0"/>
              <w:jc w:val="center"/>
              <w:rPr>
                <w:sz w:val="20"/>
              </w:rPr>
            </w:pPr>
          </w:p>
        </w:tc>
        <w:tc>
          <w:tcPr>
            <w:tcW w:w="982" w:type="dxa"/>
          </w:tcPr>
          <w:p w14:paraId="366080AC" w14:textId="77777777" w:rsidR="00B44D67" w:rsidRPr="00BA050E" w:rsidRDefault="00B44D67" w:rsidP="00241C66">
            <w:pPr>
              <w:spacing w:after="0" w:line="240" w:lineRule="auto"/>
              <w:ind w:left="0" w:right="0" w:firstLine="0"/>
              <w:jc w:val="center"/>
              <w:rPr>
                <w:sz w:val="20"/>
              </w:rPr>
            </w:pPr>
          </w:p>
        </w:tc>
        <w:tc>
          <w:tcPr>
            <w:tcW w:w="984" w:type="dxa"/>
          </w:tcPr>
          <w:p w14:paraId="2F3507E6" w14:textId="77777777" w:rsidR="00B44D67" w:rsidRPr="00BA050E" w:rsidRDefault="00B44D67" w:rsidP="00241C66">
            <w:pPr>
              <w:spacing w:after="0" w:line="240" w:lineRule="auto"/>
              <w:ind w:left="0" w:right="0" w:firstLine="0"/>
              <w:jc w:val="center"/>
              <w:rPr>
                <w:sz w:val="20"/>
              </w:rPr>
            </w:pPr>
          </w:p>
        </w:tc>
        <w:tc>
          <w:tcPr>
            <w:tcW w:w="1650" w:type="dxa"/>
          </w:tcPr>
          <w:p w14:paraId="207CCBFD" w14:textId="77777777" w:rsidR="00B44D67" w:rsidRPr="00BA050E" w:rsidRDefault="00B44D67" w:rsidP="00241C66">
            <w:pPr>
              <w:spacing w:after="0" w:line="240" w:lineRule="auto"/>
              <w:ind w:left="0" w:right="0" w:firstLine="0"/>
              <w:jc w:val="center"/>
              <w:rPr>
                <w:sz w:val="20"/>
              </w:rPr>
            </w:pPr>
          </w:p>
        </w:tc>
      </w:tr>
      <w:tr w:rsidR="00B44D67" w:rsidRPr="00BA050E" w14:paraId="206DEE2C" w14:textId="77777777" w:rsidTr="00241C66">
        <w:tc>
          <w:tcPr>
            <w:tcW w:w="3998" w:type="dxa"/>
            <w:vAlign w:val="center"/>
          </w:tcPr>
          <w:p w14:paraId="18B2931F" w14:textId="77777777" w:rsidR="00B44D67" w:rsidRPr="00BA050E" w:rsidRDefault="00B44D67" w:rsidP="00241C66">
            <w:pPr>
              <w:spacing w:after="0" w:line="240" w:lineRule="auto"/>
              <w:ind w:left="0" w:right="0" w:firstLine="0"/>
              <w:jc w:val="left"/>
              <w:rPr>
                <w:sz w:val="20"/>
              </w:rPr>
            </w:pPr>
            <w:r w:rsidRPr="00BA050E">
              <w:rPr>
                <w:sz w:val="20"/>
              </w:rPr>
              <w:t>Disaster and Climate Risk Management AF</w:t>
            </w:r>
          </w:p>
        </w:tc>
        <w:tc>
          <w:tcPr>
            <w:tcW w:w="917" w:type="dxa"/>
          </w:tcPr>
          <w:p w14:paraId="15C2D552" w14:textId="77777777" w:rsidR="00B44D67" w:rsidRPr="00BA050E" w:rsidRDefault="00B44D67" w:rsidP="00241C66">
            <w:pPr>
              <w:spacing w:after="0" w:line="240" w:lineRule="auto"/>
              <w:ind w:left="0" w:right="0" w:firstLine="0"/>
              <w:jc w:val="center"/>
              <w:rPr>
                <w:sz w:val="20"/>
              </w:rPr>
            </w:pPr>
          </w:p>
        </w:tc>
        <w:tc>
          <w:tcPr>
            <w:tcW w:w="901" w:type="dxa"/>
          </w:tcPr>
          <w:p w14:paraId="6E7E6215" w14:textId="77777777" w:rsidR="00B44D67" w:rsidRPr="00BA050E" w:rsidRDefault="00B44D67" w:rsidP="00241C66">
            <w:pPr>
              <w:spacing w:after="0" w:line="240" w:lineRule="auto"/>
              <w:ind w:left="0" w:right="0" w:firstLine="0"/>
              <w:jc w:val="center"/>
              <w:rPr>
                <w:sz w:val="20"/>
              </w:rPr>
            </w:pPr>
          </w:p>
        </w:tc>
        <w:tc>
          <w:tcPr>
            <w:tcW w:w="917" w:type="dxa"/>
          </w:tcPr>
          <w:p w14:paraId="0185C1C9" w14:textId="77777777" w:rsidR="00B44D67" w:rsidRPr="00BA050E" w:rsidRDefault="00B44D67" w:rsidP="00241C66">
            <w:pPr>
              <w:spacing w:after="0" w:line="240" w:lineRule="auto"/>
              <w:ind w:left="0" w:right="0" w:firstLine="0"/>
              <w:jc w:val="center"/>
              <w:rPr>
                <w:sz w:val="20"/>
              </w:rPr>
            </w:pPr>
            <w:r w:rsidRPr="00BA050E">
              <w:rPr>
                <w:sz w:val="20"/>
              </w:rPr>
              <w:t>2</w:t>
            </w:r>
          </w:p>
        </w:tc>
        <w:tc>
          <w:tcPr>
            <w:tcW w:w="789" w:type="dxa"/>
          </w:tcPr>
          <w:p w14:paraId="0367DCC4" w14:textId="77777777" w:rsidR="00B44D67" w:rsidRPr="00BA050E" w:rsidRDefault="00B44D67" w:rsidP="00241C66">
            <w:pPr>
              <w:spacing w:after="0" w:line="240" w:lineRule="auto"/>
              <w:ind w:left="0" w:right="0" w:firstLine="0"/>
              <w:jc w:val="center"/>
              <w:rPr>
                <w:sz w:val="20"/>
              </w:rPr>
            </w:pPr>
            <w:r w:rsidRPr="00BA050E">
              <w:rPr>
                <w:sz w:val="20"/>
              </w:rPr>
              <w:t>2</w:t>
            </w:r>
          </w:p>
        </w:tc>
        <w:tc>
          <w:tcPr>
            <w:tcW w:w="917" w:type="dxa"/>
          </w:tcPr>
          <w:p w14:paraId="428D0D24" w14:textId="77777777" w:rsidR="00B44D67" w:rsidRPr="00BA050E" w:rsidRDefault="00B44D67" w:rsidP="00241C66">
            <w:pPr>
              <w:spacing w:after="0" w:line="240" w:lineRule="auto"/>
              <w:ind w:left="0" w:right="0" w:firstLine="0"/>
              <w:jc w:val="center"/>
              <w:rPr>
                <w:sz w:val="20"/>
              </w:rPr>
            </w:pPr>
          </w:p>
        </w:tc>
        <w:tc>
          <w:tcPr>
            <w:tcW w:w="982" w:type="dxa"/>
          </w:tcPr>
          <w:p w14:paraId="383DFD6C" w14:textId="77777777" w:rsidR="00B44D67" w:rsidRPr="00BA050E" w:rsidRDefault="00B44D67" w:rsidP="00241C66">
            <w:pPr>
              <w:spacing w:after="0" w:line="240" w:lineRule="auto"/>
              <w:ind w:left="0" w:right="0" w:firstLine="0"/>
              <w:jc w:val="center"/>
              <w:rPr>
                <w:sz w:val="20"/>
              </w:rPr>
            </w:pPr>
          </w:p>
        </w:tc>
        <w:tc>
          <w:tcPr>
            <w:tcW w:w="984" w:type="dxa"/>
          </w:tcPr>
          <w:p w14:paraId="3D2FDC92" w14:textId="77777777" w:rsidR="00B44D67" w:rsidRPr="00BA050E" w:rsidRDefault="00B44D67" w:rsidP="00241C66">
            <w:pPr>
              <w:spacing w:after="0" w:line="240" w:lineRule="auto"/>
              <w:ind w:left="0" w:right="0" w:firstLine="0"/>
              <w:jc w:val="center"/>
              <w:rPr>
                <w:sz w:val="20"/>
              </w:rPr>
            </w:pPr>
          </w:p>
        </w:tc>
        <w:tc>
          <w:tcPr>
            <w:tcW w:w="1650" w:type="dxa"/>
          </w:tcPr>
          <w:p w14:paraId="702D99B0" w14:textId="77777777" w:rsidR="00B44D67" w:rsidRPr="00BA050E" w:rsidRDefault="00B44D67" w:rsidP="00241C66">
            <w:pPr>
              <w:spacing w:after="0" w:line="240" w:lineRule="auto"/>
              <w:ind w:left="0" w:right="0" w:firstLine="0"/>
              <w:jc w:val="center"/>
              <w:rPr>
                <w:sz w:val="20"/>
              </w:rPr>
            </w:pPr>
          </w:p>
        </w:tc>
      </w:tr>
      <w:tr w:rsidR="00B44D67" w:rsidRPr="00BA050E" w14:paraId="5CDE460E" w14:textId="77777777" w:rsidTr="00241C66">
        <w:tc>
          <w:tcPr>
            <w:tcW w:w="3998" w:type="dxa"/>
            <w:vAlign w:val="center"/>
          </w:tcPr>
          <w:p w14:paraId="3456E3EE" w14:textId="77777777" w:rsidR="00B44D67" w:rsidRPr="00BA050E" w:rsidRDefault="00B44D67" w:rsidP="00241C66">
            <w:pPr>
              <w:spacing w:after="0" w:line="240" w:lineRule="auto"/>
              <w:ind w:left="0" w:right="0" w:firstLine="0"/>
              <w:jc w:val="left"/>
              <w:rPr>
                <w:sz w:val="20"/>
              </w:rPr>
            </w:pPr>
            <w:r w:rsidRPr="00BA050E">
              <w:rPr>
                <w:sz w:val="20"/>
              </w:rPr>
              <w:t>Climate Adaptation and Forestry</w:t>
            </w:r>
          </w:p>
        </w:tc>
        <w:tc>
          <w:tcPr>
            <w:tcW w:w="917" w:type="dxa"/>
          </w:tcPr>
          <w:p w14:paraId="0472E20E" w14:textId="77777777" w:rsidR="00B44D67" w:rsidRPr="00BA050E" w:rsidRDefault="00B44D67" w:rsidP="00241C66">
            <w:pPr>
              <w:spacing w:after="0" w:line="240" w:lineRule="auto"/>
              <w:ind w:left="0" w:right="0" w:firstLine="0"/>
              <w:jc w:val="center"/>
              <w:rPr>
                <w:sz w:val="20"/>
              </w:rPr>
            </w:pPr>
          </w:p>
        </w:tc>
        <w:tc>
          <w:tcPr>
            <w:tcW w:w="901" w:type="dxa"/>
          </w:tcPr>
          <w:p w14:paraId="4656D63A" w14:textId="77777777" w:rsidR="00B44D67" w:rsidRPr="00BA050E" w:rsidRDefault="00B44D67" w:rsidP="00241C66">
            <w:pPr>
              <w:spacing w:after="0" w:line="240" w:lineRule="auto"/>
              <w:ind w:left="0" w:right="0" w:firstLine="0"/>
              <w:jc w:val="center"/>
              <w:rPr>
                <w:sz w:val="20"/>
              </w:rPr>
            </w:pPr>
          </w:p>
        </w:tc>
        <w:tc>
          <w:tcPr>
            <w:tcW w:w="917" w:type="dxa"/>
          </w:tcPr>
          <w:p w14:paraId="0C65502E" w14:textId="77777777" w:rsidR="00B44D67" w:rsidRPr="00BA050E" w:rsidRDefault="00B44D67" w:rsidP="00241C66">
            <w:pPr>
              <w:spacing w:after="0" w:line="240" w:lineRule="auto"/>
              <w:ind w:left="0" w:right="0" w:firstLine="0"/>
              <w:jc w:val="center"/>
              <w:rPr>
                <w:sz w:val="20"/>
              </w:rPr>
            </w:pPr>
          </w:p>
        </w:tc>
        <w:tc>
          <w:tcPr>
            <w:tcW w:w="789" w:type="dxa"/>
          </w:tcPr>
          <w:p w14:paraId="25C1B7C6" w14:textId="77777777" w:rsidR="00B44D67" w:rsidRPr="00BA050E" w:rsidRDefault="00B44D67" w:rsidP="00241C66">
            <w:pPr>
              <w:spacing w:after="0" w:line="240" w:lineRule="auto"/>
              <w:ind w:left="0" w:right="0" w:firstLine="0"/>
              <w:jc w:val="center"/>
              <w:rPr>
                <w:sz w:val="20"/>
              </w:rPr>
            </w:pPr>
          </w:p>
        </w:tc>
        <w:tc>
          <w:tcPr>
            <w:tcW w:w="917" w:type="dxa"/>
          </w:tcPr>
          <w:p w14:paraId="13B3F036" w14:textId="77777777" w:rsidR="00B44D67" w:rsidRPr="00BA050E" w:rsidRDefault="00B44D67" w:rsidP="00241C66">
            <w:pPr>
              <w:spacing w:after="0" w:line="240" w:lineRule="auto"/>
              <w:ind w:left="0" w:right="0" w:firstLine="0"/>
              <w:jc w:val="center"/>
              <w:rPr>
                <w:sz w:val="20"/>
              </w:rPr>
            </w:pPr>
          </w:p>
        </w:tc>
        <w:tc>
          <w:tcPr>
            <w:tcW w:w="982" w:type="dxa"/>
          </w:tcPr>
          <w:p w14:paraId="791313D1" w14:textId="77777777" w:rsidR="00B44D67" w:rsidRPr="00BA050E" w:rsidRDefault="00B44D67" w:rsidP="00241C66">
            <w:pPr>
              <w:spacing w:after="0" w:line="240" w:lineRule="auto"/>
              <w:ind w:left="0" w:right="0" w:firstLine="0"/>
              <w:jc w:val="center"/>
              <w:rPr>
                <w:sz w:val="20"/>
              </w:rPr>
            </w:pPr>
          </w:p>
        </w:tc>
        <w:tc>
          <w:tcPr>
            <w:tcW w:w="984" w:type="dxa"/>
          </w:tcPr>
          <w:p w14:paraId="6BEC2EB6" w14:textId="77777777" w:rsidR="00B44D67" w:rsidRPr="00BA050E" w:rsidRDefault="00B44D67" w:rsidP="00241C66">
            <w:pPr>
              <w:spacing w:after="0" w:line="240" w:lineRule="auto"/>
              <w:ind w:left="0" w:right="0" w:firstLine="0"/>
              <w:jc w:val="center"/>
              <w:rPr>
                <w:sz w:val="20"/>
              </w:rPr>
            </w:pPr>
            <w:r w:rsidRPr="00BA050E">
              <w:rPr>
                <w:sz w:val="20"/>
              </w:rPr>
              <w:t>20</w:t>
            </w:r>
          </w:p>
        </w:tc>
        <w:tc>
          <w:tcPr>
            <w:tcW w:w="1650" w:type="dxa"/>
          </w:tcPr>
          <w:p w14:paraId="5EC8EAA3" w14:textId="77777777" w:rsidR="00B44D67" w:rsidRPr="00BA050E" w:rsidRDefault="00B44D67" w:rsidP="00241C66">
            <w:pPr>
              <w:spacing w:after="0" w:line="240" w:lineRule="auto"/>
              <w:ind w:left="0" w:right="0" w:firstLine="0"/>
              <w:jc w:val="center"/>
              <w:rPr>
                <w:sz w:val="20"/>
              </w:rPr>
            </w:pPr>
            <w:r w:rsidRPr="00BA050E">
              <w:rPr>
                <w:sz w:val="20"/>
              </w:rPr>
              <w:t>25 (with an extra IDA allocation of SDR8.1 mln)</w:t>
            </w:r>
          </w:p>
        </w:tc>
      </w:tr>
      <w:tr w:rsidR="00B44D67" w:rsidRPr="00BA050E" w14:paraId="68BCB33D" w14:textId="77777777" w:rsidTr="00241C66">
        <w:tc>
          <w:tcPr>
            <w:tcW w:w="12055" w:type="dxa"/>
            <w:gridSpan w:val="9"/>
            <w:shd w:val="clear" w:color="auto" w:fill="DEEAF6"/>
            <w:vAlign w:val="center"/>
          </w:tcPr>
          <w:p w14:paraId="563274EE" w14:textId="77777777" w:rsidR="00B44D67" w:rsidRPr="00BA050E" w:rsidRDefault="00B44D67" w:rsidP="00241C66">
            <w:pPr>
              <w:spacing w:after="80" w:line="240" w:lineRule="auto"/>
              <w:ind w:left="0" w:right="0" w:firstLine="0"/>
              <w:jc w:val="center"/>
              <w:rPr>
                <w:i/>
                <w:sz w:val="20"/>
              </w:rPr>
            </w:pPr>
            <w:r w:rsidRPr="00BA050E">
              <w:rPr>
                <w:b/>
                <w:i/>
                <w:sz w:val="20"/>
              </w:rPr>
              <w:t>Cross-cutting Governance theme</w:t>
            </w:r>
          </w:p>
        </w:tc>
      </w:tr>
      <w:tr w:rsidR="00B44D67" w:rsidRPr="00BA050E" w14:paraId="022C6F3A" w14:textId="77777777" w:rsidTr="00241C66">
        <w:tc>
          <w:tcPr>
            <w:tcW w:w="3998" w:type="dxa"/>
            <w:vAlign w:val="center"/>
          </w:tcPr>
          <w:p w14:paraId="2A3510C4" w14:textId="77777777" w:rsidR="00B44D67" w:rsidRPr="00BA050E" w:rsidRDefault="00B44D67" w:rsidP="00241C66">
            <w:pPr>
              <w:spacing w:after="0" w:line="240" w:lineRule="auto"/>
              <w:ind w:left="0" w:right="0" w:firstLine="0"/>
              <w:jc w:val="left"/>
              <w:rPr>
                <w:sz w:val="20"/>
              </w:rPr>
            </w:pPr>
            <w:r w:rsidRPr="00BA050E">
              <w:rPr>
                <w:sz w:val="20"/>
              </w:rPr>
              <w:t>Tax Administration Modernization</w:t>
            </w:r>
          </w:p>
        </w:tc>
        <w:tc>
          <w:tcPr>
            <w:tcW w:w="917" w:type="dxa"/>
          </w:tcPr>
          <w:p w14:paraId="50D0EE5E" w14:textId="77777777" w:rsidR="00B44D67" w:rsidRPr="00BA050E" w:rsidRDefault="00B44D67" w:rsidP="00241C66">
            <w:pPr>
              <w:spacing w:after="0" w:line="240" w:lineRule="auto"/>
              <w:ind w:left="0" w:right="0" w:firstLine="0"/>
              <w:jc w:val="center"/>
              <w:rPr>
                <w:sz w:val="20"/>
              </w:rPr>
            </w:pPr>
          </w:p>
        </w:tc>
        <w:tc>
          <w:tcPr>
            <w:tcW w:w="901" w:type="dxa"/>
          </w:tcPr>
          <w:p w14:paraId="7A556AB4" w14:textId="77777777" w:rsidR="00B44D67" w:rsidRPr="00BA050E" w:rsidRDefault="00B44D67" w:rsidP="00241C66">
            <w:pPr>
              <w:spacing w:after="0" w:line="240" w:lineRule="auto"/>
              <w:ind w:left="0" w:right="0" w:firstLine="0"/>
              <w:jc w:val="center"/>
              <w:rPr>
                <w:sz w:val="20"/>
              </w:rPr>
            </w:pPr>
          </w:p>
        </w:tc>
        <w:tc>
          <w:tcPr>
            <w:tcW w:w="917" w:type="dxa"/>
          </w:tcPr>
          <w:p w14:paraId="39EB846F" w14:textId="77777777" w:rsidR="00B44D67" w:rsidRPr="00BA050E" w:rsidRDefault="00B44D67" w:rsidP="00241C66">
            <w:pPr>
              <w:spacing w:after="0" w:line="240" w:lineRule="auto"/>
              <w:ind w:left="0" w:right="0" w:firstLine="0"/>
              <w:jc w:val="center"/>
              <w:rPr>
                <w:sz w:val="20"/>
              </w:rPr>
            </w:pPr>
          </w:p>
        </w:tc>
        <w:tc>
          <w:tcPr>
            <w:tcW w:w="789" w:type="dxa"/>
          </w:tcPr>
          <w:p w14:paraId="1B4478B5" w14:textId="77777777" w:rsidR="00B44D67" w:rsidRPr="00BA050E" w:rsidRDefault="00B44D67" w:rsidP="00241C66">
            <w:pPr>
              <w:spacing w:after="0" w:line="240" w:lineRule="auto"/>
              <w:ind w:left="0" w:right="0" w:firstLine="0"/>
              <w:jc w:val="center"/>
              <w:rPr>
                <w:sz w:val="20"/>
              </w:rPr>
            </w:pPr>
          </w:p>
        </w:tc>
        <w:tc>
          <w:tcPr>
            <w:tcW w:w="917" w:type="dxa"/>
          </w:tcPr>
          <w:p w14:paraId="2CD77E30" w14:textId="77777777" w:rsidR="00B44D67" w:rsidRPr="00BA050E" w:rsidRDefault="00B44D67" w:rsidP="00241C66">
            <w:pPr>
              <w:spacing w:after="0" w:line="240" w:lineRule="auto"/>
              <w:ind w:left="0" w:right="0" w:firstLine="0"/>
              <w:jc w:val="center"/>
              <w:rPr>
                <w:sz w:val="20"/>
              </w:rPr>
            </w:pPr>
            <w:r w:rsidRPr="00BA050E">
              <w:rPr>
                <w:sz w:val="20"/>
              </w:rPr>
              <w:t>20</w:t>
            </w:r>
          </w:p>
        </w:tc>
        <w:tc>
          <w:tcPr>
            <w:tcW w:w="982" w:type="dxa"/>
          </w:tcPr>
          <w:p w14:paraId="6210C762" w14:textId="77777777" w:rsidR="00B44D67" w:rsidRPr="00BA050E" w:rsidRDefault="00B44D67" w:rsidP="00241C66">
            <w:pPr>
              <w:spacing w:after="0" w:line="240" w:lineRule="auto"/>
              <w:ind w:left="0" w:right="0" w:firstLine="0"/>
              <w:jc w:val="center"/>
              <w:rPr>
                <w:sz w:val="20"/>
              </w:rPr>
            </w:pPr>
            <w:r w:rsidRPr="00BA050E">
              <w:rPr>
                <w:sz w:val="20"/>
              </w:rPr>
              <w:t>20</w:t>
            </w:r>
          </w:p>
        </w:tc>
        <w:tc>
          <w:tcPr>
            <w:tcW w:w="984" w:type="dxa"/>
          </w:tcPr>
          <w:p w14:paraId="38BDF389" w14:textId="77777777" w:rsidR="00B44D67" w:rsidRPr="00BA050E" w:rsidRDefault="00B44D67" w:rsidP="00241C66">
            <w:pPr>
              <w:spacing w:after="0" w:line="240" w:lineRule="auto"/>
              <w:ind w:left="0" w:right="0" w:firstLine="0"/>
              <w:jc w:val="center"/>
              <w:rPr>
                <w:sz w:val="20"/>
              </w:rPr>
            </w:pPr>
          </w:p>
        </w:tc>
        <w:tc>
          <w:tcPr>
            <w:tcW w:w="1650" w:type="dxa"/>
          </w:tcPr>
          <w:p w14:paraId="6A34AF0D" w14:textId="77777777" w:rsidR="00B44D67" w:rsidRPr="00BA050E" w:rsidRDefault="00B44D67" w:rsidP="00241C66">
            <w:pPr>
              <w:spacing w:after="0" w:line="240" w:lineRule="auto"/>
              <w:ind w:left="0" w:right="0" w:firstLine="0"/>
              <w:jc w:val="center"/>
              <w:rPr>
                <w:sz w:val="20"/>
              </w:rPr>
            </w:pPr>
          </w:p>
        </w:tc>
      </w:tr>
      <w:tr w:rsidR="00B44D67" w:rsidRPr="00BA050E" w14:paraId="57E8A3A7" w14:textId="77777777" w:rsidTr="00241C66">
        <w:tc>
          <w:tcPr>
            <w:tcW w:w="3998" w:type="dxa"/>
            <w:vAlign w:val="center"/>
          </w:tcPr>
          <w:p w14:paraId="7DB3ADF4" w14:textId="77777777" w:rsidR="00B44D67" w:rsidRPr="00BA050E" w:rsidRDefault="00B44D67" w:rsidP="00241C66">
            <w:pPr>
              <w:spacing w:after="0" w:line="240" w:lineRule="auto"/>
              <w:ind w:left="0" w:right="0" w:firstLine="0"/>
              <w:jc w:val="left"/>
              <w:rPr>
                <w:sz w:val="20"/>
              </w:rPr>
            </w:pPr>
            <w:r w:rsidRPr="00BA050E">
              <w:rPr>
                <w:sz w:val="20"/>
              </w:rPr>
              <w:t>Modernization of Government Services</w:t>
            </w:r>
          </w:p>
        </w:tc>
        <w:tc>
          <w:tcPr>
            <w:tcW w:w="917" w:type="dxa"/>
          </w:tcPr>
          <w:p w14:paraId="71255816" w14:textId="77777777" w:rsidR="00B44D67" w:rsidRPr="00BA050E" w:rsidRDefault="00B44D67" w:rsidP="00241C66">
            <w:pPr>
              <w:spacing w:after="0" w:line="240" w:lineRule="auto"/>
              <w:ind w:left="0" w:right="0" w:firstLine="0"/>
              <w:jc w:val="center"/>
              <w:rPr>
                <w:sz w:val="20"/>
              </w:rPr>
            </w:pPr>
          </w:p>
        </w:tc>
        <w:tc>
          <w:tcPr>
            <w:tcW w:w="901" w:type="dxa"/>
          </w:tcPr>
          <w:p w14:paraId="40B12ADE" w14:textId="77777777" w:rsidR="00B44D67" w:rsidRPr="00BA050E" w:rsidRDefault="00B44D67" w:rsidP="00241C66">
            <w:pPr>
              <w:spacing w:after="0" w:line="240" w:lineRule="auto"/>
              <w:ind w:left="0" w:right="0" w:firstLine="0"/>
              <w:jc w:val="center"/>
              <w:rPr>
                <w:sz w:val="20"/>
              </w:rPr>
            </w:pPr>
          </w:p>
        </w:tc>
        <w:tc>
          <w:tcPr>
            <w:tcW w:w="917" w:type="dxa"/>
          </w:tcPr>
          <w:p w14:paraId="67C66F9F" w14:textId="77777777" w:rsidR="00B44D67" w:rsidRPr="00BA050E" w:rsidRDefault="00B44D67" w:rsidP="00241C66">
            <w:pPr>
              <w:spacing w:after="0" w:line="240" w:lineRule="auto"/>
              <w:ind w:left="0" w:right="0" w:firstLine="0"/>
              <w:jc w:val="center"/>
              <w:rPr>
                <w:sz w:val="20"/>
              </w:rPr>
            </w:pPr>
          </w:p>
        </w:tc>
        <w:tc>
          <w:tcPr>
            <w:tcW w:w="789" w:type="dxa"/>
          </w:tcPr>
          <w:p w14:paraId="42B512F5" w14:textId="77777777" w:rsidR="00B44D67" w:rsidRPr="00BA050E" w:rsidRDefault="00B44D67" w:rsidP="00241C66">
            <w:pPr>
              <w:spacing w:after="0" w:line="240" w:lineRule="auto"/>
              <w:ind w:left="0" w:right="0" w:firstLine="0"/>
              <w:jc w:val="center"/>
              <w:rPr>
                <w:sz w:val="20"/>
              </w:rPr>
            </w:pPr>
          </w:p>
        </w:tc>
        <w:tc>
          <w:tcPr>
            <w:tcW w:w="917" w:type="dxa"/>
          </w:tcPr>
          <w:p w14:paraId="37A525EF" w14:textId="77777777" w:rsidR="00B44D67" w:rsidRPr="00BA050E" w:rsidRDefault="00B44D67" w:rsidP="00241C66">
            <w:pPr>
              <w:spacing w:after="0" w:line="240" w:lineRule="auto"/>
              <w:ind w:left="0" w:right="0" w:firstLine="0"/>
              <w:jc w:val="center"/>
              <w:rPr>
                <w:sz w:val="20"/>
              </w:rPr>
            </w:pPr>
          </w:p>
        </w:tc>
        <w:tc>
          <w:tcPr>
            <w:tcW w:w="982" w:type="dxa"/>
          </w:tcPr>
          <w:p w14:paraId="55AD0F00" w14:textId="77777777" w:rsidR="00B44D67" w:rsidRPr="00BA050E" w:rsidRDefault="00B44D67" w:rsidP="00241C66">
            <w:pPr>
              <w:spacing w:after="0" w:line="240" w:lineRule="auto"/>
              <w:ind w:left="0" w:right="0" w:firstLine="0"/>
              <w:jc w:val="center"/>
              <w:rPr>
                <w:sz w:val="20"/>
              </w:rPr>
            </w:pPr>
          </w:p>
        </w:tc>
        <w:tc>
          <w:tcPr>
            <w:tcW w:w="984" w:type="dxa"/>
          </w:tcPr>
          <w:p w14:paraId="6B255049" w14:textId="77777777" w:rsidR="00B44D67" w:rsidRPr="00BA050E" w:rsidRDefault="00B44D67" w:rsidP="00241C66">
            <w:pPr>
              <w:spacing w:after="0" w:line="240" w:lineRule="auto"/>
              <w:ind w:left="0" w:right="0" w:firstLine="0"/>
              <w:jc w:val="center"/>
              <w:rPr>
                <w:sz w:val="20"/>
              </w:rPr>
            </w:pPr>
            <w:r w:rsidRPr="00BA050E">
              <w:rPr>
                <w:sz w:val="20"/>
              </w:rPr>
              <w:t>20</w:t>
            </w:r>
          </w:p>
        </w:tc>
        <w:tc>
          <w:tcPr>
            <w:tcW w:w="1650" w:type="dxa"/>
          </w:tcPr>
          <w:p w14:paraId="1185DFD5" w14:textId="77777777" w:rsidR="00B44D67" w:rsidRPr="00BA050E" w:rsidRDefault="00B44D67" w:rsidP="00241C66">
            <w:pPr>
              <w:spacing w:after="0" w:line="240" w:lineRule="auto"/>
              <w:ind w:left="0" w:right="0" w:firstLine="0"/>
              <w:jc w:val="center"/>
              <w:rPr>
                <w:sz w:val="20"/>
              </w:rPr>
            </w:pPr>
            <w:r w:rsidRPr="00BA050E">
              <w:rPr>
                <w:sz w:val="20"/>
              </w:rPr>
              <w:t>moved to FY18</w:t>
            </w:r>
          </w:p>
        </w:tc>
      </w:tr>
      <w:tr w:rsidR="00B44D67" w:rsidRPr="00BA050E" w14:paraId="13D53704" w14:textId="77777777" w:rsidTr="00241C66">
        <w:tc>
          <w:tcPr>
            <w:tcW w:w="3998" w:type="dxa"/>
            <w:tcBorders>
              <w:bottom w:val="single" w:sz="4" w:space="0" w:color="auto"/>
            </w:tcBorders>
            <w:vAlign w:val="center"/>
          </w:tcPr>
          <w:p w14:paraId="12DB1D21" w14:textId="77777777" w:rsidR="00B44D67" w:rsidRPr="00BA050E" w:rsidRDefault="00B44D67" w:rsidP="00241C66">
            <w:pPr>
              <w:spacing w:after="0" w:line="240" w:lineRule="auto"/>
              <w:ind w:left="0" w:right="0" w:firstLine="0"/>
              <w:jc w:val="left"/>
              <w:rPr>
                <w:sz w:val="20"/>
              </w:rPr>
            </w:pPr>
            <w:r w:rsidRPr="00BA050E">
              <w:rPr>
                <w:sz w:val="20"/>
              </w:rPr>
              <w:t>Economic Governance DPO</w:t>
            </w:r>
          </w:p>
        </w:tc>
        <w:tc>
          <w:tcPr>
            <w:tcW w:w="917" w:type="dxa"/>
          </w:tcPr>
          <w:p w14:paraId="7AF93E32" w14:textId="77777777" w:rsidR="00B44D67" w:rsidRPr="00BA050E" w:rsidRDefault="00B44D67" w:rsidP="00241C66">
            <w:pPr>
              <w:spacing w:after="0" w:line="240" w:lineRule="auto"/>
              <w:ind w:left="0" w:right="0" w:firstLine="0"/>
              <w:jc w:val="center"/>
              <w:rPr>
                <w:sz w:val="20"/>
              </w:rPr>
            </w:pPr>
          </w:p>
        </w:tc>
        <w:tc>
          <w:tcPr>
            <w:tcW w:w="901" w:type="dxa"/>
          </w:tcPr>
          <w:p w14:paraId="46D401BE" w14:textId="77777777" w:rsidR="00B44D67" w:rsidRPr="00BA050E" w:rsidRDefault="00B44D67" w:rsidP="00241C66">
            <w:pPr>
              <w:spacing w:after="0" w:line="240" w:lineRule="auto"/>
              <w:ind w:left="0" w:right="0" w:firstLine="0"/>
              <w:jc w:val="center"/>
              <w:rPr>
                <w:sz w:val="20"/>
              </w:rPr>
            </w:pPr>
          </w:p>
        </w:tc>
        <w:tc>
          <w:tcPr>
            <w:tcW w:w="917" w:type="dxa"/>
          </w:tcPr>
          <w:p w14:paraId="4E53C059" w14:textId="77777777" w:rsidR="00B44D67" w:rsidRPr="00BA050E" w:rsidRDefault="00B44D67" w:rsidP="00241C66">
            <w:pPr>
              <w:spacing w:after="0" w:line="240" w:lineRule="auto"/>
              <w:ind w:left="0" w:right="0" w:firstLine="0"/>
              <w:jc w:val="center"/>
              <w:rPr>
                <w:sz w:val="20"/>
              </w:rPr>
            </w:pPr>
          </w:p>
        </w:tc>
        <w:tc>
          <w:tcPr>
            <w:tcW w:w="789" w:type="dxa"/>
          </w:tcPr>
          <w:p w14:paraId="7E06E680" w14:textId="77777777" w:rsidR="00B44D67" w:rsidRPr="00BA050E" w:rsidRDefault="00B44D67" w:rsidP="00241C66">
            <w:pPr>
              <w:spacing w:after="0" w:line="240" w:lineRule="auto"/>
              <w:ind w:left="0" w:right="0" w:firstLine="0"/>
              <w:jc w:val="center"/>
              <w:rPr>
                <w:sz w:val="20"/>
              </w:rPr>
            </w:pPr>
          </w:p>
        </w:tc>
        <w:tc>
          <w:tcPr>
            <w:tcW w:w="917" w:type="dxa"/>
          </w:tcPr>
          <w:p w14:paraId="69C5CA56" w14:textId="77777777" w:rsidR="00B44D67" w:rsidRPr="00BA050E" w:rsidRDefault="00B44D67" w:rsidP="00241C66">
            <w:pPr>
              <w:spacing w:after="0" w:line="240" w:lineRule="auto"/>
              <w:ind w:left="0" w:right="0" w:firstLine="0"/>
              <w:jc w:val="center"/>
              <w:rPr>
                <w:sz w:val="20"/>
              </w:rPr>
            </w:pPr>
          </w:p>
        </w:tc>
        <w:tc>
          <w:tcPr>
            <w:tcW w:w="982" w:type="dxa"/>
          </w:tcPr>
          <w:p w14:paraId="63F03F99" w14:textId="77777777" w:rsidR="00B44D67" w:rsidRPr="00BA050E" w:rsidRDefault="00B44D67" w:rsidP="00241C66">
            <w:pPr>
              <w:spacing w:after="0" w:line="240" w:lineRule="auto"/>
              <w:ind w:left="0" w:right="0" w:firstLine="0"/>
              <w:jc w:val="center"/>
              <w:rPr>
                <w:sz w:val="20"/>
              </w:rPr>
            </w:pPr>
          </w:p>
        </w:tc>
        <w:tc>
          <w:tcPr>
            <w:tcW w:w="984" w:type="dxa"/>
          </w:tcPr>
          <w:p w14:paraId="12C4C22D" w14:textId="77777777" w:rsidR="00B44D67" w:rsidRPr="00BA050E" w:rsidRDefault="00B44D67" w:rsidP="00241C66">
            <w:pPr>
              <w:spacing w:after="0" w:line="240" w:lineRule="auto"/>
              <w:ind w:left="0" w:right="0" w:firstLine="0"/>
              <w:jc w:val="center"/>
              <w:rPr>
                <w:sz w:val="20"/>
              </w:rPr>
            </w:pPr>
            <w:r w:rsidRPr="00BA050E">
              <w:rPr>
                <w:sz w:val="20"/>
              </w:rPr>
              <w:t>30</w:t>
            </w:r>
          </w:p>
        </w:tc>
        <w:tc>
          <w:tcPr>
            <w:tcW w:w="1650" w:type="dxa"/>
          </w:tcPr>
          <w:p w14:paraId="2159F9EA" w14:textId="77777777" w:rsidR="00B44D67" w:rsidRPr="00BA050E" w:rsidRDefault="00B44D67" w:rsidP="00241C66">
            <w:pPr>
              <w:spacing w:after="0" w:line="240" w:lineRule="auto"/>
              <w:ind w:left="0" w:right="0" w:firstLine="0"/>
              <w:jc w:val="center"/>
              <w:rPr>
                <w:sz w:val="20"/>
              </w:rPr>
            </w:pPr>
            <w:r w:rsidRPr="00BA050E">
              <w:rPr>
                <w:sz w:val="20"/>
              </w:rPr>
              <w:t>moved to FY18</w:t>
            </w:r>
          </w:p>
        </w:tc>
      </w:tr>
      <w:tr w:rsidR="00B44D67" w:rsidRPr="00BA050E" w14:paraId="17BED9A7" w14:textId="77777777" w:rsidTr="00241C66">
        <w:tc>
          <w:tcPr>
            <w:tcW w:w="3998" w:type="dxa"/>
            <w:shd w:val="clear" w:color="auto" w:fill="E2EFD9"/>
            <w:vAlign w:val="center"/>
          </w:tcPr>
          <w:p w14:paraId="75AC3FFC" w14:textId="77777777" w:rsidR="00B44D67" w:rsidRPr="00BA050E" w:rsidRDefault="00B44D67" w:rsidP="00241C66">
            <w:pPr>
              <w:spacing w:after="80" w:line="240" w:lineRule="auto"/>
              <w:ind w:left="0" w:right="0" w:firstLine="0"/>
              <w:jc w:val="left"/>
              <w:rPr>
                <w:b/>
                <w:sz w:val="20"/>
              </w:rPr>
            </w:pPr>
            <w:r w:rsidRPr="00BA050E">
              <w:rPr>
                <w:b/>
                <w:sz w:val="20"/>
              </w:rPr>
              <w:t>TOTAL US$480.3 million planned</w:t>
            </w:r>
          </w:p>
        </w:tc>
        <w:tc>
          <w:tcPr>
            <w:tcW w:w="917" w:type="dxa"/>
            <w:shd w:val="clear" w:color="auto" w:fill="E2EFD9"/>
          </w:tcPr>
          <w:p w14:paraId="6C1F94D7" w14:textId="77777777" w:rsidR="00B44D67" w:rsidRPr="00BA050E" w:rsidRDefault="00B44D67" w:rsidP="00241C66">
            <w:pPr>
              <w:spacing w:after="80" w:line="240" w:lineRule="auto"/>
              <w:ind w:left="0" w:right="0" w:firstLine="0"/>
              <w:jc w:val="center"/>
              <w:rPr>
                <w:b/>
                <w:sz w:val="20"/>
              </w:rPr>
            </w:pPr>
            <w:r w:rsidRPr="00BA050E">
              <w:rPr>
                <w:b/>
                <w:sz w:val="20"/>
              </w:rPr>
              <w:t>60.8</w:t>
            </w:r>
          </w:p>
        </w:tc>
        <w:tc>
          <w:tcPr>
            <w:tcW w:w="901" w:type="dxa"/>
            <w:shd w:val="clear" w:color="auto" w:fill="FFF2CC"/>
          </w:tcPr>
          <w:p w14:paraId="129DE455" w14:textId="77777777" w:rsidR="00B44D67" w:rsidRPr="00BA050E" w:rsidRDefault="00B44D67" w:rsidP="00241C66">
            <w:pPr>
              <w:spacing w:after="80" w:line="240" w:lineRule="auto"/>
              <w:ind w:left="0" w:right="0" w:firstLine="0"/>
              <w:jc w:val="center"/>
              <w:rPr>
                <w:b/>
                <w:sz w:val="20"/>
              </w:rPr>
            </w:pPr>
            <w:r w:rsidRPr="00BA050E">
              <w:rPr>
                <w:b/>
                <w:sz w:val="20"/>
              </w:rPr>
              <w:t>60.8</w:t>
            </w:r>
          </w:p>
        </w:tc>
        <w:tc>
          <w:tcPr>
            <w:tcW w:w="917" w:type="dxa"/>
            <w:shd w:val="clear" w:color="auto" w:fill="E2EFD9"/>
          </w:tcPr>
          <w:p w14:paraId="4E4D5DD4" w14:textId="77777777" w:rsidR="00B44D67" w:rsidRPr="00BA050E" w:rsidRDefault="00B44D67" w:rsidP="00241C66">
            <w:pPr>
              <w:spacing w:after="80" w:line="240" w:lineRule="auto"/>
              <w:ind w:left="0" w:right="0" w:firstLine="0"/>
              <w:jc w:val="center"/>
              <w:rPr>
                <w:b/>
                <w:sz w:val="20"/>
              </w:rPr>
            </w:pPr>
            <w:r w:rsidRPr="00BA050E">
              <w:rPr>
                <w:b/>
                <w:sz w:val="20"/>
              </w:rPr>
              <w:t>99.5</w:t>
            </w:r>
          </w:p>
        </w:tc>
        <w:tc>
          <w:tcPr>
            <w:tcW w:w="789" w:type="dxa"/>
            <w:shd w:val="clear" w:color="auto" w:fill="FFF2CC"/>
          </w:tcPr>
          <w:p w14:paraId="09157CC3" w14:textId="77777777" w:rsidR="00B44D67" w:rsidRPr="00BA050E" w:rsidRDefault="00B44D67" w:rsidP="00241C66">
            <w:pPr>
              <w:spacing w:after="80" w:line="240" w:lineRule="auto"/>
              <w:ind w:left="0" w:right="0" w:firstLine="0"/>
              <w:jc w:val="center"/>
              <w:rPr>
                <w:b/>
                <w:sz w:val="20"/>
              </w:rPr>
            </w:pPr>
            <w:r w:rsidRPr="00BA050E">
              <w:rPr>
                <w:b/>
                <w:sz w:val="20"/>
              </w:rPr>
              <w:t>99.5</w:t>
            </w:r>
          </w:p>
        </w:tc>
        <w:tc>
          <w:tcPr>
            <w:tcW w:w="917" w:type="dxa"/>
            <w:shd w:val="clear" w:color="auto" w:fill="E2EFD9"/>
          </w:tcPr>
          <w:p w14:paraId="18600A27" w14:textId="77777777" w:rsidR="00B44D67" w:rsidRPr="00BA050E" w:rsidRDefault="00B44D67" w:rsidP="00241C66">
            <w:pPr>
              <w:spacing w:after="80" w:line="240" w:lineRule="auto"/>
              <w:ind w:left="0" w:right="0" w:firstLine="0"/>
              <w:jc w:val="center"/>
              <w:rPr>
                <w:b/>
                <w:sz w:val="20"/>
              </w:rPr>
            </w:pPr>
            <w:r w:rsidRPr="00BA050E">
              <w:rPr>
                <w:b/>
                <w:sz w:val="20"/>
              </w:rPr>
              <w:t>155</w:t>
            </w:r>
          </w:p>
        </w:tc>
        <w:tc>
          <w:tcPr>
            <w:tcW w:w="982" w:type="dxa"/>
            <w:shd w:val="clear" w:color="auto" w:fill="FFF2CC"/>
          </w:tcPr>
          <w:p w14:paraId="37722E52" w14:textId="77777777" w:rsidR="00B44D67" w:rsidRPr="00BA050E" w:rsidRDefault="00B44D67" w:rsidP="00241C66">
            <w:pPr>
              <w:spacing w:after="80" w:line="240" w:lineRule="auto"/>
              <w:ind w:left="0" w:right="0" w:firstLine="0"/>
              <w:jc w:val="center"/>
              <w:rPr>
                <w:b/>
                <w:sz w:val="20"/>
              </w:rPr>
            </w:pPr>
            <w:r w:rsidRPr="00BA050E">
              <w:rPr>
                <w:b/>
                <w:sz w:val="20"/>
              </w:rPr>
              <w:t>100</w:t>
            </w:r>
          </w:p>
        </w:tc>
        <w:tc>
          <w:tcPr>
            <w:tcW w:w="984" w:type="dxa"/>
            <w:shd w:val="clear" w:color="auto" w:fill="E2EFD9"/>
          </w:tcPr>
          <w:p w14:paraId="3267C373" w14:textId="77777777" w:rsidR="00B44D67" w:rsidRPr="00BA050E" w:rsidRDefault="00B44D67" w:rsidP="00241C66">
            <w:pPr>
              <w:spacing w:after="80" w:line="240" w:lineRule="auto"/>
              <w:ind w:left="0" w:right="0" w:firstLine="0"/>
              <w:jc w:val="center"/>
              <w:rPr>
                <w:b/>
                <w:sz w:val="20"/>
              </w:rPr>
            </w:pPr>
            <w:r w:rsidRPr="00BA050E">
              <w:rPr>
                <w:b/>
                <w:sz w:val="20"/>
              </w:rPr>
              <w:t>165</w:t>
            </w:r>
          </w:p>
        </w:tc>
        <w:tc>
          <w:tcPr>
            <w:tcW w:w="1650" w:type="dxa"/>
            <w:shd w:val="clear" w:color="auto" w:fill="FFF2CC"/>
          </w:tcPr>
          <w:p w14:paraId="51C1ED71" w14:textId="77777777" w:rsidR="00B44D67" w:rsidRPr="00BA050E" w:rsidRDefault="00B44D67" w:rsidP="00241C66">
            <w:pPr>
              <w:spacing w:after="80" w:line="240" w:lineRule="auto"/>
              <w:ind w:left="0" w:right="0" w:firstLine="0"/>
              <w:jc w:val="center"/>
              <w:rPr>
                <w:b/>
                <w:sz w:val="20"/>
              </w:rPr>
            </w:pPr>
            <w:r w:rsidRPr="00BA050E">
              <w:rPr>
                <w:b/>
                <w:sz w:val="20"/>
              </w:rPr>
              <w:t>80</w:t>
            </w:r>
          </w:p>
        </w:tc>
      </w:tr>
      <w:tr w:rsidR="00B44D67" w:rsidRPr="00BA050E" w14:paraId="61834EBF" w14:textId="77777777" w:rsidTr="00241C66">
        <w:tc>
          <w:tcPr>
            <w:tcW w:w="3998" w:type="dxa"/>
            <w:shd w:val="clear" w:color="auto" w:fill="FFF2CC"/>
            <w:vAlign w:val="center"/>
          </w:tcPr>
          <w:p w14:paraId="0FB087BB" w14:textId="77777777" w:rsidR="00B44D67" w:rsidRPr="00BA050E" w:rsidRDefault="00B44D67" w:rsidP="00241C66">
            <w:pPr>
              <w:spacing w:after="80" w:line="240" w:lineRule="auto"/>
              <w:ind w:left="0" w:right="0" w:firstLine="0"/>
              <w:jc w:val="left"/>
              <w:rPr>
                <w:b/>
                <w:sz w:val="20"/>
              </w:rPr>
            </w:pPr>
            <w:r w:rsidRPr="00BA050E">
              <w:rPr>
                <w:b/>
                <w:sz w:val="20"/>
              </w:rPr>
              <w:t>TOTAL US$340.3 million delivered</w:t>
            </w:r>
          </w:p>
        </w:tc>
        <w:tc>
          <w:tcPr>
            <w:tcW w:w="8057" w:type="dxa"/>
            <w:gridSpan w:val="8"/>
            <w:vAlign w:val="center"/>
          </w:tcPr>
          <w:p w14:paraId="0253BCEC" w14:textId="77777777" w:rsidR="00B44D67" w:rsidRPr="00BA050E" w:rsidRDefault="00B44D67" w:rsidP="00241C66">
            <w:pPr>
              <w:spacing w:after="80" w:line="240" w:lineRule="auto"/>
              <w:ind w:left="0" w:right="0" w:firstLine="0"/>
              <w:jc w:val="left"/>
              <w:rPr>
                <w:b/>
                <w:sz w:val="20"/>
              </w:rPr>
            </w:pPr>
          </w:p>
        </w:tc>
      </w:tr>
    </w:tbl>
    <w:p w14:paraId="0570EB41" w14:textId="77777777" w:rsidR="00B44D67" w:rsidRPr="00BA050E" w:rsidRDefault="00B44D67" w:rsidP="00B44D67">
      <w:pPr>
        <w:spacing w:after="160" w:line="240" w:lineRule="auto"/>
        <w:ind w:left="0" w:right="0" w:firstLine="0"/>
        <w:jc w:val="left"/>
        <w:rPr>
          <w:rFonts w:eastAsia="Calibri"/>
          <w:b/>
          <w:color w:val="auto"/>
          <w:szCs w:val="24"/>
        </w:rPr>
        <w:sectPr w:rsidR="00B44D67" w:rsidRPr="00BA050E" w:rsidSect="00241C66">
          <w:pgSz w:w="15840" w:h="12240" w:orient="landscape"/>
          <w:pgMar w:top="1440" w:right="1440" w:bottom="1440" w:left="1440" w:header="720" w:footer="720" w:gutter="0"/>
          <w:cols w:space="720"/>
          <w:docGrid w:linePitch="360"/>
        </w:sectPr>
      </w:pPr>
    </w:p>
    <w:p w14:paraId="57FDDC60" w14:textId="77777777" w:rsidR="00B44D67" w:rsidRPr="00BA050E" w:rsidRDefault="00B44D67" w:rsidP="00B44D67">
      <w:pPr>
        <w:spacing w:after="160" w:line="240" w:lineRule="auto"/>
        <w:ind w:left="0" w:right="0" w:firstLine="0"/>
        <w:jc w:val="center"/>
        <w:rPr>
          <w:rFonts w:eastAsia="Calibri"/>
          <w:b/>
          <w:color w:val="auto"/>
          <w:szCs w:val="24"/>
        </w:rPr>
      </w:pPr>
      <w:r w:rsidRPr="00BA050E">
        <w:rPr>
          <w:rFonts w:eastAsia="Calibri"/>
          <w:b/>
          <w:color w:val="auto"/>
          <w:szCs w:val="24"/>
        </w:rPr>
        <w:lastRenderedPageBreak/>
        <w:t>A</w:t>
      </w:r>
      <w:r>
        <w:rPr>
          <w:rFonts w:eastAsia="Calibri"/>
          <w:b/>
          <w:color w:val="auto"/>
          <w:szCs w:val="24"/>
        </w:rPr>
        <w:t xml:space="preserve">ttachment </w:t>
      </w:r>
      <w:r w:rsidRPr="00BA050E">
        <w:rPr>
          <w:rFonts w:eastAsia="Calibri"/>
          <w:b/>
          <w:color w:val="auto"/>
          <w:szCs w:val="24"/>
        </w:rPr>
        <w:t>5: Planned ASA and Actual Deliveries</w:t>
      </w:r>
    </w:p>
    <w:tbl>
      <w:tblPr>
        <w:tblStyle w:val="TableGrid21"/>
        <w:tblW w:w="9440" w:type="dxa"/>
        <w:tblLook w:val="0480" w:firstRow="0" w:lastRow="0" w:firstColumn="1" w:lastColumn="0" w:noHBand="0" w:noVBand="1"/>
      </w:tblPr>
      <w:tblGrid>
        <w:gridCol w:w="1525"/>
        <w:gridCol w:w="4050"/>
        <w:gridCol w:w="1080"/>
        <w:gridCol w:w="2785"/>
      </w:tblGrid>
      <w:tr w:rsidR="00B44D67" w:rsidRPr="00BA050E" w14:paraId="45ED23D3" w14:textId="77777777" w:rsidTr="00241C66">
        <w:trPr>
          <w:tblHeader/>
        </w:trPr>
        <w:tc>
          <w:tcPr>
            <w:tcW w:w="1525" w:type="dxa"/>
            <w:shd w:val="clear" w:color="auto" w:fill="DEEAF6"/>
          </w:tcPr>
          <w:p w14:paraId="40FC3ED1"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Planned Completion FY</w:t>
            </w:r>
          </w:p>
        </w:tc>
        <w:tc>
          <w:tcPr>
            <w:tcW w:w="4050" w:type="dxa"/>
            <w:tcBorders>
              <w:bottom w:val="single" w:sz="4" w:space="0" w:color="auto"/>
            </w:tcBorders>
            <w:shd w:val="clear" w:color="auto" w:fill="DEEAF6"/>
          </w:tcPr>
          <w:p w14:paraId="2802C001"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Activity</w:t>
            </w:r>
          </w:p>
        </w:tc>
        <w:tc>
          <w:tcPr>
            <w:tcW w:w="1080" w:type="dxa"/>
            <w:tcBorders>
              <w:bottom w:val="single" w:sz="4" w:space="0" w:color="auto"/>
            </w:tcBorders>
            <w:shd w:val="clear" w:color="auto" w:fill="DEEAF6"/>
          </w:tcPr>
          <w:p w14:paraId="0C8CA54E"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Planned in the CPS</w:t>
            </w:r>
          </w:p>
        </w:tc>
        <w:tc>
          <w:tcPr>
            <w:tcW w:w="2785" w:type="dxa"/>
            <w:tcBorders>
              <w:bottom w:val="single" w:sz="4" w:space="0" w:color="auto"/>
            </w:tcBorders>
            <w:shd w:val="clear" w:color="auto" w:fill="DEEAF6"/>
          </w:tcPr>
          <w:p w14:paraId="0AAE6AFE"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STATUS (as of April 5, 2017)</w:t>
            </w:r>
          </w:p>
          <w:p w14:paraId="604B5AF4" w14:textId="77777777" w:rsidR="00B44D67" w:rsidRPr="00BA050E" w:rsidRDefault="00B44D67" w:rsidP="00241C66">
            <w:pPr>
              <w:spacing w:after="60" w:line="240" w:lineRule="auto"/>
              <w:ind w:left="0" w:right="0" w:firstLine="0"/>
              <w:jc w:val="center"/>
              <w:rPr>
                <w:color w:val="auto"/>
                <w:sz w:val="20"/>
              </w:rPr>
            </w:pPr>
          </w:p>
        </w:tc>
      </w:tr>
      <w:tr w:rsidR="00B44D67" w:rsidRPr="00BA050E" w14:paraId="088943C9" w14:textId="77777777" w:rsidTr="00241C66">
        <w:trPr>
          <w:trHeight w:val="80"/>
        </w:trPr>
        <w:tc>
          <w:tcPr>
            <w:tcW w:w="1525" w:type="dxa"/>
            <w:vMerge w:val="restart"/>
            <w:vAlign w:val="center"/>
          </w:tcPr>
          <w:p w14:paraId="35841FAF"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FY14</w:t>
            </w:r>
          </w:p>
        </w:tc>
        <w:tc>
          <w:tcPr>
            <w:tcW w:w="4050" w:type="dxa"/>
            <w:tcBorders>
              <w:bottom w:val="single" w:sz="4" w:space="0" w:color="auto"/>
            </w:tcBorders>
          </w:tcPr>
          <w:p w14:paraId="28C041BC" w14:textId="77777777" w:rsidR="00B44D67" w:rsidRPr="00BA050E" w:rsidRDefault="00B44D67" w:rsidP="00241C66">
            <w:pPr>
              <w:spacing w:after="60" w:line="240" w:lineRule="auto"/>
              <w:ind w:left="0" w:right="0" w:firstLine="0"/>
              <w:jc w:val="left"/>
              <w:rPr>
                <w:sz w:val="20"/>
              </w:rPr>
            </w:pPr>
            <w:r w:rsidRPr="00BA050E">
              <w:rPr>
                <w:sz w:val="20"/>
              </w:rPr>
              <w:t xml:space="preserve">Accountancy curricula improvement TA </w:t>
            </w:r>
          </w:p>
        </w:tc>
        <w:tc>
          <w:tcPr>
            <w:tcW w:w="1080" w:type="dxa"/>
            <w:tcBorders>
              <w:bottom w:val="single" w:sz="4" w:space="0" w:color="auto"/>
            </w:tcBorders>
          </w:tcPr>
          <w:p w14:paraId="72A695DF"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bottom w:val="single" w:sz="4" w:space="0" w:color="auto"/>
            </w:tcBorders>
          </w:tcPr>
          <w:p w14:paraId="7BD07E46"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(P143560, FY14)</w:t>
            </w:r>
          </w:p>
        </w:tc>
      </w:tr>
      <w:tr w:rsidR="00B44D67" w:rsidRPr="00BA050E" w14:paraId="43A3E72A" w14:textId="77777777" w:rsidTr="00241C66">
        <w:trPr>
          <w:trHeight w:val="40"/>
        </w:trPr>
        <w:tc>
          <w:tcPr>
            <w:tcW w:w="1525" w:type="dxa"/>
            <w:vMerge/>
          </w:tcPr>
          <w:p w14:paraId="14FA2F58" w14:textId="77777777" w:rsidR="00B44D67" w:rsidRPr="00BA050E" w:rsidRDefault="00B44D67" w:rsidP="00241C66">
            <w:pPr>
              <w:spacing w:after="60" w:line="240" w:lineRule="auto"/>
              <w:ind w:left="0" w:right="0" w:firstLine="0"/>
              <w:jc w:val="center"/>
              <w:rPr>
                <w:color w:val="auto"/>
                <w:sz w:val="20"/>
              </w:rPr>
            </w:pPr>
          </w:p>
        </w:tc>
        <w:tc>
          <w:tcPr>
            <w:tcW w:w="4050" w:type="dxa"/>
            <w:tcBorders>
              <w:top w:val="single" w:sz="4" w:space="0" w:color="auto"/>
              <w:bottom w:val="single" w:sz="4" w:space="0" w:color="auto"/>
            </w:tcBorders>
          </w:tcPr>
          <w:p w14:paraId="5CF6F4B8" w14:textId="77777777" w:rsidR="00B44D67" w:rsidRPr="00BA050E" w:rsidRDefault="00B44D67" w:rsidP="00241C66">
            <w:pPr>
              <w:spacing w:after="60" w:line="240" w:lineRule="auto"/>
              <w:ind w:left="0" w:right="0" w:firstLine="0"/>
              <w:jc w:val="left"/>
              <w:rPr>
                <w:sz w:val="20"/>
              </w:rPr>
            </w:pPr>
            <w:r w:rsidRPr="00BA050E">
              <w:rPr>
                <w:sz w:val="20"/>
              </w:rPr>
              <w:t>Moldova Public Expenditure Review</w:t>
            </w:r>
          </w:p>
        </w:tc>
        <w:tc>
          <w:tcPr>
            <w:tcW w:w="1080" w:type="dxa"/>
            <w:tcBorders>
              <w:top w:val="single" w:sz="4" w:space="0" w:color="auto"/>
              <w:bottom w:val="single" w:sz="4" w:space="0" w:color="auto"/>
            </w:tcBorders>
          </w:tcPr>
          <w:p w14:paraId="09172810"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top w:val="single" w:sz="4" w:space="0" w:color="auto"/>
              <w:bottom w:val="single" w:sz="4" w:space="0" w:color="auto"/>
            </w:tcBorders>
          </w:tcPr>
          <w:p w14:paraId="5868B2E5"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(P146628, FY14)</w:t>
            </w:r>
          </w:p>
        </w:tc>
      </w:tr>
      <w:tr w:rsidR="00B44D67" w:rsidRPr="00BA050E" w14:paraId="1407C512" w14:textId="77777777" w:rsidTr="00241C66">
        <w:trPr>
          <w:trHeight w:val="190"/>
        </w:trPr>
        <w:tc>
          <w:tcPr>
            <w:tcW w:w="1525" w:type="dxa"/>
            <w:vMerge/>
          </w:tcPr>
          <w:p w14:paraId="01E80649" w14:textId="77777777" w:rsidR="00B44D67" w:rsidRPr="00BA050E" w:rsidRDefault="00B44D67" w:rsidP="00241C66">
            <w:pPr>
              <w:spacing w:after="60" w:line="240" w:lineRule="auto"/>
              <w:ind w:left="0" w:right="0" w:firstLine="0"/>
              <w:jc w:val="center"/>
              <w:rPr>
                <w:color w:val="auto"/>
                <w:sz w:val="20"/>
              </w:rPr>
            </w:pPr>
          </w:p>
        </w:tc>
        <w:tc>
          <w:tcPr>
            <w:tcW w:w="4050" w:type="dxa"/>
            <w:tcBorders>
              <w:top w:val="single" w:sz="4" w:space="0" w:color="auto"/>
              <w:bottom w:val="single" w:sz="4" w:space="0" w:color="auto"/>
            </w:tcBorders>
          </w:tcPr>
          <w:p w14:paraId="3D45D1B2" w14:textId="77777777" w:rsidR="00B44D67" w:rsidRPr="00BA050E" w:rsidRDefault="00B44D67" w:rsidP="00241C66">
            <w:pPr>
              <w:spacing w:after="60" w:line="240" w:lineRule="auto"/>
              <w:ind w:left="0" w:right="0" w:firstLine="0"/>
              <w:jc w:val="left"/>
              <w:rPr>
                <w:sz w:val="20"/>
              </w:rPr>
            </w:pPr>
            <w:r w:rsidRPr="00BA050E">
              <w:rPr>
                <w:sz w:val="20"/>
              </w:rPr>
              <w:t>Water Sector Regionalization Review</w:t>
            </w:r>
          </w:p>
        </w:tc>
        <w:tc>
          <w:tcPr>
            <w:tcW w:w="1080" w:type="dxa"/>
            <w:tcBorders>
              <w:top w:val="single" w:sz="4" w:space="0" w:color="auto"/>
              <w:bottom w:val="single" w:sz="4" w:space="0" w:color="auto"/>
            </w:tcBorders>
          </w:tcPr>
          <w:p w14:paraId="3A8A75D4"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top w:val="single" w:sz="4" w:space="0" w:color="auto"/>
              <w:bottom w:val="single" w:sz="4" w:space="0" w:color="auto"/>
            </w:tcBorders>
          </w:tcPr>
          <w:p w14:paraId="6CD72087"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(P133219, FY14)</w:t>
            </w:r>
          </w:p>
        </w:tc>
      </w:tr>
      <w:tr w:rsidR="00B44D67" w:rsidRPr="00BA050E" w14:paraId="01D9AD65" w14:textId="77777777" w:rsidTr="00241C66">
        <w:trPr>
          <w:trHeight w:val="170"/>
        </w:trPr>
        <w:tc>
          <w:tcPr>
            <w:tcW w:w="1525" w:type="dxa"/>
            <w:vMerge/>
          </w:tcPr>
          <w:p w14:paraId="091FF7EB" w14:textId="77777777" w:rsidR="00B44D67" w:rsidRPr="00BA050E" w:rsidRDefault="00B44D67" w:rsidP="00241C66">
            <w:pPr>
              <w:spacing w:after="60" w:line="240" w:lineRule="auto"/>
              <w:ind w:left="0" w:right="0" w:firstLine="0"/>
              <w:jc w:val="center"/>
              <w:rPr>
                <w:color w:val="auto"/>
                <w:sz w:val="20"/>
              </w:rPr>
            </w:pPr>
          </w:p>
        </w:tc>
        <w:tc>
          <w:tcPr>
            <w:tcW w:w="4050" w:type="dxa"/>
            <w:tcBorders>
              <w:top w:val="single" w:sz="4" w:space="0" w:color="auto"/>
              <w:bottom w:val="single" w:sz="4" w:space="0" w:color="auto"/>
            </w:tcBorders>
          </w:tcPr>
          <w:p w14:paraId="2A76A493" w14:textId="77777777" w:rsidR="00B44D67" w:rsidRPr="00BA050E" w:rsidRDefault="00B44D67" w:rsidP="00241C66">
            <w:pPr>
              <w:spacing w:after="60" w:line="240" w:lineRule="auto"/>
              <w:ind w:left="0" w:right="0" w:firstLine="0"/>
              <w:jc w:val="left"/>
              <w:rPr>
                <w:sz w:val="20"/>
              </w:rPr>
            </w:pPr>
            <w:r w:rsidRPr="00BA050E">
              <w:rPr>
                <w:sz w:val="20"/>
              </w:rPr>
              <w:t>Land Governance Assessment Framework TA</w:t>
            </w:r>
          </w:p>
        </w:tc>
        <w:tc>
          <w:tcPr>
            <w:tcW w:w="1080" w:type="dxa"/>
            <w:tcBorders>
              <w:top w:val="single" w:sz="4" w:space="0" w:color="auto"/>
              <w:bottom w:val="single" w:sz="4" w:space="0" w:color="auto"/>
            </w:tcBorders>
          </w:tcPr>
          <w:p w14:paraId="249469B4"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top w:val="single" w:sz="4" w:space="0" w:color="auto"/>
              <w:bottom w:val="single" w:sz="4" w:space="0" w:color="auto"/>
            </w:tcBorders>
          </w:tcPr>
          <w:p w14:paraId="6CA7F11C"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(P132485, FY14)</w:t>
            </w:r>
          </w:p>
        </w:tc>
      </w:tr>
      <w:tr w:rsidR="00B44D67" w:rsidRPr="00BA050E" w14:paraId="54EFBB23" w14:textId="77777777" w:rsidTr="00241C66">
        <w:trPr>
          <w:trHeight w:val="200"/>
        </w:trPr>
        <w:tc>
          <w:tcPr>
            <w:tcW w:w="1525" w:type="dxa"/>
            <w:vMerge/>
          </w:tcPr>
          <w:p w14:paraId="16DDB6AA" w14:textId="77777777" w:rsidR="00B44D67" w:rsidRPr="00BA050E" w:rsidRDefault="00B44D67" w:rsidP="00241C66">
            <w:pPr>
              <w:spacing w:after="60" w:line="240" w:lineRule="auto"/>
              <w:ind w:left="0" w:right="0" w:firstLine="0"/>
              <w:jc w:val="center"/>
              <w:rPr>
                <w:color w:val="auto"/>
                <w:sz w:val="20"/>
              </w:rPr>
            </w:pPr>
          </w:p>
        </w:tc>
        <w:tc>
          <w:tcPr>
            <w:tcW w:w="4050" w:type="dxa"/>
            <w:tcBorders>
              <w:top w:val="single" w:sz="4" w:space="0" w:color="auto"/>
              <w:bottom w:val="single" w:sz="4" w:space="0" w:color="auto"/>
            </w:tcBorders>
          </w:tcPr>
          <w:p w14:paraId="52B5495D" w14:textId="77777777" w:rsidR="00B44D67" w:rsidRPr="00BA050E" w:rsidRDefault="00B44D67" w:rsidP="00241C66">
            <w:pPr>
              <w:spacing w:after="60" w:line="240" w:lineRule="auto"/>
              <w:ind w:left="0" w:right="0" w:firstLine="0"/>
              <w:jc w:val="left"/>
              <w:rPr>
                <w:sz w:val="20"/>
              </w:rPr>
            </w:pPr>
            <w:r w:rsidRPr="00BA050E">
              <w:rPr>
                <w:sz w:val="20"/>
              </w:rPr>
              <w:t>Social Accountability in Forestry TA</w:t>
            </w:r>
          </w:p>
        </w:tc>
        <w:tc>
          <w:tcPr>
            <w:tcW w:w="1080" w:type="dxa"/>
            <w:tcBorders>
              <w:top w:val="single" w:sz="4" w:space="0" w:color="auto"/>
              <w:bottom w:val="single" w:sz="4" w:space="0" w:color="auto"/>
            </w:tcBorders>
          </w:tcPr>
          <w:p w14:paraId="0FCC48B5"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top w:val="single" w:sz="4" w:space="0" w:color="auto"/>
              <w:bottom w:val="single" w:sz="4" w:space="0" w:color="auto"/>
            </w:tcBorders>
          </w:tcPr>
          <w:p w14:paraId="2B0E0C04"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(P145214, FY14)</w:t>
            </w:r>
          </w:p>
        </w:tc>
      </w:tr>
      <w:tr w:rsidR="00B44D67" w:rsidRPr="00BA050E" w14:paraId="781FA39A" w14:textId="77777777" w:rsidTr="00241C66">
        <w:trPr>
          <w:trHeight w:val="160"/>
        </w:trPr>
        <w:tc>
          <w:tcPr>
            <w:tcW w:w="1525" w:type="dxa"/>
            <w:vMerge/>
          </w:tcPr>
          <w:p w14:paraId="0BEB04B6" w14:textId="77777777" w:rsidR="00B44D67" w:rsidRPr="00BA050E" w:rsidRDefault="00B44D67" w:rsidP="00241C66">
            <w:pPr>
              <w:spacing w:after="60" w:line="240" w:lineRule="auto"/>
              <w:ind w:left="0" w:right="0" w:firstLine="0"/>
              <w:jc w:val="center"/>
              <w:rPr>
                <w:color w:val="auto"/>
                <w:sz w:val="20"/>
              </w:rPr>
            </w:pPr>
          </w:p>
        </w:tc>
        <w:tc>
          <w:tcPr>
            <w:tcW w:w="4050" w:type="dxa"/>
            <w:tcBorders>
              <w:top w:val="single" w:sz="4" w:space="0" w:color="auto"/>
              <w:bottom w:val="single" w:sz="4" w:space="0" w:color="auto"/>
            </w:tcBorders>
          </w:tcPr>
          <w:p w14:paraId="5220692C" w14:textId="77777777" w:rsidR="00B44D67" w:rsidRPr="00BA050E" w:rsidRDefault="00B44D67" w:rsidP="00241C66">
            <w:pPr>
              <w:spacing w:after="60" w:line="240" w:lineRule="auto"/>
              <w:ind w:left="0" w:right="0" w:firstLine="0"/>
              <w:jc w:val="left"/>
              <w:rPr>
                <w:sz w:val="20"/>
              </w:rPr>
            </w:pPr>
            <w:r w:rsidRPr="00BA050E">
              <w:rPr>
                <w:sz w:val="20"/>
              </w:rPr>
              <w:t>Programmatic Financial Sector Monitoring TA</w:t>
            </w:r>
          </w:p>
        </w:tc>
        <w:tc>
          <w:tcPr>
            <w:tcW w:w="1080" w:type="dxa"/>
            <w:tcBorders>
              <w:top w:val="single" w:sz="4" w:space="0" w:color="auto"/>
              <w:bottom w:val="single" w:sz="4" w:space="0" w:color="auto"/>
            </w:tcBorders>
            <w:vAlign w:val="center"/>
          </w:tcPr>
          <w:p w14:paraId="406F9985"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top w:val="single" w:sz="4" w:space="0" w:color="auto"/>
              <w:bottom w:val="single" w:sz="4" w:space="0" w:color="auto"/>
            </w:tcBorders>
          </w:tcPr>
          <w:p w14:paraId="146169AC"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Extended and delivered with outputs for FY14-16 (P147063, FY16)</w:t>
            </w:r>
          </w:p>
        </w:tc>
      </w:tr>
      <w:tr w:rsidR="00B44D67" w:rsidRPr="00BA050E" w14:paraId="439D64D6" w14:textId="77777777" w:rsidTr="00241C66">
        <w:trPr>
          <w:trHeight w:val="40"/>
        </w:trPr>
        <w:tc>
          <w:tcPr>
            <w:tcW w:w="1525" w:type="dxa"/>
            <w:vMerge/>
          </w:tcPr>
          <w:p w14:paraId="70D44D05" w14:textId="77777777" w:rsidR="00B44D67" w:rsidRPr="00BA050E" w:rsidRDefault="00B44D67" w:rsidP="00241C66">
            <w:pPr>
              <w:spacing w:after="60" w:line="240" w:lineRule="auto"/>
              <w:ind w:left="0" w:right="0" w:firstLine="0"/>
              <w:jc w:val="center"/>
              <w:rPr>
                <w:color w:val="auto"/>
                <w:sz w:val="20"/>
              </w:rPr>
            </w:pPr>
          </w:p>
        </w:tc>
        <w:tc>
          <w:tcPr>
            <w:tcW w:w="4050" w:type="dxa"/>
            <w:tcBorders>
              <w:top w:val="single" w:sz="4" w:space="0" w:color="auto"/>
              <w:bottom w:val="single" w:sz="4" w:space="0" w:color="auto"/>
            </w:tcBorders>
          </w:tcPr>
          <w:p w14:paraId="1B9B9F3F" w14:textId="77777777" w:rsidR="00B44D67" w:rsidRPr="00BA050E" w:rsidRDefault="00B44D67" w:rsidP="00241C66">
            <w:pPr>
              <w:spacing w:after="60" w:line="240" w:lineRule="auto"/>
              <w:ind w:left="0" w:right="0" w:firstLine="0"/>
              <w:jc w:val="left"/>
              <w:rPr>
                <w:sz w:val="20"/>
              </w:rPr>
            </w:pPr>
            <w:r w:rsidRPr="00BA050E">
              <w:rPr>
                <w:sz w:val="20"/>
              </w:rPr>
              <w:t>Local Road Management and Finance</w:t>
            </w:r>
          </w:p>
        </w:tc>
        <w:tc>
          <w:tcPr>
            <w:tcW w:w="1080" w:type="dxa"/>
            <w:tcBorders>
              <w:top w:val="single" w:sz="4" w:space="0" w:color="auto"/>
              <w:bottom w:val="single" w:sz="4" w:space="0" w:color="auto"/>
            </w:tcBorders>
          </w:tcPr>
          <w:p w14:paraId="3C38F30D"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top w:val="single" w:sz="4" w:space="0" w:color="auto"/>
              <w:bottom w:val="single" w:sz="4" w:space="0" w:color="auto"/>
            </w:tcBorders>
          </w:tcPr>
          <w:p w14:paraId="6FD11848"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(P147451, FY14)</w:t>
            </w:r>
          </w:p>
        </w:tc>
      </w:tr>
      <w:tr w:rsidR="00B44D67" w:rsidRPr="00BA050E" w14:paraId="31AF1269" w14:textId="77777777" w:rsidTr="00241C66">
        <w:trPr>
          <w:trHeight w:val="40"/>
        </w:trPr>
        <w:tc>
          <w:tcPr>
            <w:tcW w:w="1525" w:type="dxa"/>
            <w:vMerge/>
          </w:tcPr>
          <w:p w14:paraId="08324820" w14:textId="77777777" w:rsidR="00B44D67" w:rsidRPr="00BA050E" w:rsidRDefault="00B44D67" w:rsidP="00241C66">
            <w:pPr>
              <w:spacing w:after="60" w:line="240" w:lineRule="auto"/>
              <w:ind w:left="0" w:right="0" w:firstLine="0"/>
              <w:jc w:val="center"/>
              <w:rPr>
                <w:color w:val="auto"/>
                <w:sz w:val="20"/>
              </w:rPr>
            </w:pPr>
          </w:p>
        </w:tc>
        <w:tc>
          <w:tcPr>
            <w:tcW w:w="4050" w:type="dxa"/>
            <w:tcBorders>
              <w:top w:val="single" w:sz="4" w:space="0" w:color="auto"/>
              <w:bottom w:val="single" w:sz="4" w:space="0" w:color="auto"/>
            </w:tcBorders>
          </w:tcPr>
          <w:p w14:paraId="0C05BA10" w14:textId="77777777" w:rsidR="00B44D67" w:rsidRPr="00BA050E" w:rsidRDefault="00B44D67" w:rsidP="00241C66">
            <w:pPr>
              <w:spacing w:after="60" w:line="240" w:lineRule="auto"/>
              <w:ind w:left="0" w:right="0" w:firstLine="0"/>
              <w:jc w:val="left"/>
              <w:rPr>
                <w:sz w:val="20"/>
              </w:rPr>
            </w:pPr>
            <w:r w:rsidRPr="00BA050E">
              <w:rPr>
                <w:sz w:val="20"/>
              </w:rPr>
              <w:t>IFC Investment Climate Reform TA</w:t>
            </w:r>
          </w:p>
        </w:tc>
        <w:tc>
          <w:tcPr>
            <w:tcW w:w="1080" w:type="dxa"/>
            <w:tcBorders>
              <w:top w:val="single" w:sz="4" w:space="0" w:color="auto"/>
              <w:bottom w:val="single" w:sz="4" w:space="0" w:color="auto"/>
            </w:tcBorders>
          </w:tcPr>
          <w:p w14:paraId="52BFA166"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top w:val="single" w:sz="4" w:space="0" w:color="auto"/>
              <w:bottom w:val="single" w:sz="4" w:space="0" w:color="auto"/>
            </w:tcBorders>
          </w:tcPr>
          <w:p w14:paraId="1C9F98A1"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Ongoing through FY14-17</w:t>
            </w:r>
          </w:p>
        </w:tc>
      </w:tr>
      <w:tr w:rsidR="00B44D67" w:rsidRPr="00BA050E" w14:paraId="146FE6A1" w14:textId="77777777" w:rsidTr="00241C66">
        <w:trPr>
          <w:trHeight w:val="191"/>
        </w:trPr>
        <w:tc>
          <w:tcPr>
            <w:tcW w:w="1525" w:type="dxa"/>
            <w:vMerge w:val="restart"/>
            <w:vAlign w:val="center"/>
          </w:tcPr>
          <w:p w14:paraId="24620948"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FY15</w:t>
            </w:r>
          </w:p>
        </w:tc>
        <w:tc>
          <w:tcPr>
            <w:tcW w:w="4050" w:type="dxa"/>
          </w:tcPr>
          <w:p w14:paraId="600ADF67" w14:textId="77777777" w:rsidR="00B44D67" w:rsidRPr="00BA050E" w:rsidRDefault="00B44D67" w:rsidP="00241C66">
            <w:pPr>
              <w:spacing w:after="60" w:line="240" w:lineRule="auto"/>
              <w:ind w:left="0" w:right="0" w:firstLine="0"/>
              <w:jc w:val="left"/>
              <w:rPr>
                <w:sz w:val="20"/>
              </w:rPr>
            </w:pPr>
            <w:r w:rsidRPr="00BA050E">
              <w:rPr>
                <w:sz w:val="20"/>
              </w:rPr>
              <w:t>Moldova FSAP Update</w:t>
            </w:r>
          </w:p>
        </w:tc>
        <w:tc>
          <w:tcPr>
            <w:tcW w:w="1080" w:type="dxa"/>
          </w:tcPr>
          <w:p w14:paraId="1C2960DD"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7A75CE15"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(P146486, FY15)</w:t>
            </w:r>
          </w:p>
        </w:tc>
      </w:tr>
      <w:tr w:rsidR="00B44D67" w:rsidRPr="00BA050E" w14:paraId="3CB28EAD" w14:textId="77777777" w:rsidTr="00241C66">
        <w:trPr>
          <w:trHeight w:val="191"/>
        </w:trPr>
        <w:tc>
          <w:tcPr>
            <w:tcW w:w="1525" w:type="dxa"/>
            <w:vMerge/>
            <w:vAlign w:val="center"/>
          </w:tcPr>
          <w:p w14:paraId="23EF70A7" w14:textId="77777777" w:rsidR="00B44D67" w:rsidRPr="00BA050E" w:rsidRDefault="00B44D67" w:rsidP="00241C66">
            <w:pPr>
              <w:spacing w:after="60" w:line="240" w:lineRule="auto"/>
              <w:ind w:left="0" w:right="0" w:firstLine="0"/>
              <w:jc w:val="center"/>
              <w:rPr>
                <w:color w:val="auto"/>
                <w:sz w:val="20"/>
              </w:rPr>
            </w:pPr>
          </w:p>
        </w:tc>
        <w:tc>
          <w:tcPr>
            <w:tcW w:w="4050" w:type="dxa"/>
          </w:tcPr>
          <w:p w14:paraId="33C1790E" w14:textId="77777777" w:rsidR="00B44D67" w:rsidRPr="00BA050E" w:rsidRDefault="00B44D67" w:rsidP="00241C66">
            <w:pPr>
              <w:spacing w:after="60" w:line="240" w:lineRule="auto"/>
              <w:ind w:left="0" w:right="0" w:firstLine="0"/>
              <w:jc w:val="left"/>
              <w:rPr>
                <w:sz w:val="20"/>
              </w:rPr>
            </w:pPr>
            <w:r w:rsidRPr="00BA050E">
              <w:rPr>
                <w:sz w:val="20"/>
              </w:rPr>
              <w:t>Moldova ICR ROSC</w:t>
            </w:r>
          </w:p>
        </w:tc>
        <w:tc>
          <w:tcPr>
            <w:tcW w:w="1080" w:type="dxa"/>
          </w:tcPr>
          <w:p w14:paraId="204DE561"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6765852A"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(P148765, FY15)</w:t>
            </w:r>
          </w:p>
        </w:tc>
      </w:tr>
      <w:tr w:rsidR="00B44D67" w:rsidRPr="00BA050E" w14:paraId="7E515F75" w14:textId="77777777" w:rsidTr="00241C66">
        <w:trPr>
          <w:trHeight w:val="43"/>
        </w:trPr>
        <w:tc>
          <w:tcPr>
            <w:tcW w:w="1525" w:type="dxa"/>
            <w:vMerge/>
            <w:vAlign w:val="center"/>
          </w:tcPr>
          <w:p w14:paraId="29184456" w14:textId="77777777" w:rsidR="00B44D67" w:rsidRPr="00BA050E" w:rsidRDefault="00B44D67" w:rsidP="00241C66">
            <w:pPr>
              <w:spacing w:after="60" w:line="240" w:lineRule="auto"/>
              <w:ind w:left="0" w:right="0" w:firstLine="0"/>
              <w:jc w:val="center"/>
              <w:rPr>
                <w:color w:val="auto"/>
                <w:sz w:val="20"/>
              </w:rPr>
            </w:pPr>
          </w:p>
        </w:tc>
        <w:tc>
          <w:tcPr>
            <w:tcW w:w="4050" w:type="dxa"/>
          </w:tcPr>
          <w:p w14:paraId="230267A4" w14:textId="77777777" w:rsidR="00B44D67" w:rsidRPr="00BA050E" w:rsidRDefault="00B44D67" w:rsidP="00241C66">
            <w:pPr>
              <w:spacing w:after="60" w:line="240" w:lineRule="auto"/>
              <w:ind w:left="0" w:right="0" w:firstLine="0"/>
              <w:jc w:val="left"/>
              <w:rPr>
                <w:sz w:val="20"/>
              </w:rPr>
            </w:pPr>
            <w:r w:rsidRPr="00BA050E">
              <w:rPr>
                <w:sz w:val="20"/>
              </w:rPr>
              <w:t>Public Expenditure Review</w:t>
            </w:r>
          </w:p>
        </w:tc>
        <w:tc>
          <w:tcPr>
            <w:tcW w:w="1080" w:type="dxa"/>
          </w:tcPr>
          <w:p w14:paraId="2E4ED499"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213EB924"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(P151612, FY15)</w:t>
            </w:r>
          </w:p>
        </w:tc>
      </w:tr>
      <w:tr w:rsidR="00B44D67" w:rsidRPr="00BA050E" w14:paraId="62DDD061" w14:textId="77777777" w:rsidTr="00241C66">
        <w:trPr>
          <w:trHeight w:val="116"/>
        </w:trPr>
        <w:tc>
          <w:tcPr>
            <w:tcW w:w="1525" w:type="dxa"/>
            <w:vMerge/>
            <w:vAlign w:val="center"/>
          </w:tcPr>
          <w:p w14:paraId="12C8135A" w14:textId="77777777" w:rsidR="00B44D67" w:rsidRPr="00BA050E" w:rsidRDefault="00B44D67" w:rsidP="00241C66">
            <w:pPr>
              <w:spacing w:after="60" w:line="240" w:lineRule="auto"/>
              <w:ind w:left="0" w:right="0" w:firstLine="0"/>
              <w:jc w:val="center"/>
              <w:rPr>
                <w:color w:val="auto"/>
                <w:sz w:val="20"/>
              </w:rPr>
            </w:pPr>
          </w:p>
        </w:tc>
        <w:tc>
          <w:tcPr>
            <w:tcW w:w="4050" w:type="dxa"/>
          </w:tcPr>
          <w:p w14:paraId="209B2350" w14:textId="77777777" w:rsidR="00B44D67" w:rsidRPr="00BA050E" w:rsidRDefault="00B44D67" w:rsidP="00241C66">
            <w:pPr>
              <w:spacing w:after="60" w:line="240" w:lineRule="auto"/>
              <w:ind w:left="0" w:right="0" w:firstLine="0"/>
              <w:jc w:val="left"/>
              <w:rPr>
                <w:sz w:val="20"/>
              </w:rPr>
            </w:pPr>
            <w:r w:rsidRPr="00BA050E">
              <w:rPr>
                <w:sz w:val="20"/>
              </w:rPr>
              <w:t>MD Food Security Notes</w:t>
            </w:r>
          </w:p>
        </w:tc>
        <w:tc>
          <w:tcPr>
            <w:tcW w:w="1080" w:type="dxa"/>
          </w:tcPr>
          <w:p w14:paraId="7AA66FB4"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5E183CB5"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(P124627, FY15)</w:t>
            </w:r>
          </w:p>
        </w:tc>
      </w:tr>
      <w:tr w:rsidR="00B44D67" w:rsidRPr="00BA050E" w14:paraId="4EE38F24" w14:textId="77777777" w:rsidTr="00241C66">
        <w:trPr>
          <w:trHeight w:val="43"/>
        </w:trPr>
        <w:tc>
          <w:tcPr>
            <w:tcW w:w="1525" w:type="dxa"/>
            <w:vMerge/>
            <w:vAlign w:val="center"/>
          </w:tcPr>
          <w:p w14:paraId="72901744" w14:textId="77777777" w:rsidR="00B44D67" w:rsidRPr="00BA050E" w:rsidRDefault="00B44D67" w:rsidP="00241C66">
            <w:pPr>
              <w:spacing w:after="60" w:line="240" w:lineRule="auto"/>
              <w:ind w:left="0" w:right="0" w:firstLine="0"/>
              <w:jc w:val="center"/>
              <w:rPr>
                <w:color w:val="auto"/>
                <w:sz w:val="20"/>
              </w:rPr>
            </w:pPr>
          </w:p>
        </w:tc>
        <w:tc>
          <w:tcPr>
            <w:tcW w:w="4050" w:type="dxa"/>
          </w:tcPr>
          <w:p w14:paraId="1CD9797A" w14:textId="77777777" w:rsidR="00B44D67" w:rsidRPr="00BA050E" w:rsidRDefault="00B44D67" w:rsidP="00241C66">
            <w:pPr>
              <w:spacing w:after="60" w:line="240" w:lineRule="auto"/>
              <w:ind w:left="0" w:right="0" w:firstLine="0"/>
              <w:jc w:val="left"/>
              <w:rPr>
                <w:sz w:val="20"/>
              </w:rPr>
            </w:pPr>
            <w:r w:rsidRPr="00BA050E">
              <w:rPr>
                <w:sz w:val="20"/>
              </w:rPr>
              <w:t>Moldova Forest Policy Note</w:t>
            </w:r>
          </w:p>
        </w:tc>
        <w:tc>
          <w:tcPr>
            <w:tcW w:w="1080" w:type="dxa"/>
          </w:tcPr>
          <w:p w14:paraId="5E15F4D7"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0B5ECCCD"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(P146476, FY15)</w:t>
            </w:r>
          </w:p>
        </w:tc>
      </w:tr>
      <w:tr w:rsidR="00B44D67" w:rsidRPr="00BA050E" w14:paraId="3E5A5BFD" w14:textId="77777777" w:rsidTr="00241C66">
        <w:trPr>
          <w:trHeight w:val="217"/>
        </w:trPr>
        <w:tc>
          <w:tcPr>
            <w:tcW w:w="1525" w:type="dxa"/>
            <w:vMerge/>
            <w:vAlign w:val="center"/>
          </w:tcPr>
          <w:p w14:paraId="0AF73A8A" w14:textId="77777777" w:rsidR="00B44D67" w:rsidRPr="00BA050E" w:rsidRDefault="00B44D67" w:rsidP="00241C66">
            <w:pPr>
              <w:spacing w:after="60" w:line="240" w:lineRule="auto"/>
              <w:ind w:left="0" w:right="0" w:firstLine="0"/>
              <w:jc w:val="center"/>
              <w:rPr>
                <w:color w:val="auto"/>
                <w:sz w:val="20"/>
              </w:rPr>
            </w:pPr>
          </w:p>
        </w:tc>
        <w:tc>
          <w:tcPr>
            <w:tcW w:w="4050" w:type="dxa"/>
          </w:tcPr>
          <w:p w14:paraId="498D672C" w14:textId="77777777" w:rsidR="00B44D67" w:rsidRPr="00BA050E" w:rsidRDefault="00B44D67" w:rsidP="00241C66">
            <w:pPr>
              <w:spacing w:after="60" w:line="240" w:lineRule="auto"/>
              <w:ind w:left="0" w:right="0" w:firstLine="0"/>
              <w:jc w:val="left"/>
              <w:rPr>
                <w:sz w:val="20"/>
              </w:rPr>
            </w:pPr>
            <w:r w:rsidRPr="00BA050E">
              <w:rPr>
                <w:sz w:val="20"/>
              </w:rPr>
              <w:t>Electric Power Market Options</w:t>
            </w:r>
          </w:p>
        </w:tc>
        <w:tc>
          <w:tcPr>
            <w:tcW w:w="1080" w:type="dxa"/>
          </w:tcPr>
          <w:p w14:paraId="50BBCED0"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4FF9D482"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(P146401, FY15)</w:t>
            </w:r>
          </w:p>
        </w:tc>
      </w:tr>
      <w:tr w:rsidR="00B44D67" w:rsidRPr="00BA050E" w14:paraId="528B1718" w14:textId="77777777" w:rsidTr="00241C66">
        <w:trPr>
          <w:trHeight w:val="43"/>
        </w:trPr>
        <w:tc>
          <w:tcPr>
            <w:tcW w:w="1525" w:type="dxa"/>
            <w:vMerge/>
            <w:vAlign w:val="center"/>
          </w:tcPr>
          <w:p w14:paraId="2B87CDCE" w14:textId="77777777" w:rsidR="00B44D67" w:rsidRPr="00BA050E" w:rsidRDefault="00B44D67" w:rsidP="00241C66">
            <w:pPr>
              <w:spacing w:after="60" w:line="240" w:lineRule="auto"/>
              <w:ind w:left="0" w:right="0" w:firstLine="0"/>
              <w:jc w:val="center"/>
              <w:rPr>
                <w:color w:val="auto"/>
                <w:sz w:val="20"/>
              </w:rPr>
            </w:pPr>
          </w:p>
        </w:tc>
        <w:tc>
          <w:tcPr>
            <w:tcW w:w="4050" w:type="dxa"/>
          </w:tcPr>
          <w:p w14:paraId="13EF29F6" w14:textId="77777777" w:rsidR="00B44D67" w:rsidRPr="00BA050E" w:rsidRDefault="00B44D67" w:rsidP="00241C66">
            <w:pPr>
              <w:spacing w:after="60" w:line="240" w:lineRule="auto"/>
              <w:ind w:left="0" w:right="0" w:firstLine="0"/>
              <w:jc w:val="left"/>
              <w:rPr>
                <w:sz w:val="20"/>
              </w:rPr>
            </w:pPr>
            <w:r w:rsidRPr="00BA050E">
              <w:rPr>
                <w:sz w:val="20"/>
              </w:rPr>
              <w:t>Programmatic Human Development TA: Health, Pensions, Jobs &amp; Skills</w:t>
            </w:r>
          </w:p>
        </w:tc>
        <w:tc>
          <w:tcPr>
            <w:tcW w:w="1080" w:type="dxa"/>
            <w:vAlign w:val="center"/>
          </w:tcPr>
          <w:p w14:paraId="592978D7"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vAlign w:val="center"/>
          </w:tcPr>
          <w:p w14:paraId="270DABF8"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(P143613, FY15)</w:t>
            </w:r>
          </w:p>
        </w:tc>
      </w:tr>
      <w:tr w:rsidR="00B44D67" w:rsidRPr="00BA050E" w14:paraId="3427850D" w14:textId="77777777" w:rsidTr="00241C66">
        <w:trPr>
          <w:trHeight w:val="43"/>
        </w:trPr>
        <w:tc>
          <w:tcPr>
            <w:tcW w:w="1525" w:type="dxa"/>
            <w:vMerge/>
            <w:vAlign w:val="center"/>
          </w:tcPr>
          <w:p w14:paraId="3D01D0EE" w14:textId="77777777" w:rsidR="00B44D67" w:rsidRPr="00BA050E" w:rsidRDefault="00B44D67" w:rsidP="00241C66">
            <w:pPr>
              <w:spacing w:after="60" w:line="240" w:lineRule="auto"/>
              <w:ind w:left="0" w:right="0" w:firstLine="0"/>
              <w:jc w:val="center"/>
              <w:rPr>
                <w:color w:val="auto"/>
                <w:sz w:val="20"/>
              </w:rPr>
            </w:pPr>
          </w:p>
        </w:tc>
        <w:tc>
          <w:tcPr>
            <w:tcW w:w="4050" w:type="dxa"/>
          </w:tcPr>
          <w:p w14:paraId="09B912CE" w14:textId="77777777" w:rsidR="00B44D67" w:rsidRPr="00BA050E" w:rsidRDefault="00B44D67" w:rsidP="00241C66">
            <w:pPr>
              <w:spacing w:after="60" w:line="240" w:lineRule="auto"/>
              <w:ind w:left="0" w:right="0" w:firstLine="0"/>
              <w:jc w:val="left"/>
              <w:rPr>
                <w:sz w:val="20"/>
              </w:rPr>
            </w:pPr>
            <w:r w:rsidRPr="00BA050E">
              <w:rPr>
                <w:sz w:val="20"/>
              </w:rPr>
              <w:t>IFC Investment Climate Reform TA</w:t>
            </w:r>
          </w:p>
        </w:tc>
        <w:tc>
          <w:tcPr>
            <w:tcW w:w="1080" w:type="dxa"/>
          </w:tcPr>
          <w:p w14:paraId="1C13223C"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25151085"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Ongoing through FY14-17</w:t>
            </w:r>
          </w:p>
        </w:tc>
      </w:tr>
      <w:tr w:rsidR="00B44D67" w:rsidRPr="00BA050E" w14:paraId="0BA4408D" w14:textId="77777777" w:rsidTr="00241C66">
        <w:trPr>
          <w:trHeight w:val="43"/>
        </w:trPr>
        <w:tc>
          <w:tcPr>
            <w:tcW w:w="1525" w:type="dxa"/>
            <w:vMerge w:val="restart"/>
            <w:vAlign w:val="center"/>
          </w:tcPr>
          <w:p w14:paraId="6B28092E"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FY16</w:t>
            </w:r>
          </w:p>
        </w:tc>
        <w:tc>
          <w:tcPr>
            <w:tcW w:w="4050" w:type="dxa"/>
          </w:tcPr>
          <w:p w14:paraId="79F51228" w14:textId="77777777" w:rsidR="00B44D67" w:rsidRPr="00BA050E" w:rsidRDefault="00B44D67" w:rsidP="00241C66">
            <w:pPr>
              <w:spacing w:after="60" w:line="240" w:lineRule="auto"/>
              <w:ind w:left="0" w:right="0" w:firstLine="0"/>
              <w:jc w:val="left"/>
              <w:rPr>
                <w:sz w:val="20"/>
              </w:rPr>
            </w:pPr>
            <w:r w:rsidRPr="00BA050E">
              <w:rPr>
                <w:sz w:val="20"/>
              </w:rPr>
              <w:t>Public Finance Review</w:t>
            </w:r>
          </w:p>
        </w:tc>
        <w:tc>
          <w:tcPr>
            <w:tcW w:w="1080" w:type="dxa"/>
          </w:tcPr>
          <w:p w14:paraId="49C690D3"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61AED813"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(P157689, FY16)</w:t>
            </w:r>
          </w:p>
        </w:tc>
      </w:tr>
      <w:tr w:rsidR="00B44D67" w:rsidRPr="00BA050E" w14:paraId="4B1D1CAD" w14:textId="77777777" w:rsidTr="00241C66">
        <w:trPr>
          <w:trHeight w:val="158"/>
        </w:trPr>
        <w:tc>
          <w:tcPr>
            <w:tcW w:w="1525" w:type="dxa"/>
            <w:vMerge/>
            <w:vAlign w:val="center"/>
          </w:tcPr>
          <w:p w14:paraId="374D0710" w14:textId="77777777" w:rsidR="00B44D67" w:rsidRPr="00BA050E" w:rsidRDefault="00B44D67" w:rsidP="00241C66">
            <w:pPr>
              <w:spacing w:after="60" w:line="240" w:lineRule="auto"/>
              <w:ind w:left="0" w:right="0" w:firstLine="0"/>
              <w:jc w:val="center"/>
              <w:rPr>
                <w:color w:val="auto"/>
                <w:sz w:val="20"/>
              </w:rPr>
            </w:pPr>
          </w:p>
        </w:tc>
        <w:tc>
          <w:tcPr>
            <w:tcW w:w="4050" w:type="dxa"/>
          </w:tcPr>
          <w:p w14:paraId="2114C03D" w14:textId="77777777" w:rsidR="00B44D67" w:rsidRPr="00BA050E" w:rsidRDefault="00B44D67" w:rsidP="00241C66">
            <w:pPr>
              <w:spacing w:after="60" w:line="240" w:lineRule="auto"/>
              <w:ind w:left="0" w:right="882" w:firstLine="0"/>
              <w:jc w:val="left"/>
              <w:rPr>
                <w:sz w:val="20"/>
              </w:rPr>
            </w:pPr>
            <w:r w:rsidRPr="00BA050E">
              <w:rPr>
                <w:sz w:val="20"/>
              </w:rPr>
              <w:t>Trade Study</w:t>
            </w:r>
          </w:p>
        </w:tc>
        <w:tc>
          <w:tcPr>
            <w:tcW w:w="1080" w:type="dxa"/>
          </w:tcPr>
          <w:p w14:paraId="341FAC51"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3E227631"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(P148369, FY16)</w:t>
            </w:r>
          </w:p>
        </w:tc>
      </w:tr>
      <w:tr w:rsidR="00B44D67" w:rsidRPr="00BA050E" w14:paraId="39B9598E" w14:textId="77777777" w:rsidTr="00241C66">
        <w:trPr>
          <w:trHeight w:val="209"/>
        </w:trPr>
        <w:tc>
          <w:tcPr>
            <w:tcW w:w="1525" w:type="dxa"/>
            <w:vMerge/>
            <w:vAlign w:val="center"/>
          </w:tcPr>
          <w:p w14:paraId="36E201C0" w14:textId="77777777" w:rsidR="00B44D67" w:rsidRPr="00BA050E" w:rsidRDefault="00B44D67" w:rsidP="00241C66">
            <w:pPr>
              <w:spacing w:after="60" w:line="240" w:lineRule="auto"/>
              <w:ind w:left="0" w:right="0" w:firstLine="0"/>
              <w:jc w:val="center"/>
              <w:rPr>
                <w:color w:val="auto"/>
                <w:sz w:val="20"/>
              </w:rPr>
            </w:pPr>
          </w:p>
        </w:tc>
        <w:tc>
          <w:tcPr>
            <w:tcW w:w="4050" w:type="dxa"/>
          </w:tcPr>
          <w:p w14:paraId="1769E19E" w14:textId="77777777" w:rsidR="00B44D67" w:rsidRPr="00BA050E" w:rsidRDefault="00B44D67" w:rsidP="00241C66">
            <w:pPr>
              <w:spacing w:after="60" w:line="240" w:lineRule="auto"/>
              <w:ind w:left="0" w:right="0" w:firstLine="0"/>
              <w:jc w:val="left"/>
              <w:rPr>
                <w:sz w:val="20"/>
              </w:rPr>
            </w:pPr>
            <w:r w:rsidRPr="00BA050E">
              <w:rPr>
                <w:sz w:val="20"/>
              </w:rPr>
              <w:t>District Heating and Electricity Tariff</w:t>
            </w:r>
          </w:p>
        </w:tc>
        <w:tc>
          <w:tcPr>
            <w:tcW w:w="1080" w:type="dxa"/>
          </w:tcPr>
          <w:p w14:paraId="54012D15"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4C2B71CB"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(P151113, FY16)</w:t>
            </w:r>
          </w:p>
        </w:tc>
      </w:tr>
      <w:tr w:rsidR="00B44D67" w:rsidRPr="00BA050E" w14:paraId="6BADE02B" w14:textId="77777777" w:rsidTr="00241C66">
        <w:trPr>
          <w:trHeight w:val="217"/>
        </w:trPr>
        <w:tc>
          <w:tcPr>
            <w:tcW w:w="1525" w:type="dxa"/>
            <w:vMerge/>
            <w:vAlign w:val="center"/>
          </w:tcPr>
          <w:p w14:paraId="16AD6A24" w14:textId="77777777" w:rsidR="00B44D67" w:rsidRPr="00BA050E" w:rsidRDefault="00B44D67" w:rsidP="00241C66">
            <w:pPr>
              <w:spacing w:after="60" w:line="240" w:lineRule="auto"/>
              <w:ind w:left="0" w:right="0" w:firstLine="0"/>
              <w:jc w:val="center"/>
              <w:rPr>
                <w:color w:val="auto"/>
                <w:sz w:val="20"/>
              </w:rPr>
            </w:pPr>
          </w:p>
        </w:tc>
        <w:tc>
          <w:tcPr>
            <w:tcW w:w="4050" w:type="dxa"/>
          </w:tcPr>
          <w:p w14:paraId="15CD9A7B" w14:textId="77777777" w:rsidR="00B44D67" w:rsidRPr="00BA050E" w:rsidRDefault="00B44D67" w:rsidP="00241C66">
            <w:pPr>
              <w:spacing w:after="60" w:line="240" w:lineRule="auto"/>
              <w:ind w:left="0" w:right="0" w:firstLine="0"/>
              <w:jc w:val="left"/>
              <w:rPr>
                <w:sz w:val="20"/>
              </w:rPr>
            </w:pPr>
            <w:r w:rsidRPr="00BA050E">
              <w:rPr>
                <w:sz w:val="20"/>
              </w:rPr>
              <w:t xml:space="preserve">Advice on Strengthening Public </w:t>
            </w:r>
            <w:proofErr w:type="spellStart"/>
            <w:r w:rsidRPr="00BA050E">
              <w:rPr>
                <w:sz w:val="20"/>
              </w:rPr>
              <w:t>Invt</w:t>
            </w:r>
            <w:proofErr w:type="spellEnd"/>
            <w:r w:rsidRPr="00BA050E">
              <w:rPr>
                <w:sz w:val="20"/>
              </w:rPr>
              <w:t xml:space="preserve">. </w:t>
            </w:r>
            <w:proofErr w:type="spellStart"/>
            <w:r w:rsidRPr="00BA050E">
              <w:rPr>
                <w:sz w:val="20"/>
              </w:rPr>
              <w:t>Mgm</w:t>
            </w:r>
            <w:proofErr w:type="spellEnd"/>
          </w:p>
        </w:tc>
        <w:tc>
          <w:tcPr>
            <w:tcW w:w="1080" w:type="dxa"/>
          </w:tcPr>
          <w:p w14:paraId="0BAC2B64"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67095279"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(P130304, FY16)</w:t>
            </w:r>
          </w:p>
        </w:tc>
      </w:tr>
      <w:tr w:rsidR="00B44D67" w:rsidRPr="00BA050E" w14:paraId="7A5A8255" w14:textId="77777777" w:rsidTr="00241C66">
        <w:trPr>
          <w:trHeight w:val="217"/>
        </w:trPr>
        <w:tc>
          <w:tcPr>
            <w:tcW w:w="1525" w:type="dxa"/>
            <w:vMerge/>
            <w:vAlign w:val="center"/>
          </w:tcPr>
          <w:p w14:paraId="087DC743" w14:textId="77777777" w:rsidR="00B44D67" w:rsidRPr="00BA050E" w:rsidRDefault="00B44D67" w:rsidP="00241C66">
            <w:pPr>
              <w:spacing w:after="60" w:line="240" w:lineRule="auto"/>
              <w:ind w:left="0" w:right="0" w:firstLine="0"/>
              <w:jc w:val="center"/>
              <w:rPr>
                <w:color w:val="auto"/>
                <w:sz w:val="20"/>
              </w:rPr>
            </w:pPr>
          </w:p>
        </w:tc>
        <w:tc>
          <w:tcPr>
            <w:tcW w:w="4050" w:type="dxa"/>
          </w:tcPr>
          <w:p w14:paraId="5C520FB5" w14:textId="77777777" w:rsidR="00B44D67" w:rsidRPr="00BA050E" w:rsidRDefault="00B44D67" w:rsidP="00241C66">
            <w:pPr>
              <w:spacing w:after="60" w:line="240" w:lineRule="auto"/>
              <w:ind w:left="0" w:right="0" w:firstLine="0"/>
              <w:jc w:val="left"/>
              <w:rPr>
                <w:sz w:val="20"/>
              </w:rPr>
            </w:pPr>
            <w:r w:rsidRPr="00BA050E">
              <w:rPr>
                <w:sz w:val="20"/>
              </w:rPr>
              <w:t>Moldova Poverty Assessment</w:t>
            </w:r>
          </w:p>
        </w:tc>
        <w:tc>
          <w:tcPr>
            <w:tcW w:w="1080" w:type="dxa"/>
          </w:tcPr>
          <w:p w14:paraId="53317FB3"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2CFCD3EA"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(P151472, FY16)</w:t>
            </w:r>
          </w:p>
        </w:tc>
      </w:tr>
      <w:tr w:rsidR="00B44D67" w:rsidRPr="00BA050E" w14:paraId="47B0F75C" w14:textId="77777777" w:rsidTr="00241C66">
        <w:trPr>
          <w:trHeight w:val="209"/>
        </w:trPr>
        <w:tc>
          <w:tcPr>
            <w:tcW w:w="1525" w:type="dxa"/>
            <w:vMerge/>
            <w:vAlign w:val="center"/>
          </w:tcPr>
          <w:p w14:paraId="7D46FE45" w14:textId="77777777" w:rsidR="00B44D67" w:rsidRPr="00BA050E" w:rsidRDefault="00B44D67" w:rsidP="00241C66">
            <w:pPr>
              <w:spacing w:after="60" w:line="240" w:lineRule="auto"/>
              <w:ind w:left="0" w:right="0" w:firstLine="0"/>
              <w:jc w:val="center"/>
              <w:rPr>
                <w:color w:val="auto"/>
                <w:sz w:val="20"/>
              </w:rPr>
            </w:pPr>
          </w:p>
        </w:tc>
        <w:tc>
          <w:tcPr>
            <w:tcW w:w="4050" w:type="dxa"/>
          </w:tcPr>
          <w:p w14:paraId="2795A5F6" w14:textId="77777777" w:rsidR="00B44D67" w:rsidRPr="00BA050E" w:rsidRDefault="00B44D67" w:rsidP="00241C66">
            <w:pPr>
              <w:spacing w:after="60" w:line="240" w:lineRule="auto"/>
              <w:ind w:left="0" w:right="0" w:firstLine="0"/>
              <w:jc w:val="left"/>
              <w:rPr>
                <w:sz w:val="20"/>
              </w:rPr>
            </w:pPr>
            <w:r w:rsidRPr="00BA050E">
              <w:rPr>
                <w:sz w:val="20"/>
              </w:rPr>
              <w:t>Labor TA Moldova</w:t>
            </w:r>
          </w:p>
        </w:tc>
        <w:tc>
          <w:tcPr>
            <w:tcW w:w="1080" w:type="dxa"/>
          </w:tcPr>
          <w:p w14:paraId="330CA2D0"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06CED43E"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(P152911, FY16)</w:t>
            </w:r>
          </w:p>
        </w:tc>
      </w:tr>
      <w:tr w:rsidR="00B44D67" w:rsidRPr="00BA050E" w14:paraId="5B401C2E" w14:textId="77777777" w:rsidTr="00241C66">
        <w:trPr>
          <w:trHeight w:val="209"/>
        </w:trPr>
        <w:tc>
          <w:tcPr>
            <w:tcW w:w="1525" w:type="dxa"/>
            <w:vMerge/>
            <w:vAlign w:val="center"/>
          </w:tcPr>
          <w:p w14:paraId="6B0E5E09" w14:textId="77777777" w:rsidR="00B44D67" w:rsidRPr="00BA050E" w:rsidRDefault="00B44D67" w:rsidP="00241C66">
            <w:pPr>
              <w:spacing w:after="60" w:line="240" w:lineRule="auto"/>
              <w:ind w:left="0" w:right="0" w:firstLine="0"/>
              <w:jc w:val="center"/>
              <w:rPr>
                <w:color w:val="auto"/>
                <w:sz w:val="20"/>
              </w:rPr>
            </w:pPr>
          </w:p>
        </w:tc>
        <w:tc>
          <w:tcPr>
            <w:tcW w:w="4050" w:type="dxa"/>
          </w:tcPr>
          <w:p w14:paraId="213A6267" w14:textId="77777777" w:rsidR="00B44D67" w:rsidRPr="00BA050E" w:rsidRDefault="00B44D67" w:rsidP="00241C66">
            <w:pPr>
              <w:spacing w:after="60" w:line="240" w:lineRule="auto"/>
              <w:ind w:left="0" w:right="0" w:firstLine="0"/>
              <w:jc w:val="left"/>
              <w:rPr>
                <w:sz w:val="20"/>
              </w:rPr>
            </w:pPr>
            <w:r w:rsidRPr="00BA050E">
              <w:rPr>
                <w:sz w:val="20"/>
              </w:rPr>
              <w:t>Advocacy for Pension Reform</w:t>
            </w:r>
          </w:p>
        </w:tc>
        <w:tc>
          <w:tcPr>
            <w:tcW w:w="1080" w:type="dxa"/>
          </w:tcPr>
          <w:p w14:paraId="57DDC8E2"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72705A2B"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(P157759, FY16)</w:t>
            </w:r>
          </w:p>
        </w:tc>
      </w:tr>
      <w:tr w:rsidR="00B44D67" w:rsidRPr="00BA050E" w14:paraId="0C584243" w14:textId="77777777" w:rsidTr="00241C66">
        <w:trPr>
          <w:trHeight w:val="225"/>
        </w:trPr>
        <w:tc>
          <w:tcPr>
            <w:tcW w:w="1525" w:type="dxa"/>
            <w:vMerge/>
            <w:vAlign w:val="center"/>
          </w:tcPr>
          <w:p w14:paraId="4585F497" w14:textId="77777777" w:rsidR="00B44D67" w:rsidRPr="00BA050E" w:rsidRDefault="00B44D67" w:rsidP="00241C66">
            <w:pPr>
              <w:spacing w:after="60" w:line="240" w:lineRule="auto"/>
              <w:ind w:left="0" w:right="0" w:firstLine="0"/>
              <w:jc w:val="center"/>
              <w:rPr>
                <w:color w:val="auto"/>
                <w:sz w:val="20"/>
              </w:rPr>
            </w:pPr>
          </w:p>
        </w:tc>
        <w:tc>
          <w:tcPr>
            <w:tcW w:w="4050" w:type="dxa"/>
          </w:tcPr>
          <w:p w14:paraId="3F052391" w14:textId="77777777" w:rsidR="00B44D67" w:rsidRPr="00BA050E" w:rsidRDefault="00B44D67" w:rsidP="00241C66">
            <w:pPr>
              <w:spacing w:after="60" w:line="240" w:lineRule="auto"/>
              <w:ind w:left="0" w:right="0" w:firstLine="0"/>
              <w:jc w:val="left"/>
              <w:rPr>
                <w:sz w:val="20"/>
              </w:rPr>
            </w:pPr>
            <w:r w:rsidRPr="00BA050E">
              <w:rPr>
                <w:sz w:val="20"/>
              </w:rPr>
              <w:t>Village Development Scoping Study</w:t>
            </w:r>
          </w:p>
        </w:tc>
        <w:tc>
          <w:tcPr>
            <w:tcW w:w="1080" w:type="dxa"/>
          </w:tcPr>
          <w:p w14:paraId="43323BEE"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7931F386"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(P156336, FY16)</w:t>
            </w:r>
          </w:p>
        </w:tc>
      </w:tr>
      <w:tr w:rsidR="00B44D67" w:rsidRPr="00BA050E" w14:paraId="524272BF" w14:textId="77777777" w:rsidTr="00241C66">
        <w:trPr>
          <w:trHeight w:val="71"/>
        </w:trPr>
        <w:tc>
          <w:tcPr>
            <w:tcW w:w="1525" w:type="dxa"/>
            <w:vMerge/>
            <w:vAlign w:val="center"/>
          </w:tcPr>
          <w:p w14:paraId="30F2AB14" w14:textId="77777777" w:rsidR="00B44D67" w:rsidRPr="00BA050E" w:rsidRDefault="00B44D67" w:rsidP="00241C66">
            <w:pPr>
              <w:spacing w:after="60" w:line="240" w:lineRule="auto"/>
              <w:ind w:left="0" w:right="0" w:firstLine="0"/>
              <w:jc w:val="center"/>
              <w:rPr>
                <w:color w:val="auto"/>
                <w:sz w:val="20"/>
              </w:rPr>
            </w:pPr>
          </w:p>
        </w:tc>
        <w:tc>
          <w:tcPr>
            <w:tcW w:w="4050" w:type="dxa"/>
          </w:tcPr>
          <w:p w14:paraId="6899F495" w14:textId="77777777" w:rsidR="00B44D67" w:rsidRPr="00BA050E" w:rsidRDefault="00B44D67" w:rsidP="00241C66">
            <w:pPr>
              <w:spacing w:after="60" w:line="240" w:lineRule="auto"/>
              <w:ind w:left="0" w:right="0" w:firstLine="0"/>
              <w:jc w:val="left"/>
              <w:rPr>
                <w:sz w:val="20"/>
              </w:rPr>
            </w:pPr>
            <w:r w:rsidRPr="00BA050E">
              <w:rPr>
                <w:sz w:val="20"/>
              </w:rPr>
              <w:t>Climate TA</w:t>
            </w:r>
          </w:p>
        </w:tc>
        <w:tc>
          <w:tcPr>
            <w:tcW w:w="1080" w:type="dxa"/>
          </w:tcPr>
          <w:p w14:paraId="7548DB8E"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071BD837"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(P154652, FY16)</w:t>
            </w:r>
          </w:p>
        </w:tc>
      </w:tr>
      <w:tr w:rsidR="00B44D67" w:rsidRPr="00BA050E" w14:paraId="3E57EAB8" w14:textId="77777777" w:rsidTr="00241C66">
        <w:trPr>
          <w:trHeight w:val="43"/>
        </w:trPr>
        <w:tc>
          <w:tcPr>
            <w:tcW w:w="1525" w:type="dxa"/>
            <w:vMerge/>
            <w:vAlign w:val="center"/>
          </w:tcPr>
          <w:p w14:paraId="5A38EF23" w14:textId="77777777" w:rsidR="00B44D67" w:rsidRPr="00BA050E" w:rsidRDefault="00B44D67" w:rsidP="00241C66">
            <w:pPr>
              <w:spacing w:after="60" w:line="240" w:lineRule="auto"/>
              <w:ind w:left="0" w:right="0" w:firstLine="0"/>
              <w:jc w:val="center"/>
              <w:rPr>
                <w:color w:val="auto"/>
                <w:sz w:val="20"/>
              </w:rPr>
            </w:pPr>
          </w:p>
        </w:tc>
        <w:tc>
          <w:tcPr>
            <w:tcW w:w="4050" w:type="dxa"/>
            <w:tcBorders>
              <w:bottom w:val="single" w:sz="4" w:space="0" w:color="auto"/>
            </w:tcBorders>
          </w:tcPr>
          <w:p w14:paraId="553B052E" w14:textId="77777777" w:rsidR="00B44D67" w:rsidRPr="00BA050E" w:rsidRDefault="00B44D67" w:rsidP="00241C66">
            <w:pPr>
              <w:spacing w:after="60" w:line="240" w:lineRule="auto"/>
              <w:ind w:left="0" w:right="0" w:firstLine="0"/>
              <w:jc w:val="left"/>
              <w:rPr>
                <w:sz w:val="20"/>
              </w:rPr>
            </w:pPr>
            <w:r w:rsidRPr="00BA050E">
              <w:rPr>
                <w:sz w:val="20"/>
              </w:rPr>
              <w:t>Open Contracting in Moldova</w:t>
            </w:r>
          </w:p>
        </w:tc>
        <w:tc>
          <w:tcPr>
            <w:tcW w:w="1080" w:type="dxa"/>
            <w:tcBorders>
              <w:bottom w:val="single" w:sz="4" w:space="0" w:color="auto"/>
            </w:tcBorders>
            <w:vAlign w:val="center"/>
          </w:tcPr>
          <w:p w14:paraId="54428C07"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bottom w:val="single" w:sz="4" w:space="0" w:color="auto"/>
            </w:tcBorders>
          </w:tcPr>
          <w:p w14:paraId="1802CBFA"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Moved to FY17 (P151413) – to be delivered in Q4</w:t>
            </w:r>
          </w:p>
        </w:tc>
      </w:tr>
      <w:tr w:rsidR="00B44D67" w:rsidRPr="00BA050E" w14:paraId="61549775" w14:textId="77777777" w:rsidTr="00241C66">
        <w:trPr>
          <w:trHeight w:val="43"/>
        </w:trPr>
        <w:tc>
          <w:tcPr>
            <w:tcW w:w="1525" w:type="dxa"/>
            <w:vMerge/>
            <w:vAlign w:val="center"/>
          </w:tcPr>
          <w:p w14:paraId="4DD477D3" w14:textId="77777777" w:rsidR="00B44D67" w:rsidRPr="00BA050E" w:rsidRDefault="00B44D67" w:rsidP="00241C66">
            <w:pPr>
              <w:spacing w:after="60" w:line="240" w:lineRule="auto"/>
              <w:ind w:left="0" w:right="0" w:firstLine="0"/>
              <w:jc w:val="center"/>
              <w:rPr>
                <w:color w:val="auto"/>
                <w:sz w:val="20"/>
              </w:rPr>
            </w:pPr>
          </w:p>
        </w:tc>
        <w:tc>
          <w:tcPr>
            <w:tcW w:w="4050" w:type="dxa"/>
            <w:tcBorders>
              <w:bottom w:val="single" w:sz="4" w:space="0" w:color="auto"/>
            </w:tcBorders>
          </w:tcPr>
          <w:p w14:paraId="6B05B177" w14:textId="77777777" w:rsidR="00B44D67" w:rsidRPr="00BA050E" w:rsidRDefault="00B44D67" w:rsidP="00241C66">
            <w:pPr>
              <w:spacing w:after="60" w:line="240" w:lineRule="auto"/>
              <w:ind w:left="0" w:right="0" w:firstLine="0"/>
              <w:jc w:val="left"/>
              <w:rPr>
                <w:sz w:val="20"/>
              </w:rPr>
            </w:pPr>
            <w:r w:rsidRPr="00BA050E">
              <w:rPr>
                <w:sz w:val="20"/>
              </w:rPr>
              <w:t>IFC Investment Climate Reform TA</w:t>
            </w:r>
          </w:p>
        </w:tc>
        <w:tc>
          <w:tcPr>
            <w:tcW w:w="1080" w:type="dxa"/>
            <w:tcBorders>
              <w:bottom w:val="single" w:sz="4" w:space="0" w:color="auto"/>
            </w:tcBorders>
          </w:tcPr>
          <w:p w14:paraId="54761DF0"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Borders>
              <w:bottom w:val="single" w:sz="4" w:space="0" w:color="auto"/>
            </w:tcBorders>
          </w:tcPr>
          <w:p w14:paraId="526755D4"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Ongoing through FY14-17</w:t>
            </w:r>
          </w:p>
        </w:tc>
      </w:tr>
      <w:tr w:rsidR="00B44D67" w:rsidRPr="00BA050E" w14:paraId="1E2C5A3A" w14:textId="77777777" w:rsidTr="00241C66">
        <w:trPr>
          <w:trHeight w:val="62"/>
        </w:trPr>
        <w:tc>
          <w:tcPr>
            <w:tcW w:w="1525" w:type="dxa"/>
            <w:vMerge w:val="restart"/>
            <w:vAlign w:val="center"/>
          </w:tcPr>
          <w:p w14:paraId="05433D7F"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FY17</w:t>
            </w:r>
          </w:p>
        </w:tc>
        <w:tc>
          <w:tcPr>
            <w:tcW w:w="4050" w:type="dxa"/>
          </w:tcPr>
          <w:p w14:paraId="7F9AEA61" w14:textId="77777777" w:rsidR="00B44D67" w:rsidRPr="00BA050E" w:rsidRDefault="00B44D67" w:rsidP="00241C66">
            <w:pPr>
              <w:spacing w:after="60" w:line="240" w:lineRule="auto"/>
              <w:ind w:left="0" w:right="0" w:firstLine="0"/>
              <w:jc w:val="left"/>
              <w:rPr>
                <w:sz w:val="20"/>
              </w:rPr>
            </w:pPr>
            <w:r w:rsidRPr="00BA050E">
              <w:rPr>
                <w:sz w:val="20"/>
              </w:rPr>
              <w:t>Public Expenditure Reviews in health and education</w:t>
            </w:r>
          </w:p>
        </w:tc>
        <w:tc>
          <w:tcPr>
            <w:tcW w:w="1080" w:type="dxa"/>
          </w:tcPr>
          <w:p w14:paraId="751E82BF" w14:textId="77777777" w:rsidR="00B44D67" w:rsidRPr="00BA050E" w:rsidRDefault="00B44D67" w:rsidP="00241C66">
            <w:pPr>
              <w:spacing w:after="60" w:line="240" w:lineRule="auto"/>
              <w:ind w:left="0" w:right="0" w:firstLine="0"/>
              <w:jc w:val="center"/>
              <w:rPr>
                <w:color w:val="auto"/>
                <w:sz w:val="20"/>
              </w:rPr>
            </w:pPr>
          </w:p>
        </w:tc>
        <w:tc>
          <w:tcPr>
            <w:tcW w:w="2785" w:type="dxa"/>
          </w:tcPr>
          <w:p w14:paraId="2E8ACECD"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To be delivered in Q4</w:t>
            </w:r>
          </w:p>
        </w:tc>
      </w:tr>
      <w:tr w:rsidR="00B44D67" w:rsidRPr="00BA050E" w14:paraId="745A24BA" w14:textId="77777777" w:rsidTr="00241C66">
        <w:trPr>
          <w:trHeight w:val="152"/>
        </w:trPr>
        <w:tc>
          <w:tcPr>
            <w:tcW w:w="1525" w:type="dxa"/>
            <w:vMerge/>
            <w:vAlign w:val="center"/>
          </w:tcPr>
          <w:p w14:paraId="268E2F0D" w14:textId="77777777" w:rsidR="00B44D67" w:rsidRPr="00BA050E" w:rsidRDefault="00B44D67" w:rsidP="00241C66">
            <w:pPr>
              <w:spacing w:after="60" w:line="240" w:lineRule="auto"/>
              <w:ind w:left="0" w:right="0" w:firstLine="0"/>
              <w:jc w:val="center"/>
              <w:rPr>
                <w:color w:val="auto"/>
                <w:sz w:val="20"/>
              </w:rPr>
            </w:pPr>
          </w:p>
        </w:tc>
        <w:tc>
          <w:tcPr>
            <w:tcW w:w="4050" w:type="dxa"/>
          </w:tcPr>
          <w:p w14:paraId="37AFC03E" w14:textId="77777777" w:rsidR="00B44D67" w:rsidRPr="00BA050E" w:rsidRDefault="00B44D67" w:rsidP="00241C66">
            <w:pPr>
              <w:spacing w:after="60" w:line="240" w:lineRule="auto"/>
              <w:ind w:left="0" w:right="0" w:firstLine="0"/>
              <w:jc w:val="left"/>
              <w:rPr>
                <w:sz w:val="20"/>
              </w:rPr>
            </w:pPr>
            <w:r w:rsidRPr="00BA050E">
              <w:rPr>
                <w:sz w:val="20"/>
              </w:rPr>
              <w:t>Country Gender Action Plan</w:t>
            </w:r>
          </w:p>
        </w:tc>
        <w:tc>
          <w:tcPr>
            <w:tcW w:w="1080" w:type="dxa"/>
          </w:tcPr>
          <w:p w14:paraId="6C6EDF0A"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746F7EA3"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To be delivered in Q4 (P160373)</w:t>
            </w:r>
          </w:p>
        </w:tc>
      </w:tr>
      <w:tr w:rsidR="00B44D67" w:rsidRPr="00BA050E" w14:paraId="0BFC10FA" w14:textId="77777777" w:rsidTr="00241C66">
        <w:trPr>
          <w:trHeight w:val="158"/>
        </w:trPr>
        <w:tc>
          <w:tcPr>
            <w:tcW w:w="1525" w:type="dxa"/>
            <w:vMerge/>
            <w:vAlign w:val="center"/>
          </w:tcPr>
          <w:p w14:paraId="413FFAF7" w14:textId="77777777" w:rsidR="00B44D67" w:rsidRPr="00BA050E" w:rsidRDefault="00B44D67" w:rsidP="00241C66">
            <w:pPr>
              <w:spacing w:after="60" w:line="240" w:lineRule="auto"/>
              <w:ind w:left="0" w:right="0" w:firstLine="0"/>
              <w:jc w:val="center"/>
              <w:rPr>
                <w:color w:val="auto"/>
                <w:sz w:val="20"/>
              </w:rPr>
            </w:pPr>
          </w:p>
        </w:tc>
        <w:tc>
          <w:tcPr>
            <w:tcW w:w="4050" w:type="dxa"/>
          </w:tcPr>
          <w:p w14:paraId="4E8BB843" w14:textId="77777777" w:rsidR="00B44D67" w:rsidRPr="00BA050E" w:rsidRDefault="00B44D67" w:rsidP="00241C66">
            <w:pPr>
              <w:spacing w:after="60" w:line="240" w:lineRule="auto"/>
              <w:ind w:left="0" w:right="0" w:firstLine="0"/>
              <w:jc w:val="left"/>
              <w:rPr>
                <w:sz w:val="20"/>
              </w:rPr>
            </w:pPr>
            <w:r w:rsidRPr="00BA050E">
              <w:rPr>
                <w:sz w:val="20"/>
              </w:rPr>
              <w:t>Governance Reform Scorecard</w:t>
            </w:r>
          </w:p>
        </w:tc>
        <w:tc>
          <w:tcPr>
            <w:tcW w:w="1080" w:type="dxa"/>
            <w:vAlign w:val="center"/>
          </w:tcPr>
          <w:p w14:paraId="6128B6B5"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71F62BD2"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To be possibly extended with additional funding (P158221)</w:t>
            </w:r>
          </w:p>
        </w:tc>
      </w:tr>
      <w:tr w:rsidR="00B44D67" w:rsidRPr="00BA050E" w14:paraId="71E17FCA" w14:textId="77777777" w:rsidTr="00241C66">
        <w:trPr>
          <w:trHeight w:val="183"/>
        </w:trPr>
        <w:tc>
          <w:tcPr>
            <w:tcW w:w="1525" w:type="dxa"/>
            <w:vMerge/>
            <w:vAlign w:val="center"/>
          </w:tcPr>
          <w:p w14:paraId="6023F9B2" w14:textId="77777777" w:rsidR="00B44D67" w:rsidRPr="00BA050E" w:rsidRDefault="00B44D67" w:rsidP="00241C66">
            <w:pPr>
              <w:spacing w:after="60" w:line="240" w:lineRule="auto"/>
              <w:ind w:left="0" w:right="0" w:firstLine="0"/>
              <w:jc w:val="center"/>
              <w:rPr>
                <w:color w:val="auto"/>
                <w:sz w:val="20"/>
              </w:rPr>
            </w:pPr>
          </w:p>
        </w:tc>
        <w:tc>
          <w:tcPr>
            <w:tcW w:w="4050" w:type="dxa"/>
          </w:tcPr>
          <w:p w14:paraId="5F2F0850" w14:textId="77777777" w:rsidR="00B44D67" w:rsidRPr="00BA050E" w:rsidRDefault="00B44D67" w:rsidP="00241C66">
            <w:pPr>
              <w:spacing w:after="60" w:line="240" w:lineRule="auto"/>
              <w:ind w:left="0" w:right="0" w:firstLine="0"/>
              <w:jc w:val="left"/>
              <w:rPr>
                <w:sz w:val="20"/>
              </w:rPr>
            </w:pPr>
            <w:r w:rsidRPr="00BA050E">
              <w:rPr>
                <w:sz w:val="20"/>
              </w:rPr>
              <w:t>Knowledge for Confidence Building: MD/TN</w:t>
            </w:r>
          </w:p>
        </w:tc>
        <w:tc>
          <w:tcPr>
            <w:tcW w:w="1080" w:type="dxa"/>
            <w:vAlign w:val="center"/>
          </w:tcPr>
          <w:p w14:paraId="2A5EDF6C"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14ADFD77"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Work will continue into FY18 (P158569)</w:t>
            </w:r>
          </w:p>
        </w:tc>
      </w:tr>
      <w:tr w:rsidR="00B44D67" w:rsidRPr="00BA050E" w14:paraId="38915247" w14:textId="77777777" w:rsidTr="00241C66">
        <w:trPr>
          <w:trHeight w:val="200"/>
        </w:trPr>
        <w:tc>
          <w:tcPr>
            <w:tcW w:w="1525" w:type="dxa"/>
            <w:vMerge/>
            <w:vAlign w:val="center"/>
          </w:tcPr>
          <w:p w14:paraId="72F0661C" w14:textId="77777777" w:rsidR="00B44D67" w:rsidRPr="00BA050E" w:rsidRDefault="00B44D67" w:rsidP="00241C66">
            <w:pPr>
              <w:spacing w:after="60" w:line="240" w:lineRule="auto"/>
              <w:ind w:left="0" w:right="0" w:firstLine="0"/>
              <w:jc w:val="center"/>
              <w:rPr>
                <w:color w:val="auto"/>
                <w:sz w:val="20"/>
              </w:rPr>
            </w:pPr>
          </w:p>
        </w:tc>
        <w:tc>
          <w:tcPr>
            <w:tcW w:w="4050" w:type="dxa"/>
          </w:tcPr>
          <w:p w14:paraId="0B8A3896" w14:textId="77777777" w:rsidR="00B44D67" w:rsidRPr="00BA050E" w:rsidRDefault="00B44D67" w:rsidP="00241C66">
            <w:pPr>
              <w:spacing w:after="60" w:line="240" w:lineRule="auto"/>
              <w:ind w:left="0" w:right="0" w:firstLine="0"/>
              <w:jc w:val="left"/>
              <w:rPr>
                <w:sz w:val="20"/>
              </w:rPr>
            </w:pPr>
            <w:r w:rsidRPr="00BA050E">
              <w:rPr>
                <w:sz w:val="20"/>
              </w:rPr>
              <w:t>Tax Legislation Revision TA</w:t>
            </w:r>
          </w:p>
        </w:tc>
        <w:tc>
          <w:tcPr>
            <w:tcW w:w="1080" w:type="dxa"/>
            <w:vAlign w:val="center"/>
          </w:tcPr>
          <w:p w14:paraId="50A98212"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11EFD37E"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Work will continue into FY18 (P158228)</w:t>
            </w:r>
          </w:p>
        </w:tc>
      </w:tr>
      <w:tr w:rsidR="00B44D67" w:rsidRPr="00BA050E" w14:paraId="3D0092C0" w14:textId="77777777" w:rsidTr="00241C66">
        <w:trPr>
          <w:trHeight w:val="242"/>
        </w:trPr>
        <w:tc>
          <w:tcPr>
            <w:tcW w:w="1525" w:type="dxa"/>
            <w:vMerge/>
            <w:vAlign w:val="center"/>
          </w:tcPr>
          <w:p w14:paraId="3A0E4EE7" w14:textId="77777777" w:rsidR="00B44D67" w:rsidRPr="00BA050E" w:rsidRDefault="00B44D67" w:rsidP="00241C66">
            <w:pPr>
              <w:spacing w:after="60" w:line="240" w:lineRule="auto"/>
              <w:ind w:left="0" w:right="0" w:firstLine="0"/>
              <w:jc w:val="center"/>
              <w:rPr>
                <w:color w:val="auto"/>
                <w:sz w:val="20"/>
              </w:rPr>
            </w:pPr>
          </w:p>
        </w:tc>
        <w:tc>
          <w:tcPr>
            <w:tcW w:w="4050" w:type="dxa"/>
          </w:tcPr>
          <w:p w14:paraId="51F5B6FA" w14:textId="77777777" w:rsidR="00B44D67" w:rsidRPr="00BA050E" w:rsidRDefault="00B44D67" w:rsidP="00241C66">
            <w:pPr>
              <w:spacing w:after="60" w:line="240" w:lineRule="auto"/>
              <w:ind w:left="0" w:right="0" w:firstLine="0"/>
              <w:jc w:val="left"/>
              <w:rPr>
                <w:sz w:val="20"/>
              </w:rPr>
            </w:pPr>
            <w:r w:rsidRPr="00BA050E">
              <w:rPr>
                <w:sz w:val="20"/>
              </w:rPr>
              <w:t>Energy Efficiency Transformation in DH</w:t>
            </w:r>
          </w:p>
        </w:tc>
        <w:tc>
          <w:tcPr>
            <w:tcW w:w="1080" w:type="dxa"/>
          </w:tcPr>
          <w:p w14:paraId="5A798476"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02DB9570"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To be delivered in Q4 (P157735)</w:t>
            </w:r>
          </w:p>
        </w:tc>
      </w:tr>
      <w:tr w:rsidR="00B44D67" w:rsidRPr="00BA050E" w14:paraId="6BE22724" w14:textId="77777777" w:rsidTr="00241C66">
        <w:trPr>
          <w:trHeight w:val="125"/>
        </w:trPr>
        <w:tc>
          <w:tcPr>
            <w:tcW w:w="1525" w:type="dxa"/>
            <w:vMerge/>
            <w:vAlign w:val="center"/>
          </w:tcPr>
          <w:p w14:paraId="5A0A97E8" w14:textId="77777777" w:rsidR="00B44D67" w:rsidRPr="00BA050E" w:rsidRDefault="00B44D67" w:rsidP="00241C66">
            <w:pPr>
              <w:spacing w:after="60" w:line="240" w:lineRule="auto"/>
              <w:ind w:left="0" w:right="0" w:firstLine="0"/>
              <w:jc w:val="center"/>
              <w:rPr>
                <w:color w:val="auto"/>
                <w:sz w:val="20"/>
              </w:rPr>
            </w:pPr>
          </w:p>
        </w:tc>
        <w:tc>
          <w:tcPr>
            <w:tcW w:w="4050" w:type="dxa"/>
          </w:tcPr>
          <w:p w14:paraId="63728D0D" w14:textId="77777777" w:rsidR="00B44D67" w:rsidRPr="00BA050E" w:rsidRDefault="00B44D67" w:rsidP="00241C66">
            <w:pPr>
              <w:spacing w:after="60" w:line="240" w:lineRule="auto"/>
              <w:ind w:left="0" w:right="0" w:firstLine="0"/>
              <w:jc w:val="left"/>
              <w:rPr>
                <w:sz w:val="20"/>
              </w:rPr>
            </w:pPr>
            <w:r w:rsidRPr="00BA050E">
              <w:rPr>
                <w:sz w:val="20"/>
              </w:rPr>
              <w:t>Power System Interconnection Analysis</w:t>
            </w:r>
          </w:p>
        </w:tc>
        <w:tc>
          <w:tcPr>
            <w:tcW w:w="1080" w:type="dxa"/>
          </w:tcPr>
          <w:p w14:paraId="3C9A0989"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7C6C9020"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To be delivered in Q4 (P159050)</w:t>
            </w:r>
          </w:p>
        </w:tc>
      </w:tr>
      <w:tr w:rsidR="00B44D67" w:rsidRPr="00BA050E" w14:paraId="4D1C9DD3" w14:textId="77777777" w:rsidTr="00241C66">
        <w:trPr>
          <w:trHeight w:val="125"/>
        </w:trPr>
        <w:tc>
          <w:tcPr>
            <w:tcW w:w="1525" w:type="dxa"/>
            <w:vMerge/>
            <w:vAlign w:val="center"/>
          </w:tcPr>
          <w:p w14:paraId="5E04724F" w14:textId="77777777" w:rsidR="00B44D67" w:rsidRPr="00BA050E" w:rsidRDefault="00B44D67" w:rsidP="00241C66">
            <w:pPr>
              <w:spacing w:after="60" w:line="240" w:lineRule="auto"/>
              <w:ind w:left="0" w:right="0" w:firstLine="0"/>
              <w:jc w:val="center"/>
              <w:rPr>
                <w:color w:val="auto"/>
                <w:sz w:val="20"/>
              </w:rPr>
            </w:pPr>
          </w:p>
        </w:tc>
        <w:tc>
          <w:tcPr>
            <w:tcW w:w="4050" w:type="dxa"/>
          </w:tcPr>
          <w:p w14:paraId="6BA21FA2" w14:textId="77777777" w:rsidR="00B44D67" w:rsidRPr="00BA050E" w:rsidRDefault="00B44D67" w:rsidP="00241C66">
            <w:pPr>
              <w:spacing w:after="60" w:line="240" w:lineRule="auto"/>
              <w:ind w:left="0" w:right="0" w:firstLine="0"/>
              <w:jc w:val="left"/>
              <w:rPr>
                <w:sz w:val="20"/>
              </w:rPr>
            </w:pPr>
            <w:r w:rsidRPr="00BA050E">
              <w:rPr>
                <w:sz w:val="20"/>
              </w:rPr>
              <w:t>SOE Reform TA</w:t>
            </w:r>
          </w:p>
        </w:tc>
        <w:tc>
          <w:tcPr>
            <w:tcW w:w="1080" w:type="dxa"/>
            <w:vAlign w:val="center"/>
          </w:tcPr>
          <w:p w14:paraId="45A46903"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4F5D65F1"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To be delivered in FY19 (P158220)</w:t>
            </w:r>
          </w:p>
        </w:tc>
      </w:tr>
      <w:tr w:rsidR="00B44D67" w:rsidRPr="00BA050E" w14:paraId="44326FC6" w14:textId="77777777" w:rsidTr="00241C66">
        <w:trPr>
          <w:trHeight w:val="125"/>
        </w:trPr>
        <w:tc>
          <w:tcPr>
            <w:tcW w:w="1525" w:type="dxa"/>
            <w:vMerge/>
            <w:vAlign w:val="center"/>
          </w:tcPr>
          <w:p w14:paraId="5DDF883C" w14:textId="77777777" w:rsidR="00B44D67" w:rsidRPr="00BA050E" w:rsidRDefault="00B44D67" w:rsidP="00241C66">
            <w:pPr>
              <w:spacing w:after="60" w:line="240" w:lineRule="auto"/>
              <w:ind w:left="0" w:right="0" w:firstLine="0"/>
              <w:jc w:val="center"/>
              <w:rPr>
                <w:color w:val="auto"/>
                <w:sz w:val="20"/>
              </w:rPr>
            </w:pPr>
          </w:p>
        </w:tc>
        <w:tc>
          <w:tcPr>
            <w:tcW w:w="4050" w:type="dxa"/>
          </w:tcPr>
          <w:p w14:paraId="637A44CE" w14:textId="77777777" w:rsidR="00B44D67" w:rsidRPr="00BA050E" w:rsidRDefault="00B44D67" w:rsidP="00241C66">
            <w:pPr>
              <w:spacing w:after="60" w:line="240" w:lineRule="auto"/>
              <w:ind w:left="0" w:right="0" w:firstLine="0"/>
              <w:jc w:val="left"/>
              <w:rPr>
                <w:sz w:val="20"/>
              </w:rPr>
            </w:pPr>
            <w:r w:rsidRPr="00BA050E">
              <w:rPr>
                <w:sz w:val="20"/>
              </w:rPr>
              <w:t>Labor Supply Note</w:t>
            </w:r>
          </w:p>
        </w:tc>
        <w:tc>
          <w:tcPr>
            <w:tcW w:w="1080" w:type="dxa"/>
            <w:vAlign w:val="center"/>
          </w:tcPr>
          <w:p w14:paraId="64AE78F6" w14:textId="77777777" w:rsidR="00B44D67" w:rsidRPr="00BA050E" w:rsidRDefault="00B44D67" w:rsidP="00241C66">
            <w:pPr>
              <w:spacing w:after="60" w:line="240" w:lineRule="auto"/>
              <w:ind w:left="0" w:right="0" w:firstLine="0"/>
              <w:jc w:val="center"/>
              <w:rPr>
                <w:color w:val="auto"/>
                <w:sz w:val="20"/>
              </w:rPr>
            </w:pPr>
          </w:p>
        </w:tc>
        <w:tc>
          <w:tcPr>
            <w:tcW w:w="2785" w:type="dxa"/>
          </w:tcPr>
          <w:p w14:paraId="14636550"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in FY17</w:t>
            </w:r>
          </w:p>
        </w:tc>
      </w:tr>
      <w:tr w:rsidR="00B44D67" w:rsidRPr="00BA050E" w14:paraId="115341FD" w14:textId="77777777" w:rsidTr="00241C66">
        <w:trPr>
          <w:trHeight w:val="125"/>
        </w:trPr>
        <w:tc>
          <w:tcPr>
            <w:tcW w:w="1525" w:type="dxa"/>
            <w:vMerge/>
            <w:vAlign w:val="center"/>
          </w:tcPr>
          <w:p w14:paraId="5DF6E43B" w14:textId="77777777" w:rsidR="00B44D67" w:rsidRPr="00BA050E" w:rsidRDefault="00B44D67" w:rsidP="00241C66">
            <w:pPr>
              <w:spacing w:after="60" w:line="240" w:lineRule="auto"/>
              <w:ind w:left="0" w:right="0" w:firstLine="0"/>
              <w:jc w:val="center"/>
              <w:rPr>
                <w:color w:val="auto"/>
                <w:sz w:val="20"/>
              </w:rPr>
            </w:pPr>
          </w:p>
        </w:tc>
        <w:tc>
          <w:tcPr>
            <w:tcW w:w="4050" w:type="dxa"/>
          </w:tcPr>
          <w:p w14:paraId="639E9B73" w14:textId="77777777" w:rsidR="00B44D67" w:rsidRPr="00BA050E" w:rsidRDefault="00B44D67" w:rsidP="00241C66">
            <w:pPr>
              <w:spacing w:after="60" w:line="240" w:lineRule="auto"/>
              <w:ind w:left="0" w:right="0" w:firstLine="0"/>
              <w:jc w:val="left"/>
              <w:rPr>
                <w:sz w:val="20"/>
              </w:rPr>
            </w:pPr>
            <w:r w:rsidRPr="00BA050E">
              <w:rPr>
                <w:sz w:val="20"/>
              </w:rPr>
              <w:t>Labor Demand Note</w:t>
            </w:r>
          </w:p>
        </w:tc>
        <w:tc>
          <w:tcPr>
            <w:tcW w:w="1080" w:type="dxa"/>
            <w:vAlign w:val="center"/>
          </w:tcPr>
          <w:p w14:paraId="56BE79D2" w14:textId="77777777" w:rsidR="00B44D67" w:rsidRPr="00BA050E" w:rsidRDefault="00B44D67" w:rsidP="00241C66">
            <w:pPr>
              <w:spacing w:after="60" w:line="240" w:lineRule="auto"/>
              <w:ind w:left="0" w:right="0" w:firstLine="0"/>
              <w:jc w:val="center"/>
              <w:rPr>
                <w:color w:val="auto"/>
                <w:sz w:val="20"/>
              </w:rPr>
            </w:pPr>
          </w:p>
        </w:tc>
        <w:tc>
          <w:tcPr>
            <w:tcW w:w="2785" w:type="dxa"/>
          </w:tcPr>
          <w:p w14:paraId="64544E78"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in FY17</w:t>
            </w:r>
          </w:p>
        </w:tc>
      </w:tr>
      <w:tr w:rsidR="00B44D67" w:rsidRPr="00BA050E" w14:paraId="4FEF599B" w14:textId="77777777" w:rsidTr="00241C66">
        <w:trPr>
          <w:trHeight w:val="125"/>
        </w:trPr>
        <w:tc>
          <w:tcPr>
            <w:tcW w:w="1525" w:type="dxa"/>
            <w:vMerge/>
            <w:vAlign w:val="center"/>
          </w:tcPr>
          <w:p w14:paraId="42174C12" w14:textId="77777777" w:rsidR="00B44D67" w:rsidRPr="00BA050E" w:rsidRDefault="00B44D67" w:rsidP="00241C66">
            <w:pPr>
              <w:spacing w:after="60" w:line="240" w:lineRule="auto"/>
              <w:ind w:left="0" w:right="0" w:firstLine="0"/>
              <w:jc w:val="center"/>
              <w:rPr>
                <w:color w:val="auto"/>
                <w:sz w:val="20"/>
              </w:rPr>
            </w:pPr>
          </w:p>
        </w:tc>
        <w:tc>
          <w:tcPr>
            <w:tcW w:w="4050" w:type="dxa"/>
          </w:tcPr>
          <w:p w14:paraId="12CE1B1E" w14:textId="77777777" w:rsidR="00B44D67" w:rsidRPr="00BA050E" w:rsidRDefault="00B44D67" w:rsidP="00241C66">
            <w:pPr>
              <w:spacing w:after="60" w:line="240" w:lineRule="auto"/>
              <w:ind w:left="0" w:right="0" w:firstLine="0"/>
              <w:jc w:val="left"/>
              <w:rPr>
                <w:color w:val="auto"/>
                <w:sz w:val="20"/>
              </w:rPr>
            </w:pPr>
            <w:r w:rsidRPr="00BA050E">
              <w:rPr>
                <w:sz w:val="20"/>
              </w:rPr>
              <w:t>Informality</w:t>
            </w:r>
            <w:r w:rsidRPr="00BA050E">
              <w:rPr>
                <w:color w:val="auto"/>
                <w:sz w:val="20"/>
              </w:rPr>
              <w:t xml:space="preserve"> and Self-Employment Labor Data Note (partly-financed by Korea TF)</w:t>
            </w:r>
          </w:p>
        </w:tc>
        <w:tc>
          <w:tcPr>
            <w:tcW w:w="1080" w:type="dxa"/>
            <w:vAlign w:val="center"/>
          </w:tcPr>
          <w:p w14:paraId="07F319CE" w14:textId="77777777" w:rsidR="00B44D67" w:rsidRPr="00BA050E" w:rsidRDefault="00B44D67" w:rsidP="00241C66">
            <w:pPr>
              <w:spacing w:after="60" w:line="240" w:lineRule="auto"/>
              <w:ind w:left="0" w:right="0" w:firstLine="0"/>
              <w:jc w:val="center"/>
              <w:rPr>
                <w:color w:val="auto"/>
                <w:sz w:val="20"/>
              </w:rPr>
            </w:pPr>
          </w:p>
        </w:tc>
        <w:tc>
          <w:tcPr>
            <w:tcW w:w="2785" w:type="dxa"/>
          </w:tcPr>
          <w:p w14:paraId="1431A764"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Delivered in FY17</w:t>
            </w:r>
          </w:p>
        </w:tc>
      </w:tr>
      <w:tr w:rsidR="00B44D67" w:rsidRPr="00BA050E" w14:paraId="24421F37" w14:textId="77777777" w:rsidTr="00241C66">
        <w:trPr>
          <w:trHeight w:val="125"/>
        </w:trPr>
        <w:tc>
          <w:tcPr>
            <w:tcW w:w="1525" w:type="dxa"/>
            <w:vMerge/>
            <w:vAlign w:val="center"/>
          </w:tcPr>
          <w:p w14:paraId="2C4D6494" w14:textId="77777777" w:rsidR="00B44D67" w:rsidRPr="00BA050E" w:rsidRDefault="00B44D67" w:rsidP="00241C66">
            <w:pPr>
              <w:spacing w:after="60" w:line="240" w:lineRule="auto"/>
              <w:ind w:left="0" w:right="0" w:firstLine="0"/>
              <w:jc w:val="center"/>
              <w:rPr>
                <w:color w:val="auto"/>
                <w:sz w:val="20"/>
              </w:rPr>
            </w:pPr>
          </w:p>
        </w:tc>
        <w:tc>
          <w:tcPr>
            <w:tcW w:w="4050" w:type="dxa"/>
          </w:tcPr>
          <w:p w14:paraId="3018505E"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 xml:space="preserve">Private Sector Skill Demand and Mitigation of Skill Constraints </w:t>
            </w:r>
          </w:p>
        </w:tc>
        <w:tc>
          <w:tcPr>
            <w:tcW w:w="1080" w:type="dxa"/>
            <w:vAlign w:val="center"/>
          </w:tcPr>
          <w:p w14:paraId="2FCFEE61" w14:textId="77777777" w:rsidR="00B44D67" w:rsidRPr="00BA050E" w:rsidRDefault="00B44D67" w:rsidP="00241C66">
            <w:pPr>
              <w:spacing w:after="60" w:line="240" w:lineRule="auto"/>
              <w:ind w:left="0" w:right="0" w:firstLine="0"/>
              <w:jc w:val="center"/>
              <w:rPr>
                <w:color w:val="auto"/>
                <w:sz w:val="20"/>
              </w:rPr>
            </w:pPr>
          </w:p>
        </w:tc>
        <w:tc>
          <w:tcPr>
            <w:tcW w:w="2785" w:type="dxa"/>
          </w:tcPr>
          <w:p w14:paraId="56F8DCF9"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Possible FY17 delivery</w:t>
            </w:r>
          </w:p>
        </w:tc>
      </w:tr>
      <w:tr w:rsidR="00B44D67" w:rsidRPr="00BA050E" w14:paraId="121E631B" w14:textId="77777777" w:rsidTr="00241C66">
        <w:trPr>
          <w:trHeight w:val="125"/>
        </w:trPr>
        <w:tc>
          <w:tcPr>
            <w:tcW w:w="1525" w:type="dxa"/>
            <w:vMerge/>
            <w:vAlign w:val="center"/>
          </w:tcPr>
          <w:p w14:paraId="17B443E5" w14:textId="77777777" w:rsidR="00B44D67" w:rsidRPr="00BA050E" w:rsidRDefault="00B44D67" w:rsidP="00241C66">
            <w:pPr>
              <w:spacing w:after="60" w:line="240" w:lineRule="auto"/>
              <w:ind w:left="0" w:right="0" w:firstLine="0"/>
              <w:jc w:val="center"/>
              <w:rPr>
                <w:color w:val="auto"/>
                <w:sz w:val="20"/>
              </w:rPr>
            </w:pPr>
          </w:p>
        </w:tc>
        <w:tc>
          <w:tcPr>
            <w:tcW w:w="4050" w:type="dxa"/>
          </w:tcPr>
          <w:p w14:paraId="799D6388" w14:textId="77777777" w:rsidR="00B44D67" w:rsidRPr="00BA050E" w:rsidRDefault="00B44D67" w:rsidP="00241C66">
            <w:pPr>
              <w:spacing w:after="60" w:line="240" w:lineRule="auto"/>
              <w:ind w:left="0" w:right="0" w:firstLine="0"/>
              <w:jc w:val="left"/>
              <w:rPr>
                <w:sz w:val="20"/>
              </w:rPr>
            </w:pPr>
            <w:r w:rsidRPr="00BA050E">
              <w:rPr>
                <w:color w:val="auto"/>
                <w:sz w:val="20"/>
              </w:rPr>
              <w:t>Study of Adoption of Climate-Adaptive Agriculture</w:t>
            </w:r>
          </w:p>
        </w:tc>
        <w:tc>
          <w:tcPr>
            <w:tcW w:w="1080" w:type="dxa"/>
            <w:vAlign w:val="center"/>
          </w:tcPr>
          <w:p w14:paraId="26005337" w14:textId="77777777" w:rsidR="00B44D67" w:rsidRPr="00BA050E" w:rsidRDefault="00B44D67" w:rsidP="00241C66">
            <w:pPr>
              <w:spacing w:after="60" w:line="240" w:lineRule="auto"/>
              <w:ind w:left="0" w:right="0" w:firstLine="0"/>
              <w:jc w:val="center"/>
              <w:rPr>
                <w:color w:val="auto"/>
                <w:sz w:val="20"/>
              </w:rPr>
            </w:pPr>
          </w:p>
        </w:tc>
        <w:tc>
          <w:tcPr>
            <w:tcW w:w="2785" w:type="dxa"/>
          </w:tcPr>
          <w:p w14:paraId="758533BA" w14:textId="77777777" w:rsidR="00B44D67" w:rsidRPr="00BA050E" w:rsidRDefault="00B44D67" w:rsidP="00241C66">
            <w:pPr>
              <w:spacing w:after="60" w:line="240" w:lineRule="auto"/>
              <w:ind w:left="0" w:right="0" w:firstLine="0"/>
              <w:jc w:val="left"/>
              <w:rPr>
                <w:color w:val="auto"/>
                <w:sz w:val="20"/>
              </w:rPr>
            </w:pPr>
            <w:r w:rsidRPr="00BA050E">
              <w:rPr>
                <w:color w:val="auto"/>
                <w:sz w:val="20"/>
              </w:rPr>
              <w:t>Possible FY17 delivery</w:t>
            </w:r>
          </w:p>
        </w:tc>
      </w:tr>
      <w:tr w:rsidR="00B44D67" w:rsidRPr="00BA050E" w14:paraId="49404281" w14:textId="77777777" w:rsidTr="00241C66">
        <w:trPr>
          <w:trHeight w:val="125"/>
        </w:trPr>
        <w:tc>
          <w:tcPr>
            <w:tcW w:w="1525" w:type="dxa"/>
            <w:vMerge/>
            <w:vAlign w:val="center"/>
          </w:tcPr>
          <w:p w14:paraId="32CCB217" w14:textId="77777777" w:rsidR="00B44D67" w:rsidRPr="00BA050E" w:rsidRDefault="00B44D67" w:rsidP="00241C66">
            <w:pPr>
              <w:spacing w:after="60" w:line="240" w:lineRule="auto"/>
              <w:ind w:left="0" w:right="0" w:firstLine="0"/>
              <w:jc w:val="center"/>
              <w:rPr>
                <w:color w:val="auto"/>
                <w:sz w:val="20"/>
              </w:rPr>
            </w:pPr>
          </w:p>
        </w:tc>
        <w:tc>
          <w:tcPr>
            <w:tcW w:w="4050" w:type="dxa"/>
          </w:tcPr>
          <w:p w14:paraId="71D8E76E" w14:textId="77777777" w:rsidR="00B44D67" w:rsidRPr="00BA050E" w:rsidRDefault="00B44D67" w:rsidP="00241C66">
            <w:pPr>
              <w:spacing w:after="60" w:line="240" w:lineRule="auto"/>
              <w:ind w:left="0" w:right="0" w:firstLine="0"/>
              <w:jc w:val="left"/>
              <w:rPr>
                <w:sz w:val="20"/>
              </w:rPr>
            </w:pPr>
            <w:r w:rsidRPr="00BA050E">
              <w:rPr>
                <w:sz w:val="20"/>
              </w:rPr>
              <w:t>IFC Investment Climate Reform TA</w:t>
            </w:r>
          </w:p>
        </w:tc>
        <w:tc>
          <w:tcPr>
            <w:tcW w:w="1080" w:type="dxa"/>
          </w:tcPr>
          <w:p w14:paraId="29336751" w14:textId="77777777" w:rsidR="00B44D67" w:rsidRPr="00BA050E" w:rsidRDefault="00B44D67" w:rsidP="00241C66">
            <w:pPr>
              <w:spacing w:after="60" w:line="240" w:lineRule="auto"/>
              <w:ind w:left="0" w:right="0" w:firstLine="0"/>
              <w:jc w:val="center"/>
              <w:rPr>
                <w:color w:val="auto"/>
                <w:sz w:val="20"/>
              </w:rPr>
            </w:pPr>
            <w:r w:rsidRPr="00BA050E">
              <w:rPr>
                <w:color w:val="auto"/>
                <w:sz w:val="20"/>
              </w:rPr>
              <w:t>X</w:t>
            </w:r>
          </w:p>
        </w:tc>
        <w:tc>
          <w:tcPr>
            <w:tcW w:w="2785" w:type="dxa"/>
          </w:tcPr>
          <w:p w14:paraId="340F47BF" w14:textId="77777777" w:rsidR="00B44D67" w:rsidRPr="00BA050E" w:rsidRDefault="00B44D67" w:rsidP="00241C66">
            <w:pPr>
              <w:spacing w:after="60" w:line="240" w:lineRule="auto"/>
              <w:ind w:left="0" w:right="0" w:firstLine="0"/>
              <w:jc w:val="left"/>
              <w:rPr>
                <w:color w:val="auto"/>
                <w:sz w:val="20"/>
              </w:rPr>
            </w:pPr>
            <w:r>
              <w:rPr>
                <w:color w:val="auto"/>
                <w:sz w:val="20"/>
              </w:rPr>
              <w:t>Ongoing through FY15</w:t>
            </w:r>
            <w:r w:rsidRPr="00BA050E">
              <w:rPr>
                <w:color w:val="auto"/>
                <w:sz w:val="20"/>
              </w:rPr>
              <w:t>-1</w:t>
            </w:r>
            <w:r>
              <w:rPr>
                <w:color w:val="auto"/>
                <w:sz w:val="20"/>
              </w:rPr>
              <w:t>9</w:t>
            </w:r>
          </w:p>
        </w:tc>
      </w:tr>
    </w:tbl>
    <w:p w14:paraId="414419B8" w14:textId="77777777" w:rsidR="00B44D67" w:rsidRDefault="00B44D67" w:rsidP="00B44D67">
      <w:pPr>
        <w:sectPr w:rsidR="00B44D67" w:rsidSect="00EF0930">
          <w:footerReference w:type="default" r:id="rId12"/>
          <w:pgSz w:w="12240" w:h="15840" w:code="1"/>
          <w:pgMar w:top="1440" w:right="1440" w:bottom="1440" w:left="1440" w:header="720" w:footer="720" w:gutter="0"/>
          <w:pgNumType w:start="51"/>
          <w:cols w:space="720"/>
          <w:docGrid w:linePitch="360"/>
        </w:sectPr>
      </w:pPr>
    </w:p>
    <w:p w14:paraId="6C9B6CED" w14:textId="77777777" w:rsidR="00B421B1" w:rsidRPr="00BA050E" w:rsidRDefault="005F339C" w:rsidP="005F339C">
      <w:pPr>
        <w:pStyle w:val="Heading1"/>
        <w:ind w:left="0" w:right="0"/>
      </w:pPr>
      <w:bookmarkStart w:id="13" w:name="_Toc484623053"/>
      <w:r w:rsidRPr="00BA050E">
        <w:lastRenderedPageBreak/>
        <w:t>A</w:t>
      </w:r>
      <w:r w:rsidR="00E1612A">
        <w:t>nnex 4</w:t>
      </w:r>
      <w:r w:rsidRPr="00BA050E">
        <w:t>. Selected Indicators* of Bank Portfolio Performance and Management</w:t>
      </w:r>
      <w:bookmarkEnd w:id="13"/>
    </w:p>
    <w:p w14:paraId="21AEAC12" w14:textId="77777777" w:rsidR="00DE45B9" w:rsidRPr="00BA050E" w:rsidRDefault="00DE45B9" w:rsidP="005F339C">
      <w:pPr>
        <w:spacing w:after="0" w:line="240" w:lineRule="auto"/>
        <w:ind w:left="0" w:right="0" w:firstLine="0"/>
        <w:jc w:val="center"/>
        <w:rPr>
          <w:b/>
        </w:rPr>
      </w:pPr>
    </w:p>
    <w:p w14:paraId="450BFEA3" w14:textId="77777777" w:rsidR="005F339C" w:rsidRPr="00BA050E" w:rsidRDefault="005F339C">
      <w:pPr>
        <w:spacing w:after="0" w:line="240" w:lineRule="auto"/>
        <w:ind w:left="0" w:firstLine="0"/>
      </w:pPr>
      <w:r w:rsidRPr="00BA050E">
        <w:rPr>
          <w:noProof/>
        </w:rPr>
        <w:drawing>
          <wp:inline distT="0" distB="0" distL="0" distR="0" wp14:anchorId="70FDA2B9" wp14:editId="4D58743D">
            <wp:extent cx="5943600" cy="39950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95048"/>
                    </a:xfrm>
                    <a:prstGeom prst="rect">
                      <a:avLst/>
                    </a:prstGeom>
                    <a:noFill/>
                    <a:ln>
                      <a:noFill/>
                    </a:ln>
                  </pic:spPr>
                </pic:pic>
              </a:graphicData>
            </a:graphic>
          </wp:inline>
        </w:drawing>
      </w:r>
    </w:p>
    <w:p w14:paraId="783493B8" w14:textId="77777777" w:rsidR="005F339C" w:rsidRPr="00BA050E" w:rsidRDefault="005F339C">
      <w:pPr>
        <w:spacing w:after="0" w:line="240" w:lineRule="auto"/>
        <w:ind w:left="0" w:firstLine="0"/>
      </w:pPr>
    </w:p>
    <w:p w14:paraId="1413F840" w14:textId="77777777" w:rsidR="00DE45B9" w:rsidRPr="00BA050E" w:rsidRDefault="00DE45B9">
      <w:pPr>
        <w:spacing w:after="0" w:line="240" w:lineRule="auto"/>
        <w:ind w:left="0" w:firstLine="0"/>
      </w:pPr>
    </w:p>
    <w:p w14:paraId="5D277335" w14:textId="77777777" w:rsidR="00DE45B9" w:rsidRPr="00BA050E" w:rsidRDefault="00DE45B9">
      <w:pPr>
        <w:spacing w:after="0" w:line="240" w:lineRule="auto"/>
        <w:ind w:left="0" w:firstLine="0"/>
        <w:sectPr w:rsidR="00DE45B9" w:rsidRPr="00BA050E" w:rsidSect="00136B7C">
          <w:pgSz w:w="12240" w:h="15840" w:code="1"/>
          <w:pgMar w:top="1440" w:right="1440" w:bottom="1440" w:left="1440" w:header="720" w:footer="720" w:gutter="0"/>
          <w:cols w:space="720"/>
          <w:docGrid w:linePitch="360"/>
        </w:sectPr>
      </w:pPr>
    </w:p>
    <w:p w14:paraId="4D7BAECA" w14:textId="77777777" w:rsidR="00B421B1" w:rsidRPr="00BA050E" w:rsidRDefault="006974E1" w:rsidP="006974E1">
      <w:pPr>
        <w:pStyle w:val="Heading1"/>
        <w:ind w:right="0"/>
      </w:pPr>
      <w:bookmarkStart w:id="14" w:name="_Toc484623054"/>
      <w:r w:rsidRPr="00BA050E">
        <w:lastRenderedPageBreak/>
        <w:t xml:space="preserve">Annex </w:t>
      </w:r>
      <w:r w:rsidR="00E1612A">
        <w:t>5</w:t>
      </w:r>
      <w:r w:rsidRPr="00BA050E">
        <w:t>. Operations Portfolio (IBRD/IDA and Grants)</w:t>
      </w:r>
      <w:bookmarkEnd w:id="14"/>
    </w:p>
    <w:p w14:paraId="1CED62DC" w14:textId="77777777" w:rsidR="006974E1" w:rsidRPr="00BA050E" w:rsidRDefault="00193AB4">
      <w:pPr>
        <w:spacing w:after="0" w:line="240" w:lineRule="auto"/>
        <w:ind w:left="0" w:firstLine="0"/>
      </w:pPr>
      <w:r w:rsidRPr="00193AB4">
        <w:rPr>
          <w:noProof/>
        </w:rPr>
        <w:drawing>
          <wp:inline distT="0" distB="0" distL="0" distR="0" wp14:anchorId="55702AB1" wp14:editId="4B229CAB">
            <wp:extent cx="8229600" cy="53276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5327650"/>
                    </a:xfrm>
                    <a:prstGeom prst="rect">
                      <a:avLst/>
                    </a:prstGeom>
                  </pic:spPr>
                </pic:pic>
              </a:graphicData>
            </a:graphic>
          </wp:inline>
        </w:drawing>
      </w:r>
    </w:p>
    <w:p w14:paraId="59F665D7" w14:textId="77777777" w:rsidR="006974E1" w:rsidRPr="00BA050E" w:rsidRDefault="006974E1">
      <w:pPr>
        <w:spacing w:after="0" w:line="240" w:lineRule="auto"/>
        <w:ind w:left="0" w:firstLine="0"/>
      </w:pPr>
    </w:p>
    <w:p w14:paraId="5CADD3BA" w14:textId="1732F168" w:rsidR="006974E1" w:rsidRDefault="00E1612A" w:rsidP="00CF798B">
      <w:pPr>
        <w:pStyle w:val="Heading1"/>
        <w:ind w:right="0"/>
      </w:pPr>
      <w:bookmarkStart w:id="15" w:name="_Toc484623055"/>
      <w:r>
        <w:t>Annex 6</w:t>
      </w:r>
      <w:r w:rsidR="00740DB6" w:rsidRPr="00BA050E">
        <w:t xml:space="preserve">. </w:t>
      </w:r>
      <w:r w:rsidR="00CF798B" w:rsidRPr="00BA050E">
        <w:t xml:space="preserve">Statement of IFC’s </w:t>
      </w:r>
      <w:r w:rsidR="00005406">
        <w:t xml:space="preserve">and MIGA’s </w:t>
      </w:r>
      <w:r w:rsidR="00CF798B" w:rsidRPr="00BA050E">
        <w:t>Committed and Outstanding Portfolio</w:t>
      </w:r>
      <w:bookmarkEnd w:id="15"/>
    </w:p>
    <w:p w14:paraId="1863F3EE" w14:textId="3673EBE2" w:rsidR="00797C58" w:rsidRPr="00797C58" w:rsidRDefault="00797C58" w:rsidP="00797C58">
      <w:r>
        <w:t>IFC</w:t>
      </w:r>
    </w:p>
    <w:p w14:paraId="13A0729F" w14:textId="77777777" w:rsidR="00740DB6" w:rsidRDefault="00740DB6">
      <w:pPr>
        <w:spacing w:after="0" w:line="240" w:lineRule="auto"/>
        <w:ind w:left="0" w:firstLine="0"/>
      </w:pPr>
      <w:r w:rsidRPr="00BA050E">
        <w:rPr>
          <w:noProof/>
        </w:rPr>
        <w:drawing>
          <wp:inline distT="0" distB="0" distL="0" distR="0" wp14:anchorId="09E13A32" wp14:editId="20823D20">
            <wp:extent cx="8229600" cy="15082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0" cy="1508293"/>
                    </a:xfrm>
                    <a:prstGeom prst="rect">
                      <a:avLst/>
                    </a:prstGeom>
                    <a:noFill/>
                    <a:ln>
                      <a:noFill/>
                    </a:ln>
                  </pic:spPr>
                </pic:pic>
              </a:graphicData>
            </a:graphic>
          </wp:inline>
        </w:drawing>
      </w:r>
    </w:p>
    <w:p w14:paraId="0D59EE65" w14:textId="0C62BB8D" w:rsidR="00005406" w:rsidRDefault="00005406">
      <w:pPr>
        <w:spacing w:after="0" w:line="240" w:lineRule="auto"/>
        <w:ind w:left="0" w:firstLine="0"/>
      </w:pPr>
    </w:p>
    <w:p w14:paraId="42C1B71C" w14:textId="77777777" w:rsidR="00797C58" w:rsidRDefault="00797C58">
      <w:pPr>
        <w:spacing w:after="0" w:line="240" w:lineRule="auto"/>
        <w:ind w:left="0" w:firstLine="0"/>
      </w:pPr>
    </w:p>
    <w:p w14:paraId="4E1B47BF" w14:textId="23636C09" w:rsidR="00005406" w:rsidRPr="00BA050E" w:rsidRDefault="00797C58">
      <w:pPr>
        <w:spacing w:after="0" w:line="240" w:lineRule="auto"/>
        <w:ind w:left="0" w:firstLine="0"/>
      </w:pPr>
      <w:r>
        <w:t>MIGA exposures as of June 28, 2017</w:t>
      </w:r>
    </w:p>
    <w:p w14:paraId="079C46ED" w14:textId="61877F75" w:rsidR="00005406" w:rsidRPr="00BA050E" w:rsidRDefault="00797C58">
      <w:pPr>
        <w:spacing w:after="0" w:line="240" w:lineRule="auto"/>
        <w:ind w:left="0" w:firstLine="0"/>
        <w:sectPr w:rsidR="00005406" w:rsidRPr="00BA050E" w:rsidSect="00E44AD2">
          <w:pgSz w:w="15840" w:h="12240" w:orient="landscape" w:code="1"/>
          <w:pgMar w:top="1440" w:right="1440" w:bottom="1440" w:left="1440" w:header="720" w:footer="720" w:gutter="0"/>
          <w:cols w:space="720"/>
          <w:docGrid w:linePitch="360"/>
        </w:sectPr>
      </w:pPr>
      <w:r>
        <w:rPr>
          <w:noProof/>
        </w:rPr>
        <w:drawing>
          <wp:inline distT="0" distB="0" distL="0" distR="0" wp14:anchorId="26319FF2" wp14:editId="03733B8B">
            <wp:extent cx="8229600" cy="2243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2243455"/>
                    </a:xfrm>
                    <a:prstGeom prst="rect">
                      <a:avLst/>
                    </a:prstGeom>
                  </pic:spPr>
                </pic:pic>
              </a:graphicData>
            </a:graphic>
          </wp:inline>
        </w:drawing>
      </w:r>
    </w:p>
    <w:p w14:paraId="1159B217" w14:textId="77777777" w:rsidR="008A5166" w:rsidRPr="00BA050E" w:rsidRDefault="008A5166" w:rsidP="008A5166">
      <w:pPr>
        <w:pStyle w:val="Heading1"/>
        <w:ind w:right="0"/>
      </w:pPr>
      <w:bookmarkStart w:id="16" w:name="_Ref442262395"/>
      <w:bookmarkStart w:id="17" w:name="_Toc445830732"/>
      <w:bookmarkStart w:id="18" w:name="_Toc484623056"/>
      <w:r w:rsidRPr="00BA050E">
        <w:lastRenderedPageBreak/>
        <w:t xml:space="preserve">Annex </w:t>
      </w:r>
      <w:bookmarkEnd w:id="16"/>
      <w:r w:rsidRPr="00BA050E">
        <w:t>7. Moldova FY18-19 CPF Indicative Lending and A</w:t>
      </w:r>
      <w:bookmarkEnd w:id="17"/>
      <w:r w:rsidRPr="00BA050E">
        <w:t>SA</w:t>
      </w:r>
      <w:bookmarkEnd w:id="18"/>
    </w:p>
    <w:tbl>
      <w:tblPr>
        <w:tblStyle w:val="TableGrid3"/>
        <w:tblW w:w="13225" w:type="dxa"/>
        <w:tblLayout w:type="fixed"/>
        <w:tblLook w:val="04A0" w:firstRow="1" w:lastRow="0" w:firstColumn="1" w:lastColumn="0" w:noHBand="0" w:noVBand="1"/>
      </w:tblPr>
      <w:tblGrid>
        <w:gridCol w:w="2605"/>
        <w:gridCol w:w="990"/>
        <w:gridCol w:w="630"/>
        <w:gridCol w:w="630"/>
        <w:gridCol w:w="900"/>
        <w:gridCol w:w="990"/>
        <w:gridCol w:w="630"/>
        <w:gridCol w:w="630"/>
        <w:gridCol w:w="900"/>
        <w:gridCol w:w="4320"/>
      </w:tblGrid>
      <w:tr w:rsidR="008A5166" w:rsidRPr="00BA050E" w14:paraId="3F6EFD91" w14:textId="77777777" w:rsidTr="008A5166">
        <w:trPr>
          <w:trHeight w:val="539"/>
        </w:trPr>
        <w:tc>
          <w:tcPr>
            <w:tcW w:w="2605" w:type="dxa"/>
            <w:shd w:val="clear" w:color="auto" w:fill="E2EFD9"/>
          </w:tcPr>
          <w:p w14:paraId="3911D47A" w14:textId="77777777" w:rsidR="008A5166" w:rsidRPr="00BA050E" w:rsidRDefault="008A5166" w:rsidP="008A5166">
            <w:pPr>
              <w:spacing w:before="60" w:after="0" w:line="240" w:lineRule="auto"/>
              <w:ind w:left="0" w:right="0" w:firstLine="0"/>
              <w:jc w:val="left"/>
              <w:rPr>
                <w:b/>
                <w:sz w:val="17"/>
                <w:szCs w:val="17"/>
              </w:rPr>
            </w:pPr>
            <w:r w:rsidRPr="00BA050E">
              <w:rPr>
                <w:b/>
                <w:sz w:val="17"/>
                <w:szCs w:val="17"/>
              </w:rPr>
              <w:t xml:space="preserve">WB Lending Program </w:t>
            </w:r>
          </w:p>
          <w:p w14:paraId="7C112807" w14:textId="77777777" w:rsidR="008A5166" w:rsidRPr="00BA050E" w:rsidRDefault="008A5166" w:rsidP="008A5166">
            <w:pPr>
              <w:spacing w:after="0" w:line="240" w:lineRule="auto"/>
              <w:ind w:left="0" w:right="0" w:firstLine="0"/>
              <w:jc w:val="left"/>
              <w:rPr>
                <w:sz w:val="17"/>
                <w:szCs w:val="17"/>
              </w:rPr>
            </w:pPr>
            <w:r w:rsidRPr="00BA050E">
              <w:rPr>
                <w:sz w:val="17"/>
                <w:szCs w:val="17"/>
              </w:rPr>
              <w:t>(</w:t>
            </w:r>
            <w:r w:rsidRPr="00BA050E">
              <w:rPr>
                <w:i/>
                <w:iCs/>
                <w:color w:val="auto"/>
                <w:sz w:val="17"/>
                <w:szCs w:val="17"/>
              </w:rPr>
              <w:t>July 1, 2017 to June 30, 201</w:t>
            </w:r>
            <w:r w:rsidR="004C14FD">
              <w:rPr>
                <w:i/>
                <w:iCs/>
                <w:color w:val="auto"/>
                <w:sz w:val="17"/>
                <w:szCs w:val="17"/>
              </w:rPr>
              <w:t>9</w:t>
            </w:r>
            <w:r w:rsidRPr="00BA050E">
              <w:rPr>
                <w:sz w:val="17"/>
                <w:szCs w:val="17"/>
              </w:rPr>
              <w:t>)</w:t>
            </w:r>
          </w:p>
          <w:p w14:paraId="3939A155" w14:textId="77777777" w:rsidR="008A5166" w:rsidRPr="00BA050E" w:rsidRDefault="008A5166" w:rsidP="008A5166">
            <w:pPr>
              <w:spacing w:after="0" w:line="240" w:lineRule="auto"/>
              <w:ind w:left="0" w:right="0" w:firstLine="0"/>
              <w:jc w:val="left"/>
              <w:rPr>
                <w:b/>
                <w:sz w:val="17"/>
                <w:szCs w:val="17"/>
              </w:rPr>
            </w:pPr>
            <w:r w:rsidRPr="00BA050E">
              <w:rPr>
                <w:b/>
                <w:i/>
                <w:iCs/>
                <w:color w:val="auto"/>
                <w:sz w:val="17"/>
                <w:szCs w:val="17"/>
              </w:rPr>
              <w:t>Indicative and subject to revision</w:t>
            </w:r>
          </w:p>
        </w:tc>
        <w:tc>
          <w:tcPr>
            <w:tcW w:w="3150" w:type="dxa"/>
            <w:gridSpan w:val="4"/>
            <w:shd w:val="clear" w:color="auto" w:fill="E2EFD9"/>
            <w:vAlign w:val="center"/>
          </w:tcPr>
          <w:p w14:paraId="72EF1F67" w14:textId="77777777" w:rsidR="008A5166" w:rsidRPr="00BA050E" w:rsidRDefault="008A5166" w:rsidP="008A5166">
            <w:pPr>
              <w:spacing w:after="0" w:line="240" w:lineRule="auto"/>
              <w:ind w:left="0" w:right="0" w:firstLine="0"/>
              <w:jc w:val="center"/>
              <w:rPr>
                <w:b/>
                <w:sz w:val="17"/>
                <w:szCs w:val="17"/>
              </w:rPr>
            </w:pPr>
            <w:r w:rsidRPr="00BA050E">
              <w:rPr>
                <w:b/>
                <w:sz w:val="17"/>
                <w:szCs w:val="17"/>
              </w:rPr>
              <w:t>FY18</w:t>
            </w:r>
          </w:p>
        </w:tc>
        <w:tc>
          <w:tcPr>
            <w:tcW w:w="3150" w:type="dxa"/>
            <w:gridSpan w:val="4"/>
            <w:shd w:val="clear" w:color="auto" w:fill="E2EFD9"/>
            <w:vAlign w:val="center"/>
          </w:tcPr>
          <w:p w14:paraId="5A94B757" w14:textId="77777777" w:rsidR="008A5166" w:rsidRPr="00BA050E" w:rsidRDefault="008A5166" w:rsidP="008A5166">
            <w:pPr>
              <w:spacing w:after="0" w:line="240" w:lineRule="auto"/>
              <w:ind w:left="0" w:right="0" w:firstLine="0"/>
              <w:jc w:val="center"/>
              <w:rPr>
                <w:b/>
                <w:sz w:val="17"/>
                <w:szCs w:val="17"/>
              </w:rPr>
            </w:pPr>
            <w:r w:rsidRPr="00BA050E">
              <w:rPr>
                <w:b/>
                <w:sz w:val="17"/>
                <w:szCs w:val="17"/>
              </w:rPr>
              <w:t>FY19</w:t>
            </w:r>
          </w:p>
        </w:tc>
        <w:tc>
          <w:tcPr>
            <w:tcW w:w="4320" w:type="dxa"/>
            <w:tcBorders>
              <w:right w:val="single" w:sz="4" w:space="0" w:color="auto"/>
            </w:tcBorders>
            <w:shd w:val="clear" w:color="auto" w:fill="E2EFD9"/>
            <w:vAlign w:val="center"/>
          </w:tcPr>
          <w:p w14:paraId="164A6770" w14:textId="77777777" w:rsidR="008A5166" w:rsidRPr="00BA050E" w:rsidRDefault="008A5166" w:rsidP="008A5166">
            <w:pPr>
              <w:spacing w:after="0" w:line="240" w:lineRule="auto"/>
              <w:ind w:left="0" w:right="0" w:firstLine="0"/>
              <w:jc w:val="center"/>
              <w:rPr>
                <w:b/>
                <w:sz w:val="17"/>
                <w:szCs w:val="17"/>
              </w:rPr>
            </w:pPr>
            <w:r w:rsidRPr="00BA050E">
              <w:rPr>
                <w:b/>
                <w:sz w:val="17"/>
                <w:szCs w:val="17"/>
              </w:rPr>
              <w:t>FY18-19 Advisory Services and Analytics</w:t>
            </w:r>
          </w:p>
        </w:tc>
      </w:tr>
      <w:tr w:rsidR="008A5166" w:rsidRPr="00BA050E" w14:paraId="65347448" w14:textId="77777777" w:rsidTr="00B75615">
        <w:trPr>
          <w:trHeight w:val="287"/>
        </w:trPr>
        <w:tc>
          <w:tcPr>
            <w:tcW w:w="2605" w:type="dxa"/>
            <w:shd w:val="clear" w:color="auto" w:fill="auto"/>
          </w:tcPr>
          <w:p w14:paraId="20028143" w14:textId="77777777" w:rsidR="008A5166" w:rsidRPr="00BA050E" w:rsidRDefault="008A5166" w:rsidP="008A5166">
            <w:pPr>
              <w:spacing w:after="0" w:line="276" w:lineRule="auto"/>
              <w:ind w:left="0" w:right="0" w:firstLine="0"/>
              <w:jc w:val="left"/>
              <w:rPr>
                <w:sz w:val="17"/>
                <w:szCs w:val="17"/>
              </w:rPr>
            </w:pPr>
          </w:p>
        </w:tc>
        <w:tc>
          <w:tcPr>
            <w:tcW w:w="990" w:type="dxa"/>
            <w:shd w:val="clear" w:color="auto" w:fill="auto"/>
            <w:vAlign w:val="bottom"/>
          </w:tcPr>
          <w:p w14:paraId="1B25BC29" w14:textId="77777777" w:rsidR="008A5166" w:rsidRPr="00BA050E" w:rsidRDefault="008A5166" w:rsidP="008A5166">
            <w:pPr>
              <w:spacing w:after="0" w:line="240" w:lineRule="auto"/>
              <w:ind w:left="0" w:right="0" w:firstLine="0"/>
              <w:jc w:val="center"/>
              <w:rPr>
                <w:color w:val="auto"/>
                <w:sz w:val="15"/>
                <w:szCs w:val="15"/>
              </w:rPr>
            </w:pPr>
            <w:r w:rsidRPr="00BA050E">
              <w:rPr>
                <w:color w:val="auto"/>
                <w:sz w:val="15"/>
                <w:szCs w:val="15"/>
              </w:rPr>
              <w:t xml:space="preserve">IDA </w:t>
            </w:r>
            <w:proofErr w:type="spellStart"/>
            <w:r w:rsidRPr="00BA050E">
              <w:rPr>
                <w:color w:val="auto"/>
                <w:sz w:val="15"/>
                <w:szCs w:val="15"/>
              </w:rPr>
              <w:t>blend&amp;hard</w:t>
            </w:r>
            <w:proofErr w:type="spellEnd"/>
            <w:r w:rsidRPr="00BA050E">
              <w:rPr>
                <w:color w:val="auto"/>
                <w:sz w:val="15"/>
                <w:szCs w:val="15"/>
              </w:rPr>
              <w:t xml:space="preserve"> (</w:t>
            </w:r>
            <w:proofErr w:type="spellStart"/>
            <w:r w:rsidRPr="00BA050E">
              <w:rPr>
                <w:color w:val="auto"/>
                <w:sz w:val="15"/>
                <w:szCs w:val="15"/>
              </w:rPr>
              <w:t>SDRm</w:t>
            </w:r>
            <w:proofErr w:type="spellEnd"/>
            <w:r w:rsidRPr="00BA050E">
              <w:rPr>
                <w:color w:val="auto"/>
                <w:sz w:val="15"/>
                <w:szCs w:val="15"/>
              </w:rPr>
              <w:t>*)</w:t>
            </w:r>
          </w:p>
        </w:tc>
        <w:tc>
          <w:tcPr>
            <w:tcW w:w="630" w:type="dxa"/>
            <w:shd w:val="clear" w:color="auto" w:fill="auto"/>
          </w:tcPr>
          <w:p w14:paraId="11B03C0D" w14:textId="77777777" w:rsidR="008A5166" w:rsidRPr="00BA050E" w:rsidRDefault="008A5166" w:rsidP="008A5166">
            <w:pPr>
              <w:spacing w:after="0" w:line="240" w:lineRule="auto"/>
              <w:ind w:left="0" w:right="0" w:firstLine="0"/>
              <w:jc w:val="center"/>
              <w:rPr>
                <w:sz w:val="15"/>
                <w:szCs w:val="15"/>
              </w:rPr>
            </w:pPr>
            <w:r w:rsidRPr="00BA050E">
              <w:rPr>
                <w:iCs/>
                <w:color w:val="auto"/>
                <w:sz w:val="15"/>
                <w:szCs w:val="15"/>
              </w:rPr>
              <w:t>IDA (</w:t>
            </w:r>
            <w:proofErr w:type="spellStart"/>
            <w:r w:rsidRPr="00BA050E">
              <w:rPr>
                <w:iCs/>
                <w:color w:val="auto"/>
                <w:sz w:val="15"/>
                <w:szCs w:val="15"/>
              </w:rPr>
              <w:t>US$m</w:t>
            </w:r>
            <w:proofErr w:type="spellEnd"/>
            <w:r w:rsidRPr="00BA050E">
              <w:rPr>
                <w:iCs/>
                <w:color w:val="auto"/>
                <w:sz w:val="15"/>
                <w:szCs w:val="15"/>
              </w:rPr>
              <w:t>)</w:t>
            </w:r>
          </w:p>
        </w:tc>
        <w:tc>
          <w:tcPr>
            <w:tcW w:w="630" w:type="dxa"/>
          </w:tcPr>
          <w:p w14:paraId="30FC7951" w14:textId="77777777" w:rsidR="008A5166" w:rsidRPr="00BA050E" w:rsidRDefault="008A5166" w:rsidP="008A5166">
            <w:pPr>
              <w:spacing w:after="0" w:line="240" w:lineRule="auto"/>
              <w:ind w:left="0" w:right="0" w:firstLine="0"/>
              <w:jc w:val="center"/>
              <w:rPr>
                <w:sz w:val="15"/>
                <w:szCs w:val="15"/>
              </w:rPr>
            </w:pPr>
            <w:r w:rsidRPr="00BA050E">
              <w:rPr>
                <w:iCs/>
                <w:color w:val="auto"/>
                <w:sz w:val="15"/>
                <w:szCs w:val="15"/>
              </w:rPr>
              <w:t>IBRD (</w:t>
            </w:r>
            <w:proofErr w:type="spellStart"/>
            <w:r w:rsidRPr="00BA050E">
              <w:rPr>
                <w:iCs/>
                <w:color w:val="auto"/>
                <w:sz w:val="15"/>
                <w:szCs w:val="15"/>
              </w:rPr>
              <w:t>US$m</w:t>
            </w:r>
            <w:proofErr w:type="spellEnd"/>
            <w:r w:rsidRPr="00BA050E">
              <w:rPr>
                <w:iCs/>
                <w:color w:val="auto"/>
                <w:sz w:val="15"/>
                <w:szCs w:val="15"/>
              </w:rPr>
              <w:t>)</w:t>
            </w:r>
          </w:p>
        </w:tc>
        <w:tc>
          <w:tcPr>
            <w:tcW w:w="900" w:type="dxa"/>
            <w:shd w:val="clear" w:color="auto" w:fill="auto"/>
          </w:tcPr>
          <w:p w14:paraId="60C6F3E9" w14:textId="77777777" w:rsidR="008A5166" w:rsidRPr="00BA050E" w:rsidRDefault="008A5166" w:rsidP="008A5166">
            <w:pPr>
              <w:spacing w:after="0" w:line="240" w:lineRule="auto"/>
              <w:ind w:left="0" w:right="0" w:firstLine="0"/>
              <w:jc w:val="center"/>
              <w:rPr>
                <w:sz w:val="15"/>
                <w:szCs w:val="15"/>
              </w:rPr>
            </w:pPr>
            <w:r w:rsidRPr="00BA050E">
              <w:rPr>
                <w:sz w:val="15"/>
                <w:szCs w:val="15"/>
              </w:rPr>
              <w:t>Total IDA/IBRD (</w:t>
            </w:r>
            <w:proofErr w:type="spellStart"/>
            <w:r w:rsidRPr="00BA050E">
              <w:rPr>
                <w:sz w:val="15"/>
                <w:szCs w:val="15"/>
              </w:rPr>
              <w:t>US$m</w:t>
            </w:r>
            <w:proofErr w:type="spellEnd"/>
            <w:r w:rsidRPr="00BA050E">
              <w:rPr>
                <w:sz w:val="15"/>
                <w:szCs w:val="15"/>
              </w:rPr>
              <w:t>)</w:t>
            </w:r>
          </w:p>
        </w:tc>
        <w:tc>
          <w:tcPr>
            <w:tcW w:w="990" w:type="dxa"/>
            <w:shd w:val="clear" w:color="auto" w:fill="auto"/>
            <w:vAlign w:val="bottom"/>
          </w:tcPr>
          <w:p w14:paraId="4B882988" w14:textId="77777777" w:rsidR="008A5166" w:rsidRPr="00BA050E" w:rsidRDefault="008A5166" w:rsidP="008A5166">
            <w:pPr>
              <w:spacing w:after="0" w:line="240" w:lineRule="auto"/>
              <w:ind w:left="0" w:right="0" w:firstLine="0"/>
              <w:jc w:val="center"/>
              <w:rPr>
                <w:color w:val="auto"/>
                <w:sz w:val="15"/>
                <w:szCs w:val="15"/>
              </w:rPr>
            </w:pPr>
            <w:r w:rsidRPr="00BA050E">
              <w:rPr>
                <w:color w:val="auto"/>
                <w:sz w:val="15"/>
                <w:szCs w:val="15"/>
              </w:rPr>
              <w:t xml:space="preserve">IDA </w:t>
            </w:r>
            <w:proofErr w:type="spellStart"/>
            <w:r w:rsidRPr="00BA050E">
              <w:rPr>
                <w:color w:val="auto"/>
                <w:sz w:val="15"/>
                <w:szCs w:val="15"/>
              </w:rPr>
              <w:t>blend&amp;hard</w:t>
            </w:r>
            <w:proofErr w:type="spellEnd"/>
            <w:r w:rsidRPr="00BA050E">
              <w:rPr>
                <w:color w:val="auto"/>
                <w:sz w:val="15"/>
                <w:szCs w:val="15"/>
              </w:rPr>
              <w:t xml:space="preserve"> (</w:t>
            </w:r>
            <w:proofErr w:type="spellStart"/>
            <w:r w:rsidRPr="00BA050E">
              <w:rPr>
                <w:color w:val="auto"/>
                <w:sz w:val="15"/>
                <w:szCs w:val="15"/>
              </w:rPr>
              <w:t>SDRm</w:t>
            </w:r>
            <w:proofErr w:type="spellEnd"/>
            <w:r w:rsidRPr="00BA050E">
              <w:rPr>
                <w:color w:val="auto"/>
                <w:sz w:val="15"/>
                <w:szCs w:val="15"/>
              </w:rPr>
              <w:t>)</w:t>
            </w:r>
          </w:p>
        </w:tc>
        <w:tc>
          <w:tcPr>
            <w:tcW w:w="630" w:type="dxa"/>
            <w:shd w:val="clear" w:color="auto" w:fill="auto"/>
          </w:tcPr>
          <w:p w14:paraId="41AE11DC" w14:textId="77777777" w:rsidR="008A5166" w:rsidRPr="00BA050E" w:rsidRDefault="008A5166" w:rsidP="008A5166">
            <w:pPr>
              <w:spacing w:after="0" w:line="240" w:lineRule="auto"/>
              <w:ind w:left="0" w:right="0" w:firstLine="0"/>
              <w:jc w:val="center"/>
              <w:rPr>
                <w:sz w:val="15"/>
                <w:szCs w:val="15"/>
              </w:rPr>
            </w:pPr>
            <w:r w:rsidRPr="00BA050E">
              <w:rPr>
                <w:iCs/>
                <w:color w:val="auto"/>
                <w:sz w:val="15"/>
                <w:szCs w:val="15"/>
              </w:rPr>
              <w:t>IDA (</w:t>
            </w:r>
            <w:proofErr w:type="spellStart"/>
            <w:r w:rsidRPr="00BA050E">
              <w:rPr>
                <w:iCs/>
                <w:color w:val="auto"/>
                <w:sz w:val="15"/>
                <w:szCs w:val="15"/>
              </w:rPr>
              <w:t>US$m</w:t>
            </w:r>
            <w:proofErr w:type="spellEnd"/>
            <w:r w:rsidRPr="00BA050E">
              <w:rPr>
                <w:iCs/>
                <w:color w:val="auto"/>
                <w:sz w:val="15"/>
                <w:szCs w:val="15"/>
              </w:rPr>
              <w:t>)</w:t>
            </w:r>
          </w:p>
        </w:tc>
        <w:tc>
          <w:tcPr>
            <w:tcW w:w="630" w:type="dxa"/>
          </w:tcPr>
          <w:p w14:paraId="4DEFFB63" w14:textId="77777777" w:rsidR="008A5166" w:rsidRPr="00BA050E" w:rsidRDefault="008A5166" w:rsidP="008A5166">
            <w:pPr>
              <w:spacing w:after="0" w:line="240" w:lineRule="auto"/>
              <w:ind w:left="0" w:right="0" w:firstLine="0"/>
              <w:jc w:val="center"/>
              <w:rPr>
                <w:iCs/>
                <w:color w:val="auto"/>
                <w:sz w:val="15"/>
                <w:szCs w:val="15"/>
              </w:rPr>
            </w:pPr>
            <w:r w:rsidRPr="00BA050E">
              <w:rPr>
                <w:iCs/>
                <w:color w:val="auto"/>
                <w:sz w:val="15"/>
                <w:szCs w:val="15"/>
              </w:rPr>
              <w:t>IBRD (</w:t>
            </w:r>
            <w:proofErr w:type="spellStart"/>
            <w:r w:rsidRPr="00BA050E">
              <w:rPr>
                <w:iCs/>
                <w:color w:val="auto"/>
                <w:sz w:val="15"/>
                <w:szCs w:val="15"/>
              </w:rPr>
              <w:t>US$m</w:t>
            </w:r>
            <w:proofErr w:type="spellEnd"/>
            <w:r w:rsidRPr="00BA050E">
              <w:rPr>
                <w:iCs/>
                <w:color w:val="auto"/>
                <w:sz w:val="15"/>
                <w:szCs w:val="15"/>
              </w:rPr>
              <w:t>)</w:t>
            </w:r>
          </w:p>
        </w:tc>
        <w:tc>
          <w:tcPr>
            <w:tcW w:w="900" w:type="dxa"/>
            <w:shd w:val="clear" w:color="auto" w:fill="auto"/>
          </w:tcPr>
          <w:p w14:paraId="0A8BF656" w14:textId="77777777" w:rsidR="008A5166" w:rsidRPr="00BA050E" w:rsidRDefault="008A5166" w:rsidP="008A5166">
            <w:pPr>
              <w:spacing w:after="0" w:line="240" w:lineRule="auto"/>
              <w:ind w:left="0" w:right="0" w:firstLine="0"/>
              <w:jc w:val="center"/>
              <w:rPr>
                <w:sz w:val="15"/>
                <w:szCs w:val="15"/>
              </w:rPr>
            </w:pPr>
            <w:r w:rsidRPr="00BA050E">
              <w:rPr>
                <w:sz w:val="15"/>
                <w:szCs w:val="15"/>
              </w:rPr>
              <w:t>Total IDA/IBRD (</w:t>
            </w:r>
            <w:proofErr w:type="spellStart"/>
            <w:r w:rsidRPr="00BA050E">
              <w:rPr>
                <w:sz w:val="15"/>
                <w:szCs w:val="15"/>
              </w:rPr>
              <w:t>US$m</w:t>
            </w:r>
            <w:proofErr w:type="spellEnd"/>
            <w:r w:rsidRPr="00BA050E">
              <w:rPr>
                <w:sz w:val="15"/>
                <w:szCs w:val="15"/>
              </w:rPr>
              <w:t>)</w:t>
            </w:r>
          </w:p>
        </w:tc>
        <w:tc>
          <w:tcPr>
            <w:tcW w:w="4320" w:type="dxa"/>
            <w:tcBorders>
              <w:right w:val="single" w:sz="4" w:space="0" w:color="auto"/>
            </w:tcBorders>
            <w:shd w:val="clear" w:color="auto" w:fill="auto"/>
          </w:tcPr>
          <w:p w14:paraId="3675EDE6" w14:textId="77777777" w:rsidR="008A5166" w:rsidRPr="00BA050E" w:rsidRDefault="008A5166" w:rsidP="008A5166">
            <w:pPr>
              <w:spacing w:after="0" w:line="276" w:lineRule="auto"/>
              <w:ind w:left="0" w:right="0" w:firstLine="0"/>
              <w:jc w:val="center"/>
              <w:rPr>
                <w:sz w:val="17"/>
                <w:szCs w:val="17"/>
              </w:rPr>
            </w:pPr>
          </w:p>
        </w:tc>
      </w:tr>
      <w:tr w:rsidR="008A5166" w:rsidRPr="00BA050E" w14:paraId="353240BE" w14:textId="77777777" w:rsidTr="00B75615">
        <w:tc>
          <w:tcPr>
            <w:tcW w:w="13225" w:type="dxa"/>
            <w:gridSpan w:val="10"/>
          </w:tcPr>
          <w:p w14:paraId="285DE54B" w14:textId="77777777" w:rsidR="008A5166" w:rsidRPr="00BA050E" w:rsidRDefault="008A5166" w:rsidP="00B037C6">
            <w:pPr>
              <w:spacing w:after="40" w:line="240" w:lineRule="auto"/>
              <w:ind w:left="0" w:right="0" w:firstLine="0"/>
              <w:jc w:val="center"/>
              <w:rPr>
                <w:b/>
                <w:i/>
                <w:sz w:val="16"/>
                <w:szCs w:val="16"/>
              </w:rPr>
            </w:pPr>
            <w:r w:rsidRPr="00BA050E">
              <w:rPr>
                <w:b/>
                <w:sz w:val="16"/>
                <w:szCs w:val="16"/>
              </w:rPr>
              <w:t>FOCUS AREA 1:</w:t>
            </w:r>
            <w:r w:rsidRPr="00BA050E">
              <w:rPr>
                <w:b/>
                <w:i/>
                <w:sz w:val="16"/>
                <w:szCs w:val="16"/>
              </w:rPr>
              <w:t xml:space="preserve"> </w:t>
            </w:r>
            <w:r w:rsidRPr="00BA050E">
              <w:rPr>
                <w:rFonts w:eastAsia="SimSun"/>
                <w:b/>
                <w:color w:val="auto"/>
                <w:sz w:val="16"/>
                <w:szCs w:val="16"/>
              </w:rPr>
              <w:t xml:space="preserve">ECONOMIC </w:t>
            </w:r>
            <w:r w:rsidRPr="00BA050E">
              <w:rPr>
                <w:b/>
                <w:color w:val="auto"/>
                <w:sz w:val="16"/>
                <w:szCs w:val="16"/>
              </w:rPr>
              <w:t>GOVERNANCE</w:t>
            </w:r>
            <w:r w:rsidRPr="00BA050E">
              <w:rPr>
                <w:rFonts w:eastAsia="SimSun"/>
                <w:b/>
                <w:color w:val="auto"/>
                <w:sz w:val="16"/>
                <w:szCs w:val="16"/>
              </w:rPr>
              <w:t xml:space="preserve"> – </w:t>
            </w:r>
            <w:r w:rsidRPr="00BA050E">
              <w:rPr>
                <w:b/>
                <w:color w:val="auto"/>
                <w:sz w:val="16"/>
                <w:szCs w:val="16"/>
              </w:rPr>
              <w:t xml:space="preserve">STRENGTHENING RULE </w:t>
            </w:r>
            <w:r w:rsidRPr="00BA050E">
              <w:rPr>
                <w:rFonts w:eastAsia="SimSun"/>
                <w:b/>
                <w:color w:val="auto"/>
                <w:sz w:val="16"/>
                <w:szCs w:val="16"/>
              </w:rPr>
              <w:t>OF</w:t>
            </w:r>
            <w:r w:rsidRPr="00BA050E">
              <w:rPr>
                <w:b/>
                <w:color w:val="auto"/>
                <w:sz w:val="16"/>
                <w:szCs w:val="16"/>
              </w:rPr>
              <w:t xml:space="preserve"> LAW &amp; ACCOUNTABILITY </w:t>
            </w:r>
            <w:r w:rsidR="00094662">
              <w:rPr>
                <w:b/>
                <w:color w:val="auto"/>
                <w:sz w:val="16"/>
                <w:szCs w:val="16"/>
              </w:rPr>
              <w:t>IN</w:t>
            </w:r>
            <w:r w:rsidRPr="00BA050E">
              <w:rPr>
                <w:b/>
                <w:color w:val="auto"/>
                <w:sz w:val="16"/>
                <w:szCs w:val="16"/>
              </w:rPr>
              <w:t xml:space="preserve"> ECONOMIC INSTITUTIONS</w:t>
            </w:r>
          </w:p>
        </w:tc>
      </w:tr>
      <w:tr w:rsidR="008A5166" w:rsidRPr="00BA050E" w14:paraId="45EB6F6A" w14:textId="77777777" w:rsidTr="008A5166">
        <w:tc>
          <w:tcPr>
            <w:tcW w:w="2605" w:type="dxa"/>
          </w:tcPr>
          <w:p w14:paraId="63EA9256" w14:textId="77777777" w:rsidR="008A5166" w:rsidRPr="00BA050E" w:rsidRDefault="008A5166" w:rsidP="008A5166">
            <w:pPr>
              <w:spacing w:after="0" w:line="240" w:lineRule="auto"/>
              <w:ind w:left="0" w:right="0" w:firstLine="0"/>
              <w:jc w:val="left"/>
              <w:rPr>
                <w:sz w:val="17"/>
                <w:szCs w:val="17"/>
              </w:rPr>
            </w:pPr>
            <w:r w:rsidRPr="00BA050E">
              <w:rPr>
                <w:color w:val="auto"/>
                <w:sz w:val="17"/>
                <w:szCs w:val="17"/>
              </w:rPr>
              <w:t>Economic Governance DPO (Q2)</w:t>
            </w:r>
          </w:p>
        </w:tc>
        <w:tc>
          <w:tcPr>
            <w:tcW w:w="990" w:type="dxa"/>
            <w:shd w:val="clear" w:color="auto" w:fill="auto"/>
          </w:tcPr>
          <w:p w14:paraId="38FCDADD" w14:textId="77777777" w:rsidR="008A5166" w:rsidRPr="00BA050E" w:rsidRDefault="008A5166" w:rsidP="008A5166">
            <w:pPr>
              <w:spacing w:after="0" w:line="276" w:lineRule="auto"/>
              <w:ind w:left="0" w:right="0" w:firstLine="0"/>
              <w:jc w:val="center"/>
              <w:rPr>
                <w:sz w:val="17"/>
                <w:szCs w:val="17"/>
                <w:highlight w:val="yellow"/>
              </w:rPr>
            </w:pPr>
            <w:r w:rsidRPr="00BA050E">
              <w:rPr>
                <w:sz w:val="17"/>
                <w:szCs w:val="17"/>
              </w:rPr>
              <w:t>22.2</w:t>
            </w:r>
          </w:p>
        </w:tc>
        <w:tc>
          <w:tcPr>
            <w:tcW w:w="630" w:type="dxa"/>
          </w:tcPr>
          <w:p w14:paraId="57652028" w14:textId="77777777" w:rsidR="008A5166" w:rsidRPr="00BA050E" w:rsidRDefault="008A5166" w:rsidP="008A5166">
            <w:pPr>
              <w:spacing w:after="0" w:line="276" w:lineRule="auto"/>
              <w:ind w:left="0" w:right="0" w:firstLine="0"/>
              <w:jc w:val="center"/>
              <w:rPr>
                <w:sz w:val="17"/>
                <w:szCs w:val="17"/>
              </w:rPr>
            </w:pPr>
            <w:r w:rsidRPr="00BA050E">
              <w:rPr>
                <w:sz w:val="17"/>
                <w:szCs w:val="17"/>
              </w:rPr>
              <w:t>30.0</w:t>
            </w:r>
          </w:p>
        </w:tc>
        <w:tc>
          <w:tcPr>
            <w:tcW w:w="630" w:type="dxa"/>
          </w:tcPr>
          <w:p w14:paraId="5D8F907F" w14:textId="77777777" w:rsidR="008A5166" w:rsidRPr="00BA050E" w:rsidRDefault="008A5166" w:rsidP="008A5166">
            <w:pPr>
              <w:spacing w:after="0" w:line="276" w:lineRule="auto"/>
              <w:ind w:left="0" w:right="0" w:firstLine="0"/>
              <w:jc w:val="center"/>
              <w:rPr>
                <w:sz w:val="17"/>
                <w:szCs w:val="17"/>
              </w:rPr>
            </w:pPr>
          </w:p>
        </w:tc>
        <w:tc>
          <w:tcPr>
            <w:tcW w:w="900" w:type="dxa"/>
          </w:tcPr>
          <w:p w14:paraId="67A73C8A" w14:textId="77777777" w:rsidR="008A5166" w:rsidRPr="00BA050E" w:rsidRDefault="008A5166" w:rsidP="008A5166">
            <w:pPr>
              <w:spacing w:after="0" w:line="276" w:lineRule="auto"/>
              <w:ind w:left="0" w:right="0" w:firstLine="0"/>
              <w:jc w:val="center"/>
              <w:rPr>
                <w:sz w:val="17"/>
                <w:szCs w:val="17"/>
              </w:rPr>
            </w:pPr>
            <w:r w:rsidRPr="00BA050E">
              <w:rPr>
                <w:sz w:val="17"/>
                <w:szCs w:val="17"/>
              </w:rPr>
              <w:t>30.0</w:t>
            </w:r>
          </w:p>
        </w:tc>
        <w:tc>
          <w:tcPr>
            <w:tcW w:w="990" w:type="dxa"/>
          </w:tcPr>
          <w:p w14:paraId="15CA6343" w14:textId="77777777" w:rsidR="008A5166" w:rsidRPr="00BA050E" w:rsidRDefault="008A5166" w:rsidP="008A5166">
            <w:pPr>
              <w:spacing w:after="0" w:line="276" w:lineRule="auto"/>
              <w:ind w:left="0" w:right="0" w:firstLine="0"/>
              <w:jc w:val="center"/>
              <w:rPr>
                <w:sz w:val="17"/>
                <w:szCs w:val="17"/>
              </w:rPr>
            </w:pPr>
          </w:p>
        </w:tc>
        <w:tc>
          <w:tcPr>
            <w:tcW w:w="630" w:type="dxa"/>
          </w:tcPr>
          <w:p w14:paraId="104EAEC0" w14:textId="77777777" w:rsidR="008A5166" w:rsidRPr="00BA050E" w:rsidRDefault="008A5166" w:rsidP="008A5166">
            <w:pPr>
              <w:spacing w:after="0" w:line="276" w:lineRule="auto"/>
              <w:ind w:left="0" w:right="0" w:firstLine="0"/>
              <w:jc w:val="center"/>
              <w:rPr>
                <w:sz w:val="17"/>
                <w:szCs w:val="17"/>
              </w:rPr>
            </w:pPr>
          </w:p>
        </w:tc>
        <w:tc>
          <w:tcPr>
            <w:tcW w:w="630" w:type="dxa"/>
          </w:tcPr>
          <w:p w14:paraId="3592B213" w14:textId="77777777" w:rsidR="008A5166" w:rsidRPr="00BA050E" w:rsidRDefault="008A5166" w:rsidP="008A5166">
            <w:pPr>
              <w:spacing w:after="0" w:line="276" w:lineRule="auto"/>
              <w:ind w:left="0" w:right="0" w:firstLine="0"/>
              <w:jc w:val="center"/>
              <w:rPr>
                <w:sz w:val="17"/>
                <w:szCs w:val="17"/>
              </w:rPr>
            </w:pPr>
          </w:p>
        </w:tc>
        <w:tc>
          <w:tcPr>
            <w:tcW w:w="900" w:type="dxa"/>
          </w:tcPr>
          <w:p w14:paraId="57C650D4" w14:textId="77777777" w:rsidR="008A5166" w:rsidRPr="00BA050E" w:rsidRDefault="008A5166" w:rsidP="008A5166">
            <w:pPr>
              <w:spacing w:after="0" w:line="276" w:lineRule="auto"/>
              <w:ind w:left="0" w:right="0" w:firstLine="0"/>
              <w:jc w:val="center"/>
              <w:rPr>
                <w:sz w:val="17"/>
                <w:szCs w:val="17"/>
              </w:rPr>
            </w:pPr>
          </w:p>
        </w:tc>
        <w:tc>
          <w:tcPr>
            <w:tcW w:w="4320" w:type="dxa"/>
            <w:vMerge w:val="restart"/>
            <w:tcBorders>
              <w:right w:val="single" w:sz="4" w:space="0" w:color="000000"/>
            </w:tcBorders>
          </w:tcPr>
          <w:p w14:paraId="6E17AB41" w14:textId="77777777" w:rsidR="00C93ADD" w:rsidRPr="00BA050E" w:rsidRDefault="008A5166" w:rsidP="008A5166">
            <w:pPr>
              <w:spacing w:after="0" w:line="240" w:lineRule="auto"/>
              <w:ind w:left="0" w:right="0" w:firstLine="0"/>
              <w:jc w:val="left"/>
              <w:rPr>
                <w:color w:val="auto"/>
                <w:sz w:val="17"/>
                <w:szCs w:val="17"/>
              </w:rPr>
            </w:pPr>
            <w:r w:rsidRPr="00BA050E">
              <w:rPr>
                <w:color w:val="auto"/>
                <w:sz w:val="17"/>
                <w:szCs w:val="17"/>
              </w:rPr>
              <w:t xml:space="preserve">- </w:t>
            </w:r>
            <w:r w:rsidR="00C93ADD" w:rsidRPr="00BA050E">
              <w:rPr>
                <w:color w:val="auto"/>
                <w:sz w:val="17"/>
                <w:szCs w:val="17"/>
              </w:rPr>
              <w:t>IFC Investment Climate Advisory</w:t>
            </w:r>
          </w:p>
          <w:p w14:paraId="1D11DF71" w14:textId="77777777" w:rsidR="008A5166" w:rsidRPr="00BA050E" w:rsidRDefault="00C93ADD" w:rsidP="008A5166">
            <w:pPr>
              <w:spacing w:after="0" w:line="240" w:lineRule="auto"/>
              <w:ind w:left="0" w:right="0" w:firstLine="0"/>
              <w:jc w:val="left"/>
              <w:rPr>
                <w:color w:val="auto"/>
                <w:sz w:val="17"/>
                <w:szCs w:val="17"/>
              </w:rPr>
            </w:pPr>
            <w:r w:rsidRPr="00BA050E">
              <w:rPr>
                <w:color w:val="auto"/>
                <w:sz w:val="17"/>
                <w:szCs w:val="17"/>
              </w:rPr>
              <w:t>- P</w:t>
            </w:r>
            <w:r w:rsidR="008A5166" w:rsidRPr="00BA050E">
              <w:rPr>
                <w:color w:val="auto"/>
                <w:sz w:val="17"/>
                <w:szCs w:val="17"/>
              </w:rPr>
              <w:t>rogrammatic Financial Sector Monitoring</w:t>
            </w:r>
          </w:p>
          <w:p w14:paraId="51B5AB38"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Country Economic Memorandum on growth drivers</w:t>
            </w:r>
          </w:p>
          <w:p w14:paraId="417673E3"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Governance Reform Scorecard</w:t>
            </w:r>
          </w:p>
          <w:p w14:paraId="78489E8F"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Economic Rule of Law (EU-funded)</w:t>
            </w:r>
          </w:p>
          <w:p w14:paraId="14F7BEA6"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Economic Governance of the Energy Sector (EU-funded)</w:t>
            </w:r>
          </w:p>
          <w:p w14:paraId="7F59B2F4" w14:textId="77777777" w:rsidR="008A5166" w:rsidRPr="00BA050E" w:rsidRDefault="00C93ADD" w:rsidP="008A5166">
            <w:pPr>
              <w:spacing w:after="0" w:line="240" w:lineRule="auto"/>
              <w:ind w:left="0" w:right="0" w:firstLine="0"/>
              <w:jc w:val="left"/>
              <w:rPr>
                <w:color w:val="auto"/>
                <w:sz w:val="17"/>
                <w:szCs w:val="17"/>
              </w:rPr>
            </w:pPr>
            <w:r w:rsidRPr="00BA050E">
              <w:rPr>
                <w:color w:val="auto"/>
                <w:sz w:val="17"/>
                <w:szCs w:val="17"/>
              </w:rPr>
              <w:t xml:space="preserve">- Macro Fiscal Just-In-Time </w:t>
            </w:r>
            <w:r w:rsidR="008A5166" w:rsidRPr="00BA050E">
              <w:rPr>
                <w:color w:val="auto"/>
                <w:sz w:val="17"/>
                <w:szCs w:val="17"/>
              </w:rPr>
              <w:t>TA</w:t>
            </w:r>
          </w:p>
          <w:p w14:paraId="2F3333E0"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S</w:t>
            </w:r>
            <w:r w:rsidR="00C93ADD" w:rsidRPr="00BA050E">
              <w:rPr>
                <w:color w:val="auto"/>
                <w:sz w:val="17"/>
                <w:szCs w:val="17"/>
              </w:rPr>
              <w:t xml:space="preserve">tate-Owned Enterprise </w:t>
            </w:r>
            <w:r w:rsidRPr="00BA050E">
              <w:rPr>
                <w:color w:val="auto"/>
                <w:sz w:val="17"/>
                <w:szCs w:val="17"/>
              </w:rPr>
              <w:t>Reform (UK-funded)</w:t>
            </w:r>
          </w:p>
          <w:p w14:paraId="5A59EE51"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Transnistria Knowledge for Confidence Building (e-register in Transnistria)</w:t>
            </w:r>
            <w:r w:rsidR="00C93ADD" w:rsidRPr="00BA050E">
              <w:rPr>
                <w:color w:val="auto"/>
                <w:sz w:val="17"/>
                <w:szCs w:val="17"/>
              </w:rPr>
              <w:t xml:space="preserve">, to be confirmed </w:t>
            </w:r>
          </w:p>
          <w:p w14:paraId="47188061"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ESMAP Just-In-Time DH regulatory support</w:t>
            </w:r>
          </w:p>
          <w:p w14:paraId="1201D2BF" w14:textId="77777777" w:rsidR="008A5166" w:rsidRDefault="00C93ADD" w:rsidP="008A5166">
            <w:pPr>
              <w:spacing w:after="0" w:line="240" w:lineRule="auto"/>
              <w:ind w:left="0" w:right="0" w:firstLine="0"/>
              <w:jc w:val="left"/>
              <w:rPr>
                <w:color w:val="auto"/>
                <w:sz w:val="17"/>
                <w:szCs w:val="17"/>
              </w:rPr>
            </w:pPr>
            <w:r w:rsidRPr="00BA050E">
              <w:rPr>
                <w:color w:val="auto"/>
                <w:sz w:val="17"/>
                <w:szCs w:val="17"/>
              </w:rPr>
              <w:t xml:space="preserve">- Analysis &amp; </w:t>
            </w:r>
            <w:proofErr w:type="spellStart"/>
            <w:r w:rsidRPr="00BA050E">
              <w:rPr>
                <w:color w:val="auto"/>
                <w:sz w:val="17"/>
                <w:szCs w:val="17"/>
              </w:rPr>
              <w:t>dissem</w:t>
            </w:r>
            <w:proofErr w:type="spellEnd"/>
            <w:r w:rsidR="008A5166" w:rsidRPr="00BA050E">
              <w:rPr>
                <w:color w:val="auto"/>
                <w:sz w:val="17"/>
                <w:szCs w:val="17"/>
              </w:rPr>
              <w:t xml:space="preserve">. </w:t>
            </w:r>
            <w:r w:rsidRPr="00BA050E">
              <w:rPr>
                <w:color w:val="auto"/>
                <w:sz w:val="17"/>
                <w:szCs w:val="17"/>
              </w:rPr>
              <w:t>–</w:t>
            </w:r>
            <w:r w:rsidR="008A5166" w:rsidRPr="00BA050E">
              <w:rPr>
                <w:color w:val="auto"/>
                <w:sz w:val="17"/>
                <w:szCs w:val="17"/>
              </w:rPr>
              <w:t xml:space="preserve"> Cost</w:t>
            </w:r>
            <w:r w:rsidRPr="00BA050E">
              <w:rPr>
                <w:color w:val="auto"/>
                <w:sz w:val="17"/>
                <w:szCs w:val="17"/>
              </w:rPr>
              <w:t xml:space="preserve"> of Doing Business</w:t>
            </w:r>
            <w:r w:rsidR="008A5166" w:rsidRPr="00BA050E">
              <w:rPr>
                <w:color w:val="auto"/>
                <w:sz w:val="17"/>
                <w:szCs w:val="17"/>
              </w:rPr>
              <w:t>         </w:t>
            </w:r>
          </w:p>
          <w:p w14:paraId="6AFEA421" w14:textId="77777777" w:rsidR="00693232" w:rsidRPr="00BA050E" w:rsidRDefault="00693232" w:rsidP="008A5166">
            <w:pPr>
              <w:spacing w:after="0" w:line="240" w:lineRule="auto"/>
              <w:ind w:left="0" w:right="0" w:firstLine="0"/>
              <w:jc w:val="left"/>
              <w:rPr>
                <w:color w:val="auto"/>
                <w:sz w:val="17"/>
                <w:szCs w:val="17"/>
              </w:rPr>
            </w:pPr>
            <w:r>
              <w:rPr>
                <w:color w:val="auto"/>
                <w:sz w:val="17"/>
                <w:szCs w:val="17"/>
              </w:rPr>
              <w:t xml:space="preserve">- Tax Legislation Revision TA </w:t>
            </w:r>
          </w:p>
        </w:tc>
      </w:tr>
      <w:tr w:rsidR="008A5166" w:rsidRPr="00BA050E" w14:paraId="41FA5F96" w14:textId="77777777" w:rsidTr="008A5166">
        <w:tc>
          <w:tcPr>
            <w:tcW w:w="2605" w:type="dxa"/>
          </w:tcPr>
          <w:p w14:paraId="741DFEDC" w14:textId="77777777" w:rsidR="008A5166" w:rsidRPr="00BA050E" w:rsidRDefault="008A5166" w:rsidP="008A5166">
            <w:pPr>
              <w:spacing w:after="60" w:line="240" w:lineRule="auto"/>
              <w:ind w:left="0" w:right="0" w:firstLine="0"/>
              <w:jc w:val="left"/>
              <w:rPr>
                <w:sz w:val="17"/>
                <w:szCs w:val="17"/>
              </w:rPr>
            </w:pPr>
            <w:r w:rsidRPr="00BA050E">
              <w:rPr>
                <w:sz w:val="17"/>
                <w:szCs w:val="17"/>
              </w:rPr>
              <w:t>Transparent Power Market (Q3) – relevant for both focus areas 1&amp;2</w:t>
            </w:r>
          </w:p>
        </w:tc>
        <w:tc>
          <w:tcPr>
            <w:tcW w:w="990" w:type="dxa"/>
          </w:tcPr>
          <w:p w14:paraId="3DC73775" w14:textId="77777777" w:rsidR="008A5166" w:rsidRPr="00BA050E" w:rsidRDefault="008A5166" w:rsidP="008A5166">
            <w:pPr>
              <w:spacing w:after="0" w:line="276" w:lineRule="auto"/>
              <w:ind w:left="0" w:right="0" w:firstLine="0"/>
              <w:jc w:val="center"/>
              <w:rPr>
                <w:sz w:val="17"/>
                <w:szCs w:val="17"/>
              </w:rPr>
            </w:pPr>
            <w:r w:rsidRPr="00BA050E">
              <w:rPr>
                <w:sz w:val="17"/>
                <w:szCs w:val="17"/>
              </w:rPr>
              <w:t>40.7</w:t>
            </w:r>
          </w:p>
        </w:tc>
        <w:tc>
          <w:tcPr>
            <w:tcW w:w="630" w:type="dxa"/>
          </w:tcPr>
          <w:p w14:paraId="1EA74EF6" w14:textId="77777777" w:rsidR="008A5166" w:rsidRPr="00BA050E" w:rsidRDefault="008A5166" w:rsidP="008A5166">
            <w:pPr>
              <w:spacing w:after="0" w:line="276" w:lineRule="auto"/>
              <w:ind w:left="0" w:right="0" w:firstLine="0"/>
              <w:jc w:val="center"/>
              <w:rPr>
                <w:sz w:val="17"/>
                <w:szCs w:val="17"/>
              </w:rPr>
            </w:pPr>
            <w:r w:rsidRPr="00BA050E">
              <w:rPr>
                <w:sz w:val="17"/>
                <w:szCs w:val="17"/>
              </w:rPr>
              <w:t>55.0</w:t>
            </w:r>
          </w:p>
        </w:tc>
        <w:tc>
          <w:tcPr>
            <w:tcW w:w="630" w:type="dxa"/>
          </w:tcPr>
          <w:p w14:paraId="138CE379" w14:textId="77777777" w:rsidR="008A5166" w:rsidRPr="00BA050E" w:rsidRDefault="008A5166" w:rsidP="008A5166">
            <w:pPr>
              <w:spacing w:after="0" w:line="276" w:lineRule="auto"/>
              <w:ind w:left="0" w:right="0" w:firstLine="0"/>
              <w:jc w:val="center"/>
              <w:rPr>
                <w:sz w:val="17"/>
                <w:szCs w:val="17"/>
              </w:rPr>
            </w:pPr>
          </w:p>
        </w:tc>
        <w:tc>
          <w:tcPr>
            <w:tcW w:w="900" w:type="dxa"/>
          </w:tcPr>
          <w:p w14:paraId="1EFF63F6" w14:textId="77777777" w:rsidR="008A5166" w:rsidRPr="00BA050E" w:rsidRDefault="008A5166" w:rsidP="008A5166">
            <w:pPr>
              <w:spacing w:after="0" w:line="276" w:lineRule="auto"/>
              <w:ind w:left="0" w:right="0" w:firstLine="0"/>
              <w:jc w:val="center"/>
              <w:rPr>
                <w:sz w:val="17"/>
                <w:szCs w:val="17"/>
              </w:rPr>
            </w:pPr>
            <w:r w:rsidRPr="00BA050E">
              <w:rPr>
                <w:sz w:val="17"/>
                <w:szCs w:val="17"/>
              </w:rPr>
              <w:t>55.0</w:t>
            </w:r>
          </w:p>
        </w:tc>
        <w:tc>
          <w:tcPr>
            <w:tcW w:w="990" w:type="dxa"/>
          </w:tcPr>
          <w:p w14:paraId="46AAA763" w14:textId="77777777" w:rsidR="008A5166" w:rsidRPr="00BA050E" w:rsidRDefault="008A5166" w:rsidP="008A5166">
            <w:pPr>
              <w:spacing w:after="0" w:line="276" w:lineRule="auto"/>
              <w:ind w:left="0" w:right="0" w:firstLine="0"/>
              <w:jc w:val="center"/>
              <w:rPr>
                <w:sz w:val="17"/>
                <w:szCs w:val="17"/>
              </w:rPr>
            </w:pPr>
          </w:p>
        </w:tc>
        <w:tc>
          <w:tcPr>
            <w:tcW w:w="630" w:type="dxa"/>
          </w:tcPr>
          <w:p w14:paraId="1BE464B2" w14:textId="77777777" w:rsidR="008A5166" w:rsidRPr="00BA050E" w:rsidRDefault="008A5166" w:rsidP="008A5166">
            <w:pPr>
              <w:spacing w:after="0" w:line="276" w:lineRule="auto"/>
              <w:ind w:left="0" w:right="0" w:firstLine="0"/>
              <w:jc w:val="center"/>
              <w:rPr>
                <w:sz w:val="17"/>
                <w:szCs w:val="17"/>
              </w:rPr>
            </w:pPr>
          </w:p>
        </w:tc>
        <w:tc>
          <w:tcPr>
            <w:tcW w:w="630" w:type="dxa"/>
          </w:tcPr>
          <w:p w14:paraId="23F7D170" w14:textId="77777777" w:rsidR="008A5166" w:rsidRPr="00BA050E" w:rsidRDefault="008A5166" w:rsidP="008A5166">
            <w:pPr>
              <w:spacing w:after="0" w:line="276" w:lineRule="auto"/>
              <w:ind w:left="0" w:right="0" w:firstLine="0"/>
              <w:jc w:val="center"/>
              <w:rPr>
                <w:sz w:val="17"/>
                <w:szCs w:val="17"/>
              </w:rPr>
            </w:pPr>
          </w:p>
        </w:tc>
        <w:tc>
          <w:tcPr>
            <w:tcW w:w="900" w:type="dxa"/>
          </w:tcPr>
          <w:p w14:paraId="752A882E" w14:textId="77777777" w:rsidR="008A5166" w:rsidRPr="00BA050E" w:rsidRDefault="008A5166" w:rsidP="008A5166">
            <w:pPr>
              <w:spacing w:after="0" w:line="276" w:lineRule="auto"/>
              <w:ind w:left="0" w:right="0" w:firstLine="0"/>
              <w:jc w:val="center"/>
              <w:rPr>
                <w:sz w:val="17"/>
                <w:szCs w:val="17"/>
              </w:rPr>
            </w:pPr>
          </w:p>
        </w:tc>
        <w:tc>
          <w:tcPr>
            <w:tcW w:w="4320" w:type="dxa"/>
            <w:vMerge/>
            <w:tcBorders>
              <w:right w:val="single" w:sz="4" w:space="0" w:color="000000"/>
            </w:tcBorders>
          </w:tcPr>
          <w:p w14:paraId="7BB74C63" w14:textId="77777777" w:rsidR="008A5166" w:rsidRPr="00BA050E" w:rsidRDefault="008A5166" w:rsidP="008A5166">
            <w:pPr>
              <w:spacing w:after="0" w:line="276" w:lineRule="auto"/>
              <w:ind w:left="0" w:right="0" w:firstLine="0"/>
              <w:jc w:val="left"/>
              <w:rPr>
                <w:sz w:val="17"/>
                <w:szCs w:val="17"/>
              </w:rPr>
            </w:pPr>
          </w:p>
        </w:tc>
      </w:tr>
      <w:tr w:rsidR="008A5166" w:rsidRPr="00BA050E" w14:paraId="3AA33A9F" w14:textId="77777777" w:rsidTr="008A5166">
        <w:tc>
          <w:tcPr>
            <w:tcW w:w="13225" w:type="dxa"/>
            <w:gridSpan w:val="10"/>
            <w:tcBorders>
              <w:right w:val="single" w:sz="4" w:space="0" w:color="000000"/>
            </w:tcBorders>
          </w:tcPr>
          <w:p w14:paraId="3D31CD71" w14:textId="77777777" w:rsidR="008A5166" w:rsidRPr="00BA050E" w:rsidRDefault="008A5166" w:rsidP="00B037C6">
            <w:pPr>
              <w:spacing w:after="40" w:line="240" w:lineRule="auto"/>
              <w:ind w:left="0" w:right="0" w:firstLine="0"/>
              <w:jc w:val="center"/>
              <w:rPr>
                <w:b/>
                <w:color w:val="auto"/>
                <w:sz w:val="16"/>
                <w:szCs w:val="16"/>
              </w:rPr>
            </w:pPr>
            <w:r w:rsidRPr="00BA050E">
              <w:rPr>
                <w:b/>
                <w:color w:val="auto"/>
                <w:sz w:val="16"/>
                <w:szCs w:val="16"/>
              </w:rPr>
              <w:t>FOCUS AREA 2</w:t>
            </w:r>
            <w:r w:rsidRPr="00BA050E">
              <w:rPr>
                <w:rFonts w:eastAsia="SimSun"/>
                <w:b/>
                <w:color w:val="auto"/>
                <w:sz w:val="16"/>
                <w:szCs w:val="16"/>
              </w:rPr>
              <w:t>: SERVICE GOVERNANCE – IMPROVING EFFICIENCY, QUALITY &amp; INCLUSIVE ACCESS TO</w:t>
            </w:r>
            <w:r w:rsidRPr="00BA050E">
              <w:rPr>
                <w:b/>
                <w:color w:val="auto"/>
                <w:sz w:val="16"/>
                <w:szCs w:val="16"/>
              </w:rPr>
              <w:t xml:space="preserve"> PUBLIC SERVICES</w:t>
            </w:r>
          </w:p>
        </w:tc>
      </w:tr>
      <w:tr w:rsidR="008A5166" w:rsidRPr="00BA050E" w14:paraId="468BD619" w14:textId="77777777" w:rsidTr="008A5166">
        <w:tc>
          <w:tcPr>
            <w:tcW w:w="2605" w:type="dxa"/>
          </w:tcPr>
          <w:p w14:paraId="230CC60C" w14:textId="77777777" w:rsidR="008A5166" w:rsidRPr="00BA050E" w:rsidRDefault="008A5166" w:rsidP="008A5166">
            <w:pPr>
              <w:spacing w:after="0" w:line="240" w:lineRule="auto"/>
              <w:ind w:left="0" w:right="0" w:firstLine="0"/>
              <w:jc w:val="left"/>
              <w:rPr>
                <w:sz w:val="17"/>
                <w:szCs w:val="17"/>
              </w:rPr>
            </w:pPr>
            <w:r w:rsidRPr="00BA050E">
              <w:rPr>
                <w:color w:val="auto"/>
                <w:sz w:val="17"/>
                <w:szCs w:val="17"/>
              </w:rPr>
              <w:t>Modernization of Government Services (Q1)</w:t>
            </w:r>
          </w:p>
        </w:tc>
        <w:tc>
          <w:tcPr>
            <w:tcW w:w="990" w:type="dxa"/>
          </w:tcPr>
          <w:p w14:paraId="3C167D7F" w14:textId="77777777" w:rsidR="008A5166" w:rsidRPr="00BA050E" w:rsidRDefault="008A5166" w:rsidP="008A5166">
            <w:pPr>
              <w:spacing w:after="0" w:line="276" w:lineRule="auto"/>
              <w:ind w:left="0" w:right="0" w:firstLine="0"/>
              <w:jc w:val="center"/>
              <w:rPr>
                <w:sz w:val="17"/>
                <w:szCs w:val="17"/>
              </w:rPr>
            </w:pPr>
            <w:r w:rsidRPr="00BA050E">
              <w:rPr>
                <w:sz w:val="17"/>
                <w:szCs w:val="17"/>
              </w:rPr>
              <w:t>11.1</w:t>
            </w:r>
          </w:p>
        </w:tc>
        <w:tc>
          <w:tcPr>
            <w:tcW w:w="630" w:type="dxa"/>
          </w:tcPr>
          <w:p w14:paraId="45D94163" w14:textId="77777777" w:rsidR="008A5166" w:rsidRPr="00BA050E" w:rsidRDefault="008A5166" w:rsidP="008A5166">
            <w:pPr>
              <w:spacing w:after="0" w:line="276" w:lineRule="auto"/>
              <w:ind w:left="0" w:right="0" w:firstLine="0"/>
              <w:jc w:val="center"/>
              <w:rPr>
                <w:sz w:val="17"/>
                <w:szCs w:val="17"/>
              </w:rPr>
            </w:pPr>
            <w:r w:rsidRPr="00BA050E">
              <w:rPr>
                <w:sz w:val="17"/>
                <w:szCs w:val="17"/>
              </w:rPr>
              <w:t>15.0</w:t>
            </w:r>
          </w:p>
        </w:tc>
        <w:tc>
          <w:tcPr>
            <w:tcW w:w="630" w:type="dxa"/>
          </w:tcPr>
          <w:p w14:paraId="3AAE3B0C" w14:textId="77777777" w:rsidR="008A5166" w:rsidRPr="00BA050E" w:rsidRDefault="008A5166" w:rsidP="008A5166">
            <w:pPr>
              <w:spacing w:after="0" w:line="276" w:lineRule="auto"/>
              <w:ind w:left="0" w:right="0" w:firstLine="0"/>
              <w:jc w:val="center"/>
              <w:rPr>
                <w:sz w:val="17"/>
                <w:szCs w:val="17"/>
              </w:rPr>
            </w:pPr>
            <w:r w:rsidRPr="00BA050E">
              <w:rPr>
                <w:sz w:val="17"/>
                <w:szCs w:val="17"/>
              </w:rPr>
              <w:t>5.0</w:t>
            </w:r>
          </w:p>
        </w:tc>
        <w:tc>
          <w:tcPr>
            <w:tcW w:w="900" w:type="dxa"/>
          </w:tcPr>
          <w:p w14:paraId="491C0B28" w14:textId="77777777" w:rsidR="008A5166" w:rsidRPr="00BA050E" w:rsidRDefault="008A5166" w:rsidP="008A5166">
            <w:pPr>
              <w:spacing w:after="0" w:line="276" w:lineRule="auto"/>
              <w:ind w:left="0" w:right="0" w:firstLine="0"/>
              <w:jc w:val="center"/>
              <w:rPr>
                <w:sz w:val="17"/>
                <w:szCs w:val="17"/>
              </w:rPr>
            </w:pPr>
            <w:r w:rsidRPr="00BA050E">
              <w:rPr>
                <w:sz w:val="17"/>
                <w:szCs w:val="17"/>
              </w:rPr>
              <w:t>20.0</w:t>
            </w:r>
          </w:p>
        </w:tc>
        <w:tc>
          <w:tcPr>
            <w:tcW w:w="990" w:type="dxa"/>
          </w:tcPr>
          <w:p w14:paraId="53E4E887" w14:textId="77777777" w:rsidR="008A5166" w:rsidRPr="00BA050E" w:rsidRDefault="008A5166" w:rsidP="008A5166">
            <w:pPr>
              <w:spacing w:after="0" w:line="276" w:lineRule="auto"/>
              <w:ind w:left="0" w:right="0" w:firstLine="0"/>
              <w:jc w:val="center"/>
              <w:rPr>
                <w:sz w:val="17"/>
                <w:szCs w:val="17"/>
              </w:rPr>
            </w:pPr>
          </w:p>
        </w:tc>
        <w:tc>
          <w:tcPr>
            <w:tcW w:w="630" w:type="dxa"/>
          </w:tcPr>
          <w:p w14:paraId="0FB96B92" w14:textId="77777777" w:rsidR="008A5166" w:rsidRPr="00BA050E" w:rsidRDefault="008A5166" w:rsidP="008A5166">
            <w:pPr>
              <w:spacing w:after="0" w:line="276" w:lineRule="auto"/>
              <w:ind w:left="0" w:right="0" w:firstLine="0"/>
              <w:jc w:val="center"/>
              <w:rPr>
                <w:sz w:val="17"/>
                <w:szCs w:val="17"/>
              </w:rPr>
            </w:pPr>
          </w:p>
        </w:tc>
        <w:tc>
          <w:tcPr>
            <w:tcW w:w="630" w:type="dxa"/>
          </w:tcPr>
          <w:p w14:paraId="5760826D" w14:textId="77777777" w:rsidR="008A5166" w:rsidRPr="00BA050E" w:rsidRDefault="008A5166" w:rsidP="008A5166">
            <w:pPr>
              <w:spacing w:after="0" w:line="276" w:lineRule="auto"/>
              <w:ind w:left="0" w:right="0" w:firstLine="0"/>
              <w:jc w:val="center"/>
              <w:rPr>
                <w:sz w:val="17"/>
                <w:szCs w:val="17"/>
              </w:rPr>
            </w:pPr>
          </w:p>
        </w:tc>
        <w:tc>
          <w:tcPr>
            <w:tcW w:w="900" w:type="dxa"/>
          </w:tcPr>
          <w:p w14:paraId="2C7866E4" w14:textId="77777777" w:rsidR="008A5166" w:rsidRPr="00BA050E" w:rsidRDefault="008A5166" w:rsidP="008A5166">
            <w:pPr>
              <w:spacing w:after="0" w:line="276" w:lineRule="auto"/>
              <w:ind w:left="0" w:right="0" w:firstLine="0"/>
              <w:jc w:val="center"/>
              <w:rPr>
                <w:sz w:val="17"/>
                <w:szCs w:val="17"/>
              </w:rPr>
            </w:pPr>
          </w:p>
        </w:tc>
        <w:tc>
          <w:tcPr>
            <w:tcW w:w="4320" w:type="dxa"/>
            <w:vMerge w:val="restart"/>
            <w:tcBorders>
              <w:right w:val="single" w:sz="4" w:space="0" w:color="000000"/>
            </w:tcBorders>
          </w:tcPr>
          <w:p w14:paraId="221003C2"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Health Public Expenditure Review</w:t>
            </w:r>
            <w:r w:rsidR="00CD7042" w:rsidRPr="00BA050E">
              <w:rPr>
                <w:color w:val="auto"/>
                <w:sz w:val="17"/>
                <w:szCs w:val="17"/>
              </w:rPr>
              <w:t xml:space="preserve"> (Switzerland funding)</w:t>
            </w:r>
          </w:p>
          <w:p w14:paraId="5B6CF587"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Education Public Expenditure Review</w:t>
            </w:r>
          </w:p>
          <w:p w14:paraId="7E1423E4" w14:textId="77777777" w:rsidR="008A5166" w:rsidRPr="00BA050E" w:rsidRDefault="00CD7042" w:rsidP="008A5166">
            <w:pPr>
              <w:spacing w:after="0" w:line="240" w:lineRule="auto"/>
              <w:ind w:left="0" w:right="0" w:firstLine="0"/>
              <w:jc w:val="left"/>
              <w:rPr>
                <w:color w:val="auto"/>
                <w:sz w:val="17"/>
                <w:szCs w:val="17"/>
              </w:rPr>
            </w:pPr>
            <w:r w:rsidRPr="00BA050E">
              <w:rPr>
                <w:color w:val="auto"/>
                <w:sz w:val="17"/>
                <w:szCs w:val="17"/>
              </w:rPr>
              <w:t xml:space="preserve">- Road Safety </w:t>
            </w:r>
          </w:p>
          <w:p w14:paraId="65B1D896" w14:textId="77777777" w:rsidR="008A5166" w:rsidRPr="00BA050E" w:rsidRDefault="00CD7042" w:rsidP="008A5166">
            <w:pPr>
              <w:spacing w:after="0" w:line="240" w:lineRule="auto"/>
              <w:ind w:left="0" w:right="0" w:firstLine="0"/>
              <w:jc w:val="left"/>
              <w:rPr>
                <w:color w:val="auto"/>
                <w:sz w:val="17"/>
                <w:szCs w:val="17"/>
              </w:rPr>
            </w:pPr>
            <w:r w:rsidRPr="00BA050E">
              <w:rPr>
                <w:color w:val="auto"/>
                <w:sz w:val="17"/>
                <w:szCs w:val="17"/>
              </w:rPr>
              <w:t>- IT-enabled employment creation</w:t>
            </w:r>
          </w:p>
          <w:p w14:paraId="72CEEEF2"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Commitment to Equity and Poverty Monitoring</w:t>
            </w:r>
          </w:p>
          <w:p w14:paraId="07B1AECE"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xml:space="preserve">- Pension Reform </w:t>
            </w:r>
            <w:proofErr w:type="spellStart"/>
            <w:r w:rsidRPr="00BA050E">
              <w:rPr>
                <w:color w:val="auto"/>
                <w:sz w:val="17"/>
                <w:szCs w:val="17"/>
              </w:rPr>
              <w:t>Imp</w:t>
            </w:r>
            <w:r w:rsidR="00CD7042" w:rsidRPr="00BA050E">
              <w:rPr>
                <w:color w:val="auto"/>
                <w:sz w:val="17"/>
                <w:szCs w:val="17"/>
              </w:rPr>
              <w:t>lem</w:t>
            </w:r>
            <w:proofErr w:type="spellEnd"/>
            <w:r w:rsidR="00CD7042" w:rsidRPr="00BA050E">
              <w:rPr>
                <w:color w:val="auto"/>
                <w:sz w:val="17"/>
                <w:szCs w:val="17"/>
              </w:rPr>
              <w:t>. and Benefit Administration</w:t>
            </w:r>
          </w:p>
        </w:tc>
      </w:tr>
      <w:tr w:rsidR="008A5166" w:rsidRPr="00BA050E" w14:paraId="2343F267" w14:textId="77777777" w:rsidTr="00C93ADD">
        <w:tc>
          <w:tcPr>
            <w:tcW w:w="2605" w:type="dxa"/>
          </w:tcPr>
          <w:p w14:paraId="7DA15EEF" w14:textId="77777777" w:rsidR="008A5166" w:rsidRPr="00BA050E" w:rsidRDefault="008A5166" w:rsidP="00C93ADD">
            <w:pPr>
              <w:spacing w:after="60" w:line="240" w:lineRule="auto"/>
              <w:ind w:left="0" w:right="0" w:firstLine="0"/>
              <w:jc w:val="left"/>
              <w:rPr>
                <w:color w:val="auto"/>
                <w:sz w:val="17"/>
                <w:szCs w:val="17"/>
              </w:rPr>
            </w:pPr>
            <w:r w:rsidRPr="00BA050E">
              <w:rPr>
                <w:sz w:val="17"/>
                <w:szCs w:val="17"/>
              </w:rPr>
              <w:t>Land Registration, Valuation and Local Taxation (Q3)</w:t>
            </w:r>
          </w:p>
        </w:tc>
        <w:tc>
          <w:tcPr>
            <w:tcW w:w="990" w:type="dxa"/>
          </w:tcPr>
          <w:p w14:paraId="32C3FF92" w14:textId="77777777" w:rsidR="008A5166" w:rsidRPr="00BA050E" w:rsidRDefault="008A5166" w:rsidP="008A5166">
            <w:pPr>
              <w:spacing w:after="0" w:line="276" w:lineRule="auto"/>
              <w:ind w:left="0" w:right="0" w:firstLine="0"/>
              <w:jc w:val="center"/>
              <w:rPr>
                <w:sz w:val="17"/>
                <w:szCs w:val="17"/>
              </w:rPr>
            </w:pPr>
            <w:r w:rsidRPr="00BA050E">
              <w:rPr>
                <w:sz w:val="17"/>
                <w:szCs w:val="17"/>
              </w:rPr>
              <w:t>25.9</w:t>
            </w:r>
          </w:p>
        </w:tc>
        <w:tc>
          <w:tcPr>
            <w:tcW w:w="630" w:type="dxa"/>
          </w:tcPr>
          <w:p w14:paraId="24304A8C" w14:textId="77777777" w:rsidR="008A5166" w:rsidRPr="00BA050E" w:rsidRDefault="008A5166" w:rsidP="008A5166">
            <w:pPr>
              <w:spacing w:after="0" w:line="276" w:lineRule="auto"/>
              <w:ind w:left="0" w:right="0" w:firstLine="0"/>
              <w:jc w:val="center"/>
              <w:rPr>
                <w:sz w:val="17"/>
                <w:szCs w:val="17"/>
              </w:rPr>
            </w:pPr>
            <w:r w:rsidRPr="00BA050E">
              <w:rPr>
                <w:sz w:val="17"/>
                <w:szCs w:val="17"/>
              </w:rPr>
              <w:t>35.0</w:t>
            </w:r>
          </w:p>
        </w:tc>
        <w:tc>
          <w:tcPr>
            <w:tcW w:w="630" w:type="dxa"/>
          </w:tcPr>
          <w:p w14:paraId="6BA8B3C6" w14:textId="77777777" w:rsidR="008A5166" w:rsidRPr="00BA050E" w:rsidRDefault="008A5166" w:rsidP="008A5166">
            <w:pPr>
              <w:spacing w:after="0" w:line="276" w:lineRule="auto"/>
              <w:ind w:left="0" w:right="0" w:firstLine="0"/>
              <w:jc w:val="center"/>
              <w:rPr>
                <w:sz w:val="17"/>
                <w:szCs w:val="17"/>
              </w:rPr>
            </w:pPr>
          </w:p>
        </w:tc>
        <w:tc>
          <w:tcPr>
            <w:tcW w:w="900" w:type="dxa"/>
          </w:tcPr>
          <w:p w14:paraId="4205A7BE" w14:textId="77777777" w:rsidR="008A5166" w:rsidRPr="00BA050E" w:rsidRDefault="008A5166" w:rsidP="008A5166">
            <w:pPr>
              <w:spacing w:after="0" w:line="276" w:lineRule="auto"/>
              <w:ind w:left="0" w:right="0" w:firstLine="0"/>
              <w:jc w:val="center"/>
              <w:rPr>
                <w:sz w:val="17"/>
                <w:szCs w:val="17"/>
              </w:rPr>
            </w:pPr>
            <w:r w:rsidRPr="00BA050E">
              <w:rPr>
                <w:sz w:val="17"/>
                <w:szCs w:val="17"/>
              </w:rPr>
              <w:t>35.0</w:t>
            </w:r>
          </w:p>
        </w:tc>
        <w:tc>
          <w:tcPr>
            <w:tcW w:w="990" w:type="dxa"/>
          </w:tcPr>
          <w:p w14:paraId="6E0104C1" w14:textId="77777777" w:rsidR="008A5166" w:rsidRPr="00BA050E" w:rsidRDefault="008A5166" w:rsidP="008A5166">
            <w:pPr>
              <w:spacing w:after="0" w:line="276" w:lineRule="auto"/>
              <w:ind w:left="0" w:right="0" w:firstLine="0"/>
              <w:jc w:val="center"/>
              <w:rPr>
                <w:sz w:val="17"/>
                <w:szCs w:val="17"/>
              </w:rPr>
            </w:pPr>
          </w:p>
        </w:tc>
        <w:tc>
          <w:tcPr>
            <w:tcW w:w="630" w:type="dxa"/>
          </w:tcPr>
          <w:p w14:paraId="38204D0F" w14:textId="77777777" w:rsidR="008A5166" w:rsidRPr="00BA050E" w:rsidRDefault="008A5166" w:rsidP="008A5166">
            <w:pPr>
              <w:spacing w:after="0" w:line="276" w:lineRule="auto"/>
              <w:ind w:left="0" w:right="0" w:firstLine="0"/>
              <w:jc w:val="center"/>
              <w:rPr>
                <w:sz w:val="17"/>
                <w:szCs w:val="17"/>
              </w:rPr>
            </w:pPr>
          </w:p>
        </w:tc>
        <w:tc>
          <w:tcPr>
            <w:tcW w:w="630" w:type="dxa"/>
          </w:tcPr>
          <w:p w14:paraId="4A39167C" w14:textId="77777777" w:rsidR="008A5166" w:rsidRPr="00BA050E" w:rsidRDefault="008A5166" w:rsidP="008A5166">
            <w:pPr>
              <w:spacing w:after="0" w:line="276" w:lineRule="auto"/>
              <w:ind w:left="0" w:right="0" w:firstLine="0"/>
              <w:jc w:val="center"/>
              <w:rPr>
                <w:sz w:val="17"/>
                <w:szCs w:val="17"/>
              </w:rPr>
            </w:pPr>
          </w:p>
        </w:tc>
        <w:tc>
          <w:tcPr>
            <w:tcW w:w="900" w:type="dxa"/>
          </w:tcPr>
          <w:p w14:paraId="0B206B51" w14:textId="77777777" w:rsidR="008A5166" w:rsidRPr="00BA050E" w:rsidRDefault="008A5166" w:rsidP="008A5166">
            <w:pPr>
              <w:spacing w:after="0" w:line="276" w:lineRule="auto"/>
              <w:ind w:left="0" w:right="0" w:firstLine="0"/>
              <w:jc w:val="center"/>
              <w:rPr>
                <w:sz w:val="17"/>
                <w:szCs w:val="17"/>
              </w:rPr>
            </w:pPr>
          </w:p>
        </w:tc>
        <w:tc>
          <w:tcPr>
            <w:tcW w:w="4320" w:type="dxa"/>
            <w:vMerge/>
            <w:tcBorders>
              <w:right w:val="single" w:sz="4" w:space="0" w:color="000000"/>
            </w:tcBorders>
          </w:tcPr>
          <w:p w14:paraId="75C1B4D9" w14:textId="77777777" w:rsidR="008A5166" w:rsidRPr="00BA050E" w:rsidRDefault="008A5166" w:rsidP="008A5166">
            <w:pPr>
              <w:spacing w:after="0" w:line="276" w:lineRule="auto"/>
              <w:ind w:left="0" w:right="0" w:firstLine="0"/>
              <w:jc w:val="left"/>
              <w:rPr>
                <w:sz w:val="17"/>
                <w:szCs w:val="17"/>
              </w:rPr>
            </w:pPr>
          </w:p>
        </w:tc>
      </w:tr>
      <w:tr w:rsidR="008A5166" w:rsidRPr="00BA050E" w14:paraId="0C4ADE47" w14:textId="77777777" w:rsidTr="008A5166">
        <w:tc>
          <w:tcPr>
            <w:tcW w:w="13225" w:type="dxa"/>
            <w:gridSpan w:val="10"/>
            <w:tcBorders>
              <w:right w:val="single" w:sz="4" w:space="0" w:color="000000"/>
            </w:tcBorders>
          </w:tcPr>
          <w:p w14:paraId="00B71FC8" w14:textId="77777777" w:rsidR="008A5166" w:rsidRPr="00BA050E" w:rsidRDefault="008A5166" w:rsidP="00B037C6">
            <w:pPr>
              <w:spacing w:after="40" w:line="240" w:lineRule="auto"/>
              <w:ind w:left="0" w:right="0" w:firstLine="0"/>
              <w:jc w:val="center"/>
              <w:rPr>
                <w:b/>
                <w:i/>
                <w:sz w:val="16"/>
                <w:szCs w:val="16"/>
              </w:rPr>
            </w:pPr>
            <w:r w:rsidRPr="00BA050E">
              <w:rPr>
                <w:rFonts w:eastAsia="SimSun"/>
                <w:b/>
                <w:color w:val="auto"/>
                <w:sz w:val="16"/>
                <w:szCs w:val="16"/>
              </w:rPr>
              <w:t>FOCUS AREA</w:t>
            </w:r>
            <w:r w:rsidRPr="00BA050E">
              <w:rPr>
                <w:b/>
                <w:color w:val="auto"/>
                <w:sz w:val="16"/>
                <w:szCs w:val="16"/>
              </w:rPr>
              <w:t xml:space="preserve"> 3: </w:t>
            </w:r>
            <w:r w:rsidRPr="00BA050E">
              <w:rPr>
                <w:rFonts w:eastAsia="SimSun"/>
                <w:b/>
                <w:color w:val="auto"/>
                <w:sz w:val="16"/>
                <w:szCs w:val="16"/>
              </w:rPr>
              <w:t xml:space="preserve">SKILLS DEVELOPMENT – </w:t>
            </w:r>
            <w:r w:rsidRPr="00BA050E">
              <w:rPr>
                <w:b/>
                <w:color w:val="auto"/>
                <w:sz w:val="16"/>
                <w:szCs w:val="16"/>
              </w:rPr>
              <w:t>ENHANCING</w:t>
            </w:r>
            <w:r w:rsidRPr="00BA050E">
              <w:rPr>
                <w:rFonts w:eastAsia="SimSun"/>
                <w:b/>
                <w:color w:val="auto"/>
                <w:sz w:val="16"/>
                <w:szCs w:val="16"/>
              </w:rPr>
              <w:t xml:space="preserve"> QUALITY AND RELEVANCE OF EDUCATION &amp; TRAINING INSTITUTIONS TO ENABLE ACQUISITION OF JOB-RELATED SKILLS</w:t>
            </w:r>
          </w:p>
        </w:tc>
      </w:tr>
      <w:tr w:rsidR="008A5166" w:rsidRPr="00BA050E" w14:paraId="1F899E88" w14:textId="77777777" w:rsidTr="008A5166">
        <w:tc>
          <w:tcPr>
            <w:tcW w:w="2605" w:type="dxa"/>
            <w:vAlign w:val="bottom"/>
          </w:tcPr>
          <w:p w14:paraId="2F3DFA20"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Education Reform AF (Q3)</w:t>
            </w:r>
          </w:p>
        </w:tc>
        <w:tc>
          <w:tcPr>
            <w:tcW w:w="990" w:type="dxa"/>
          </w:tcPr>
          <w:p w14:paraId="77B162AB" w14:textId="77777777" w:rsidR="008A5166" w:rsidRPr="00BA050E" w:rsidRDefault="008A5166" w:rsidP="008A5166">
            <w:pPr>
              <w:spacing w:after="0" w:line="276" w:lineRule="auto"/>
              <w:ind w:left="0" w:right="0" w:firstLine="0"/>
              <w:jc w:val="center"/>
              <w:rPr>
                <w:sz w:val="17"/>
                <w:szCs w:val="17"/>
              </w:rPr>
            </w:pPr>
            <w:r w:rsidRPr="00BA050E">
              <w:rPr>
                <w:sz w:val="17"/>
                <w:szCs w:val="17"/>
              </w:rPr>
              <w:t>7.4</w:t>
            </w:r>
          </w:p>
        </w:tc>
        <w:tc>
          <w:tcPr>
            <w:tcW w:w="630" w:type="dxa"/>
          </w:tcPr>
          <w:p w14:paraId="6B2335CA" w14:textId="77777777" w:rsidR="008A5166" w:rsidRPr="00BA050E" w:rsidRDefault="008A5166" w:rsidP="008A5166">
            <w:pPr>
              <w:spacing w:after="0" w:line="276" w:lineRule="auto"/>
              <w:ind w:left="0" w:right="0" w:firstLine="0"/>
              <w:jc w:val="center"/>
              <w:rPr>
                <w:sz w:val="17"/>
                <w:szCs w:val="17"/>
              </w:rPr>
            </w:pPr>
            <w:r w:rsidRPr="00BA050E">
              <w:rPr>
                <w:sz w:val="17"/>
                <w:szCs w:val="17"/>
              </w:rPr>
              <w:t>10.0</w:t>
            </w:r>
          </w:p>
        </w:tc>
        <w:tc>
          <w:tcPr>
            <w:tcW w:w="630" w:type="dxa"/>
          </w:tcPr>
          <w:p w14:paraId="40D36BC3" w14:textId="77777777" w:rsidR="008A5166" w:rsidRPr="00BA050E" w:rsidRDefault="008A5166" w:rsidP="008A5166">
            <w:pPr>
              <w:spacing w:after="0" w:line="276" w:lineRule="auto"/>
              <w:ind w:left="0" w:right="0" w:firstLine="0"/>
              <w:jc w:val="center"/>
              <w:rPr>
                <w:sz w:val="17"/>
                <w:szCs w:val="17"/>
              </w:rPr>
            </w:pPr>
          </w:p>
        </w:tc>
        <w:tc>
          <w:tcPr>
            <w:tcW w:w="900" w:type="dxa"/>
          </w:tcPr>
          <w:p w14:paraId="09D9E88B" w14:textId="77777777" w:rsidR="008A5166" w:rsidRPr="00BA050E" w:rsidRDefault="008A5166" w:rsidP="008A5166">
            <w:pPr>
              <w:spacing w:after="0" w:line="276" w:lineRule="auto"/>
              <w:ind w:left="0" w:right="0" w:firstLine="0"/>
              <w:jc w:val="center"/>
              <w:rPr>
                <w:sz w:val="17"/>
                <w:szCs w:val="17"/>
              </w:rPr>
            </w:pPr>
            <w:r w:rsidRPr="00BA050E">
              <w:rPr>
                <w:sz w:val="17"/>
                <w:szCs w:val="17"/>
              </w:rPr>
              <w:t>10.0</w:t>
            </w:r>
          </w:p>
        </w:tc>
        <w:tc>
          <w:tcPr>
            <w:tcW w:w="990" w:type="dxa"/>
          </w:tcPr>
          <w:p w14:paraId="07BAC1AA" w14:textId="77777777" w:rsidR="008A5166" w:rsidRPr="00BA050E" w:rsidRDefault="008A5166" w:rsidP="008A5166">
            <w:pPr>
              <w:spacing w:after="0" w:line="276" w:lineRule="auto"/>
              <w:ind w:left="0" w:right="0" w:firstLine="0"/>
              <w:jc w:val="center"/>
              <w:rPr>
                <w:sz w:val="17"/>
                <w:szCs w:val="17"/>
              </w:rPr>
            </w:pPr>
          </w:p>
        </w:tc>
        <w:tc>
          <w:tcPr>
            <w:tcW w:w="630" w:type="dxa"/>
          </w:tcPr>
          <w:p w14:paraId="22A44DD5" w14:textId="77777777" w:rsidR="008A5166" w:rsidRPr="00BA050E" w:rsidRDefault="008A5166" w:rsidP="008A5166">
            <w:pPr>
              <w:spacing w:after="0" w:line="276" w:lineRule="auto"/>
              <w:ind w:left="0" w:right="0" w:firstLine="0"/>
              <w:jc w:val="center"/>
              <w:rPr>
                <w:sz w:val="17"/>
                <w:szCs w:val="17"/>
              </w:rPr>
            </w:pPr>
          </w:p>
        </w:tc>
        <w:tc>
          <w:tcPr>
            <w:tcW w:w="630" w:type="dxa"/>
          </w:tcPr>
          <w:p w14:paraId="144AAB44" w14:textId="77777777" w:rsidR="008A5166" w:rsidRPr="00BA050E" w:rsidRDefault="008A5166" w:rsidP="008A5166">
            <w:pPr>
              <w:spacing w:after="0" w:line="276" w:lineRule="auto"/>
              <w:ind w:left="0" w:right="0" w:firstLine="0"/>
              <w:jc w:val="center"/>
              <w:rPr>
                <w:sz w:val="17"/>
                <w:szCs w:val="17"/>
              </w:rPr>
            </w:pPr>
          </w:p>
        </w:tc>
        <w:tc>
          <w:tcPr>
            <w:tcW w:w="900" w:type="dxa"/>
          </w:tcPr>
          <w:p w14:paraId="0F98FCBD" w14:textId="77777777" w:rsidR="008A5166" w:rsidRPr="00BA050E" w:rsidRDefault="008A5166" w:rsidP="008A5166">
            <w:pPr>
              <w:spacing w:after="0" w:line="276" w:lineRule="auto"/>
              <w:ind w:left="0" w:right="0" w:firstLine="0"/>
              <w:jc w:val="center"/>
              <w:rPr>
                <w:sz w:val="17"/>
                <w:szCs w:val="17"/>
              </w:rPr>
            </w:pPr>
          </w:p>
        </w:tc>
        <w:tc>
          <w:tcPr>
            <w:tcW w:w="4320" w:type="dxa"/>
            <w:vMerge w:val="restart"/>
            <w:tcBorders>
              <w:right w:val="single" w:sz="4" w:space="0" w:color="000000"/>
            </w:tcBorders>
          </w:tcPr>
          <w:p w14:paraId="7B249880"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Tackling gender inequality in the labor market          </w:t>
            </w:r>
          </w:p>
          <w:p w14:paraId="45FB6F65"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Informality and Self-Employment Labor Data Note (partly-financed by Korea TF)</w:t>
            </w:r>
          </w:p>
          <w:p w14:paraId="59ED4A22"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xml:space="preserve">- Private Sector Skill Demand and Mitigation of Skill Constraints </w:t>
            </w:r>
          </w:p>
          <w:p w14:paraId="7F41EF63" w14:textId="77777777" w:rsidR="008A5166" w:rsidRPr="00BA050E" w:rsidRDefault="008A5166" w:rsidP="008A5166">
            <w:pPr>
              <w:spacing w:after="0" w:line="240" w:lineRule="auto"/>
              <w:ind w:left="0" w:right="0" w:firstLine="0"/>
              <w:jc w:val="left"/>
              <w:rPr>
                <w:sz w:val="17"/>
                <w:szCs w:val="17"/>
              </w:rPr>
            </w:pPr>
            <w:r w:rsidRPr="00BA050E">
              <w:rPr>
                <w:color w:val="auto"/>
                <w:sz w:val="17"/>
                <w:szCs w:val="17"/>
              </w:rPr>
              <w:t>- Education Sector Decentralization Analysis      </w:t>
            </w:r>
          </w:p>
        </w:tc>
      </w:tr>
      <w:tr w:rsidR="008A5166" w:rsidRPr="00BA050E" w14:paraId="118E8586" w14:textId="77777777" w:rsidTr="00C93ADD">
        <w:tc>
          <w:tcPr>
            <w:tcW w:w="2605" w:type="dxa"/>
          </w:tcPr>
          <w:p w14:paraId="7D937ABB" w14:textId="77777777" w:rsidR="008A5166" w:rsidRPr="00BA050E" w:rsidRDefault="008A5166" w:rsidP="008A5166">
            <w:pPr>
              <w:spacing w:after="60" w:line="240" w:lineRule="auto"/>
              <w:ind w:left="0" w:right="0" w:firstLine="0"/>
              <w:jc w:val="left"/>
              <w:rPr>
                <w:sz w:val="17"/>
                <w:szCs w:val="17"/>
              </w:rPr>
            </w:pPr>
            <w:r w:rsidRPr="00BA050E">
              <w:rPr>
                <w:sz w:val="17"/>
                <w:szCs w:val="17"/>
              </w:rPr>
              <w:t>Skills for Jobs Project (Q3)</w:t>
            </w:r>
          </w:p>
        </w:tc>
        <w:tc>
          <w:tcPr>
            <w:tcW w:w="990" w:type="dxa"/>
          </w:tcPr>
          <w:p w14:paraId="1DD84209" w14:textId="77777777" w:rsidR="008A5166" w:rsidRPr="00BA050E" w:rsidRDefault="008A5166" w:rsidP="008A5166">
            <w:pPr>
              <w:spacing w:after="0" w:line="276" w:lineRule="auto"/>
              <w:ind w:left="0" w:right="0" w:firstLine="0"/>
              <w:jc w:val="center"/>
              <w:rPr>
                <w:sz w:val="17"/>
                <w:szCs w:val="17"/>
              </w:rPr>
            </w:pPr>
          </w:p>
        </w:tc>
        <w:tc>
          <w:tcPr>
            <w:tcW w:w="630" w:type="dxa"/>
          </w:tcPr>
          <w:p w14:paraId="0C6A0E8B" w14:textId="77777777" w:rsidR="008A5166" w:rsidRPr="00BA050E" w:rsidRDefault="008A5166" w:rsidP="008A5166">
            <w:pPr>
              <w:spacing w:after="0" w:line="276" w:lineRule="auto"/>
              <w:ind w:left="0" w:right="0" w:firstLine="0"/>
              <w:jc w:val="center"/>
              <w:rPr>
                <w:sz w:val="17"/>
                <w:szCs w:val="17"/>
              </w:rPr>
            </w:pPr>
          </w:p>
        </w:tc>
        <w:tc>
          <w:tcPr>
            <w:tcW w:w="630" w:type="dxa"/>
          </w:tcPr>
          <w:p w14:paraId="5BBC919B" w14:textId="77777777" w:rsidR="008A5166" w:rsidRPr="00BA050E" w:rsidRDefault="008A5166" w:rsidP="008A5166">
            <w:pPr>
              <w:spacing w:after="0" w:line="276" w:lineRule="auto"/>
              <w:ind w:left="0" w:right="0" w:firstLine="0"/>
              <w:jc w:val="center"/>
              <w:rPr>
                <w:sz w:val="17"/>
                <w:szCs w:val="17"/>
              </w:rPr>
            </w:pPr>
          </w:p>
        </w:tc>
        <w:tc>
          <w:tcPr>
            <w:tcW w:w="900" w:type="dxa"/>
          </w:tcPr>
          <w:p w14:paraId="6C2AE077" w14:textId="77777777" w:rsidR="008A5166" w:rsidRPr="00BA050E" w:rsidRDefault="008A5166" w:rsidP="008A5166">
            <w:pPr>
              <w:spacing w:after="0" w:line="276" w:lineRule="auto"/>
              <w:ind w:left="0" w:right="0" w:firstLine="0"/>
              <w:jc w:val="center"/>
              <w:rPr>
                <w:sz w:val="17"/>
                <w:szCs w:val="17"/>
              </w:rPr>
            </w:pPr>
          </w:p>
        </w:tc>
        <w:tc>
          <w:tcPr>
            <w:tcW w:w="990" w:type="dxa"/>
          </w:tcPr>
          <w:p w14:paraId="43F22A6B" w14:textId="77777777" w:rsidR="008A5166" w:rsidRPr="00BA050E" w:rsidRDefault="008A5166" w:rsidP="008A5166">
            <w:pPr>
              <w:spacing w:after="0" w:line="276" w:lineRule="auto"/>
              <w:ind w:left="0" w:right="0" w:firstLine="0"/>
              <w:jc w:val="center"/>
              <w:rPr>
                <w:sz w:val="17"/>
                <w:szCs w:val="17"/>
              </w:rPr>
            </w:pPr>
            <w:r w:rsidRPr="00BA050E">
              <w:rPr>
                <w:sz w:val="17"/>
                <w:szCs w:val="17"/>
              </w:rPr>
              <w:t>22.2</w:t>
            </w:r>
          </w:p>
        </w:tc>
        <w:tc>
          <w:tcPr>
            <w:tcW w:w="630" w:type="dxa"/>
          </w:tcPr>
          <w:p w14:paraId="3C522802" w14:textId="77777777" w:rsidR="008A5166" w:rsidRPr="00BA050E" w:rsidRDefault="008A5166" w:rsidP="008A5166">
            <w:pPr>
              <w:spacing w:after="0" w:line="276" w:lineRule="auto"/>
              <w:ind w:left="0" w:right="0" w:firstLine="0"/>
              <w:jc w:val="center"/>
              <w:rPr>
                <w:sz w:val="17"/>
                <w:szCs w:val="17"/>
              </w:rPr>
            </w:pPr>
            <w:r w:rsidRPr="00BA050E">
              <w:rPr>
                <w:sz w:val="17"/>
                <w:szCs w:val="17"/>
              </w:rPr>
              <w:t>30.0</w:t>
            </w:r>
          </w:p>
        </w:tc>
        <w:tc>
          <w:tcPr>
            <w:tcW w:w="630" w:type="dxa"/>
          </w:tcPr>
          <w:p w14:paraId="36D5A619" w14:textId="77777777" w:rsidR="008A5166" w:rsidRPr="00BA050E" w:rsidRDefault="008A5166" w:rsidP="008A5166">
            <w:pPr>
              <w:spacing w:after="0" w:line="276" w:lineRule="auto"/>
              <w:ind w:left="0" w:right="0" w:firstLine="0"/>
              <w:jc w:val="center"/>
              <w:rPr>
                <w:sz w:val="17"/>
                <w:szCs w:val="17"/>
              </w:rPr>
            </w:pPr>
          </w:p>
        </w:tc>
        <w:tc>
          <w:tcPr>
            <w:tcW w:w="900" w:type="dxa"/>
          </w:tcPr>
          <w:p w14:paraId="3D51F0F6" w14:textId="77777777" w:rsidR="008A5166" w:rsidRPr="00BA050E" w:rsidRDefault="008A5166" w:rsidP="008A5166">
            <w:pPr>
              <w:spacing w:after="0" w:line="276" w:lineRule="auto"/>
              <w:ind w:left="0" w:right="0" w:firstLine="0"/>
              <w:jc w:val="center"/>
              <w:rPr>
                <w:sz w:val="17"/>
                <w:szCs w:val="17"/>
              </w:rPr>
            </w:pPr>
            <w:r w:rsidRPr="00BA050E">
              <w:rPr>
                <w:sz w:val="17"/>
                <w:szCs w:val="17"/>
              </w:rPr>
              <w:t>30.0</w:t>
            </w:r>
          </w:p>
        </w:tc>
        <w:tc>
          <w:tcPr>
            <w:tcW w:w="4320" w:type="dxa"/>
            <w:vMerge/>
            <w:tcBorders>
              <w:right w:val="single" w:sz="4" w:space="0" w:color="000000"/>
            </w:tcBorders>
          </w:tcPr>
          <w:p w14:paraId="0B95EC14" w14:textId="77777777" w:rsidR="008A5166" w:rsidRPr="00BA050E" w:rsidRDefault="008A5166" w:rsidP="008A5166">
            <w:pPr>
              <w:spacing w:after="0" w:line="276" w:lineRule="auto"/>
              <w:ind w:left="0" w:right="0" w:firstLine="0"/>
              <w:jc w:val="left"/>
              <w:rPr>
                <w:sz w:val="17"/>
                <w:szCs w:val="17"/>
              </w:rPr>
            </w:pPr>
          </w:p>
        </w:tc>
      </w:tr>
      <w:tr w:rsidR="008A5166" w:rsidRPr="00BA050E" w14:paraId="0FCB84D2" w14:textId="77777777" w:rsidTr="00593DA5">
        <w:trPr>
          <w:trHeight w:val="161"/>
        </w:trPr>
        <w:tc>
          <w:tcPr>
            <w:tcW w:w="13225" w:type="dxa"/>
            <w:gridSpan w:val="10"/>
            <w:tcBorders>
              <w:right w:val="single" w:sz="4" w:space="0" w:color="000000"/>
            </w:tcBorders>
          </w:tcPr>
          <w:p w14:paraId="23A51962" w14:textId="77777777" w:rsidR="008A5166" w:rsidRPr="00BA050E" w:rsidRDefault="008A5166" w:rsidP="00B037C6">
            <w:pPr>
              <w:spacing w:after="40" w:line="240" w:lineRule="auto"/>
              <w:ind w:left="0" w:right="0" w:firstLine="0"/>
              <w:jc w:val="center"/>
              <w:rPr>
                <w:b/>
                <w:color w:val="auto"/>
                <w:sz w:val="16"/>
                <w:szCs w:val="16"/>
              </w:rPr>
            </w:pPr>
            <w:r w:rsidRPr="00BA050E">
              <w:rPr>
                <w:b/>
                <w:color w:val="auto"/>
                <w:sz w:val="16"/>
                <w:szCs w:val="16"/>
              </w:rPr>
              <w:t>GREATER ADAPTATION, RESILIENCE AND RESPONSE TO CLIMATE CHANGE</w:t>
            </w:r>
          </w:p>
        </w:tc>
      </w:tr>
      <w:tr w:rsidR="008A5166" w:rsidRPr="00BA050E" w14:paraId="3A05A56D" w14:textId="77777777" w:rsidTr="008A5166">
        <w:tc>
          <w:tcPr>
            <w:tcW w:w="2605" w:type="dxa"/>
            <w:vAlign w:val="center"/>
          </w:tcPr>
          <w:p w14:paraId="0DB312F5" w14:textId="77777777" w:rsidR="008A5166" w:rsidRPr="00BA050E" w:rsidRDefault="008A5166" w:rsidP="008A5166">
            <w:pPr>
              <w:spacing w:after="0" w:line="240" w:lineRule="auto"/>
              <w:ind w:left="0" w:right="0" w:firstLine="0"/>
              <w:jc w:val="left"/>
              <w:rPr>
                <w:sz w:val="17"/>
                <w:szCs w:val="17"/>
              </w:rPr>
            </w:pPr>
            <w:r w:rsidRPr="00BA050E">
              <w:rPr>
                <w:sz w:val="17"/>
                <w:szCs w:val="17"/>
              </w:rPr>
              <w:t>Climate Adaptation [end FY-17 approval, ongoing]</w:t>
            </w:r>
          </w:p>
        </w:tc>
        <w:tc>
          <w:tcPr>
            <w:tcW w:w="990" w:type="dxa"/>
          </w:tcPr>
          <w:p w14:paraId="29EAE9FE" w14:textId="77777777" w:rsidR="008A5166" w:rsidRPr="00BA050E" w:rsidRDefault="008A5166" w:rsidP="008A5166">
            <w:pPr>
              <w:spacing w:after="0" w:line="276" w:lineRule="auto"/>
              <w:ind w:left="0" w:right="0" w:firstLine="0"/>
              <w:jc w:val="center"/>
              <w:rPr>
                <w:sz w:val="17"/>
                <w:szCs w:val="17"/>
              </w:rPr>
            </w:pPr>
          </w:p>
        </w:tc>
        <w:tc>
          <w:tcPr>
            <w:tcW w:w="630" w:type="dxa"/>
          </w:tcPr>
          <w:p w14:paraId="341F7676" w14:textId="77777777" w:rsidR="008A5166" w:rsidRPr="00BA050E" w:rsidRDefault="008A5166" w:rsidP="008A5166">
            <w:pPr>
              <w:spacing w:after="0" w:line="276" w:lineRule="auto"/>
              <w:ind w:left="0" w:right="0" w:firstLine="0"/>
              <w:jc w:val="center"/>
              <w:rPr>
                <w:sz w:val="17"/>
                <w:szCs w:val="17"/>
              </w:rPr>
            </w:pPr>
          </w:p>
        </w:tc>
        <w:tc>
          <w:tcPr>
            <w:tcW w:w="630" w:type="dxa"/>
          </w:tcPr>
          <w:p w14:paraId="361067C2" w14:textId="77777777" w:rsidR="008A5166" w:rsidRPr="00BA050E" w:rsidRDefault="008A5166" w:rsidP="008A5166">
            <w:pPr>
              <w:spacing w:after="0" w:line="276" w:lineRule="auto"/>
              <w:ind w:left="0" w:right="0" w:firstLine="0"/>
              <w:jc w:val="center"/>
              <w:rPr>
                <w:sz w:val="17"/>
                <w:szCs w:val="17"/>
              </w:rPr>
            </w:pPr>
          </w:p>
        </w:tc>
        <w:tc>
          <w:tcPr>
            <w:tcW w:w="900" w:type="dxa"/>
          </w:tcPr>
          <w:p w14:paraId="2E693D9E" w14:textId="77777777" w:rsidR="008A5166" w:rsidRPr="00BA050E" w:rsidRDefault="008A5166" w:rsidP="008A5166">
            <w:pPr>
              <w:spacing w:after="0" w:line="276" w:lineRule="auto"/>
              <w:ind w:left="0" w:right="0" w:firstLine="0"/>
              <w:jc w:val="center"/>
              <w:rPr>
                <w:sz w:val="17"/>
                <w:szCs w:val="17"/>
              </w:rPr>
            </w:pPr>
          </w:p>
        </w:tc>
        <w:tc>
          <w:tcPr>
            <w:tcW w:w="990" w:type="dxa"/>
          </w:tcPr>
          <w:p w14:paraId="166D9C76" w14:textId="77777777" w:rsidR="008A5166" w:rsidRPr="00BA050E" w:rsidRDefault="008A5166" w:rsidP="008A5166">
            <w:pPr>
              <w:spacing w:after="0" w:line="276" w:lineRule="auto"/>
              <w:ind w:left="0" w:right="0" w:firstLine="0"/>
              <w:jc w:val="center"/>
              <w:rPr>
                <w:sz w:val="17"/>
                <w:szCs w:val="17"/>
              </w:rPr>
            </w:pPr>
          </w:p>
        </w:tc>
        <w:tc>
          <w:tcPr>
            <w:tcW w:w="630" w:type="dxa"/>
          </w:tcPr>
          <w:p w14:paraId="061807FA" w14:textId="77777777" w:rsidR="008A5166" w:rsidRPr="00BA050E" w:rsidRDefault="008A5166" w:rsidP="008A5166">
            <w:pPr>
              <w:spacing w:after="0" w:line="276" w:lineRule="auto"/>
              <w:ind w:left="0" w:right="0" w:firstLine="0"/>
              <w:jc w:val="center"/>
              <w:rPr>
                <w:sz w:val="17"/>
                <w:szCs w:val="17"/>
              </w:rPr>
            </w:pPr>
          </w:p>
        </w:tc>
        <w:tc>
          <w:tcPr>
            <w:tcW w:w="630" w:type="dxa"/>
          </w:tcPr>
          <w:p w14:paraId="62F6C2A2" w14:textId="77777777" w:rsidR="008A5166" w:rsidRPr="00BA050E" w:rsidRDefault="008A5166" w:rsidP="008A5166">
            <w:pPr>
              <w:spacing w:after="0" w:line="276" w:lineRule="auto"/>
              <w:ind w:left="0" w:right="0" w:firstLine="0"/>
              <w:jc w:val="center"/>
              <w:rPr>
                <w:sz w:val="17"/>
                <w:szCs w:val="17"/>
              </w:rPr>
            </w:pPr>
          </w:p>
        </w:tc>
        <w:tc>
          <w:tcPr>
            <w:tcW w:w="900" w:type="dxa"/>
          </w:tcPr>
          <w:p w14:paraId="2F959F43" w14:textId="77777777" w:rsidR="008A5166" w:rsidRPr="00BA050E" w:rsidRDefault="008A5166" w:rsidP="008A5166">
            <w:pPr>
              <w:spacing w:after="0" w:line="276" w:lineRule="auto"/>
              <w:ind w:left="0" w:right="0" w:firstLine="0"/>
              <w:jc w:val="center"/>
              <w:rPr>
                <w:sz w:val="17"/>
                <w:szCs w:val="17"/>
              </w:rPr>
            </w:pPr>
          </w:p>
        </w:tc>
        <w:tc>
          <w:tcPr>
            <w:tcW w:w="4320" w:type="dxa"/>
            <w:tcBorders>
              <w:right w:val="single" w:sz="4" w:space="0" w:color="000000"/>
            </w:tcBorders>
          </w:tcPr>
          <w:p w14:paraId="1A0BA216"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Study of Adoption of Climate-Adaptive Agriculture</w:t>
            </w:r>
          </w:p>
          <w:p w14:paraId="4B55EA2D" w14:textId="77777777" w:rsidR="008A5166" w:rsidRPr="00BA050E" w:rsidRDefault="008A5166" w:rsidP="008A5166">
            <w:pPr>
              <w:spacing w:after="0" w:line="240" w:lineRule="auto"/>
              <w:ind w:left="0" w:right="0" w:firstLine="0"/>
              <w:jc w:val="left"/>
              <w:rPr>
                <w:color w:val="auto"/>
                <w:sz w:val="17"/>
                <w:szCs w:val="17"/>
              </w:rPr>
            </w:pPr>
            <w:r w:rsidRPr="00BA050E">
              <w:rPr>
                <w:color w:val="auto"/>
                <w:sz w:val="17"/>
                <w:szCs w:val="17"/>
              </w:rPr>
              <w:t>- Reinforcing Weather and Climate Services</w:t>
            </w:r>
          </w:p>
        </w:tc>
      </w:tr>
      <w:tr w:rsidR="008A5166" w:rsidRPr="00BA050E" w14:paraId="0A1836F0" w14:textId="77777777" w:rsidTr="008A5166">
        <w:tc>
          <w:tcPr>
            <w:tcW w:w="2605" w:type="dxa"/>
            <w:shd w:val="clear" w:color="auto" w:fill="FFFF00"/>
            <w:vAlign w:val="center"/>
          </w:tcPr>
          <w:p w14:paraId="05A821B7" w14:textId="77777777" w:rsidR="008A5166" w:rsidRPr="00BA050E" w:rsidRDefault="008A5166" w:rsidP="008A5166">
            <w:pPr>
              <w:spacing w:after="0" w:line="276" w:lineRule="auto"/>
              <w:ind w:left="0" w:right="0" w:firstLine="0"/>
              <w:jc w:val="left"/>
              <w:rPr>
                <w:sz w:val="17"/>
                <w:szCs w:val="17"/>
              </w:rPr>
            </w:pPr>
            <w:r w:rsidRPr="00BA050E">
              <w:rPr>
                <w:sz w:val="17"/>
                <w:szCs w:val="17"/>
              </w:rPr>
              <w:t>TOTAL FY18-19 – roughly US$180m</w:t>
            </w:r>
          </w:p>
        </w:tc>
        <w:tc>
          <w:tcPr>
            <w:tcW w:w="990" w:type="dxa"/>
            <w:shd w:val="clear" w:color="auto" w:fill="FFF2CC"/>
          </w:tcPr>
          <w:p w14:paraId="1E22182A" w14:textId="77777777" w:rsidR="008A5166" w:rsidRPr="00BA050E" w:rsidRDefault="008A5166" w:rsidP="008A5166">
            <w:pPr>
              <w:spacing w:after="0" w:line="276" w:lineRule="auto"/>
              <w:ind w:left="0" w:right="0" w:firstLine="0"/>
              <w:jc w:val="center"/>
              <w:rPr>
                <w:sz w:val="17"/>
                <w:szCs w:val="17"/>
              </w:rPr>
            </w:pPr>
            <w:r w:rsidRPr="00BA050E">
              <w:rPr>
                <w:sz w:val="17"/>
                <w:szCs w:val="17"/>
              </w:rPr>
              <w:t>107.3</w:t>
            </w:r>
          </w:p>
        </w:tc>
        <w:tc>
          <w:tcPr>
            <w:tcW w:w="630" w:type="dxa"/>
            <w:shd w:val="clear" w:color="auto" w:fill="FFF2CC"/>
          </w:tcPr>
          <w:p w14:paraId="1D05BCF4" w14:textId="77777777" w:rsidR="008A5166" w:rsidRPr="00BA050E" w:rsidRDefault="008A5166" w:rsidP="008A5166">
            <w:pPr>
              <w:spacing w:after="0" w:line="276" w:lineRule="auto"/>
              <w:ind w:left="0" w:right="0" w:firstLine="0"/>
              <w:jc w:val="center"/>
              <w:rPr>
                <w:sz w:val="17"/>
                <w:szCs w:val="17"/>
              </w:rPr>
            </w:pPr>
            <w:r w:rsidRPr="00BA050E">
              <w:rPr>
                <w:sz w:val="17"/>
                <w:szCs w:val="17"/>
              </w:rPr>
              <w:t>145</w:t>
            </w:r>
          </w:p>
        </w:tc>
        <w:tc>
          <w:tcPr>
            <w:tcW w:w="630" w:type="dxa"/>
            <w:shd w:val="clear" w:color="auto" w:fill="FFF2CC"/>
          </w:tcPr>
          <w:p w14:paraId="002EB13D" w14:textId="77777777" w:rsidR="008A5166" w:rsidRPr="00BA050E" w:rsidRDefault="008A5166" w:rsidP="008A5166">
            <w:pPr>
              <w:spacing w:after="0" w:line="276" w:lineRule="auto"/>
              <w:ind w:left="0" w:right="0" w:firstLine="0"/>
              <w:jc w:val="center"/>
              <w:rPr>
                <w:sz w:val="17"/>
                <w:szCs w:val="17"/>
              </w:rPr>
            </w:pPr>
            <w:r w:rsidRPr="00BA050E">
              <w:rPr>
                <w:sz w:val="17"/>
                <w:szCs w:val="17"/>
              </w:rPr>
              <w:t>5.0</w:t>
            </w:r>
          </w:p>
        </w:tc>
        <w:tc>
          <w:tcPr>
            <w:tcW w:w="900" w:type="dxa"/>
            <w:shd w:val="clear" w:color="auto" w:fill="FFFF00"/>
          </w:tcPr>
          <w:p w14:paraId="1A522769" w14:textId="77777777" w:rsidR="008A5166" w:rsidRPr="00BA050E" w:rsidRDefault="008A5166" w:rsidP="008A5166">
            <w:pPr>
              <w:spacing w:after="0" w:line="276" w:lineRule="auto"/>
              <w:ind w:left="0" w:right="0" w:firstLine="0"/>
              <w:jc w:val="center"/>
              <w:rPr>
                <w:sz w:val="17"/>
                <w:szCs w:val="17"/>
              </w:rPr>
            </w:pPr>
            <w:r w:rsidRPr="00BA050E">
              <w:rPr>
                <w:sz w:val="17"/>
                <w:szCs w:val="17"/>
              </w:rPr>
              <w:t>150.0</w:t>
            </w:r>
          </w:p>
        </w:tc>
        <w:tc>
          <w:tcPr>
            <w:tcW w:w="990" w:type="dxa"/>
            <w:shd w:val="clear" w:color="auto" w:fill="FFF2CC"/>
          </w:tcPr>
          <w:p w14:paraId="5CBEAE1A" w14:textId="77777777" w:rsidR="008A5166" w:rsidRPr="00BA050E" w:rsidRDefault="008A5166" w:rsidP="008A5166">
            <w:pPr>
              <w:spacing w:after="0" w:line="276" w:lineRule="auto"/>
              <w:ind w:left="0" w:right="0" w:firstLine="0"/>
              <w:jc w:val="center"/>
              <w:rPr>
                <w:sz w:val="17"/>
                <w:szCs w:val="17"/>
              </w:rPr>
            </w:pPr>
            <w:r w:rsidRPr="00BA050E">
              <w:rPr>
                <w:sz w:val="17"/>
                <w:szCs w:val="17"/>
              </w:rPr>
              <w:t>22.2</w:t>
            </w:r>
          </w:p>
        </w:tc>
        <w:tc>
          <w:tcPr>
            <w:tcW w:w="630" w:type="dxa"/>
            <w:shd w:val="clear" w:color="auto" w:fill="FFF2CC"/>
          </w:tcPr>
          <w:p w14:paraId="1A2A042E" w14:textId="77777777" w:rsidR="008A5166" w:rsidRPr="00BA050E" w:rsidRDefault="008A5166" w:rsidP="008A5166">
            <w:pPr>
              <w:spacing w:after="0" w:line="276" w:lineRule="auto"/>
              <w:ind w:left="0" w:right="0" w:firstLine="0"/>
              <w:jc w:val="center"/>
              <w:rPr>
                <w:sz w:val="17"/>
                <w:szCs w:val="17"/>
              </w:rPr>
            </w:pPr>
            <w:r w:rsidRPr="00BA050E">
              <w:rPr>
                <w:sz w:val="17"/>
                <w:szCs w:val="17"/>
              </w:rPr>
              <w:t>30.0</w:t>
            </w:r>
          </w:p>
        </w:tc>
        <w:tc>
          <w:tcPr>
            <w:tcW w:w="630" w:type="dxa"/>
            <w:shd w:val="clear" w:color="auto" w:fill="FFF2CC"/>
          </w:tcPr>
          <w:p w14:paraId="58EF1181" w14:textId="77777777" w:rsidR="008A5166" w:rsidRPr="00BA050E" w:rsidRDefault="008A5166" w:rsidP="008A5166">
            <w:pPr>
              <w:spacing w:after="0" w:line="276" w:lineRule="auto"/>
              <w:ind w:left="0" w:right="0" w:firstLine="0"/>
              <w:jc w:val="center"/>
              <w:rPr>
                <w:sz w:val="17"/>
                <w:szCs w:val="17"/>
              </w:rPr>
            </w:pPr>
            <w:r w:rsidRPr="00BA050E">
              <w:rPr>
                <w:sz w:val="17"/>
                <w:szCs w:val="17"/>
              </w:rPr>
              <w:t>0.0</w:t>
            </w:r>
          </w:p>
        </w:tc>
        <w:tc>
          <w:tcPr>
            <w:tcW w:w="900" w:type="dxa"/>
            <w:shd w:val="clear" w:color="auto" w:fill="FFFF00"/>
          </w:tcPr>
          <w:p w14:paraId="667F75ED" w14:textId="77777777" w:rsidR="008A5166" w:rsidRPr="00BA050E" w:rsidRDefault="008A5166" w:rsidP="008A5166">
            <w:pPr>
              <w:spacing w:after="0" w:line="276" w:lineRule="auto"/>
              <w:ind w:left="0" w:right="0" w:firstLine="0"/>
              <w:jc w:val="center"/>
              <w:rPr>
                <w:sz w:val="17"/>
                <w:szCs w:val="17"/>
              </w:rPr>
            </w:pPr>
            <w:r w:rsidRPr="00BA050E">
              <w:rPr>
                <w:sz w:val="17"/>
                <w:szCs w:val="17"/>
              </w:rPr>
              <w:t>30.0</w:t>
            </w:r>
          </w:p>
        </w:tc>
        <w:tc>
          <w:tcPr>
            <w:tcW w:w="4320" w:type="dxa"/>
            <w:tcBorders>
              <w:right w:val="single" w:sz="4" w:space="0" w:color="000000"/>
            </w:tcBorders>
            <w:shd w:val="clear" w:color="auto" w:fill="FFF2CC"/>
          </w:tcPr>
          <w:p w14:paraId="42DBECCC" w14:textId="77777777" w:rsidR="008A5166" w:rsidRPr="00BA050E" w:rsidRDefault="008A5166" w:rsidP="008A5166">
            <w:pPr>
              <w:spacing w:after="0" w:line="276" w:lineRule="auto"/>
              <w:ind w:left="0" w:right="0" w:firstLine="0"/>
              <w:jc w:val="left"/>
              <w:rPr>
                <w:sz w:val="17"/>
                <w:szCs w:val="17"/>
              </w:rPr>
            </w:pPr>
          </w:p>
        </w:tc>
      </w:tr>
    </w:tbl>
    <w:p w14:paraId="5E004D15" w14:textId="77777777" w:rsidR="008A5166" w:rsidRPr="00BA050E" w:rsidRDefault="008A5166" w:rsidP="00D77307">
      <w:pPr>
        <w:spacing w:after="0" w:line="240" w:lineRule="auto"/>
        <w:ind w:left="0" w:right="0" w:firstLine="0"/>
        <w:jc w:val="left"/>
      </w:pPr>
      <w:r w:rsidRPr="00BA050E">
        <w:rPr>
          <w:rFonts w:eastAsia="Calibri"/>
          <w:color w:val="auto"/>
          <w:sz w:val="20"/>
          <w:szCs w:val="20"/>
        </w:rPr>
        <w:t>*</w:t>
      </w:r>
      <w:r w:rsidRPr="00BA050E">
        <w:rPr>
          <w:rFonts w:eastAsia="Calibri"/>
          <w:color w:val="1F497D"/>
          <w:sz w:val="20"/>
          <w:szCs w:val="20"/>
        </w:rPr>
        <w:t>(SDR = approximately US$0.74)</w:t>
      </w:r>
    </w:p>
    <w:p w14:paraId="4C9A0BCD" w14:textId="77777777" w:rsidR="008A5166" w:rsidRPr="00BA050E" w:rsidRDefault="008A5166">
      <w:pPr>
        <w:spacing w:after="0" w:line="240" w:lineRule="auto"/>
        <w:ind w:left="0" w:firstLine="0"/>
        <w:sectPr w:rsidR="008A5166" w:rsidRPr="00BA050E" w:rsidSect="00E44AD2">
          <w:pgSz w:w="15840" w:h="12240" w:orient="landscape" w:code="1"/>
          <w:pgMar w:top="1440" w:right="1440" w:bottom="1440" w:left="1440" w:header="720" w:footer="720" w:gutter="0"/>
          <w:cols w:space="720"/>
          <w:docGrid w:linePitch="360"/>
        </w:sectPr>
      </w:pPr>
    </w:p>
    <w:p w14:paraId="4CC383E6" w14:textId="77777777" w:rsidR="002E2940" w:rsidRPr="00BA050E" w:rsidRDefault="002E2940" w:rsidP="002E2940">
      <w:pPr>
        <w:pStyle w:val="Heading1"/>
        <w:ind w:right="0"/>
        <w:rPr>
          <w:rFonts w:eastAsiaTheme="minorHAnsi"/>
        </w:rPr>
      </w:pPr>
      <w:bookmarkStart w:id="19" w:name="_Toc484623057"/>
      <w:r w:rsidRPr="00BA050E">
        <w:rPr>
          <w:rFonts w:eastAsiaTheme="minorHAnsi"/>
        </w:rPr>
        <w:lastRenderedPageBreak/>
        <w:t>Annex 8. Coordination among Development Partners</w:t>
      </w:r>
      <w:bookmarkEnd w:id="19"/>
    </w:p>
    <w:p w14:paraId="03A7F2E3" w14:textId="77777777" w:rsidR="0065219D" w:rsidRPr="00BA050E" w:rsidRDefault="0065219D" w:rsidP="0065219D">
      <w:pPr>
        <w:numPr>
          <w:ilvl w:val="0"/>
          <w:numId w:val="36"/>
        </w:numPr>
        <w:spacing w:after="0" w:line="240" w:lineRule="auto"/>
        <w:ind w:left="0" w:right="0" w:firstLine="0"/>
        <w:contextualSpacing/>
        <w:rPr>
          <w:rFonts w:eastAsiaTheme="minorHAnsi"/>
          <w:color w:val="auto"/>
          <w:sz w:val="22"/>
        </w:rPr>
      </w:pPr>
      <w:r w:rsidRPr="00BA050E">
        <w:rPr>
          <w:rFonts w:eastAsiaTheme="minorHAnsi"/>
          <w:b/>
          <w:color w:val="auto"/>
          <w:sz w:val="22"/>
        </w:rPr>
        <w:t xml:space="preserve">Overall aid coordination has not fulfilled its potential in recent years, partly due to capacity constraints, high staff turnover, and heavy workloads in Moldova’s State Chancellery.  </w:t>
      </w:r>
      <w:r w:rsidRPr="00BA050E">
        <w:rPr>
          <w:rFonts w:eastAsiaTheme="minorHAnsi"/>
          <w:color w:val="auto"/>
          <w:sz w:val="22"/>
        </w:rPr>
        <w:t>Nonetheless, the Bank Group is encouraging and supporting the government to take a stronger coordination leadership role. In this connection, there are several successful examples of government-led coordination at the sector level, notably in health, transport, and power connectivity with Romania. The Bank Group will continue to participate actively in these groups and it currently represents development partners in transport and power. The Business Council, financed by IFC, is a forum for private sector representatives and the government to coordinate positions on investment climate issues.</w:t>
      </w:r>
    </w:p>
    <w:p w14:paraId="5D1DAA42" w14:textId="77777777" w:rsidR="0065219D" w:rsidRPr="00BA050E" w:rsidRDefault="0065219D" w:rsidP="0065219D">
      <w:pPr>
        <w:spacing w:after="0" w:line="240" w:lineRule="auto"/>
        <w:ind w:left="0" w:right="0" w:firstLine="0"/>
        <w:contextualSpacing/>
        <w:rPr>
          <w:rFonts w:eastAsiaTheme="minorHAnsi"/>
          <w:color w:val="auto"/>
          <w:sz w:val="22"/>
        </w:rPr>
      </w:pPr>
    </w:p>
    <w:p w14:paraId="56197DDE" w14:textId="77777777" w:rsidR="0065219D" w:rsidRPr="00BA050E" w:rsidRDefault="0065219D" w:rsidP="0065219D">
      <w:pPr>
        <w:numPr>
          <w:ilvl w:val="0"/>
          <w:numId w:val="36"/>
        </w:numPr>
        <w:spacing w:after="0" w:line="240" w:lineRule="auto"/>
        <w:ind w:left="0" w:right="0" w:firstLine="0"/>
        <w:contextualSpacing/>
        <w:rPr>
          <w:rFonts w:eastAsiaTheme="minorHAnsi"/>
          <w:b/>
          <w:color w:val="auto"/>
          <w:sz w:val="22"/>
        </w:rPr>
      </w:pPr>
      <w:r w:rsidRPr="00BA050E">
        <w:rPr>
          <w:rFonts w:eastAsiaTheme="minorHAnsi"/>
          <w:b/>
          <w:color w:val="auto"/>
          <w:sz w:val="22"/>
        </w:rPr>
        <w:t xml:space="preserve">Experience during the last CPS, especially regarding the fraud in the banking system, demonstrated the importance of the Bank Group coordinating its policy dialogue with other development partners.  </w:t>
      </w:r>
      <w:r w:rsidRPr="00BA050E">
        <w:rPr>
          <w:rFonts w:eastAsiaTheme="minorHAnsi"/>
          <w:color w:val="auto"/>
          <w:sz w:val="22"/>
        </w:rPr>
        <w:t xml:space="preserve">To this end, it will continue co-chairing the UN’s monthly meetings, which bring together development partners and the government to share information. In addition, the Bank and the UN have recently created a Development Partners’ Policy Forum where views can be exchanged and common positions formulated on topical policy issues. The Bank will coordinate informally with the </w:t>
      </w:r>
      <w:proofErr w:type="spellStart"/>
      <w:r w:rsidRPr="00BA050E">
        <w:rPr>
          <w:rFonts w:eastAsiaTheme="minorHAnsi"/>
          <w:color w:val="auto"/>
          <w:sz w:val="22"/>
        </w:rPr>
        <w:t>EU+Switerland</w:t>
      </w:r>
      <w:proofErr w:type="spellEnd"/>
      <w:r w:rsidRPr="00BA050E">
        <w:rPr>
          <w:rFonts w:eastAsiaTheme="minorHAnsi"/>
          <w:color w:val="auto"/>
          <w:sz w:val="22"/>
        </w:rPr>
        <w:t xml:space="preserve"> programming process in future, as was the case in 2016. As a contribution to development partner policy coordination, the Bank remains open to reconvening the 2014-15 multi-donor </w:t>
      </w:r>
      <w:r w:rsidRPr="00BA050E">
        <w:rPr>
          <w:rFonts w:eastAsiaTheme="minorHAnsi"/>
          <w:i/>
          <w:color w:val="auto"/>
          <w:sz w:val="22"/>
        </w:rPr>
        <w:t>Briefing Book</w:t>
      </w:r>
      <w:r w:rsidRPr="00BA050E">
        <w:rPr>
          <w:rFonts w:eastAsiaTheme="minorHAnsi"/>
          <w:color w:val="auto"/>
          <w:sz w:val="22"/>
        </w:rPr>
        <w:t xml:space="preserve"> process after the 2018 parliamentary elections, or if there is a consensus that is required at another time.</w:t>
      </w:r>
    </w:p>
    <w:p w14:paraId="2AFE89F6" w14:textId="77777777" w:rsidR="0065219D" w:rsidRPr="00BA050E" w:rsidRDefault="0065219D" w:rsidP="0065219D">
      <w:pPr>
        <w:spacing w:after="160" w:line="259" w:lineRule="auto"/>
        <w:ind w:right="0"/>
        <w:contextualSpacing/>
        <w:rPr>
          <w:rFonts w:eastAsiaTheme="minorHAnsi"/>
          <w:b/>
          <w:color w:val="auto"/>
          <w:sz w:val="22"/>
        </w:rPr>
      </w:pPr>
    </w:p>
    <w:p w14:paraId="01FF73D1" w14:textId="77777777" w:rsidR="008A5166" w:rsidRPr="00BA050E" w:rsidRDefault="0065219D" w:rsidP="006D2153">
      <w:pPr>
        <w:numPr>
          <w:ilvl w:val="0"/>
          <w:numId w:val="36"/>
        </w:numPr>
        <w:spacing w:after="0" w:line="240" w:lineRule="auto"/>
        <w:ind w:left="0" w:right="0" w:firstLine="0"/>
        <w:contextualSpacing/>
        <w:rPr>
          <w:rFonts w:eastAsiaTheme="minorHAnsi"/>
          <w:b/>
          <w:color w:val="auto"/>
          <w:sz w:val="22"/>
        </w:rPr>
      </w:pPr>
      <w:r w:rsidRPr="00BA050E">
        <w:rPr>
          <w:rFonts w:eastAsiaTheme="minorHAnsi"/>
          <w:b/>
          <w:color w:val="auto"/>
          <w:sz w:val="22"/>
        </w:rPr>
        <w:t xml:space="preserve">The Bank Group’s increasing concentration on economic governance will be underpinned by knowledge work and advice financed by other development partners.  </w:t>
      </w:r>
      <w:r w:rsidRPr="00BA050E">
        <w:rPr>
          <w:rFonts w:eastAsiaTheme="minorHAnsi"/>
          <w:color w:val="auto"/>
          <w:sz w:val="22"/>
        </w:rPr>
        <w:t>For example,</w:t>
      </w:r>
      <w:r w:rsidRPr="00BA050E">
        <w:rPr>
          <w:rFonts w:eastAsiaTheme="minorHAnsi"/>
          <w:b/>
          <w:color w:val="auto"/>
          <w:sz w:val="22"/>
        </w:rPr>
        <w:t xml:space="preserve"> </w:t>
      </w:r>
      <w:r w:rsidRPr="00BA050E">
        <w:rPr>
          <w:rFonts w:eastAsiaTheme="minorHAnsi"/>
          <w:color w:val="auto"/>
          <w:sz w:val="22"/>
        </w:rPr>
        <w:t>the EU will finance Bank Group-executed advisory work on energy policy, judicial reform, state-owned enterprises, public property, and the investment climate amounting to about US$5 million annually for two years, beginning 2018. The UK’s Good Governance Fund will support technical assistance on, among other things, justice, state-owned enterprises, the monitoring of governance reform and tax policy. Finally, Sweden will fund advice on energy sector regulation and Switzerland on the public expenditure dimensions of hospital rationalization</w:t>
      </w:r>
      <w:r w:rsidR="002E2940" w:rsidRPr="00BA050E">
        <w:rPr>
          <w:rFonts w:eastAsiaTheme="minorHAnsi"/>
          <w:color w:val="auto"/>
          <w:sz w:val="22"/>
        </w:rPr>
        <w:t>.</w:t>
      </w:r>
    </w:p>
    <w:p w14:paraId="400ADD69" w14:textId="77777777" w:rsidR="002E2940" w:rsidRPr="00BA050E" w:rsidRDefault="002E2940">
      <w:pPr>
        <w:spacing w:after="0" w:line="240" w:lineRule="auto"/>
        <w:ind w:left="0" w:firstLine="0"/>
      </w:pPr>
    </w:p>
    <w:p w14:paraId="7BDCDFBB" w14:textId="77777777" w:rsidR="002E2940" w:rsidRPr="00BA050E" w:rsidRDefault="002E2940">
      <w:pPr>
        <w:spacing w:after="0" w:line="240" w:lineRule="auto"/>
        <w:ind w:left="0" w:firstLine="0"/>
        <w:sectPr w:rsidR="002E2940" w:rsidRPr="00BA050E" w:rsidSect="00E44AD2">
          <w:pgSz w:w="12240" w:h="15840" w:code="1"/>
          <w:pgMar w:top="1440" w:right="1440" w:bottom="1440" w:left="1440" w:header="720" w:footer="720" w:gutter="0"/>
          <w:cols w:space="720"/>
          <w:docGrid w:linePitch="360"/>
        </w:sectPr>
      </w:pPr>
    </w:p>
    <w:p w14:paraId="638010ED" w14:textId="77777777" w:rsidR="00394606" w:rsidRDefault="00394606" w:rsidP="00394606">
      <w:pPr>
        <w:pStyle w:val="Heading1"/>
        <w:ind w:right="0"/>
        <w:rPr>
          <w:rFonts w:eastAsiaTheme="minorHAnsi"/>
        </w:rPr>
      </w:pPr>
      <w:bookmarkStart w:id="20" w:name="_Toc484623058"/>
      <w:bookmarkStart w:id="21" w:name="_Hlk480137722"/>
      <w:r>
        <w:rPr>
          <w:rFonts w:eastAsiaTheme="minorHAnsi"/>
        </w:rPr>
        <w:lastRenderedPageBreak/>
        <w:t xml:space="preserve">Annex 9. </w:t>
      </w:r>
      <w:r w:rsidR="00D21198">
        <w:rPr>
          <w:rFonts w:eastAsiaTheme="minorHAnsi"/>
        </w:rPr>
        <w:t xml:space="preserve">Summary of </w:t>
      </w:r>
      <w:r>
        <w:rPr>
          <w:rFonts w:eastAsiaTheme="minorHAnsi"/>
        </w:rPr>
        <w:t>Country Gender Action Plan (CGAP)</w:t>
      </w:r>
      <w:bookmarkEnd w:id="20"/>
    </w:p>
    <w:p w14:paraId="43164803" w14:textId="77777777" w:rsidR="00394606" w:rsidRDefault="00394606" w:rsidP="00CA6138">
      <w:pPr>
        <w:rPr>
          <w:rFonts w:eastAsiaTheme="minorHAnsi"/>
        </w:rPr>
      </w:pPr>
    </w:p>
    <w:p w14:paraId="48D574DB" w14:textId="77777777" w:rsidR="00D21198" w:rsidRPr="00054E6B" w:rsidRDefault="00D21198" w:rsidP="00D21198">
      <w:pPr>
        <w:pStyle w:val="ListParagraph"/>
        <w:pBdr>
          <w:top w:val="single" w:sz="4" w:space="1" w:color="auto"/>
          <w:left w:val="single" w:sz="4" w:space="4" w:color="auto"/>
          <w:bottom w:val="single" w:sz="4" w:space="1" w:color="auto"/>
          <w:right w:val="single" w:sz="4" w:space="4" w:color="auto"/>
        </w:pBdr>
        <w:spacing w:after="0" w:line="240" w:lineRule="auto"/>
        <w:ind w:left="0" w:right="0" w:firstLine="0"/>
        <w:rPr>
          <w:rStyle w:val="Hyperlink"/>
          <w:rFonts w:ascii="Times New Roman Bold" w:eastAsia="Calibri" w:hAnsi="Times New Roman Bold" w:cstheme="majorBidi"/>
          <w:b/>
          <w:color w:val="auto"/>
          <w:sz w:val="22"/>
          <w:szCs w:val="32"/>
        </w:rPr>
      </w:pPr>
      <w:r>
        <w:rPr>
          <w:rFonts w:eastAsia="Calibri"/>
          <w:color w:val="auto"/>
          <w:sz w:val="22"/>
        </w:rPr>
        <w:t xml:space="preserve">The full Moldova </w:t>
      </w:r>
      <w:r w:rsidRPr="00125912">
        <w:rPr>
          <w:rFonts w:eastAsia="Calibri"/>
          <w:color w:val="auto"/>
          <w:sz w:val="22"/>
        </w:rPr>
        <w:t xml:space="preserve">CGAP can be obtained at: </w:t>
      </w:r>
      <w:hyperlink r:id="rId17" w:history="1">
        <w:r w:rsidRPr="00125912">
          <w:rPr>
            <w:rStyle w:val="Hyperlink"/>
            <w:rFonts w:eastAsia="Calibri"/>
            <w:sz w:val="22"/>
          </w:rPr>
          <w:t>Moldova</w:t>
        </w:r>
        <w:r>
          <w:rPr>
            <w:rStyle w:val="Hyperlink"/>
            <w:rFonts w:eastAsia="Calibri"/>
            <w:sz w:val="22"/>
          </w:rPr>
          <w:t>:</w:t>
        </w:r>
        <w:r w:rsidRPr="00125912">
          <w:rPr>
            <w:rStyle w:val="Hyperlink"/>
            <w:rFonts w:eastAsia="Calibri"/>
            <w:sz w:val="22"/>
          </w:rPr>
          <w:t xml:space="preserve"> Country Gender Action Plan</w:t>
        </w:r>
      </w:hyperlink>
      <w:r w:rsidRPr="00054E6B">
        <w:rPr>
          <w:rStyle w:val="Hyperlink"/>
          <w:rFonts w:eastAsia="Calibri"/>
          <w:sz w:val="22"/>
        </w:rPr>
        <w:t>.</w:t>
      </w:r>
    </w:p>
    <w:p w14:paraId="3FF0C043" w14:textId="77777777" w:rsidR="00D21198" w:rsidRDefault="00D21198" w:rsidP="00D21198">
      <w:pPr>
        <w:spacing w:after="160" w:line="256" w:lineRule="auto"/>
        <w:ind w:left="0" w:right="0" w:firstLine="0"/>
        <w:jc w:val="left"/>
        <w:rPr>
          <w:rFonts w:eastAsia="Calibri"/>
          <w:b/>
          <w:color w:val="auto"/>
          <w:sz w:val="22"/>
        </w:rPr>
      </w:pPr>
    </w:p>
    <w:p w14:paraId="120CA7DA" w14:textId="77777777" w:rsidR="00D21198" w:rsidRPr="00D905EA" w:rsidRDefault="00D21198" w:rsidP="00D21198">
      <w:pPr>
        <w:spacing w:after="160" w:line="256" w:lineRule="auto"/>
        <w:ind w:left="0" w:right="0" w:firstLine="0"/>
        <w:jc w:val="left"/>
        <w:rPr>
          <w:rFonts w:eastAsia="Calibri"/>
          <w:b/>
          <w:color w:val="auto"/>
          <w:sz w:val="22"/>
        </w:rPr>
      </w:pPr>
      <w:r w:rsidRPr="00D905EA">
        <w:rPr>
          <w:rFonts w:eastAsia="Calibri"/>
          <w:b/>
          <w:color w:val="auto"/>
          <w:sz w:val="22"/>
        </w:rPr>
        <w:t>Background</w:t>
      </w:r>
    </w:p>
    <w:p w14:paraId="0A90240D" w14:textId="77777777" w:rsidR="00D905EA" w:rsidRPr="00D905EA" w:rsidRDefault="00D905EA" w:rsidP="00D905EA">
      <w:pPr>
        <w:pStyle w:val="ListParagraph"/>
        <w:numPr>
          <w:ilvl w:val="3"/>
          <w:numId w:val="35"/>
        </w:numPr>
        <w:spacing w:after="0" w:line="240" w:lineRule="auto"/>
        <w:ind w:left="0" w:right="0" w:firstLine="0"/>
        <w:rPr>
          <w:rFonts w:eastAsia="Calibri"/>
          <w:color w:val="auto"/>
          <w:sz w:val="22"/>
        </w:rPr>
      </w:pPr>
      <w:r w:rsidRPr="00D905EA">
        <w:rPr>
          <w:rFonts w:eastAsia="Calibri"/>
          <w:b/>
          <w:color w:val="auto"/>
          <w:sz w:val="22"/>
        </w:rPr>
        <w:t>The CGAP is based on a desk review of key gender issues and of ongoing and upcoming Bank Group activities in Moldova.</w:t>
      </w:r>
      <w:r w:rsidRPr="00D905EA">
        <w:rPr>
          <w:rFonts w:eastAsia="Calibri"/>
          <w:b/>
          <w:sz w:val="22"/>
          <w:vertAlign w:val="superscript"/>
        </w:rPr>
        <w:footnoteReference w:id="24"/>
      </w:r>
      <w:r w:rsidRPr="00D905EA">
        <w:rPr>
          <w:rFonts w:eastAsia="Calibri"/>
          <w:color w:val="auto"/>
          <w:sz w:val="22"/>
        </w:rPr>
        <w:t xml:space="preserve"> It identifies entry points in analytical and/or operational work that are aligned with the twin goals and can advance key gender equality outcomes and proposes indicators and instruments ensuring that gender analysis and monitoring are consistently incorporated and that progress is systematically recorded.</w:t>
      </w:r>
    </w:p>
    <w:p w14:paraId="56C3AFA2" w14:textId="77777777" w:rsidR="00D905EA" w:rsidRPr="00D905EA" w:rsidRDefault="00D905EA" w:rsidP="00D905EA">
      <w:pPr>
        <w:pStyle w:val="ListParagraph"/>
        <w:spacing w:after="0" w:line="240" w:lineRule="auto"/>
        <w:ind w:left="0" w:right="0" w:firstLine="0"/>
        <w:rPr>
          <w:rFonts w:eastAsia="Calibri"/>
          <w:color w:val="auto"/>
          <w:sz w:val="22"/>
        </w:rPr>
      </w:pPr>
    </w:p>
    <w:p w14:paraId="2C35BA70" w14:textId="77777777" w:rsidR="00D905EA" w:rsidRPr="00D905EA" w:rsidRDefault="00D905EA" w:rsidP="00D905EA">
      <w:pPr>
        <w:pStyle w:val="ListParagraph"/>
        <w:numPr>
          <w:ilvl w:val="3"/>
          <w:numId w:val="35"/>
        </w:numPr>
        <w:spacing w:after="0"/>
        <w:ind w:left="0" w:right="0" w:firstLine="0"/>
        <w:rPr>
          <w:rFonts w:eastAsia="Calibri"/>
          <w:sz w:val="22"/>
        </w:rPr>
      </w:pPr>
      <w:r w:rsidRPr="00D905EA">
        <w:rPr>
          <w:rFonts w:eastAsia="Calibri"/>
          <w:b/>
          <w:sz w:val="22"/>
        </w:rPr>
        <w:t>By global and regional standards, gender equality in Moldova is high</w:t>
      </w:r>
      <w:r w:rsidRPr="00D905EA">
        <w:rPr>
          <w:rFonts w:eastAsia="Calibri"/>
          <w:b/>
          <w:i/>
          <w:sz w:val="22"/>
        </w:rPr>
        <w:t xml:space="preserve">. </w:t>
      </w:r>
      <w:r w:rsidRPr="00D905EA">
        <w:rPr>
          <w:rFonts w:eastAsia="Calibri"/>
          <w:sz w:val="22"/>
        </w:rPr>
        <w:t>The World Economic Forum’s 2015 Global Gender Gap Index ranks Moldova 26 of 145 countries and third highest amongst East European and former Soviet states after Latvia (18) and Estonia (22). Primary and secondary education completion rates are essentially equal for boys and girls; 58 percent of university graduates are women; and female labor force participation is relatively high. Moldova’s constitution provides for gender equality and, in line with commitments under its Association Agreement with the EU, the government established a Gender Equality Coordination Council which recently completed a National Gender Equality Strategy.</w:t>
      </w:r>
    </w:p>
    <w:p w14:paraId="243E1356" w14:textId="77777777" w:rsidR="00D905EA" w:rsidRPr="00D905EA" w:rsidRDefault="00D905EA" w:rsidP="00D905EA">
      <w:pPr>
        <w:pStyle w:val="ListParagraph"/>
        <w:spacing w:after="0"/>
        <w:ind w:left="0" w:right="0" w:firstLine="0"/>
        <w:rPr>
          <w:rFonts w:eastAsia="Calibri"/>
          <w:sz w:val="22"/>
        </w:rPr>
      </w:pPr>
    </w:p>
    <w:p w14:paraId="7C788A01" w14:textId="77777777" w:rsidR="00D905EA" w:rsidRPr="00D905EA" w:rsidRDefault="00D905EA" w:rsidP="00D905EA">
      <w:pPr>
        <w:pStyle w:val="ListParagraph"/>
        <w:numPr>
          <w:ilvl w:val="3"/>
          <w:numId w:val="35"/>
        </w:numPr>
        <w:spacing w:after="0"/>
        <w:ind w:left="0" w:right="0" w:firstLine="0"/>
        <w:rPr>
          <w:rFonts w:eastAsia="Calibri"/>
          <w:sz w:val="22"/>
        </w:rPr>
      </w:pPr>
      <w:r w:rsidRPr="00D905EA">
        <w:rPr>
          <w:rFonts w:eastAsia="Calibri"/>
          <w:b/>
          <w:bCs/>
          <w:color w:val="auto"/>
          <w:sz w:val="22"/>
        </w:rPr>
        <w:t xml:space="preserve">Despite these advances, </w:t>
      </w:r>
      <w:r w:rsidRPr="00D905EA">
        <w:rPr>
          <w:b/>
          <w:bCs/>
          <w:color w:val="auto"/>
          <w:sz w:val="22"/>
        </w:rPr>
        <w:t>gender equality on key indicators including a</w:t>
      </w:r>
      <w:r w:rsidRPr="00D905EA">
        <w:rPr>
          <w:rFonts w:eastAsia="Calibri"/>
          <w:b/>
          <w:bCs/>
          <w:color w:val="auto"/>
          <w:sz w:val="22"/>
        </w:rPr>
        <w:t xml:space="preserve"> national Gender Equality Index (GEI), </w:t>
      </w:r>
      <w:r w:rsidRPr="00D905EA">
        <w:rPr>
          <w:b/>
          <w:bCs/>
          <w:color w:val="auto"/>
          <w:sz w:val="22"/>
        </w:rPr>
        <w:t>is declining</w:t>
      </w:r>
      <w:r w:rsidRPr="00D905EA">
        <w:rPr>
          <w:rFonts w:eastAsia="Calibri"/>
          <w:b/>
          <w:bCs/>
          <w:i/>
          <w:color w:val="auto"/>
          <w:sz w:val="22"/>
        </w:rPr>
        <w:t>.</w:t>
      </w:r>
      <w:r w:rsidRPr="00D905EA">
        <w:rPr>
          <w:b/>
          <w:bCs/>
          <w:i/>
          <w:color w:val="auto"/>
          <w:sz w:val="22"/>
        </w:rPr>
        <w:t xml:space="preserve"> </w:t>
      </w:r>
      <w:r w:rsidRPr="00D905EA">
        <w:rPr>
          <w:bCs/>
          <w:color w:val="auto"/>
          <w:sz w:val="22"/>
        </w:rPr>
        <w:t xml:space="preserve">According to the latter, comprising 31 indicators in six areas, </w:t>
      </w:r>
      <w:r w:rsidRPr="00D905EA">
        <w:rPr>
          <w:rFonts w:eastAsia="Calibri"/>
          <w:color w:val="auto"/>
          <w:sz w:val="22"/>
        </w:rPr>
        <w:t xml:space="preserve">four areas regressed during 2009-14, the </w:t>
      </w:r>
      <w:r w:rsidRPr="00D905EA">
        <w:rPr>
          <w:bCs/>
          <w:color w:val="auto"/>
          <w:sz w:val="22"/>
        </w:rPr>
        <w:t xml:space="preserve">decline being most evident in the labor market. Second, an assessment by the </w:t>
      </w:r>
      <w:r w:rsidRPr="00D905EA">
        <w:rPr>
          <w:sz w:val="22"/>
        </w:rPr>
        <w:t xml:space="preserve">Partnership for Development Center </w:t>
      </w:r>
      <w:r w:rsidRPr="00D905EA">
        <w:rPr>
          <w:bCs/>
          <w:color w:val="auto"/>
          <w:sz w:val="22"/>
        </w:rPr>
        <w:t xml:space="preserve">of 25 policies adopted by parliament between 2012-14 concluded that none considered gender issues explicitly. Third, a World Bank Country Gender Assessment confirmed </w:t>
      </w:r>
      <w:r w:rsidRPr="00D905EA">
        <w:rPr>
          <w:rFonts w:eastAsia="Calibri"/>
          <w:sz w:val="22"/>
        </w:rPr>
        <w:t>that gender discrepancies persist in important areas of the economy and society.</w:t>
      </w:r>
      <w:r w:rsidRPr="00D77307">
        <w:rPr>
          <w:rFonts w:eastAsia="Calibri"/>
          <w:sz w:val="22"/>
          <w:vertAlign w:val="superscript"/>
        </w:rPr>
        <w:footnoteReference w:id="25"/>
      </w:r>
    </w:p>
    <w:p w14:paraId="3753384F" w14:textId="77777777" w:rsidR="00D905EA" w:rsidRPr="00D905EA" w:rsidRDefault="00D905EA" w:rsidP="00D905EA">
      <w:pPr>
        <w:pStyle w:val="ListParagraph"/>
        <w:rPr>
          <w:rFonts w:eastAsia="Calibri"/>
          <w:sz w:val="22"/>
        </w:rPr>
      </w:pPr>
    </w:p>
    <w:p w14:paraId="0EA3F091" w14:textId="77777777" w:rsidR="00D905EA" w:rsidRPr="00D905EA" w:rsidRDefault="00D905EA" w:rsidP="00D905EA">
      <w:pPr>
        <w:pStyle w:val="ListParagraph"/>
        <w:numPr>
          <w:ilvl w:val="3"/>
          <w:numId w:val="35"/>
        </w:numPr>
        <w:spacing w:after="0"/>
        <w:ind w:left="0" w:right="0" w:firstLine="0"/>
        <w:rPr>
          <w:rFonts w:eastAsia="Calibri"/>
          <w:sz w:val="22"/>
        </w:rPr>
      </w:pPr>
      <w:r w:rsidRPr="00D905EA">
        <w:rPr>
          <w:rFonts w:eastAsia="Calibri"/>
          <w:b/>
          <w:color w:val="auto"/>
          <w:sz w:val="22"/>
        </w:rPr>
        <w:t xml:space="preserve">National priorities focus on equality in the labor market, increasing women’s representation in politics, improving the enabling environment for women entrepreneurs, and combating gender-based violence. </w:t>
      </w:r>
      <w:r w:rsidRPr="00D905EA">
        <w:rPr>
          <w:rFonts w:eastAsia="Calibri"/>
          <w:color w:val="auto"/>
          <w:sz w:val="22"/>
        </w:rPr>
        <w:t xml:space="preserve">Moldova’s National Gender Equality Strategy, 2016-20 aims to mainstream gender in several areas including health, education, social services, labor market, climate change and disaster management, political participation, </w:t>
      </w:r>
      <w:r w:rsidRPr="00D905EA">
        <w:rPr>
          <w:rFonts w:eastAsia="Calibri"/>
          <w:i/>
          <w:color w:val="auto"/>
          <w:sz w:val="22"/>
        </w:rPr>
        <w:t>etc.</w:t>
      </w:r>
      <w:r w:rsidRPr="00D905EA">
        <w:rPr>
          <w:rFonts w:eastAsia="Calibri"/>
          <w:color w:val="auto"/>
          <w:sz w:val="22"/>
        </w:rPr>
        <w:t xml:space="preserve"> The Ministry of Labor, Health, and Social Affairs is responsible for coordinating implementation, although each sectoral agency is responsible for allocating financial resources.</w:t>
      </w:r>
    </w:p>
    <w:p w14:paraId="42509130" w14:textId="77777777" w:rsidR="00D905EA" w:rsidRPr="00D905EA" w:rsidRDefault="00D905EA" w:rsidP="00D905EA">
      <w:pPr>
        <w:spacing w:after="0" w:line="240" w:lineRule="auto"/>
        <w:ind w:left="0" w:right="0" w:firstLine="0"/>
        <w:rPr>
          <w:rFonts w:eastAsia="Calibri"/>
          <w:sz w:val="22"/>
        </w:rPr>
      </w:pPr>
    </w:p>
    <w:p w14:paraId="27DEC637" w14:textId="77777777" w:rsidR="00D905EA" w:rsidRPr="00D905EA" w:rsidRDefault="00D905EA" w:rsidP="00D905EA">
      <w:pPr>
        <w:spacing w:after="0" w:line="240" w:lineRule="auto"/>
        <w:ind w:left="0" w:right="0" w:firstLine="0"/>
        <w:rPr>
          <w:rFonts w:eastAsia="Calibri"/>
          <w:b/>
          <w:sz w:val="22"/>
        </w:rPr>
      </w:pPr>
      <w:r w:rsidRPr="00D905EA">
        <w:rPr>
          <w:rFonts w:eastAsia="Calibri"/>
          <w:b/>
          <w:sz w:val="22"/>
        </w:rPr>
        <w:t>Bank Group Program</w:t>
      </w:r>
    </w:p>
    <w:p w14:paraId="2866F569" w14:textId="77777777" w:rsidR="00D905EA" w:rsidRPr="00D905EA" w:rsidRDefault="00D905EA" w:rsidP="00D905EA">
      <w:pPr>
        <w:spacing w:after="0" w:line="240" w:lineRule="auto"/>
        <w:ind w:left="0" w:right="0" w:firstLine="0"/>
        <w:rPr>
          <w:rFonts w:eastAsia="Calibri"/>
          <w:b/>
          <w:sz w:val="22"/>
        </w:rPr>
      </w:pPr>
    </w:p>
    <w:p w14:paraId="397592B4" w14:textId="2A9E7F3A" w:rsidR="00D905EA" w:rsidRPr="000A3DB5" w:rsidRDefault="00D905EA" w:rsidP="00597C69">
      <w:pPr>
        <w:pStyle w:val="ListParagraph"/>
        <w:numPr>
          <w:ilvl w:val="3"/>
          <w:numId w:val="35"/>
        </w:numPr>
        <w:spacing w:after="0"/>
        <w:ind w:left="0" w:right="0" w:firstLine="0"/>
        <w:rPr>
          <w:rFonts w:eastAsia="Calibri"/>
          <w:b/>
          <w:sz w:val="22"/>
        </w:rPr>
      </w:pPr>
      <w:r w:rsidRPr="00D905EA">
        <w:rPr>
          <w:rFonts w:eastAsia="Calibri"/>
          <w:b/>
          <w:color w:val="auto"/>
          <w:sz w:val="22"/>
        </w:rPr>
        <w:t>A review of projects underway during the FY14-17 CPS revealed increasing gender analysis and monitoring</w:t>
      </w:r>
      <w:r w:rsidRPr="00D905EA">
        <w:rPr>
          <w:rFonts w:eastAsia="Calibri"/>
          <w:b/>
          <w:i/>
          <w:color w:val="auto"/>
          <w:sz w:val="22"/>
        </w:rPr>
        <w:t>.</w:t>
      </w:r>
      <w:r w:rsidRPr="00D77307">
        <w:rPr>
          <w:rFonts w:eastAsia="Calibri"/>
          <w:color w:val="auto"/>
          <w:sz w:val="22"/>
          <w:vertAlign w:val="superscript"/>
        </w:rPr>
        <w:footnoteReference w:id="26"/>
      </w:r>
      <w:r w:rsidRPr="00D905EA">
        <w:rPr>
          <w:rFonts w:eastAsia="Calibri"/>
          <w:color w:val="auto"/>
          <w:sz w:val="22"/>
        </w:rPr>
        <w:t xml:space="preserve"> Ten, or two-thirds, are informed by some type of gender analysis and most include gender indicators in their results framework. Overall, 80 percent can be considered gender-informed, </w:t>
      </w:r>
      <w:r w:rsidRPr="00D905EA">
        <w:rPr>
          <w:rFonts w:eastAsia="Calibri"/>
          <w:i/>
          <w:color w:val="auto"/>
          <w:sz w:val="22"/>
        </w:rPr>
        <w:t>i.e.</w:t>
      </w:r>
      <w:r w:rsidRPr="00D905EA">
        <w:rPr>
          <w:rFonts w:eastAsia="Calibri"/>
          <w:color w:val="auto"/>
          <w:sz w:val="22"/>
        </w:rPr>
        <w:t xml:space="preserve">, meeting at least two of three criteria: gender analysis, gender actions, and/or gender monitoring. Compared to FY11-13, all projects approved since FY14 were informed by gender analysis and include gender-related indicators. </w:t>
      </w:r>
    </w:p>
    <w:p w14:paraId="6E89CC4B" w14:textId="77777777" w:rsidR="00D905EA" w:rsidRPr="00D905EA" w:rsidRDefault="00D905EA" w:rsidP="00D905EA">
      <w:pPr>
        <w:pStyle w:val="ListParagraph"/>
        <w:numPr>
          <w:ilvl w:val="3"/>
          <w:numId w:val="35"/>
        </w:numPr>
        <w:spacing w:after="0"/>
        <w:ind w:left="0" w:right="0" w:firstLine="0"/>
        <w:rPr>
          <w:rFonts w:eastAsia="Calibri"/>
          <w:b/>
          <w:sz w:val="22"/>
        </w:rPr>
      </w:pPr>
      <w:r w:rsidRPr="00D905EA">
        <w:rPr>
          <w:rFonts w:eastAsia="Calibri"/>
          <w:b/>
          <w:color w:val="auto"/>
          <w:sz w:val="22"/>
        </w:rPr>
        <w:lastRenderedPageBreak/>
        <w:t>Though gender-informed, the Bank Group’s portfolio faces challenges in achieving a transformational impact on key issues</w:t>
      </w:r>
      <w:r w:rsidRPr="00D905EA">
        <w:rPr>
          <w:rFonts w:eastAsia="Calibri"/>
          <w:b/>
          <w:i/>
          <w:color w:val="auto"/>
          <w:sz w:val="22"/>
        </w:rPr>
        <w:t xml:space="preserve">. </w:t>
      </w:r>
      <w:r w:rsidRPr="00D905EA">
        <w:rPr>
          <w:rFonts w:eastAsia="Calibri"/>
          <w:color w:val="auto"/>
          <w:sz w:val="22"/>
        </w:rPr>
        <w:t>Only one project (</w:t>
      </w:r>
      <w:r w:rsidRPr="00D905EA">
        <w:rPr>
          <w:rFonts w:eastAsia="Calibri"/>
          <w:i/>
          <w:color w:val="auto"/>
          <w:sz w:val="22"/>
        </w:rPr>
        <w:t>e-Transformation</w:t>
      </w:r>
      <w:r w:rsidRPr="00D905EA">
        <w:rPr>
          <w:rFonts w:eastAsia="Calibri"/>
          <w:color w:val="auto"/>
          <w:sz w:val="22"/>
        </w:rPr>
        <w:t xml:space="preserve">) incorporates a gender-specific target and no projects target gender equality outcomes. Moreover, while many projects report gender-related activities at the design stage, few provide evidence during implementation. </w:t>
      </w:r>
    </w:p>
    <w:p w14:paraId="376F4F55" w14:textId="77777777" w:rsidR="00D905EA" w:rsidRPr="00D905EA" w:rsidRDefault="00D905EA" w:rsidP="00D905EA">
      <w:pPr>
        <w:pStyle w:val="ListParagraph"/>
        <w:rPr>
          <w:rFonts w:eastAsia="Calibri"/>
          <w:b/>
          <w:sz w:val="22"/>
        </w:rPr>
      </w:pPr>
    </w:p>
    <w:p w14:paraId="444353E9" w14:textId="77777777" w:rsidR="00D905EA" w:rsidRPr="00D905EA" w:rsidRDefault="00D905EA" w:rsidP="00D905EA">
      <w:pPr>
        <w:pStyle w:val="ListParagraph"/>
        <w:numPr>
          <w:ilvl w:val="3"/>
          <w:numId w:val="35"/>
        </w:numPr>
        <w:spacing w:after="0"/>
        <w:ind w:left="0" w:right="0" w:firstLine="0"/>
        <w:rPr>
          <w:rFonts w:eastAsia="Calibri"/>
          <w:b/>
          <w:sz w:val="22"/>
        </w:rPr>
      </w:pPr>
      <w:r w:rsidRPr="00D905EA">
        <w:rPr>
          <w:rFonts w:eastAsia="Calibri"/>
          <w:b/>
          <w:color w:val="auto"/>
          <w:sz w:val="22"/>
        </w:rPr>
        <w:t>Bank Group knowledge work also contributes to the evidence base on gender gaps</w:t>
      </w:r>
      <w:r w:rsidRPr="00D905EA">
        <w:rPr>
          <w:rFonts w:eastAsia="Calibri"/>
          <w:b/>
          <w:i/>
          <w:color w:val="auto"/>
          <w:sz w:val="22"/>
        </w:rPr>
        <w:t xml:space="preserve">. </w:t>
      </w:r>
      <w:r w:rsidRPr="00D905EA">
        <w:rPr>
          <w:rFonts w:eastAsia="Calibri"/>
          <w:color w:val="auto"/>
          <w:sz w:val="22"/>
        </w:rPr>
        <w:t>For example</w:t>
      </w:r>
      <w:r w:rsidRPr="00D905EA">
        <w:rPr>
          <w:rFonts w:eastAsia="Calibri"/>
          <w:b/>
          <w:i/>
          <w:color w:val="auto"/>
          <w:sz w:val="22"/>
        </w:rPr>
        <w:t xml:space="preserve">, </w:t>
      </w:r>
      <w:r w:rsidRPr="00D905EA">
        <w:rPr>
          <w:rFonts w:eastAsia="Calibri"/>
          <w:color w:val="auto"/>
          <w:sz w:val="22"/>
        </w:rPr>
        <w:t xml:space="preserve">a 2015 study </w:t>
      </w:r>
      <w:r w:rsidRPr="00D905EA">
        <w:rPr>
          <w:rFonts w:eastAsia="Calibri"/>
          <w:i/>
          <w:color w:val="auto"/>
          <w:sz w:val="22"/>
        </w:rPr>
        <w:t>From Aspirations to Occupations</w:t>
      </w:r>
      <w:r w:rsidRPr="00D905EA">
        <w:rPr>
          <w:rFonts w:eastAsia="Calibri"/>
          <w:color w:val="auto"/>
          <w:sz w:val="22"/>
        </w:rPr>
        <w:t xml:space="preserve"> and the 2016 SCD highlighted the gap in occupational preferences between men and women, with few women entering higher-earning STEM professions and many delaying their entry into the labor force. In this connection, Moldova’s Small and Medium Business Development Agency (ODIMM) is undertaking a first national survey of barriers to entry for women entrepreneurs. The findings of these knowledge products will help inform gender-specific actions in education, entrepreneurship, and livelihoods. Meanwhile, the Pension Reform Law, approved in December 2016, equalized the retirement age for men and women (at 63) and is expected to improve women’s pension and related benefits and reduce the income gap between men and women retirees.</w:t>
      </w:r>
    </w:p>
    <w:p w14:paraId="65F6D7ED" w14:textId="77777777" w:rsidR="00D905EA" w:rsidRPr="00D905EA" w:rsidRDefault="00D905EA" w:rsidP="00D905EA">
      <w:pPr>
        <w:spacing w:after="160" w:line="256" w:lineRule="auto"/>
        <w:ind w:left="0" w:right="0" w:firstLine="0"/>
        <w:contextualSpacing/>
        <w:rPr>
          <w:rFonts w:eastAsia="Calibri"/>
          <w:color w:val="auto"/>
          <w:sz w:val="22"/>
        </w:rPr>
      </w:pPr>
    </w:p>
    <w:p w14:paraId="49C68779" w14:textId="77777777" w:rsidR="00D905EA" w:rsidRPr="00D905EA" w:rsidRDefault="00D905EA" w:rsidP="00D905EA">
      <w:pPr>
        <w:spacing w:after="0" w:line="240" w:lineRule="auto"/>
        <w:ind w:left="0" w:right="0" w:firstLine="0"/>
        <w:contextualSpacing/>
        <w:rPr>
          <w:rFonts w:eastAsia="Calibri"/>
          <w:b/>
          <w:color w:val="auto"/>
          <w:sz w:val="22"/>
        </w:rPr>
      </w:pPr>
      <w:r w:rsidRPr="00D905EA">
        <w:rPr>
          <w:rFonts w:eastAsia="Calibri"/>
          <w:b/>
          <w:color w:val="auto"/>
          <w:sz w:val="22"/>
        </w:rPr>
        <w:t>Proposed Actions under the Moldova CGAP FY18-21</w:t>
      </w:r>
    </w:p>
    <w:p w14:paraId="604807C5" w14:textId="77777777" w:rsidR="00D905EA" w:rsidRPr="00D905EA" w:rsidRDefault="00D905EA" w:rsidP="00D905EA">
      <w:pPr>
        <w:spacing w:after="0" w:line="240" w:lineRule="auto"/>
        <w:ind w:left="0" w:right="0" w:firstLine="0"/>
        <w:contextualSpacing/>
        <w:rPr>
          <w:rFonts w:eastAsia="Calibri"/>
          <w:b/>
          <w:color w:val="auto"/>
          <w:sz w:val="22"/>
        </w:rPr>
      </w:pPr>
    </w:p>
    <w:p w14:paraId="465EF01A" w14:textId="77777777" w:rsidR="00D905EA" w:rsidRPr="00D905EA" w:rsidRDefault="00D905EA" w:rsidP="00D905EA">
      <w:pPr>
        <w:pStyle w:val="ListParagraph"/>
        <w:numPr>
          <w:ilvl w:val="3"/>
          <w:numId w:val="35"/>
        </w:numPr>
        <w:autoSpaceDE w:val="0"/>
        <w:autoSpaceDN w:val="0"/>
        <w:adjustRightInd w:val="0"/>
        <w:spacing w:after="120" w:line="240" w:lineRule="auto"/>
        <w:ind w:left="0" w:right="0" w:firstLine="0"/>
        <w:contextualSpacing w:val="0"/>
        <w:jc w:val="left"/>
        <w:rPr>
          <w:rFonts w:eastAsiaTheme="minorHAnsi"/>
          <w:color w:val="auto"/>
          <w:sz w:val="22"/>
        </w:rPr>
      </w:pPr>
      <w:r w:rsidRPr="00D905EA">
        <w:rPr>
          <w:rFonts w:eastAsia="Calibri"/>
          <w:color w:val="auto"/>
          <w:sz w:val="22"/>
        </w:rPr>
        <w:t xml:space="preserve">Drawing from the foregoing analysis of the country context and the program, the CGAP proposes a two-track approach: </w:t>
      </w:r>
    </w:p>
    <w:p w14:paraId="432DDFA0" w14:textId="77777777" w:rsidR="00D905EA" w:rsidRPr="00D905EA" w:rsidRDefault="00D905EA" w:rsidP="00D905EA">
      <w:pPr>
        <w:pStyle w:val="ListParagraph"/>
        <w:numPr>
          <w:ilvl w:val="0"/>
          <w:numId w:val="46"/>
        </w:numPr>
        <w:autoSpaceDE w:val="0"/>
        <w:autoSpaceDN w:val="0"/>
        <w:adjustRightInd w:val="0"/>
        <w:spacing w:after="120" w:line="240" w:lineRule="auto"/>
        <w:ind w:right="0"/>
        <w:contextualSpacing w:val="0"/>
        <w:rPr>
          <w:rFonts w:eastAsiaTheme="minorHAnsi"/>
          <w:color w:val="auto"/>
          <w:sz w:val="22"/>
        </w:rPr>
      </w:pPr>
      <w:r w:rsidRPr="00D905EA">
        <w:rPr>
          <w:rFonts w:eastAsia="Calibri"/>
          <w:i/>
          <w:color w:val="auto"/>
          <w:sz w:val="22"/>
        </w:rPr>
        <w:t>mainstreaming</w:t>
      </w:r>
      <w:r w:rsidRPr="00D905EA">
        <w:rPr>
          <w:rFonts w:eastAsia="Calibri"/>
          <w:color w:val="auto"/>
          <w:sz w:val="22"/>
        </w:rPr>
        <w:t xml:space="preserve"> (or cross-cutting activities): to ensure continuous attention to gender in the portfolio and identify opportunities for deepening gender analysis, actions, and/or targets in projects. At least two of the following pipeline projects will incorporate activities and targets to reduce gender gaps: </w:t>
      </w:r>
      <w:r w:rsidRPr="00D905EA">
        <w:rPr>
          <w:rFonts w:eastAsiaTheme="minorHAnsi"/>
          <w:i/>
          <w:color w:val="auto"/>
          <w:sz w:val="22"/>
        </w:rPr>
        <w:t>Education Reform AF</w:t>
      </w:r>
      <w:r w:rsidRPr="00D905EA">
        <w:rPr>
          <w:rFonts w:eastAsiaTheme="minorHAnsi"/>
          <w:color w:val="auto"/>
          <w:sz w:val="22"/>
        </w:rPr>
        <w:t xml:space="preserve"> (FY18); </w:t>
      </w:r>
      <w:r w:rsidRPr="00D905EA">
        <w:rPr>
          <w:rFonts w:eastAsiaTheme="minorHAnsi"/>
          <w:i/>
          <w:color w:val="auto"/>
          <w:sz w:val="22"/>
        </w:rPr>
        <w:t>Skills for Jobs</w:t>
      </w:r>
      <w:r w:rsidRPr="00D905EA">
        <w:rPr>
          <w:rFonts w:eastAsiaTheme="minorHAnsi"/>
          <w:color w:val="auto"/>
          <w:sz w:val="22"/>
        </w:rPr>
        <w:t xml:space="preserve"> (FY19); and </w:t>
      </w:r>
      <w:r w:rsidRPr="00D905EA">
        <w:rPr>
          <w:rFonts w:eastAsiaTheme="minorHAnsi"/>
          <w:i/>
          <w:color w:val="auto"/>
          <w:sz w:val="22"/>
        </w:rPr>
        <w:t>Land Registration and Valuation and Local Taxation</w:t>
      </w:r>
      <w:r w:rsidRPr="00D905EA">
        <w:rPr>
          <w:rFonts w:eastAsiaTheme="minorHAnsi"/>
          <w:color w:val="auto"/>
          <w:sz w:val="22"/>
        </w:rPr>
        <w:t>. At least one success story on gender outcomes will be produced and disseminated; and</w:t>
      </w:r>
    </w:p>
    <w:p w14:paraId="51E8D038" w14:textId="77777777" w:rsidR="00394606" w:rsidRPr="00D905EA" w:rsidRDefault="00D905EA" w:rsidP="00D21198">
      <w:pPr>
        <w:pStyle w:val="ListParagraph"/>
        <w:numPr>
          <w:ilvl w:val="0"/>
          <w:numId w:val="46"/>
        </w:numPr>
        <w:autoSpaceDE w:val="0"/>
        <w:autoSpaceDN w:val="0"/>
        <w:adjustRightInd w:val="0"/>
        <w:spacing w:after="0" w:line="240" w:lineRule="auto"/>
        <w:ind w:right="0"/>
        <w:rPr>
          <w:rFonts w:eastAsiaTheme="minorHAnsi"/>
          <w:color w:val="auto"/>
          <w:sz w:val="22"/>
        </w:rPr>
      </w:pPr>
      <w:r w:rsidRPr="00D905EA">
        <w:rPr>
          <w:rFonts w:eastAsia="Calibri"/>
          <w:i/>
          <w:color w:val="auto"/>
          <w:sz w:val="22"/>
        </w:rPr>
        <w:t>specific gender equality outcomes</w:t>
      </w:r>
      <w:r w:rsidRPr="00D905EA">
        <w:rPr>
          <w:rFonts w:eastAsia="Calibri"/>
          <w:color w:val="auto"/>
          <w:sz w:val="22"/>
        </w:rPr>
        <w:t>: to achieve selective targets that are aligned with the portfolio as well as the country’s key gender issues. The CGAP specifies 17 results grouped under its three thematic priorities: reducing occupational segregation, closing the gap in mortality and life expectancy, and lowering rates of gender-based violence, particularly domestic violence. The strong focus on education, training, and business development in the portfolio means that activities to address occupational segregation dominate the CGAP’s results matrix, accounting for 13 of 17 intended results. TF financing will be sought to support access to justice for victims of gender-based violence</w:t>
      </w:r>
      <w:r w:rsidR="00D21198" w:rsidRPr="00D905EA">
        <w:rPr>
          <w:rFonts w:eastAsia="Calibri"/>
          <w:color w:val="auto"/>
          <w:sz w:val="22"/>
        </w:rPr>
        <w:t>.</w:t>
      </w:r>
    </w:p>
    <w:p w14:paraId="6B88DF0A" w14:textId="77777777" w:rsidR="00B75615" w:rsidRPr="00BA050E" w:rsidRDefault="00B75615" w:rsidP="00B75615">
      <w:pPr>
        <w:spacing w:after="0" w:line="240" w:lineRule="auto"/>
        <w:ind w:left="0" w:right="0" w:firstLine="0"/>
        <w:jc w:val="left"/>
        <w:rPr>
          <w:rFonts w:eastAsia="Calibri"/>
          <w:color w:val="auto"/>
          <w:sz w:val="22"/>
        </w:rPr>
      </w:pPr>
    </w:p>
    <w:bookmarkEnd w:id="21"/>
    <w:p w14:paraId="7CE175A5" w14:textId="77777777" w:rsidR="0064561A" w:rsidRDefault="0064561A" w:rsidP="00CA6138">
      <w:pPr>
        <w:ind w:left="0" w:firstLine="0"/>
        <w:contextualSpacing/>
        <w:rPr>
          <w:rFonts w:eastAsia="Calibri"/>
          <w:color w:val="auto"/>
          <w:sz w:val="22"/>
        </w:rPr>
        <w:sectPr w:rsidR="0064561A">
          <w:footerReference w:type="default" r:id="rId18"/>
          <w:pgSz w:w="12240" w:h="15840"/>
          <w:pgMar w:top="1440" w:right="1440" w:bottom="1440" w:left="1440" w:header="720" w:footer="720" w:gutter="0"/>
          <w:cols w:space="720"/>
          <w:docGrid w:linePitch="360"/>
        </w:sectPr>
      </w:pPr>
    </w:p>
    <w:p w14:paraId="5BC05816" w14:textId="5562A7CB" w:rsidR="0064561A" w:rsidRDefault="0064561A" w:rsidP="00597C69">
      <w:pPr>
        <w:pStyle w:val="Heading1"/>
        <w:ind w:right="0"/>
        <w:rPr>
          <w:rFonts w:eastAsiaTheme="minorHAnsi"/>
        </w:rPr>
      </w:pPr>
      <w:bookmarkStart w:id="22" w:name="_Toc484623059"/>
      <w:r>
        <w:rPr>
          <w:rFonts w:eastAsiaTheme="minorHAnsi"/>
        </w:rPr>
        <w:lastRenderedPageBreak/>
        <w:t>Annex 10. Consultations</w:t>
      </w:r>
      <w:bookmarkEnd w:id="22"/>
    </w:p>
    <w:p w14:paraId="7D001FED" w14:textId="77777777" w:rsidR="00D905EA" w:rsidRDefault="00D905EA" w:rsidP="00D905EA">
      <w:pPr>
        <w:pStyle w:val="ListParagraph"/>
        <w:numPr>
          <w:ilvl w:val="0"/>
          <w:numId w:val="45"/>
        </w:numPr>
        <w:spacing w:after="100" w:afterAutospacing="1" w:line="247" w:lineRule="auto"/>
        <w:ind w:left="0" w:right="0" w:firstLine="0"/>
        <w:rPr>
          <w:sz w:val="22"/>
        </w:rPr>
      </w:pPr>
      <w:r w:rsidRPr="0064561A">
        <w:rPr>
          <w:b/>
          <w:sz w:val="22"/>
        </w:rPr>
        <w:t xml:space="preserve">A Country Opinion Survey was carried out </w:t>
      </w:r>
      <w:r>
        <w:rPr>
          <w:b/>
          <w:sz w:val="22"/>
        </w:rPr>
        <w:t xml:space="preserve">during </w:t>
      </w:r>
      <w:r w:rsidRPr="0064561A">
        <w:rPr>
          <w:b/>
          <w:sz w:val="22"/>
        </w:rPr>
        <w:t>May</w:t>
      </w:r>
      <w:r>
        <w:rPr>
          <w:b/>
          <w:sz w:val="22"/>
        </w:rPr>
        <w:t>―</w:t>
      </w:r>
      <w:r w:rsidRPr="0064561A">
        <w:rPr>
          <w:b/>
          <w:sz w:val="22"/>
        </w:rPr>
        <w:t>June 2016.</w:t>
      </w:r>
      <w:r w:rsidRPr="0064561A">
        <w:rPr>
          <w:sz w:val="22"/>
        </w:rPr>
        <w:t xml:space="preserve"> Respondents’ top priorities for Bank Group </w:t>
      </w:r>
      <w:r>
        <w:rPr>
          <w:sz w:val="22"/>
        </w:rPr>
        <w:t xml:space="preserve">activities </w:t>
      </w:r>
      <w:r w:rsidRPr="0064561A">
        <w:rPr>
          <w:sz w:val="22"/>
        </w:rPr>
        <w:t>were anti-corruption and education. Other</w:t>
      </w:r>
      <w:r>
        <w:rPr>
          <w:sz w:val="22"/>
        </w:rPr>
        <w:t xml:space="preserve">s </w:t>
      </w:r>
      <w:r w:rsidRPr="0064561A">
        <w:rPr>
          <w:sz w:val="22"/>
        </w:rPr>
        <w:t>included governance, private sector development and investment, job creation and justice sector reform.</w:t>
      </w:r>
    </w:p>
    <w:p w14:paraId="08D5C26F" w14:textId="77777777" w:rsidR="00D905EA" w:rsidRDefault="00D905EA" w:rsidP="00D905EA">
      <w:pPr>
        <w:pStyle w:val="ListParagraph"/>
        <w:spacing w:after="100" w:afterAutospacing="1" w:line="247" w:lineRule="auto"/>
        <w:ind w:left="0" w:right="0" w:firstLine="0"/>
        <w:rPr>
          <w:sz w:val="22"/>
        </w:rPr>
      </w:pPr>
    </w:p>
    <w:p w14:paraId="0B90CF34" w14:textId="77777777" w:rsidR="00D905EA" w:rsidRDefault="00D905EA" w:rsidP="00D905EA">
      <w:pPr>
        <w:pStyle w:val="ListParagraph"/>
        <w:numPr>
          <w:ilvl w:val="0"/>
          <w:numId w:val="45"/>
        </w:numPr>
        <w:spacing w:after="100" w:afterAutospacing="1" w:line="247" w:lineRule="auto"/>
        <w:ind w:left="0" w:right="0" w:firstLine="0"/>
        <w:rPr>
          <w:sz w:val="22"/>
        </w:rPr>
      </w:pPr>
      <w:r w:rsidRPr="0064561A">
        <w:rPr>
          <w:b/>
          <w:sz w:val="22"/>
        </w:rPr>
        <w:t>CPF consultations were carried out between 19 January</w:t>
      </w:r>
      <w:r>
        <w:rPr>
          <w:b/>
          <w:sz w:val="22"/>
        </w:rPr>
        <w:t>―</w:t>
      </w:r>
      <w:r w:rsidRPr="0064561A">
        <w:rPr>
          <w:b/>
          <w:sz w:val="22"/>
        </w:rPr>
        <w:t>23 March, 2017</w:t>
      </w:r>
      <w:r w:rsidRPr="00E2534F">
        <w:rPr>
          <w:b/>
          <w:sz w:val="22"/>
        </w:rPr>
        <w:t>.</w:t>
      </w:r>
      <w:r w:rsidRPr="0064561A">
        <w:rPr>
          <w:sz w:val="22"/>
        </w:rPr>
        <w:t xml:space="preserve"> Stakeholders from different regions were consulted face-to-face, including representatives of civil society organizations, the private sector, development partners, students, academics and the general public. </w:t>
      </w:r>
      <w:r>
        <w:rPr>
          <w:sz w:val="22"/>
        </w:rPr>
        <w:t>Participants</w:t>
      </w:r>
      <w:r w:rsidRPr="0064561A">
        <w:rPr>
          <w:sz w:val="22"/>
        </w:rPr>
        <w:t xml:space="preserve"> received a letter summarizing the</w:t>
      </w:r>
      <w:r>
        <w:rPr>
          <w:sz w:val="22"/>
        </w:rPr>
        <w:t>ir consultation</w:t>
      </w:r>
      <w:r w:rsidRPr="0064561A">
        <w:rPr>
          <w:sz w:val="22"/>
        </w:rPr>
        <w:t xml:space="preserve"> meeting’s conclusions.</w:t>
      </w:r>
      <w:r w:rsidRPr="0064561A">
        <w:rPr>
          <w:color w:val="FF0000"/>
          <w:sz w:val="22"/>
        </w:rPr>
        <w:t xml:space="preserve"> </w:t>
      </w:r>
      <w:r w:rsidRPr="0064561A">
        <w:rPr>
          <w:sz w:val="22"/>
        </w:rPr>
        <w:t>A CPF consultation</w:t>
      </w:r>
      <w:r>
        <w:rPr>
          <w:sz w:val="22"/>
        </w:rPr>
        <w:t>s</w:t>
      </w:r>
      <w:r w:rsidRPr="0064561A">
        <w:rPr>
          <w:sz w:val="22"/>
        </w:rPr>
        <w:t xml:space="preserve"> web page in English, Romanian and Russian was created, with links to the SCD, the PLR and Country Opinion Survey reports. The Country Office’s social media channels, Facebook and Twitter, provided regular updates on CPF consultations. A thematic blog (“What Next for Moldova?”) helped raise awareness of th</w:t>
      </w:r>
      <w:r>
        <w:rPr>
          <w:sz w:val="22"/>
        </w:rPr>
        <w:t>e</w:t>
      </w:r>
      <w:r w:rsidRPr="0064561A">
        <w:rPr>
          <w:sz w:val="22"/>
        </w:rPr>
        <w:t xml:space="preserve"> process and attracted additional involvement from different stakeholders. It reached over 7,000 readers via Facebook and was picked up by three news websites.   </w:t>
      </w:r>
    </w:p>
    <w:p w14:paraId="4D69BE2E" w14:textId="77777777" w:rsidR="00D905EA" w:rsidRPr="0064561A" w:rsidRDefault="00D905EA" w:rsidP="00D905EA">
      <w:pPr>
        <w:pStyle w:val="ListParagraph"/>
        <w:rPr>
          <w:sz w:val="22"/>
        </w:rPr>
      </w:pPr>
    </w:p>
    <w:p w14:paraId="6CB1BEB4" w14:textId="77777777" w:rsidR="00D905EA" w:rsidRDefault="00D905EA" w:rsidP="00D905EA">
      <w:pPr>
        <w:pStyle w:val="ListParagraph"/>
        <w:numPr>
          <w:ilvl w:val="0"/>
          <w:numId w:val="45"/>
        </w:numPr>
        <w:spacing w:after="100" w:afterAutospacing="1" w:line="247" w:lineRule="auto"/>
        <w:ind w:left="0" w:right="0" w:firstLine="0"/>
        <w:rPr>
          <w:sz w:val="22"/>
        </w:rPr>
      </w:pPr>
      <w:r w:rsidRPr="00E2534F">
        <w:rPr>
          <w:b/>
          <w:sz w:val="22"/>
        </w:rPr>
        <w:t xml:space="preserve">In addition to traditional face-to-face consultations, the </w:t>
      </w:r>
      <w:r>
        <w:rPr>
          <w:b/>
          <w:sz w:val="22"/>
        </w:rPr>
        <w:t xml:space="preserve">Bank </w:t>
      </w:r>
      <w:r w:rsidRPr="00E2534F">
        <w:rPr>
          <w:b/>
          <w:sz w:val="22"/>
        </w:rPr>
        <w:t>G</w:t>
      </w:r>
      <w:r>
        <w:rPr>
          <w:b/>
          <w:sz w:val="22"/>
        </w:rPr>
        <w:t>roup</w:t>
      </w:r>
      <w:r w:rsidRPr="00E2534F">
        <w:rPr>
          <w:b/>
          <w:sz w:val="22"/>
        </w:rPr>
        <w:t xml:space="preserve"> conducted online polls </w:t>
      </w:r>
      <w:r>
        <w:rPr>
          <w:b/>
          <w:sz w:val="22"/>
        </w:rPr>
        <w:t xml:space="preserve">among </w:t>
      </w:r>
      <w:r w:rsidRPr="00E2534F">
        <w:rPr>
          <w:b/>
          <w:sz w:val="22"/>
        </w:rPr>
        <w:t>different categories of stakeholders in English, Romanian and Russian.</w:t>
      </w:r>
      <w:r w:rsidRPr="0064561A">
        <w:rPr>
          <w:sz w:val="22"/>
        </w:rPr>
        <w:t xml:space="preserve"> This made the consultation process more engaging and captured the views of a greater number of participants. The questions covered priorities for lending, ASA, DPO conditionality</w:t>
      </w:r>
      <w:r>
        <w:rPr>
          <w:sz w:val="22"/>
        </w:rPr>
        <w:t>,</w:t>
      </w:r>
      <w:r w:rsidRPr="0064561A">
        <w:rPr>
          <w:sz w:val="22"/>
        </w:rPr>
        <w:t xml:space="preserve"> skills development, </w:t>
      </w:r>
      <w:r>
        <w:rPr>
          <w:sz w:val="22"/>
        </w:rPr>
        <w:t xml:space="preserve">Bank </w:t>
      </w:r>
      <w:r w:rsidRPr="0064561A">
        <w:rPr>
          <w:sz w:val="22"/>
        </w:rPr>
        <w:t>G</w:t>
      </w:r>
      <w:r>
        <w:rPr>
          <w:sz w:val="22"/>
        </w:rPr>
        <w:t>roup</w:t>
      </w:r>
      <w:r w:rsidRPr="0064561A">
        <w:rPr>
          <w:sz w:val="22"/>
        </w:rPr>
        <w:t xml:space="preserve"> weaknesses</w:t>
      </w:r>
      <w:r>
        <w:rPr>
          <w:sz w:val="22"/>
        </w:rPr>
        <w:t>,</w:t>
      </w:r>
      <w:r w:rsidRPr="0064561A">
        <w:rPr>
          <w:sz w:val="22"/>
        </w:rPr>
        <w:t xml:space="preserve"> and political uncertainty. Online poll results were analyzed by category of respondent. </w:t>
      </w:r>
    </w:p>
    <w:p w14:paraId="79EDF0FB" w14:textId="77777777" w:rsidR="00D905EA" w:rsidRPr="0064561A" w:rsidRDefault="00D905EA" w:rsidP="00D905EA">
      <w:pPr>
        <w:pStyle w:val="ListParagraph"/>
        <w:rPr>
          <w:sz w:val="22"/>
        </w:rPr>
      </w:pPr>
    </w:p>
    <w:p w14:paraId="3842B51C" w14:textId="77777777" w:rsidR="00D905EA" w:rsidRDefault="00D905EA" w:rsidP="00D905EA">
      <w:pPr>
        <w:pStyle w:val="ListParagraph"/>
        <w:numPr>
          <w:ilvl w:val="0"/>
          <w:numId w:val="45"/>
        </w:numPr>
        <w:spacing w:after="0" w:line="247" w:lineRule="auto"/>
        <w:ind w:left="0" w:right="0" w:firstLine="0"/>
        <w:rPr>
          <w:sz w:val="22"/>
        </w:rPr>
      </w:pPr>
      <w:r>
        <w:rPr>
          <w:sz w:val="22"/>
        </w:rPr>
        <w:t xml:space="preserve">About </w:t>
      </w:r>
      <w:r w:rsidRPr="0064561A">
        <w:rPr>
          <w:sz w:val="22"/>
        </w:rPr>
        <w:t xml:space="preserve">600 people were consulted, including over 400 online survey responses. </w:t>
      </w:r>
      <w:r>
        <w:rPr>
          <w:sz w:val="22"/>
        </w:rPr>
        <w:t>E</w:t>
      </w:r>
      <w:r w:rsidRPr="0064561A">
        <w:rPr>
          <w:sz w:val="22"/>
        </w:rPr>
        <w:t>xamples of survey findings</w:t>
      </w:r>
      <w:r>
        <w:rPr>
          <w:sz w:val="22"/>
        </w:rPr>
        <w:t xml:space="preserve"> included</w:t>
      </w:r>
      <w:r w:rsidRPr="0064561A">
        <w:rPr>
          <w:sz w:val="22"/>
        </w:rPr>
        <w:t>:</w:t>
      </w:r>
    </w:p>
    <w:p w14:paraId="722ACA9C" w14:textId="77777777" w:rsidR="00D905EA" w:rsidRDefault="00D905EA" w:rsidP="00D905EA">
      <w:pPr>
        <w:pStyle w:val="ListParagraph"/>
        <w:numPr>
          <w:ilvl w:val="0"/>
          <w:numId w:val="47"/>
        </w:numPr>
        <w:spacing w:after="0" w:line="247" w:lineRule="auto"/>
        <w:ind w:right="0"/>
        <w:rPr>
          <w:sz w:val="22"/>
        </w:rPr>
      </w:pPr>
      <w:r w:rsidRPr="0090237B">
        <w:rPr>
          <w:sz w:val="22"/>
        </w:rPr>
        <w:t xml:space="preserve">54% of respondents </w:t>
      </w:r>
      <w:r>
        <w:rPr>
          <w:sz w:val="22"/>
        </w:rPr>
        <w:t xml:space="preserve">said </w:t>
      </w:r>
      <w:r w:rsidRPr="0090237B">
        <w:rPr>
          <w:sz w:val="22"/>
        </w:rPr>
        <w:t xml:space="preserve">that the Bank Group should program its activities for </w:t>
      </w:r>
      <w:r>
        <w:rPr>
          <w:sz w:val="22"/>
        </w:rPr>
        <w:t xml:space="preserve">only </w:t>
      </w:r>
      <w:r w:rsidRPr="0090237B">
        <w:rPr>
          <w:sz w:val="22"/>
        </w:rPr>
        <w:t>two years because of political uncertainty;</w:t>
      </w:r>
    </w:p>
    <w:p w14:paraId="6EABC1E6" w14:textId="77777777" w:rsidR="00D905EA" w:rsidRDefault="00D905EA" w:rsidP="00D905EA">
      <w:pPr>
        <w:pStyle w:val="ListParagraph"/>
        <w:numPr>
          <w:ilvl w:val="0"/>
          <w:numId w:val="47"/>
        </w:numPr>
        <w:spacing w:after="0" w:line="247" w:lineRule="auto"/>
        <w:ind w:right="0"/>
        <w:rPr>
          <w:sz w:val="22"/>
        </w:rPr>
      </w:pPr>
      <w:r w:rsidRPr="0090237B">
        <w:rPr>
          <w:sz w:val="22"/>
        </w:rPr>
        <w:t xml:space="preserve">85% </w:t>
      </w:r>
      <w:r>
        <w:rPr>
          <w:sz w:val="22"/>
        </w:rPr>
        <w:t>agre</w:t>
      </w:r>
      <w:r w:rsidRPr="0090237B">
        <w:rPr>
          <w:sz w:val="22"/>
        </w:rPr>
        <w:t xml:space="preserve">ed that the Bank Group should </w:t>
      </w:r>
      <w:r>
        <w:rPr>
          <w:sz w:val="22"/>
        </w:rPr>
        <w:t xml:space="preserve">provide </w:t>
      </w:r>
      <w:r w:rsidRPr="0090237B">
        <w:rPr>
          <w:sz w:val="22"/>
        </w:rPr>
        <w:t>budget support</w:t>
      </w:r>
      <w:r>
        <w:rPr>
          <w:sz w:val="22"/>
        </w:rPr>
        <w:t>,</w:t>
      </w:r>
      <w:r w:rsidRPr="0090237B">
        <w:rPr>
          <w:sz w:val="22"/>
        </w:rPr>
        <w:t xml:space="preserve"> subject to conditionality;</w:t>
      </w:r>
    </w:p>
    <w:p w14:paraId="4E3A7EE1" w14:textId="77777777" w:rsidR="00D905EA" w:rsidRDefault="00D905EA" w:rsidP="00D905EA">
      <w:pPr>
        <w:pStyle w:val="ListParagraph"/>
        <w:numPr>
          <w:ilvl w:val="0"/>
          <w:numId w:val="47"/>
        </w:numPr>
        <w:spacing w:after="0" w:line="247" w:lineRule="auto"/>
        <w:ind w:right="0"/>
        <w:rPr>
          <w:sz w:val="22"/>
        </w:rPr>
      </w:pPr>
      <w:r w:rsidRPr="0090237B">
        <w:rPr>
          <w:sz w:val="22"/>
        </w:rPr>
        <w:t xml:space="preserve">49% believed that </w:t>
      </w:r>
      <w:r>
        <w:rPr>
          <w:sz w:val="22"/>
        </w:rPr>
        <w:t>e</w:t>
      </w:r>
      <w:r w:rsidRPr="0090237B">
        <w:rPr>
          <w:sz w:val="22"/>
        </w:rPr>
        <w:t xml:space="preserve">ducation should be </w:t>
      </w:r>
      <w:r>
        <w:rPr>
          <w:sz w:val="22"/>
        </w:rPr>
        <w:t xml:space="preserve">a </w:t>
      </w:r>
      <w:r w:rsidRPr="0090237B">
        <w:rPr>
          <w:sz w:val="22"/>
        </w:rPr>
        <w:t xml:space="preserve">priority for </w:t>
      </w:r>
      <w:r>
        <w:rPr>
          <w:sz w:val="22"/>
        </w:rPr>
        <w:t xml:space="preserve">investment project lending in </w:t>
      </w:r>
      <w:r w:rsidRPr="0090237B">
        <w:rPr>
          <w:sz w:val="22"/>
        </w:rPr>
        <w:t>FY19;</w:t>
      </w:r>
    </w:p>
    <w:p w14:paraId="35224DFD" w14:textId="77777777" w:rsidR="00D905EA" w:rsidRDefault="00D905EA" w:rsidP="00D905EA">
      <w:pPr>
        <w:pStyle w:val="ListParagraph"/>
        <w:numPr>
          <w:ilvl w:val="0"/>
          <w:numId w:val="47"/>
        </w:numPr>
        <w:spacing w:after="0" w:line="247" w:lineRule="auto"/>
        <w:ind w:right="0"/>
        <w:rPr>
          <w:sz w:val="22"/>
        </w:rPr>
      </w:pPr>
      <w:r w:rsidRPr="0090237B">
        <w:rPr>
          <w:sz w:val="22"/>
        </w:rPr>
        <w:t xml:space="preserve">highest priorities for ASA were: financial sector regulation, country economic </w:t>
      </w:r>
      <w:r>
        <w:rPr>
          <w:sz w:val="22"/>
        </w:rPr>
        <w:t>analysis</w:t>
      </w:r>
      <w:r w:rsidRPr="0090237B">
        <w:rPr>
          <w:sz w:val="22"/>
        </w:rPr>
        <w:t>, investment climate advice, migration</w:t>
      </w:r>
      <w:r>
        <w:rPr>
          <w:sz w:val="22"/>
        </w:rPr>
        <w:t xml:space="preserve"> (</w:t>
      </w:r>
      <w:r w:rsidRPr="0090237B">
        <w:rPr>
          <w:sz w:val="22"/>
        </w:rPr>
        <w:t>causes and effects</w:t>
      </w:r>
      <w:r>
        <w:rPr>
          <w:sz w:val="22"/>
        </w:rPr>
        <w:t>)</w:t>
      </w:r>
      <w:r w:rsidRPr="0090237B">
        <w:rPr>
          <w:sz w:val="22"/>
        </w:rPr>
        <w:t>, and livelihoods in poor areas</w:t>
      </w:r>
      <w:r>
        <w:rPr>
          <w:sz w:val="22"/>
        </w:rPr>
        <w:t>;</w:t>
      </w:r>
      <w:r w:rsidRPr="0090237B">
        <w:rPr>
          <w:sz w:val="22"/>
        </w:rPr>
        <w:t xml:space="preserve"> </w:t>
      </w:r>
    </w:p>
    <w:p w14:paraId="0016AAFF" w14:textId="77777777" w:rsidR="00D905EA" w:rsidRDefault="00D905EA" w:rsidP="00D905EA">
      <w:pPr>
        <w:pStyle w:val="ListParagraph"/>
        <w:numPr>
          <w:ilvl w:val="0"/>
          <w:numId w:val="47"/>
        </w:numPr>
        <w:spacing w:after="0" w:line="247" w:lineRule="auto"/>
        <w:ind w:right="0"/>
        <w:rPr>
          <w:sz w:val="22"/>
        </w:rPr>
      </w:pPr>
      <w:r>
        <w:rPr>
          <w:sz w:val="22"/>
        </w:rPr>
        <w:t xml:space="preserve">the Bank Group’s </w:t>
      </w:r>
      <w:r w:rsidRPr="0090237B">
        <w:rPr>
          <w:sz w:val="22"/>
        </w:rPr>
        <w:t>greatest perceived weaknesses were: insufficient consultation of civil society, political naivety</w:t>
      </w:r>
      <w:r>
        <w:rPr>
          <w:sz w:val="22"/>
        </w:rPr>
        <w:t>,</w:t>
      </w:r>
      <w:r w:rsidRPr="0090237B">
        <w:rPr>
          <w:sz w:val="22"/>
        </w:rPr>
        <w:t xml:space="preserve"> and too </w:t>
      </w:r>
      <w:r>
        <w:rPr>
          <w:sz w:val="22"/>
        </w:rPr>
        <w:t xml:space="preserve">much emphasis on </w:t>
      </w:r>
      <w:r w:rsidRPr="0090237B">
        <w:rPr>
          <w:sz w:val="22"/>
        </w:rPr>
        <w:t>economic</w:t>
      </w:r>
      <w:r>
        <w:rPr>
          <w:sz w:val="22"/>
        </w:rPr>
        <w:t xml:space="preserve"> rather than social issues; and</w:t>
      </w:r>
    </w:p>
    <w:p w14:paraId="00AAA214" w14:textId="77777777" w:rsidR="00D905EA" w:rsidRPr="0090237B" w:rsidRDefault="00D905EA" w:rsidP="00D905EA">
      <w:pPr>
        <w:pStyle w:val="ListParagraph"/>
        <w:numPr>
          <w:ilvl w:val="0"/>
          <w:numId w:val="47"/>
        </w:numPr>
        <w:spacing w:after="0" w:line="247" w:lineRule="auto"/>
        <w:ind w:right="0"/>
        <w:rPr>
          <w:sz w:val="22"/>
        </w:rPr>
      </w:pPr>
      <w:r>
        <w:rPr>
          <w:sz w:val="22"/>
        </w:rPr>
        <w:t xml:space="preserve">the </w:t>
      </w:r>
      <w:r w:rsidRPr="0090237B">
        <w:rPr>
          <w:sz w:val="22"/>
        </w:rPr>
        <w:t xml:space="preserve">main risks </w:t>
      </w:r>
      <w:r>
        <w:rPr>
          <w:sz w:val="22"/>
        </w:rPr>
        <w:t xml:space="preserve">to </w:t>
      </w:r>
      <w:r w:rsidRPr="0090237B">
        <w:rPr>
          <w:sz w:val="22"/>
        </w:rPr>
        <w:t>CPF implementation</w:t>
      </w:r>
      <w:r>
        <w:rPr>
          <w:sz w:val="22"/>
        </w:rPr>
        <w:t xml:space="preserve"> were</w:t>
      </w:r>
      <w:r w:rsidRPr="0090237B">
        <w:rPr>
          <w:sz w:val="22"/>
        </w:rPr>
        <w:t>: political uncertainty, corruption</w:t>
      </w:r>
      <w:r>
        <w:rPr>
          <w:sz w:val="22"/>
        </w:rPr>
        <w:t>,</w:t>
      </w:r>
      <w:r w:rsidRPr="0090237B">
        <w:rPr>
          <w:sz w:val="22"/>
        </w:rPr>
        <w:t xml:space="preserve"> and government resistance to reform. </w:t>
      </w:r>
    </w:p>
    <w:p w14:paraId="2D18778A" w14:textId="77777777" w:rsidR="00D905EA" w:rsidRPr="0064561A" w:rsidRDefault="00D905EA" w:rsidP="00D905EA">
      <w:pPr>
        <w:pStyle w:val="NormalWeb"/>
        <w:jc w:val="both"/>
        <w:rPr>
          <w:sz w:val="22"/>
          <w:szCs w:val="22"/>
        </w:rPr>
      </w:pPr>
    </w:p>
    <w:p w14:paraId="1EAEB8F4" w14:textId="77777777" w:rsidR="00D905EA" w:rsidRPr="00B74C16" w:rsidRDefault="00D905EA" w:rsidP="00D905EA">
      <w:pPr>
        <w:pStyle w:val="NormalWeb"/>
        <w:pBdr>
          <w:top w:val="single" w:sz="4" w:space="1" w:color="auto"/>
          <w:left w:val="single" w:sz="4" w:space="4" w:color="auto"/>
          <w:bottom w:val="single" w:sz="4" w:space="1" w:color="auto"/>
          <w:right w:val="single" w:sz="4" w:space="4" w:color="auto"/>
        </w:pBdr>
        <w:jc w:val="both"/>
        <w:rPr>
          <w:b/>
          <w:sz w:val="18"/>
          <w:szCs w:val="16"/>
        </w:rPr>
      </w:pPr>
      <w:r>
        <w:rPr>
          <w:b/>
          <w:sz w:val="18"/>
          <w:szCs w:val="16"/>
        </w:rPr>
        <w:t xml:space="preserve">Complete </w:t>
      </w:r>
      <w:r w:rsidRPr="00B74C16">
        <w:rPr>
          <w:b/>
          <w:sz w:val="18"/>
          <w:szCs w:val="16"/>
        </w:rPr>
        <w:t xml:space="preserve">survey findings may be </w:t>
      </w:r>
      <w:r>
        <w:rPr>
          <w:b/>
          <w:sz w:val="18"/>
          <w:szCs w:val="16"/>
        </w:rPr>
        <w:t>accessed by language and category of participan</w:t>
      </w:r>
      <w:r w:rsidRPr="00B74C16">
        <w:rPr>
          <w:b/>
          <w:sz w:val="18"/>
          <w:szCs w:val="16"/>
        </w:rPr>
        <w:t>t</w:t>
      </w:r>
      <w:r>
        <w:rPr>
          <w:b/>
          <w:sz w:val="18"/>
          <w:szCs w:val="16"/>
        </w:rPr>
        <w:t xml:space="preserve"> at</w:t>
      </w:r>
      <w:r w:rsidRPr="00B74C16">
        <w:rPr>
          <w:b/>
          <w:sz w:val="18"/>
          <w:szCs w:val="16"/>
        </w:rPr>
        <w:t>:</w:t>
      </w:r>
    </w:p>
    <w:p w14:paraId="2FFA1FAD"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Public (English) - </w:t>
      </w:r>
      <w:hyperlink r:id="rId19" w:history="1">
        <w:r w:rsidRPr="00AD5D1D">
          <w:rPr>
            <w:rStyle w:val="Hyperlink"/>
            <w:sz w:val="18"/>
            <w:szCs w:val="18"/>
          </w:rPr>
          <w:t>https://www.surveymonkey.net/results/SM-T5X2WF6B/</w:t>
        </w:r>
      </w:hyperlink>
      <w:r w:rsidRPr="00AD5D1D">
        <w:rPr>
          <w:sz w:val="18"/>
          <w:szCs w:val="18"/>
        </w:rPr>
        <w:t xml:space="preserve"> </w:t>
      </w:r>
    </w:p>
    <w:p w14:paraId="299E066E" w14:textId="77777777" w:rsidR="00D905EA"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Public (Romanian) - </w:t>
      </w:r>
      <w:hyperlink r:id="rId20" w:history="1">
        <w:r w:rsidRPr="00AD5D1D">
          <w:rPr>
            <w:rStyle w:val="Hyperlink"/>
            <w:sz w:val="18"/>
            <w:szCs w:val="18"/>
          </w:rPr>
          <w:t>https://www.surveymonkey.net/results/SM-RVKVSF6B/</w:t>
        </w:r>
      </w:hyperlink>
      <w:r w:rsidRPr="00AD5D1D">
        <w:rPr>
          <w:sz w:val="18"/>
          <w:szCs w:val="18"/>
        </w:rPr>
        <w:t xml:space="preserve"> </w:t>
      </w:r>
    </w:p>
    <w:p w14:paraId="2E696C3D"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Public (Russian) - </w:t>
      </w:r>
      <w:hyperlink r:id="rId21" w:history="1">
        <w:r w:rsidRPr="00AD5D1D">
          <w:rPr>
            <w:rStyle w:val="Hyperlink"/>
            <w:sz w:val="18"/>
            <w:szCs w:val="18"/>
          </w:rPr>
          <w:t>https://www.surveymonkey.net/results/SM-J65CYF6B/</w:t>
        </w:r>
      </w:hyperlink>
    </w:p>
    <w:p w14:paraId="1D6A19D2"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Private Sector - </w:t>
      </w:r>
      <w:hyperlink r:id="rId22" w:history="1">
        <w:r w:rsidRPr="00AD5D1D">
          <w:rPr>
            <w:rStyle w:val="Hyperlink"/>
            <w:sz w:val="18"/>
            <w:szCs w:val="18"/>
          </w:rPr>
          <w:t>https://www.surveymonkey.net/results/SM-SYJ6SF6B/</w:t>
        </w:r>
      </w:hyperlink>
      <w:r w:rsidRPr="00AD5D1D">
        <w:rPr>
          <w:sz w:val="18"/>
          <w:szCs w:val="18"/>
        </w:rPr>
        <w:t xml:space="preserve"> </w:t>
      </w:r>
    </w:p>
    <w:p w14:paraId="0A6D4B39"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Civil Society - </w:t>
      </w:r>
      <w:hyperlink r:id="rId23" w:history="1">
        <w:r w:rsidRPr="00AD5D1D">
          <w:rPr>
            <w:rStyle w:val="Hyperlink"/>
            <w:sz w:val="18"/>
            <w:szCs w:val="18"/>
          </w:rPr>
          <w:t>https://www.surveymonkey.net/results/SM-KCXCTF6B/</w:t>
        </w:r>
      </w:hyperlink>
      <w:r w:rsidRPr="00AD5D1D">
        <w:rPr>
          <w:sz w:val="18"/>
          <w:szCs w:val="18"/>
        </w:rPr>
        <w:t xml:space="preserve"> </w:t>
      </w:r>
    </w:p>
    <w:p w14:paraId="1DEB6ED6"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Academia (Balti University) - </w:t>
      </w:r>
      <w:hyperlink r:id="rId24" w:history="1">
        <w:r w:rsidRPr="00AD5D1D">
          <w:rPr>
            <w:rStyle w:val="Hyperlink"/>
            <w:sz w:val="18"/>
            <w:szCs w:val="18"/>
          </w:rPr>
          <w:t>https://www.surveymonkey.net/results/SM-G66WMF6B/</w:t>
        </w:r>
      </w:hyperlink>
      <w:r w:rsidRPr="00AD5D1D">
        <w:rPr>
          <w:sz w:val="18"/>
          <w:szCs w:val="18"/>
        </w:rPr>
        <w:t xml:space="preserve"> </w:t>
      </w:r>
    </w:p>
    <w:p w14:paraId="6C07CE82"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Academia (Technical University) - </w:t>
      </w:r>
      <w:hyperlink r:id="rId25" w:history="1">
        <w:r w:rsidRPr="00AD5D1D">
          <w:rPr>
            <w:rStyle w:val="Hyperlink"/>
            <w:sz w:val="18"/>
            <w:szCs w:val="18"/>
          </w:rPr>
          <w:t>https://www.surveymonkey.net/results/SM-63F3XF6B/</w:t>
        </w:r>
      </w:hyperlink>
      <w:r w:rsidRPr="00AD5D1D">
        <w:rPr>
          <w:sz w:val="18"/>
          <w:szCs w:val="18"/>
        </w:rPr>
        <w:t xml:space="preserve"> </w:t>
      </w:r>
    </w:p>
    <w:p w14:paraId="028A53B8"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Academia (State University) - </w:t>
      </w:r>
      <w:hyperlink r:id="rId26" w:history="1">
        <w:r w:rsidRPr="00AD5D1D">
          <w:rPr>
            <w:rStyle w:val="Hyperlink"/>
            <w:sz w:val="18"/>
            <w:szCs w:val="18"/>
          </w:rPr>
          <w:t>https://www.surveymonkey.net/results/SM-NCKPNF6B/</w:t>
        </w:r>
      </w:hyperlink>
      <w:r w:rsidRPr="00AD5D1D">
        <w:rPr>
          <w:sz w:val="18"/>
          <w:szCs w:val="18"/>
        </w:rPr>
        <w:t xml:space="preserve"> </w:t>
      </w:r>
    </w:p>
    <w:p w14:paraId="0FBA66BB" w14:textId="77777777" w:rsidR="00D905EA" w:rsidRPr="00AD5D1D" w:rsidRDefault="00D905EA" w:rsidP="00D905EA">
      <w:pPr>
        <w:pBdr>
          <w:top w:val="single" w:sz="4" w:space="0" w:color="auto"/>
          <w:left w:val="single" w:sz="4" w:space="4" w:color="auto"/>
          <w:bottom w:val="single" w:sz="4" w:space="1" w:color="auto"/>
          <w:right w:val="single" w:sz="4" w:space="31" w:color="auto"/>
        </w:pBdr>
        <w:spacing w:after="0" w:line="240" w:lineRule="auto"/>
        <w:ind w:right="540"/>
        <w:rPr>
          <w:sz w:val="18"/>
          <w:szCs w:val="18"/>
        </w:rPr>
      </w:pPr>
      <w:r w:rsidRPr="00AD5D1D">
        <w:rPr>
          <w:sz w:val="18"/>
          <w:szCs w:val="18"/>
        </w:rPr>
        <w:t xml:space="preserve">International Donors - </w:t>
      </w:r>
      <w:hyperlink r:id="rId27" w:history="1">
        <w:r w:rsidRPr="00AD5D1D">
          <w:rPr>
            <w:rStyle w:val="Hyperlink"/>
            <w:sz w:val="18"/>
            <w:szCs w:val="18"/>
          </w:rPr>
          <w:t>https://www.surveymonkey.net/results/SM-G27Z3F6B/</w:t>
        </w:r>
      </w:hyperlink>
    </w:p>
    <w:p w14:paraId="7D03BFD7" w14:textId="77777777" w:rsidR="00D905EA" w:rsidRPr="00780D65" w:rsidRDefault="00D905EA" w:rsidP="00D905EA">
      <w:pPr>
        <w:rPr>
          <w:lang w:val="ro-RO"/>
        </w:rPr>
      </w:pPr>
    </w:p>
    <w:p w14:paraId="13E39CE2" w14:textId="77777777" w:rsidR="00B75615" w:rsidRPr="0064561A" w:rsidRDefault="00B75615" w:rsidP="00D77307">
      <w:pPr>
        <w:pStyle w:val="ListParagraph"/>
        <w:spacing w:after="100" w:afterAutospacing="1" w:line="247" w:lineRule="auto"/>
        <w:ind w:left="0" w:right="0" w:firstLine="0"/>
        <w:rPr>
          <w:rFonts w:eastAsia="Calibri"/>
          <w:color w:val="auto"/>
          <w:sz w:val="22"/>
          <w:lang w:val="ro-RO"/>
        </w:rPr>
      </w:pPr>
    </w:p>
    <w:sectPr w:rsidR="00B75615" w:rsidRPr="0064561A">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44AC" w14:textId="77777777" w:rsidR="00095CE4" w:rsidRDefault="00095CE4" w:rsidP="009449E2">
      <w:pPr>
        <w:spacing w:after="0" w:line="240" w:lineRule="auto"/>
      </w:pPr>
      <w:r>
        <w:separator/>
      </w:r>
    </w:p>
  </w:endnote>
  <w:endnote w:type="continuationSeparator" w:id="0">
    <w:p w14:paraId="0A7835CB" w14:textId="77777777" w:rsidR="00095CE4" w:rsidRDefault="00095CE4" w:rsidP="009449E2">
      <w:pPr>
        <w:spacing w:after="0" w:line="240" w:lineRule="auto"/>
      </w:pPr>
      <w:r>
        <w:continuationSeparator/>
      </w:r>
    </w:p>
  </w:endnote>
  <w:endnote w:type="continuationNotice" w:id="1">
    <w:p w14:paraId="60F3925D" w14:textId="77777777" w:rsidR="00095CE4" w:rsidRDefault="00095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522560"/>
      <w:docPartObj>
        <w:docPartGallery w:val="Page Numbers (Bottom of Page)"/>
        <w:docPartUnique/>
      </w:docPartObj>
    </w:sdtPr>
    <w:sdtEndPr>
      <w:rPr>
        <w:noProof/>
      </w:rPr>
    </w:sdtEndPr>
    <w:sdtContent>
      <w:p w14:paraId="61E43677" w14:textId="428F8CDA" w:rsidR="00932FF1" w:rsidRDefault="00932FF1">
        <w:pPr>
          <w:pStyle w:val="Footer"/>
          <w:jc w:val="right"/>
        </w:pPr>
        <w:r>
          <w:fldChar w:fldCharType="begin"/>
        </w:r>
        <w:r>
          <w:instrText xml:space="preserve"> PAGE   \* MERGEFORMAT </w:instrText>
        </w:r>
        <w:r>
          <w:fldChar w:fldCharType="separate"/>
        </w:r>
        <w:r w:rsidR="00C54FAD">
          <w:rPr>
            <w:noProof/>
          </w:rPr>
          <w:t>iii</w:t>
        </w:r>
        <w:r>
          <w:rPr>
            <w:noProof/>
          </w:rPr>
          <w:fldChar w:fldCharType="end"/>
        </w:r>
      </w:p>
    </w:sdtContent>
  </w:sdt>
  <w:p w14:paraId="0B0A5C95" w14:textId="77777777" w:rsidR="00932FF1" w:rsidRDefault="0093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43475"/>
      <w:docPartObj>
        <w:docPartGallery w:val="Page Numbers (Bottom of Page)"/>
        <w:docPartUnique/>
      </w:docPartObj>
    </w:sdtPr>
    <w:sdtEndPr>
      <w:rPr>
        <w:noProof/>
      </w:rPr>
    </w:sdtEndPr>
    <w:sdtContent>
      <w:p w14:paraId="212EF960" w14:textId="5DC30191" w:rsidR="00932FF1" w:rsidRDefault="00932FF1">
        <w:pPr>
          <w:pStyle w:val="Footer"/>
          <w:jc w:val="right"/>
        </w:pPr>
        <w:r>
          <w:fldChar w:fldCharType="begin"/>
        </w:r>
        <w:r>
          <w:instrText xml:space="preserve"> PAGE   \* MERGEFORMAT </w:instrText>
        </w:r>
        <w:r>
          <w:fldChar w:fldCharType="separate"/>
        </w:r>
        <w:r w:rsidR="00C54FAD">
          <w:rPr>
            <w:noProof/>
          </w:rPr>
          <w:t>31</w:t>
        </w:r>
        <w:r>
          <w:rPr>
            <w:noProof/>
          </w:rPr>
          <w:fldChar w:fldCharType="end"/>
        </w:r>
      </w:p>
    </w:sdtContent>
  </w:sdt>
  <w:p w14:paraId="2221A6ED" w14:textId="77777777" w:rsidR="00932FF1" w:rsidRDefault="00932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561694"/>
      <w:docPartObj>
        <w:docPartGallery w:val="Page Numbers (Bottom of Page)"/>
        <w:docPartUnique/>
      </w:docPartObj>
    </w:sdtPr>
    <w:sdtEndPr>
      <w:rPr>
        <w:noProof/>
      </w:rPr>
    </w:sdtEndPr>
    <w:sdtContent>
      <w:p w14:paraId="256AA04E" w14:textId="192DD1AD" w:rsidR="00932FF1" w:rsidRDefault="00932FF1">
        <w:pPr>
          <w:pStyle w:val="Footer"/>
          <w:jc w:val="right"/>
        </w:pPr>
        <w:r>
          <w:fldChar w:fldCharType="begin"/>
        </w:r>
        <w:r>
          <w:instrText xml:space="preserve"> PAGE   \* MERGEFORMAT </w:instrText>
        </w:r>
        <w:r>
          <w:fldChar w:fldCharType="separate"/>
        </w:r>
        <w:r w:rsidR="00C54FAD">
          <w:rPr>
            <w:noProof/>
          </w:rPr>
          <w:t>50</w:t>
        </w:r>
        <w:r>
          <w:rPr>
            <w:noProof/>
          </w:rPr>
          <w:fldChar w:fldCharType="end"/>
        </w:r>
      </w:p>
    </w:sdtContent>
  </w:sdt>
  <w:p w14:paraId="06948EFB" w14:textId="77777777" w:rsidR="00932FF1" w:rsidRDefault="00932F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191585"/>
      <w:docPartObj>
        <w:docPartGallery w:val="Page Numbers (Bottom of Page)"/>
        <w:docPartUnique/>
      </w:docPartObj>
    </w:sdtPr>
    <w:sdtEndPr>
      <w:rPr>
        <w:noProof/>
      </w:rPr>
    </w:sdtEndPr>
    <w:sdtContent>
      <w:p w14:paraId="3EF7655C" w14:textId="16ECF9B1" w:rsidR="00932FF1" w:rsidRDefault="00932FF1" w:rsidP="0043556A">
        <w:pPr>
          <w:pStyle w:val="Footer"/>
          <w:jc w:val="right"/>
        </w:pPr>
        <w:r>
          <w:fldChar w:fldCharType="begin"/>
        </w:r>
        <w:r>
          <w:instrText xml:space="preserve"> PAGE   \* MERGEFORMAT </w:instrText>
        </w:r>
        <w:r>
          <w:fldChar w:fldCharType="separate"/>
        </w:r>
        <w:r w:rsidR="00C54FAD">
          <w:rPr>
            <w:noProof/>
          </w:rPr>
          <w:t>57</w:t>
        </w:r>
        <w:r>
          <w:rPr>
            <w:noProof/>
          </w:rPr>
          <w:fldChar w:fldCharType="end"/>
        </w:r>
      </w:p>
    </w:sdtContent>
  </w:sdt>
  <w:p w14:paraId="33F844FA" w14:textId="77777777" w:rsidR="00932FF1" w:rsidRDefault="00932F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094033"/>
      <w:docPartObj>
        <w:docPartGallery w:val="Page Numbers (Bottom of Page)"/>
        <w:docPartUnique/>
      </w:docPartObj>
    </w:sdtPr>
    <w:sdtEndPr>
      <w:rPr>
        <w:noProof/>
      </w:rPr>
    </w:sdtEndPr>
    <w:sdtContent>
      <w:p w14:paraId="46E4CAC9" w14:textId="7C5E11F2" w:rsidR="00932FF1" w:rsidRDefault="00932FF1" w:rsidP="009E50B5">
        <w:pPr>
          <w:pStyle w:val="Footer"/>
          <w:jc w:val="right"/>
        </w:pPr>
        <w:r>
          <w:fldChar w:fldCharType="begin"/>
        </w:r>
        <w:r>
          <w:instrText xml:space="preserve"> PAGE   \* MERGEFORMAT </w:instrText>
        </w:r>
        <w:r>
          <w:fldChar w:fldCharType="separate"/>
        </w:r>
        <w:r w:rsidR="00C54FAD">
          <w:rPr>
            <w:noProof/>
          </w:rPr>
          <w:t>59</w:t>
        </w:r>
        <w:r>
          <w:rPr>
            <w:noProof/>
          </w:rPr>
          <w:fldChar w:fldCharType="end"/>
        </w:r>
      </w:p>
    </w:sdtContent>
  </w:sdt>
  <w:p w14:paraId="52444F8B" w14:textId="77777777" w:rsidR="00932FF1" w:rsidRDefault="00932F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3988"/>
      <w:docPartObj>
        <w:docPartGallery w:val="Page Numbers (Bottom of Page)"/>
        <w:docPartUnique/>
      </w:docPartObj>
    </w:sdtPr>
    <w:sdtEndPr>
      <w:rPr>
        <w:noProof/>
      </w:rPr>
    </w:sdtEndPr>
    <w:sdtContent>
      <w:p w14:paraId="6F2FDA1E" w14:textId="1396FC4D" w:rsidR="00932FF1" w:rsidRDefault="00932FF1" w:rsidP="009E50B5">
        <w:pPr>
          <w:pStyle w:val="Footer"/>
          <w:jc w:val="right"/>
        </w:pPr>
        <w:r>
          <w:fldChar w:fldCharType="begin"/>
        </w:r>
        <w:r>
          <w:instrText xml:space="preserve"> PAGE   \* MERGEFORMAT </w:instrText>
        </w:r>
        <w:r>
          <w:fldChar w:fldCharType="separate"/>
        </w:r>
        <w:r w:rsidR="00C54FAD">
          <w:rPr>
            <w:noProof/>
          </w:rPr>
          <w:t>60</w:t>
        </w:r>
        <w:r>
          <w:rPr>
            <w:noProof/>
          </w:rPr>
          <w:fldChar w:fldCharType="end"/>
        </w:r>
      </w:p>
    </w:sdtContent>
  </w:sdt>
  <w:p w14:paraId="19CF9348" w14:textId="77777777" w:rsidR="00932FF1" w:rsidRDefault="0093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2BDD" w14:textId="77777777" w:rsidR="00095CE4" w:rsidRDefault="00095CE4" w:rsidP="009449E2">
      <w:pPr>
        <w:spacing w:after="0" w:line="240" w:lineRule="auto"/>
      </w:pPr>
      <w:r>
        <w:separator/>
      </w:r>
    </w:p>
  </w:footnote>
  <w:footnote w:type="continuationSeparator" w:id="0">
    <w:p w14:paraId="6864EEA7" w14:textId="77777777" w:rsidR="00095CE4" w:rsidRDefault="00095CE4" w:rsidP="009449E2">
      <w:pPr>
        <w:spacing w:after="0" w:line="240" w:lineRule="auto"/>
      </w:pPr>
      <w:r>
        <w:continuationSeparator/>
      </w:r>
    </w:p>
  </w:footnote>
  <w:footnote w:type="continuationNotice" w:id="1">
    <w:p w14:paraId="297E2CB2" w14:textId="77777777" w:rsidR="00095CE4" w:rsidRDefault="00095CE4">
      <w:pPr>
        <w:spacing w:after="0" w:line="240" w:lineRule="auto"/>
      </w:pPr>
    </w:p>
  </w:footnote>
  <w:footnote w:id="2">
    <w:p w14:paraId="17A7BA4D" w14:textId="77777777" w:rsidR="00932FF1" w:rsidRPr="000A2440" w:rsidRDefault="00932FF1" w:rsidP="007802F1">
      <w:pPr>
        <w:pStyle w:val="FootnoteText"/>
        <w:ind w:right="0"/>
        <w:rPr>
          <w:sz w:val="18"/>
          <w:szCs w:val="18"/>
        </w:rPr>
      </w:pPr>
      <w:r w:rsidRPr="000A2440">
        <w:rPr>
          <w:rStyle w:val="FootnoteReference"/>
          <w:sz w:val="18"/>
          <w:szCs w:val="18"/>
        </w:rPr>
        <w:footnoteRef/>
      </w:r>
      <w:r w:rsidRPr="000A2440">
        <w:rPr>
          <w:sz w:val="18"/>
          <w:szCs w:val="18"/>
        </w:rPr>
        <w:t xml:space="preserve"> Moldova: Paths to Sustained Prosperity, Report No. </w:t>
      </w:r>
      <w:r w:rsidRPr="00B9517B">
        <w:rPr>
          <w:sz w:val="18"/>
          <w:szCs w:val="18"/>
        </w:rPr>
        <w:t>107502-MD,</w:t>
      </w:r>
      <w:r w:rsidRPr="000A2440">
        <w:rPr>
          <w:sz w:val="18"/>
          <w:szCs w:val="18"/>
        </w:rPr>
        <w:t xml:space="preserve"> August 2016</w:t>
      </w:r>
    </w:p>
  </w:footnote>
  <w:footnote w:id="3">
    <w:p w14:paraId="18A2D645" w14:textId="77777777" w:rsidR="00932FF1" w:rsidRPr="00AA3DE5" w:rsidRDefault="00932FF1" w:rsidP="004B1E78">
      <w:pPr>
        <w:pStyle w:val="FootnoteText"/>
        <w:ind w:right="0"/>
        <w:rPr>
          <w:sz w:val="16"/>
          <w:szCs w:val="16"/>
        </w:rPr>
      </w:pPr>
      <w:r w:rsidRPr="000A2440">
        <w:rPr>
          <w:rStyle w:val="FootnoteReference"/>
          <w:sz w:val="18"/>
          <w:szCs w:val="18"/>
        </w:rPr>
        <w:footnoteRef/>
      </w:r>
      <w:r w:rsidRPr="000A2440">
        <w:rPr>
          <w:sz w:val="18"/>
          <w:szCs w:val="18"/>
        </w:rPr>
        <w:t xml:space="preserve"> Poverty Reduction and Shared Prosperity in Moldova: Progress and Prospects, Report No. </w:t>
      </w:r>
      <w:r w:rsidRPr="00DB0565">
        <w:rPr>
          <w:sz w:val="18"/>
          <w:szCs w:val="18"/>
        </w:rPr>
        <w:t>10572-MD,</w:t>
      </w:r>
      <w:r w:rsidRPr="000A2440">
        <w:rPr>
          <w:sz w:val="18"/>
          <w:szCs w:val="18"/>
        </w:rPr>
        <w:t xml:space="preserve"> May 2016</w:t>
      </w:r>
      <w:r>
        <w:rPr>
          <w:sz w:val="18"/>
          <w:szCs w:val="18"/>
        </w:rPr>
        <w:t>.</w:t>
      </w:r>
    </w:p>
  </w:footnote>
  <w:footnote w:id="4">
    <w:p w14:paraId="3A02D4AE" w14:textId="77777777" w:rsidR="00932FF1" w:rsidRPr="004220EB" w:rsidRDefault="00932FF1" w:rsidP="00832901">
      <w:pPr>
        <w:pStyle w:val="FootnoteText"/>
        <w:ind w:right="0"/>
      </w:pPr>
      <w:r w:rsidRPr="00D77307">
        <w:rPr>
          <w:rStyle w:val="FootnoteReference"/>
          <w:sz w:val="18"/>
          <w:szCs w:val="18"/>
        </w:rPr>
        <w:footnoteRef/>
      </w:r>
      <w:r w:rsidRPr="00D77307">
        <w:rPr>
          <w:sz w:val="18"/>
          <w:szCs w:val="18"/>
        </w:rPr>
        <w:t xml:space="preserve"> Operations in </w:t>
      </w:r>
      <w:r w:rsidRPr="00D77307">
        <w:rPr>
          <w:b/>
          <w:sz w:val="18"/>
          <w:szCs w:val="18"/>
        </w:rPr>
        <w:t>bold</w:t>
      </w:r>
      <w:r w:rsidRPr="00D77307">
        <w:rPr>
          <w:sz w:val="18"/>
          <w:szCs w:val="18"/>
        </w:rPr>
        <w:t xml:space="preserve"> are those planned for FY18-19, the first half of this CPF.</w:t>
      </w:r>
    </w:p>
  </w:footnote>
  <w:footnote w:id="5">
    <w:p w14:paraId="19A5F938" w14:textId="77777777" w:rsidR="00932FF1" w:rsidRPr="00872849" w:rsidRDefault="00932FF1" w:rsidP="00B44D67">
      <w:pPr>
        <w:pStyle w:val="FootnoteText"/>
        <w:ind w:right="0"/>
        <w:rPr>
          <w:sz w:val="18"/>
          <w:szCs w:val="18"/>
        </w:rPr>
      </w:pPr>
      <w:r w:rsidRPr="00872849">
        <w:rPr>
          <w:rStyle w:val="FootnoteReference"/>
          <w:rFonts w:eastAsiaTheme="majorEastAsia"/>
          <w:sz w:val="18"/>
          <w:szCs w:val="18"/>
        </w:rPr>
        <w:footnoteRef/>
      </w:r>
      <w:r w:rsidRPr="00872849">
        <w:rPr>
          <w:sz w:val="18"/>
          <w:szCs w:val="18"/>
        </w:rPr>
        <w:t xml:space="preserve"> Moldova’s ranking for control of corruption on the Bank Group’s Worldwide Governance Indicators (WGI) declined from 21 in 2008 to 33 in 2014, a score no</w:t>
      </w:r>
      <w:r>
        <w:rPr>
          <w:sz w:val="18"/>
          <w:szCs w:val="18"/>
        </w:rPr>
        <w:t xml:space="preserve">t yet reflecting the impact of the </w:t>
      </w:r>
      <w:r w:rsidRPr="00872849">
        <w:rPr>
          <w:sz w:val="18"/>
          <w:szCs w:val="18"/>
        </w:rPr>
        <w:t>banking fraud</w:t>
      </w:r>
      <w:r>
        <w:rPr>
          <w:sz w:val="18"/>
          <w:szCs w:val="18"/>
        </w:rPr>
        <w:t>.</w:t>
      </w:r>
    </w:p>
  </w:footnote>
  <w:footnote w:id="6">
    <w:p w14:paraId="0F56A34D" w14:textId="77777777" w:rsidR="00932FF1" w:rsidRPr="00872849" w:rsidRDefault="00932FF1" w:rsidP="00B44D67">
      <w:pPr>
        <w:pStyle w:val="FootnoteText"/>
        <w:ind w:right="0"/>
        <w:rPr>
          <w:sz w:val="18"/>
          <w:szCs w:val="18"/>
        </w:rPr>
      </w:pPr>
      <w:r w:rsidRPr="00872849">
        <w:rPr>
          <w:rStyle w:val="FootnoteReference"/>
          <w:rFonts w:eastAsiaTheme="majorEastAsia"/>
          <w:sz w:val="18"/>
          <w:szCs w:val="18"/>
        </w:rPr>
        <w:footnoteRef/>
      </w:r>
      <w:r w:rsidRPr="00872849">
        <w:rPr>
          <w:sz w:val="18"/>
          <w:szCs w:val="18"/>
        </w:rPr>
        <w:t xml:space="preserve"> Performance and Learning Review of FY14-17 Country Partnership Strategy for Republic of Moldova, Report No. 105716, April 25, 2016.</w:t>
      </w:r>
    </w:p>
  </w:footnote>
  <w:footnote w:id="7">
    <w:p w14:paraId="09C37F2B" w14:textId="77777777" w:rsidR="00932FF1" w:rsidRDefault="00932FF1" w:rsidP="00B44D67">
      <w:pPr>
        <w:pStyle w:val="FootnoteText"/>
        <w:ind w:right="0"/>
      </w:pPr>
      <w:r w:rsidRPr="00872849">
        <w:rPr>
          <w:rStyle w:val="FootnoteReference"/>
          <w:rFonts w:eastAsiaTheme="majorEastAsia"/>
          <w:sz w:val="18"/>
          <w:szCs w:val="18"/>
        </w:rPr>
        <w:footnoteRef/>
      </w:r>
      <w:r w:rsidRPr="00872849">
        <w:rPr>
          <w:sz w:val="18"/>
          <w:szCs w:val="18"/>
        </w:rPr>
        <w:t xml:space="preserve"> Program for International Student Assessment (PISA), which measures 15-year-old students’ reading, math, and science literacy every three years.</w:t>
      </w:r>
    </w:p>
  </w:footnote>
  <w:footnote w:id="8">
    <w:p w14:paraId="2BF23EF5" w14:textId="77777777" w:rsidR="00932FF1" w:rsidRDefault="00932FF1" w:rsidP="00B44D67">
      <w:pPr>
        <w:pStyle w:val="FootnoteText"/>
        <w:ind w:right="0"/>
      </w:pPr>
      <w:r>
        <w:rPr>
          <w:rStyle w:val="FootnoteReference"/>
          <w:rFonts w:eastAsiaTheme="majorEastAsia"/>
        </w:rPr>
        <w:footnoteRef/>
      </w:r>
      <w:r>
        <w:t xml:space="preserve"> Poverty Reduction and Shared Prosperity in Moldova: Progress and Prospects, Report No. 10572-MD, May 2016</w:t>
      </w:r>
    </w:p>
  </w:footnote>
  <w:footnote w:id="9">
    <w:p w14:paraId="07660889" w14:textId="77777777" w:rsidR="00932FF1" w:rsidRDefault="00932FF1" w:rsidP="00B44D67">
      <w:pPr>
        <w:pStyle w:val="FootnoteText"/>
        <w:ind w:right="0"/>
      </w:pPr>
      <w:r>
        <w:rPr>
          <w:rStyle w:val="FootnoteReference"/>
          <w:rFonts w:eastAsiaTheme="majorEastAsia"/>
        </w:rPr>
        <w:footnoteRef/>
      </w:r>
      <w:r>
        <w:t xml:space="preserve"> Moldova: Paths to Sustained Prosperity, Report No. 107502-MD, August 2016</w:t>
      </w:r>
    </w:p>
  </w:footnote>
  <w:footnote w:id="10">
    <w:p w14:paraId="706226D7" w14:textId="77777777" w:rsidR="00932FF1" w:rsidRPr="00E3665F" w:rsidRDefault="00932FF1" w:rsidP="00B44D67">
      <w:pPr>
        <w:pStyle w:val="FootnoteText"/>
        <w:ind w:right="0"/>
        <w:rPr>
          <w:sz w:val="18"/>
          <w:szCs w:val="18"/>
        </w:rPr>
      </w:pPr>
      <w:r>
        <w:rPr>
          <w:rStyle w:val="FootnoteReference"/>
          <w:rFonts w:eastAsiaTheme="majorEastAsia"/>
        </w:rPr>
        <w:footnoteRef/>
      </w:r>
      <w:r>
        <w:t xml:space="preserve"> </w:t>
      </w:r>
      <w:r w:rsidRPr="00E3665F">
        <w:rPr>
          <w:sz w:val="18"/>
          <w:szCs w:val="18"/>
        </w:rPr>
        <w:t>L</w:t>
      </w:r>
      <w:r>
        <w:rPr>
          <w:sz w:val="18"/>
          <w:szCs w:val="18"/>
        </w:rPr>
        <w:t xml:space="preserve">evels of implementation </w:t>
      </w:r>
      <w:r w:rsidRPr="00E3665F">
        <w:rPr>
          <w:sz w:val="18"/>
          <w:szCs w:val="18"/>
        </w:rPr>
        <w:t>refers to</w:t>
      </w:r>
      <w:r>
        <w:rPr>
          <w:sz w:val="18"/>
          <w:szCs w:val="18"/>
        </w:rPr>
        <w:t xml:space="preserve"> project implementation units (PIUs)</w:t>
      </w:r>
      <w:r w:rsidRPr="00E3665F">
        <w:rPr>
          <w:sz w:val="18"/>
          <w:szCs w:val="18"/>
        </w:rPr>
        <w:t xml:space="preserve">s doing what was agreed at </w:t>
      </w:r>
      <w:r>
        <w:rPr>
          <w:sz w:val="18"/>
          <w:szCs w:val="18"/>
        </w:rPr>
        <w:t xml:space="preserve">loan </w:t>
      </w:r>
      <w:r w:rsidRPr="00E3665F">
        <w:rPr>
          <w:sz w:val="18"/>
          <w:szCs w:val="18"/>
        </w:rPr>
        <w:t>negotiations/approval</w:t>
      </w:r>
      <w:r>
        <w:rPr>
          <w:sz w:val="18"/>
          <w:szCs w:val="18"/>
        </w:rPr>
        <w:t>.</w:t>
      </w:r>
    </w:p>
  </w:footnote>
  <w:footnote w:id="11">
    <w:p w14:paraId="0078F35B" w14:textId="77777777" w:rsidR="00932FF1" w:rsidRPr="003A4E37" w:rsidRDefault="00932FF1" w:rsidP="00B44D67">
      <w:pPr>
        <w:pStyle w:val="FootnoteText"/>
        <w:ind w:right="26"/>
        <w:rPr>
          <w:sz w:val="16"/>
        </w:rPr>
      </w:pPr>
      <w:r w:rsidRPr="003A4E37">
        <w:rPr>
          <w:rStyle w:val="FootnoteReference"/>
          <w:rFonts w:eastAsiaTheme="majorEastAsia"/>
          <w:sz w:val="16"/>
        </w:rPr>
        <w:footnoteRef/>
      </w:r>
      <w:r w:rsidRPr="003A4E37">
        <w:rPr>
          <w:sz w:val="16"/>
        </w:rPr>
        <w:t xml:space="preserve"> Nations in Transit, Freedom House, 2016.</w:t>
      </w:r>
    </w:p>
  </w:footnote>
  <w:footnote w:id="12">
    <w:p w14:paraId="3B1C973E" w14:textId="77777777" w:rsidR="00932FF1" w:rsidRPr="003A4E37" w:rsidRDefault="00932FF1" w:rsidP="00B44D67">
      <w:pPr>
        <w:pStyle w:val="FootnoteText"/>
        <w:ind w:right="26"/>
        <w:rPr>
          <w:sz w:val="18"/>
        </w:rPr>
      </w:pPr>
      <w:r w:rsidRPr="003A4E37">
        <w:rPr>
          <w:rStyle w:val="FootnoteReference"/>
          <w:rFonts w:eastAsiaTheme="majorEastAsia"/>
          <w:sz w:val="18"/>
        </w:rPr>
        <w:footnoteRef/>
      </w:r>
      <w:r w:rsidRPr="003A4E37">
        <w:rPr>
          <w:sz w:val="18"/>
        </w:rPr>
        <w:t xml:space="preserve"> </w:t>
      </w:r>
      <w:r w:rsidRPr="003A4E37">
        <w:rPr>
          <w:sz w:val="16"/>
        </w:rPr>
        <w:t>BTI, Bertelsmann, 2016.</w:t>
      </w:r>
    </w:p>
  </w:footnote>
  <w:footnote w:id="13">
    <w:p w14:paraId="52E2ED4E" w14:textId="77777777" w:rsidR="00932FF1" w:rsidRPr="003A4E37" w:rsidRDefault="00932FF1" w:rsidP="00B44D67">
      <w:pPr>
        <w:pStyle w:val="FootnoteText"/>
        <w:ind w:right="26"/>
        <w:rPr>
          <w:sz w:val="16"/>
        </w:rPr>
      </w:pPr>
      <w:r w:rsidRPr="003A4E37">
        <w:rPr>
          <w:rStyle w:val="FootnoteReference"/>
          <w:rFonts w:eastAsiaTheme="majorEastAsia"/>
          <w:sz w:val="16"/>
        </w:rPr>
        <w:footnoteRef/>
      </w:r>
      <w:r w:rsidRPr="003A4E37">
        <w:rPr>
          <w:sz w:val="16"/>
        </w:rPr>
        <w:t xml:space="preserve"> Freedom House, </w:t>
      </w:r>
      <w:proofErr w:type="spellStart"/>
      <w:r w:rsidRPr="003A4E37">
        <w:rPr>
          <w:sz w:val="16"/>
        </w:rPr>
        <w:t>op.cit</w:t>
      </w:r>
      <w:proofErr w:type="spellEnd"/>
      <w:r w:rsidRPr="003A4E37">
        <w:rPr>
          <w:sz w:val="16"/>
        </w:rPr>
        <w:t>., 2016</w:t>
      </w:r>
    </w:p>
  </w:footnote>
  <w:footnote w:id="14">
    <w:p w14:paraId="66B6AF16" w14:textId="77777777" w:rsidR="00932FF1" w:rsidRPr="003A4E37" w:rsidRDefault="00932FF1" w:rsidP="00B44D67">
      <w:pPr>
        <w:pStyle w:val="FootnoteText"/>
        <w:ind w:right="26"/>
        <w:rPr>
          <w:sz w:val="18"/>
        </w:rPr>
      </w:pPr>
      <w:r w:rsidRPr="003A4E37">
        <w:rPr>
          <w:rStyle w:val="FootnoteReference"/>
          <w:rFonts w:eastAsiaTheme="majorEastAsia"/>
          <w:sz w:val="18"/>
        </w:rPr>
        <w:footnoteRef/>
      </w:r>
      <w:r w:rsidRPr="003A4E37">
        <w:rPr>
          <w:sz w:val="18"/>
        </w:rPr>
        <w:t xml:space="preserve"> </w:t>
      </w:r>
      <w:r w:rsidRPr="003A4E37">
        <w:rPr>
          <w:sz w:val="16"/>
        </w:rPr>
        <w:t>Reporters without Borders, 2016</w:t>
      </w:r>
    </w:p>
  </w:footnote>
  <w:footnote w:id="15">
    <w:p w14:paraId="0967D276" w14:textId="77777777" w:rsidR="00932FF1" w:rsidRPr="005F3AF3" w:rsidRDefault="00932FF1" w:rsidP="00B44D67">
      <w:pPr>
        <w:pStyle w:val="FootnoteText"/>
        <w:ind w:right="26"/>
        <w:rPr>
          <w:sz w:val="18"/>
        </w:rPr>
      </w:pPr>
      <w:r w:rsidRPr="003A4E37">
        <w:rPr>
          <w:rStyle w:val="FootnoteReference"/>
          <w:rFonts w:eastAsiaTheme="majorEastAsia"/>
          <w:sz w:val="16"/>
        </w:rPr>
        <w:footnoteRef/>
      </w:r>
      <w:r w:rsidRPr="003A4E37">
        <w:rPr>
          <w:sz w:val="16"/>
        </w:rPr>
        <w:t xml:space="preserve"> Worldwide Governance Indicators, World Bank, 2016.</w:t>
      </w:r>
    </w:p>
  </w:footnote>
  <w:footnote w:id="16">
    <w:p w14:paraId="6F01A8D2" w14:textId="77777777" w:rsidR="00932FF1" w:rsidRPr="00B4605F" w:rsidRDefault="00932FF1" w:rsidP="00B44D67">
      <w:pPr>
        <w:pStyle w:val="FootnoteText"/>
        <w:ind w:right="26"/>
        <w:rPr>
          <w:sz w:val="16"/>
          <w:szCs w:val="16"/>
        </w:rPr>
      </w:pPr>
      <w:r>
        <w:rPr>
          <w:rStyle w:val="FootnoteReference"/>
          <w:rFonts w:eastAsiaTheme="majorEastAsia"/>
        </w:rPr>
        <w:footnoteRef/>
      </w:r>
      <w:r>
        <w:t xml:space="preserve"> </w:t>
      </w:r>
      <w:r>
        <w:rPr>
          <w:sz w:val="16"/>
          <w:szCs w:val="16"/>
        </w:rPr>
        <w:t>Declaration on Worsening Environment for Civil Society Organizations and Mass Media in the Republic of Moldova, March 3, 2017</w:t>
      </w:r>
    </w:p>
  </w:footnote>
  <w:footnote w:id="17">
    <w:p w14:paraId="2DB663B8" w14:textId="77777777" w:rsidR="00932FF1" w:rsidRDefault="00932FF1" w:rsidP="00B44D67">
      <w:pPr>
        <w:pStyle w:val="FootnoteText"/>
        <w:ind w:right="26"/>
      </w:pPr>
      <w:r>
        <w:rPr>
          <w:rStyle w:val="FootnoteReference"/>
          <w:rFonts w:eastAsiaTheme="majorEastAsia"/>
        </w:rPr>
        <w:footnoteRef/>
      </w:r>
      <w:r>
        <w:t xml:space="preserve"> </w:t>
      </w:r>
      <w:r>
        <w:rPr>
          <w:sz w:val="18"/>
          <w:szCs w:val="18"/>
        </w:rPr>
        <w:t>Law 196 introduces a so-called “urgent restriction order” which gives police officers the prerogative to order an offender’s immediate exclusion from the household. It also provides for free legal assistance to victims and a website to raise awareness about services offered.</w:t>
      </w:r>
    </w:p>
  </w:footnote>
  <w:footnote w:id="18">
    <w:p w14:paraId="491C652E" w14:textId="77777777" w:rsidR="00932FF1" w:rsidRDefault="00932FF1" w:rsidP="00B44D67">
      <w:pPr>
        <w:autoSpaceDE w:val="0"/>
        <w:autoSpaceDN w:val="0"/>
        <w:adjustRightInd w:val="0"/>
        <w:spacing w:after="0" w:line="240" w:lineRule="auto"/>
        <w:ind w:right="26"/>
        <w:rPr>
          <w:sz w:val="18"/>
          <w:szCs w:val="18"/>
        </w:rPr>
      </w:pPr>
      <w:r>
        <w:rPr>
          <w:rStyle w:val="FootnoteReference"/>
          <w:rFonts w:eastAsiaTheme="majorEastAsia"/>
          <w:sz w:val="18"/>
          <w:szCs w:val="18"/>
        </w:rPr>
        <w:footnoteRef/>
      </w:r>
      <w:r>
        <w:rPr>
          <w:sz w:val="18"/>
          <w:szCs w:val="18"/>
        </w:rPr>
        <w:t xml:space="preserve"> Recommendations for the National Strategy on Labor Force Participation 2017-2021, a study conducted by the Partnership for Development Center with the support of the East-European Foundation</w:t>
      </w:r>
    </w:p>
  </w:footnote>
  <w:footnote w:id="19">
    <w:p w14:paraId="61627FA8" w14:textId="77777777" w:rsidR="00932FF1" w:rsidRDefault="00932FF1" w:rsidP="00B44D67">
      <w:pPr>
        <w:spacing w:after="0" w:line="240" w:lineRule="auto"/>
        <w:ind w:right="26"/>
        <w:rPr>
          <w:rFonts w:ascii="Calibri" w:hAnsi="Calibri"/>
          <w:sz w:val="22"/>
        </w:rPr>
      </w:pPr>
      <w:r>
        <w:rPr>
          <w:rStyle w:val="FootnoteReference"/>
          <w:rFonts w:eastAsiaTheme="majorEastAsia"/>
        </w:rPr>
        <w:footnoteRef/>
      </w:r>
      <w:r>
        <w:t xml:space="preserve"> </w:t>
      </w:r>
      <w:r>
        <w:rPr>
          <w:sz w:val="18"/>
          <w:szCs w:val="18"/>
        </w:rPr>
        <w:t>World Bank Country Gender Assessment (2014), World Bank Systematic Country Diagnostic (2015), Moldova National Gender Equality Strategy (2017), Moldova Gender Equality Portal, and reports by local and international organizations (UN WOMEN, SIDA, Women’s Law Center, Partnership for Development Center, and Soros Foundation)</w:t>
      </w:r>
    </w:p>
  </w:footnote>
  <w:footnote w:id="20">
    <w:p w14:paraId="1AC84A18" w14:textId="77777777" w:rsidR="00932FF1" w:rsidRDefault="00932FF1" w:rsidP="00B44D67">
      <w:pPr>
        <w:pStyle w:val="FootnoteText"/>
        <w:ind w:right="26"/>
        <w:rPr>
          <w:sz w:val="18"/>
          <w:szCs w:val="18"/>
        </w:rPr>
      </w:pPr>
      <w:r>
        <w:rPr>
          <w:rStyle w:val="FootnoteReference"/>
          <w:rFonts w:eastAsiaTheme="majorEastAsia"/>
          <w:sz w:val="18"/>
          <w:szCs w:val="18"/>
        </w:rPr>
        <w:footnoteRef/>
      </w:r>
      <w:r>
        <w:rPr>
          <w:sz w:val="18"/>
          <w:szCs w:val="18"/>
        </w:rPr>
        <w:t xml:space="preserve"> A review of 15 projects under implementation during the FY14-17 CPS period, excluding trust-funded activities, based on project preparation, appraisal, implementation and supervision documents available in the Operations Portal.</w:t>
      </w:r>
    </w:p>
  </w:footnote>
  <w:footnote w:id="21">
    <w:p w14:paraId="10CF2A14" w14:textId="77777777" w:rsidR="00932FF1" w:rsidRDefault="00932FF1" w:rsidP="00B44D67">
      <w:pPr>
        <w:pStyle w:val="FootnoteText"/>
        <w:ind w:right="26"/>
        <w:rPr>
          <w:sz w:val="18"/>
          <w:szCs w:val="18"/>
        </w:rPr>
      </w:pPr>
      <w:r>
        <w:rPr>
          <w:rStyle w:val="FootnoteReference"/>
          <w:rFonts w:eastAsiaTheme="majorEastAsia"/>
          <w:sz w:val="18"/>
          <w:szCs w:val="18"/>
        </w:rPr>
        <w:footnoteRef/>
      </w:r>
      <w:r>
        <w:rPr>
          <w:sz w:val="18"/>
          <w:szCs w:val="18"/>
        </w:rPr>
        <w:t xml:space="preserve"> Local Roads Improvement, Tax Administration, District Heating Efficiency Improvement.</w:t>
      </w:r>
    </w:p>
  </w:footnote>
  <w:footnote w:id="22">
    <w:p w14:paraId="768DECF2" w14:textId="77777777" w:rsidR="00932FF1" w:rsidRDefault="00932FF1" w:rsidP="00B44D67">
      <w:pPr>
        <w:pStyle w:val="FootnoteText"/>
        <w:ind w:right="26"/>
        <w:rPr>
          <w:rFonts w:ascii="Calibri" w:hAnsi="Calibri"/>
          <w:sz w:val="22"/>
          <w:szCs w:val="22"/>
        </w:rPr>
      </w:pPr>
      <w:r>
        <w:rPr>
          <w:rStyle w:val="FootnoteReference"/>
          <w:rFonts w:eastAsiaTheme="majorEastAsia"/>
          <w:sz w:val="18"/>
          <w:szCs w:val="18"/>
        </w:rPr>
        <w:footnoteRef/>
      </w:r>
      <w:r>
        <w:rPr>
          <w:sz w:val="18"/>
          <w:szCs w:val="18"/>
        </w:rPr>
        <w:t xml:space="preserve"> Health Transformation, Education Reform AF, Agriculture Competitiveness.</w:t>
      </w:r>
    </w:p>
  </w:footnote>
  <w:footnote w:id="23">
    <w:p w14:paraId="3DC7FC25" w14:textId="77777777" w:rsidR="00932FF1" w:rsidRDefault="00932FF1" w:rsidP="00B44D67">
      <w:pPr>
        <w:pStyle w:val="FootnoteText"/>
        <w:ind w:left="0" w:firstLine="0"/>
        <w:rPr>
          <w:sz w:val="24"/>
          <w:szCs w:val="24"/>
        </w:rPr>
      </w:pPr>
    </w:p>
  </w:footnote>
  <w:footnote w:id="24">
    <w:p w14:paraId="3C20F793" w14:textId="77777777" w:rsidR="00932FF1" w:rsidRDefault="00932FF1" w:rsidP="00D905EA">
      <w:pPr>
        <w:pStyle w:val="FootnoteText"/>
        <w:ind w:right="0"/>
      </w:pPr>
      <w:r>
        <w:rPr>
          <w:rStyle w:val="FootnoteReference"/>
        </w:rPr>
        <w:footnoteRef/>
      </w:r>
      <w:r>
        <w:t xml:space="preserve"> One of two pilot CGAPs in the ECA region, the other being Armenia.</w:t>
      </w:r>
    </w:p>
  </w:footnote>
  <w:footnote w:id="25">
    <w:p w14:paraId="57C69DF7" w14:textId="77777777" w:rsidR="00932FF1" w:rsidRPr="006327D6" w:rsidRDefault="00932FF1" w:rsidP="00D905EA">
      <w:pPr>
        <w:spacing w:after="0" w:line="240" w:lineRule="auto"/>
        <w:ind w:right="26"/>
        <w:rPr>
          <w:sz w:val="18"/>
          <w:szCs w:val="18"/>
        </w:rPr>
      </w:pPr>
      <w:r w:rsidRPr="006327D6">
        <w:rPr>
          <w:rStyle w:val="FootnoteReference"/>
          <w:sz w:val="18"/>
          <w:szCs w:val="18"/>
        </w:rPr>
        <w:footnoteRef/>
      </w:r>
      <w:r>
        <w:rPr>
          <w:sz w:val="18"/>
          <w:szCs w:val="18"/>
        </w:rPr>
        <w:t xml:space="preserve"> Moldova: Country Gender Assessment, Report No. 76077-MD, 2014. </w:t>
      </w:r>
    </w:p>
  </w:footnote>
  <w:footnote w:id="26">
    <w:p w14:paraId="79A6E538" w14:textId="77777777" w:rsidR="00932FF1" w:rsidRDefault="00932FF1" w:rsidP="00D905EA">
      <w:pPr>
        <w:pStyle w:val="FootnoteText"/>
        <w:ind w:right="26"/>
        <w:rPr>
          <w:sz w:val="18"/>
          <w:szCs w:val="18"/>
        </w:rPr>
      </w:pPr>
      <w:r>
        <w:rPr>
          <w:rStyle w:val="FootnoteReference"/>
          <w:sz w:val="18"/>
          <w:szCs w:val="18"/>
        </w:rPr>
        <w:footnoteRef/>
      </w:r>
      <w:r>
        <w:rPr>
          <w:sz w:val="18"/>
          <w:szCs w:val="18"/>
        </w:rPr>
        <w:t xml:space="preserve"> A review of 15 projects under implementation during the FY14-17 CPS period, excluding trust-funded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5C7"/>
    <w:multiLevelType w:val="hybridMultilevel"/>
    <w:tmpl w:val="30161864"/>
    <w:lvl w:ilvl="0" w:tplc="01E61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8025C"/>
    <w:multiLevelType w:val="hybridMultilevel"/>
    <w:tmpl w:val="081A074A"/>
    <w:lvl w:ilvl="0" w:tplc="27BCA8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B73F4"/>
    <w:multiLevelType w:val="hybridMultilevel"/>
    <w:tmpl w:val="6C9A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50BB8"/>
    <w:multiLevelType w:val="hybridMultilevel"/>
    <w:tmpl w:val="3402C27A"/>
    <w:lvl w:ilvl="0" w:tplc="72F80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455F31"/>
    <w:multiLevelType w:val="hybridMultilevel"/>
    <w:tmpl w:val="40CE9C94"/>
    <w:lvl w:ilvl="0" w:tplc="9712249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5A38"/>
    <w:multiLevelType w:val="hybridMultilevel"/>
    <w:tmpl w:val="43522C42"/>
    <w:lvl w:ilvl="0" w:tplc="454CFF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8732F"/>
    <w:multiLevelType w:val="hybridMultilevel"/>
    <w:tmpl w:val="63F87E62"/>
    <w:lvl w:ilvl="0" w:tplc="DF0EE1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A35AD0"/>
    <w:multiLevelType w:val="hybridMultilevel"/>
    <w:tmpl w:val="30A468A8"/>
    <w:lvl w:ilvl="0" w:tplc="9CCCEF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D6DE1"/>
    <w:multiLevelType w:val="hybridMultilevel"/>
    <w:tmpl w:val="179ACECA"/>
    <w:lvl w:ilvl="0" w:tplc="571C4E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9227D8"/>
    <w:multiLevelType w:val="hybridMultilevel"/>
    <w:tmpl w:val="52563AEE"/>
    <w:lvl w:ilvl="0" w:tplc="CBB0C6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82A97"/>
    <w:multiLevelType w:val="hybridMultilevel"/>
    <w:tmpl w:val="C0F60F52"/>
    <w:lvl w:ilvl="0" w:tplc="1F8A57FC">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D20AC"/>
    <w:multiLevelType w:val="hybridMultilevel"/>
    <w:tmpl w:val="8C2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51A46"/>
    <w:multiLevelType w:val="hybridMultilevel"/>
    <w:tmpl w:val="59D22DF2"/>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 w15:restartNumberingAfterBreak="0">
    <w:nsid w:val="1A6F4029"/>
    <w:multiLevelType w:val="hybridMultilevel"/>
    <w:tmpl w:val="5F24435E"/>
    <w:lvl w:ilvl="0" w:tplc="460A84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AC35E1"/>
    <w:multiLevelType w:val="hybridMultilevel"/>
    <w:tmpl w:val="BDD0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B0285"/>
    <w:multiLevelType w:val="hybridMultilevel"/>
    <w:tmpl w:val="A314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71D61"/>
    <w:multiLevelType w:val="hybridMultilevel"/>
    <w:tmpl w:val="B2B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01ECB"/>
    <w:multiLevelType w:val="hybridMultilevel"/>
    <w:tmpl w:val="37BEDD78"/>
    <w:lvl w:ilvl="0" w:tplc="A7B40EB4">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C5944"/>
    <w:multiLevelType w:val="hybridMultilevel"/>
    <w:tmpl w:val="B4906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B1F52"/>
    <w:multiLevelType w:val="hybridMultilevel"/>
    <w:tmpl w:val="5896E66A"/>
    <w:lvl w:ilvl="0" w:tplc="12802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E84C3E"/>
    <w:multiLevelType w:val="hybridMultilevel"/>
    <w:tmpl w:val="3ACE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65E20"/>
    <w:multiLevelType w:val="hybridMultilevel"/>
    <w:tmpl w:val="F9F6ED52"/>
    <w:lvl w:ilvl="0" w:tplc="FB2C4C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9B4E4E"/>
    <w:multiLevelType w:val="hybridMultilevel"/>
    <w:tmpl w:val="E3F241FE"/>
    <w:lvl w:ilvl="0" w:tplc="C108075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51F45"/>
    <w:multiLevelType w:val="hybridMultilevel"/>
    <w:tmpl w:val="C6E4C79E"/>
    <w:lvl w:ilvl="0" w:tplc="83BA1662">
      <w:start w:val="1"/>
      <w:numFmt w:val="decimal"/>
      <w:pStyle w:val="pdbullet"/>
      <w:lvlText w:val="%1."/>
      <w:lvlJc w:val="left"/>
      <w:pPr>
        <w:ind w:left="1800" w:hanging="360"/>
      </w:pPr>
      <w:rPr>
        <w:b w:val="0"/>
        <w:i w:val="0"/>
        <w:color w:val="auto"/>
        <w:sz w:val="22"/>
        <w:szCs w:val="22"/>
      </w:rPr>
    </w:lvl>
    <w:lvl w:ilvl="1" w:tplc="8AEAB48A">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6063C37"/>
    <w:multiLevelType w:val="hybridMultilevel"/>
    <w:tmpl w:val="E95283D0"/>
    <w:lvl w:ilvl="0" w:tplc="187EF0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C5882"/>
    <w:multiLevelType w:val="hybridMultilevel"/>
    <w:tmpl w:val="89BC5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FC2BCB"/>
    <w:multiLevelType w:val="hybridMultilevel"/>
    <w:tmpl w:val="37D418A0"/>
    <w:lvl w:ilvl="0" w:tplc="2BF47862">
      <w:start w:val="1"/>
      <w:numFmt w:val="lowerLetter"/>
      <w:lvlText w:val="(%1)"/>
      <w:lvlJc w:val="left"/>
      <w:pPr>
        <w:ind w:left="1080" w:hanging="360"/>
      </w:pPr>
      <w:rPr>
        <w:rFonts w:eastAsia="SimSu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1D3610"/>
    <w:multiLevelType w:val="hybridMultilevel"/>
    <w:tmpl w:val="1B4A5EF0"/>
    <w:lvl w:ilvl="0" w:tplc="916A03C8">
      <w:start w:val="1"/>
      <w:numFmt w:val="decimal"/>
      <w:lvlText w:val="%1."/>
      <w:lvlJc w:val="left"/>
      <w:pPr>
        <w:ind w:left="360" w:hanging="360"/>
      </w:pPr>
      <w:rPr>
        <w:rFonts w:ascii="Times New Roman" w:hAnsi="Times New Roman" w:cs="Times New Roman" w:hint="default"/>
        <w:b/>
        <w:i w:val="0"/>
        <w:sz w:val="18"/>
        <w:szCs w:val="18"/>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8" w15:restartNumberingAfterBreak="0">
    <w:nsid w:val="3B282C68"/>
    <w:multiLevelType w:val="hybridMultilevel"/>
    <w:tmpl w:val="97808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6544B6"/>
    <w:multiLevelType w:val="hybridMultilevel"/>
    <w:tmpl w:val="EC643DBC"/>
    <w:lvl w:ilvl="0" w:tplc="2BACDB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9D285D"/>
    <w:multiLevelType w:val="hybridMultilevel"/>
    <w:tmpl w:val="C8FC0FDC"/>
    <w:lvl w:ilvl="0" w:tplc="5B900616">
      <w:start w:val="1"/>
      <w:numFmt w:val="upperRoman"/>
      <w:lvlText w:val="%1."/>
      <w:lvlJc w:val="left"/>
      <w:pPr>
        <w:ind w:left="3480" w:hanging="72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31" w15:restartNumberingAfterBreak="0">
    <w:nsid w:val="42881F32"/>
    <w:multiLevelType w:val="hybridMultilevel"/>
    <w:tmpl w:val="727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65072B"/>
    <w:multiLevelType w:val="hybridMultilevel"/>
    <w:tmpl w:val="2F485D9C"/>
    <w:lvl w:ilvl="0" w:tplc="83F271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FF7821"/>
    <w:multiLevelType w:val="hybridMultilevel"/>
    <w:tmpl w:val="BE84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D7B35FC"/>
    <w:multiLevelType w:val="hybridMultilevel"/>
    <w:tmpl w:val="8DBE4AE2"/>
    <w:lvl w:ilvl="0" w:tplc="11C40A1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50C28A">
      <w:start w:val="1"/>
      <w:numFmt w:val="lowerRoman"/>
      <w:lvlText w:val="(%2)"/>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86014D0">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A522C4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DF0FBA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86E4D7E">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F00669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8A41F1E">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86A1BD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6F658C8"/>
    <w:multiLevelType w:val="hybridMultilevel"/>
    <w:tmpl w:val="EA741798"/>
    <w:lvl w:ilvl="0" w:tplc="CD34EE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831D0"/>
    <w:multiLevelType w:val="hybridMultilevel"/>
    <w:tmpl w:val="0F849C84"/>
    <w:lvl w:ilvl="0" w:tplc="27F4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564C9A"/>
    <w:multiLevelType w:val="hybridMultilevel"/>
    <w:tmpl w:val="5C801632"/>
    <w:lvl w:ilvl="0" w:tplc="416676C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92530"/>
    <w:multiLevelType w:val="hybridMultilevel"/>
    <w:tmpl w:val="A898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92C2B"/>
    <w:multiLevelType w:val="hybridMultilevel"/>
    <w:tmpl w:val="28F22862"/>
    <w:lvl w:ilvl="0" w:tplc="4998D328">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0" w15:restartNumberingAfterBreak="0">
    <w:nsid w:val="64211588"/>
    <w:multiLevelType w:val="hybridMultilevel"/>
    <w:tmpl w:val="30D6E176"/>
    <w:lvl w:ilvl="0" w:tplc="7F9ABA1A">
      <w:start w:val="1"/>
      <w:numFmt w:val="upperRoman"/>
      <w:lvlText w:val="%1."/>
      <w:lvlJc w:val="left"/>
      <w:pPr>
        <w:ind w:left="735" w:hanging="72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1" w15:restartNumberingAfterBreak="0">
    <w:nsid w:val="69FF3963"/>
    <w:multiLevelType w:val="hybridMultilevel"/>
    <w:tmpl w:val="5DF05070"/>
    <w:lvl w:ilvl="0" w:tplc="EFAE8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507CCC"/>
    <w:multiLevelType w:val="hybridMultilevel"/>
    <w:tmpl w:val="D73C91C0"/>
    <w:lvl w:ilvl="0" w:tplc="8EE091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A23AA9"/>
    <w:multiLevelType w:val="hybridMultilevel"/>
    <w:tmpl w:val="32C29444"/>
    <w:lvl w:ilvl="0" w:tplc="65B413FA">
      <w:start w:val="1"/>
      <w:numFmt w:val="decimal"/>
      <w:lvlText w:val="%1."/>
      <w:lvlJc w:val="left"/>
      <w:pPr>
        <w:ind w:left="369" w:hanging="360"/>
      </w:pPr>
      <w:rPr>
        <w:rFonts w:eastAsia="Times New Roman" w:hint="default"/>
        <w:b w:val="0"/>
        <w:i w:val="0"/>
        <w:color w:val="auto"/>
      </w:rPr>
    </w:lvl>
    <w:lvl w:ilvl="1" w:tplc="04090019">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4" w15:restartNumberingAfterBreak="0">
    <w:nsid w:val="7BF07FC8"/>
    <w:multiLevelType w:val="hybridMultilevel"/>
    <w:tmpl w:val="3D7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21AFF"/>
    <w:multiLevelType w:val="hybridMultilevel"/>
    <w:tmpl w:val="E3A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36376"/>
    <w:multiLevelType w:val="hybridMultilevel"/>
    <w:tmpl w:val="DCB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4"/>
  </w:num>
  <w:num w:numId="4">
    <w:abstractNumId w:val="36"/>
  </w:num>
  <w:num w:numId="5">
    <w:abstractNumId w:val="38"/>
  </w:num>
  <w:num w:numId="6">
    <w:abstractNumId w:val="46"/>
  </w:num>
  <w:num w:numId="7">
    <w:abstractNumId w:val="12"/>
  </w:num>
  <w:num w:numId="8">
    <w:abstractNumId w:val="2"/>
  </w:num>
  <w:num w:numId="9">
    <w:abstractNumId w:val="5"/>
  </w:num>
  <w:num w:numId="10">
    <w:abstractNumId w:val="15"/>
  </w:num>
  <w:num w:numId="11">
    <w:abstractNumId w:val="44"/>
  </w:num>
  <w:num w:numId="12">
    <w:abstractNumId w:val="11"/>
  </w:num>
  <w:num w:numId="13">
    <w:abstractNumId w:val="33"/>
  </w:num>
  <w:num w:numId="14">
    <w:abstractNumId w:val="20"/>
  </w:num>
  <w:num w:numId="15">
    <w:abstractNumId w:val="24"/>
  </w:num>
  <w:num w:numId="16">
    <w:abstractNumId w:val="26"/>
  </w:num>
  <w:num w:numId="17">
    <w:abstractNumId w:val="13"/>
  </w:num>
  <w:num w:numId="18">
    <w:abstractNumId w:val="0"/>
  </w:num>
  <w:num w:numId="19">
    <w:abstractNumId w:val="8"/>
  </w:num>
  <w:num w:numId="20">
    <w:abstractNumId w:val="7"/>
  </w:num>
  <w:num w:numId="21">
    <w:abstractNumId w:val="3"/>
  </w:num>
  <w:num w:numId="22">
    <w:abstractNumId w:val="21"/>
  </w:num>
  <w:num w:numId="23">
    <w:abstractNumId w:val="41"/>
  </w:num>
  <w:num w:numId="24">
    <w:abstractNumId w:val="29"/>
  </w:num>
  <w:num w:numId="25">
    <w:abstractNumId w:val="19"/>
  </w:num>
  <w:num w:numId="26">
    <w:abstractNumId w:val="32"/>
  </w:num>
  <w:num w:numId="27">
    <w:abstractNumId w:val="39"/>
  </w:num>
  <w:num w:numId="28">
    <w:abstractNumId w:val="30"/>
  </w:num>
  <w:num w:numId="29">
    <w:abstractNumId w:val="27"/>
  </w:num>
  <w:num w:numId="30">
    <w:abstractNumId w:val="14"/>
  </w:num>
  <w:num w:numId="31">
    <w:abstractNumId w:val="31"/>
  </w:num>
  <w:num w:numId="32">
    <w:abstractNumId w:val="45"/>
  </w:num>
  <w:num w:numId="33">
    <w:abstractNumId w:val="25"/>
  </w:num>
  <w:num w:numId="34">
    <w:abstractNumId w:val="4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6"/>
  </w:num>
  <w:num w:numId="38">
    <w:abstractNumId w:val="9"/>
  </w:num>
  <w:num w:numId="39">
    <w:abstractNumId w:val="10"/>
  </w:num>
  <w:num w:numId="40">
    <w:abstractNumId w:val="4"/>
  </w:num>
  <w:num w:numId="41">
    <w:abstractNumId w:val="22"/>
  </w:num>
  <w:num w:numId="42">
    <w:abstractNumId w:val="18"/>
  </w:num>
  <w:num w:numId="43">
    <w:abstractNumId w:val="12"/>
  </w:num>
  <w:num w:numId="44">
    <w:abstractNumId w:val="35"/>
  </w:num>
  <w:num w:numId="45">
    <w:abstractNumId w:val="17"/>
  </w:num>
  <w:num w:numId="46">
    <w:abstractNumId w:val="37"/>
  </w:num>
  <w:num w:numId="47">
    <w:abstractNumId w:val="28"/>
  </w:num>
  <w:num w:numId="48">
    <w:abstractNumId w:val="11"/>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MX" w:vendorID="64" w:dllVersion="0" w:nlCheck="1" w:checkStyle="0"/>
  <w:activeWritingStyle w:appName="MSWord" w:lang="en-IE"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DD"/>
    <w:rsid w:val="0000063D"/>
    <w:rsid w:val="00000852"/>
    <w:rsid w:val="00000D45"/>
    <w:rsid w:val="00002BBA"/>
    <w:rsid w:val="00004AB9"/>
    <w:rsid w:val="00004D0E"/>
    <w:rsid w:val="00005406"/>
    <w:rsid w:val="000128B7"/>
    <w:rsid w:val="00013D55"/>
    <w:rsid w:val="00013D60"/>
    <w:rsid w:val="00015F16"/>
    <w:rsid w:val="00017208"/>
    <w:rsid w:val="0002295C"/>
    <w:rsid w:val="00025417"/>
    <w:rsid w:val="00030B4A"/>
    <w:rsid w:val="00033EE5"/>
    <w:rsid w:val="00034AF0"/>
    <w:rsid w:val="00035E43"/>
    <w:rsid w:val="00044C07"/>
    <w:rsid w:val="00045CE8"/>
    <w:rsid w:val="00046113"/>
    <w:rsid w:val="00046633"/>
    <w:rsid w:val="0004793F"/>
    <w:rsid w:val="00051561"/>
    <w:rsid w:val="00053A6B"/>
    <w:rsid w:val="00055153"/>
    <w:rsid w:val="00055996"/>
    <w:rsid w:val="00056B9A"/>
    <w:rsid w:val="00061958"/>
    <w:rsid w:val="00062E30"/>
    <w:rsid w:val="000654BE"/>
    <w:rsid w:val="00066A22"/>
    <w:rsid w:val="00067524"/>
    <w:rsid w:val="00071868"/>
    <w:rsid w:val="000737B0"/>
    <w:rsid w:val="00080B43"/>
    <w:rsid w:val="00086BCB"/>
    <w:rsid w:val="00087B15"/>
    <w:rsid w:val="00092DD5"/>
    <w:rsid w:val="0009398F"/>
    <w:rsid w:val="00094662"/>
    <w:rsid w:val="00095CE4"/>
    <w:rsid w:val="0009629A"/>
    <w:rsid w:val="000A0714"/>
    <w:rsid w:val="000A0D8B"/>
    <w:rsid w:val="000A2440"/>
    <w:rsid w:val="000A330F"/>
    <w:rsid w:val="000A3DB5"/>
    <w:rsid w:val="000A4224"/>
    <w:rsid w:val="000B1AD9"/>
    <w:rsid w:val="000B3BF5"/>
    <w:rsid w:val="000B4A79"/>
    <w:rsid w:val="000B561C"/>
    <w:rsid w:val="000B6277"/>
    <w:rsid w:val="000C5801"/>
    <w:rsid w:val="000D12DD"/>
    <w:rsid w:val="000D1C9F"/>
    <w:rsid w:val="000D2040"/>
    <w:rsid w:val="000D2414"/>
    <w:rsid w:val="000D6A6F"/>
    <w:rsid w:val="000D7A16"/>
    <w:rsid w:val="000E4754"/>
    <w:rsid w:val="000E55EA"/>
    <w:rsid w:val="000E5A6A"/>
    <w:rsid w:val="000E6500"/>
    <w:rsid w:val="000E7588"/>
    <w:rsid w:val="000E7D04"/>
    <w:rsid w:val="000F2754"/>
    <w:rsid w:val="000F3C26"/>
    <w:rsid w:val="000F41FC"/>
    <w:rsid w:val="000F557F"/>
    <w:rsid w:val="000F7CAD"/>
    <w:rsid w:val="0010004B"/>
    <w:rsid w:val="0010477D"/>
    <w:rsid w:val="0010540B"/>
    <w:rsid w:val="00113059"/>
    <w:rsid w:val="00115DDC"/>
    <w:rsid w:val="001164F4"/>
    <w:rsid w:val="0011690E"/>
    <w:rsid w:val="0011763E"/>
    <w:rsid w:val="00121337"/>
    <w:rsid w:val="0012453D"/>
    <w:rsid w:val="00136B7C"/>
    <w:rsid w:val="001408F4"/>
    <w:rsid w:val="0014460A"/>
    <w:rsid w:val="0015259F"/>
    <w:rsid w:val="00152738"/>
    <w:rsid w:val="00154219"/>
    <w:rsid w:val="00160824"/>
    <w:rsid w:val="00162608"/>
    <w:rsid w:val="001664AC"/>
    <w:rsid w:val="00170017"/>
    <w:rsid w:val="001714BB"/>
    <w:rsid w:val="00177BA8"/>
    <w:rsid w:val="001861AF"/>
    <w:rsid w:val="00193AB4"/>
    <w:rsid w:val="0019720F"/>
    <w:rsid w:val="001A044E"/>
    <w:rsid w:val="001A5665"/>
    <w:rsid w:val="001A6D93"/>
    <w:rsid w:val="001B1D72"/>
    <w:rsid w:val="001B1F9B"/>
    <w:rsid w:val="001B2966"/>
    <w:rsid w:val="001C2584"/>
    <w:rsid w:val="001C44A3"/>
    <w:rsid w:val="001C5C43"/>
    <w:rsid w:val="001D0854"/>
    <w:rsid w:val="001D7A45"/>
    <w:rsid w:val="001E1B3F"/>
    <w:rsid w:val="001E63DB"/>
    <w:rsid w:val="001F1367"/>
    <w:rsid w:val="001F474A"/>
    <w:rsid w:val="001F620B"/>
    <w:rsid w:val="001F7869"/>
    <w:rsid w:val="00205570"/>
    <w:rsid w:val="00205CF8"/>
    <w:rsid w:val="00206967"/>
    <w:rsid w:val="00210505"/>
    <w:rsid w:val="00215EA8"/>
    <w:rsid w:val="0021700C"/>
    <w:rsid w:val="002206EA"/>
    <w:rsid w:val="00220852"/>
    <w:rsid w:val="00223864"/>
    <w:rsid w:val="0022612C"/>
    <w:rsid w:val="00227795"/>
    <w:rsid w:val="00227D46"/>
    <w:rsid w:val="002336F5"/>
    <w:rsid w:val="00234B27"/>
    <w:rsid w:val="00237822"/>
    <w:rsid w:val="002401CC"/>
    <w:rsid w:val="00241C66"/>
    <w:rsid w:val="002428FE"/>
    <w:rsid w:val="002439D1"/>
    <w:rsid w:val="00244789"/>
    <w:rsid w:val="00247CB9"/>
    <w:rsid w:val="00250978"/>
    <w:rsid w:val="00252A7F"/>
    <w:rsid w:val="00254A7B"/>
    <w:rsid w:val="00256177"/>
    <w:rsid w:val="00266A9B"/>
    <w:rsid w:val="00267BDB"/>
    <w:rsid w:val="0028531B"/>
    <w:rsid w:val="002904A5"/>
    <w:rsid w:val="0029626E"/>
    <w:rsid w:val="002A1AB4"/>
    <w:rsid w:val="002B0593"/>
    <w:rsid w:val="002B2426"/>
    <w:rsid w:val="002B2553"/>
    <w:rsid w:val="002B54CD"/>
    <w:rsid w:val="002C3198"/>
    <w:rsid w:val="002C3819"/>
    <w:rsid w:val="002C3E92"/>
    <w:rsid w:val="002C66AE"/>
    <w:rsid w:val="002D0E83"/>
    <w:rsid w:val="002D2A68"/>
    <w:rsid w:val="002D5C5C"/>
    <w:rsid w:val="002D66E9"/>
    <w:rsid w:val="002D7489"/>
    <w:rsid w:val="002E2940"/>
    <w:rsid w:val="002F2D5B"/>
    <w:rsid w:val="002F3FED"/>
    <w:rsid w:val="002F57F6"/>
    <w:rsid w:val="003001E1"/>
    <w:rsid w:val="00302DDC"/>
    <w:rsid w:val="003041B3"/>
    <w:rsid w:val="00307E0C"/>
    <w:rsid w:val="00311B61"/>
    <w:rsid w:val="00311CBB"/>
    <w:rsid w:val="00312832"/>
    <w:rsid w:val="00325098"/>
    <w:rsid w:val="003310C8"/>
    <w:rsid w:val="0033766B"/>
    <w:rsid w:val="00345BC1"/>
    <w:rsid w:val="003464AA"/>
    <w:rsid w:val="00347595"/>
    <w:rsid w:val="0035022E"/>
    <w:rsid w:val="0035210F"/>
    <w:rsid w:val="00353D4A"/>
    <w:rsid w:val="003541EB"/>
    <w:rsid w:val="0036058E"/>
    <w:rsid w:val="00360DAA"/>
    <w:rsid w:val="00364B29"/>
    <w:rsid w:val="00365204"/>
    <w:rsid w:val="00380F7A"/>
    <w:rsid w:val="0038633B"/>
    <w:rsid w:val="0038688C"/>
    <w:rsid w:val="003904B8"/>
    <w:rsid w:val="00392135"/>
    <w:rsid w:val="00392FBF"/>
    <w:rsid w:val="00393221"/>
    <w:rsid w:val="00394606"/>
    <w:rsid w:val="00395E94"/>
    <w:rsid w:val="003A100A"/>
    <w:rsid w:val="003A5F44"/>
    <w:rsid w:val="003B57CF"/>
    <w:rsid w:val="003B7719"/>
    <w:rsid w:val="003C55C3"/>
    <w:rsid w:val="003C5756"/>
    <w:rsid w:val="003C610D"/>
    <w:rsid w:val="003D0D1C"/>
    <w:rsid w:val="003D4B2D"/>
    <w:rsid w:val="003E22AE"/>
    <w:rsid w:val="003E49DD"/>
    <w:rsid w:val="003E65AD"/>
    <w:rsid w:val="003E7CF2"/>
    <w:rsid w:val="003F0933"/>
    <w:rsid w:val="003F335B"/>
    <w:rsid w:val="004172DB"/>
    <w:rsid w:val="0042120D"/>
    <w:rsid w:val="004220EB"/>
    <w:rsid w:val="004252C1"/>
    <w:rsid w:val="0042561E"/>
    <w:rsid w:val="00426034"/>
    <w:rsid w:val="00430BAC"/>
    <w:rsid w:val="00431E02"/>
    <w:rsid w:val="00432763"/>
    <w:rsid w:val="0043556A"/>
    <w:rsid w:val="00441525"/>
    <w:rsid w:val="00441857"/>
    <w:rsid w:val="004423FD"/>
    <w:rsid w:val="00443858"/>
    <w:rsid w:val="004443C8"/>
    <w:rsid w:val="004460AC"/>
    <w:rsid w:val="00451249"/>
    <w:rsid w:val="0045210F"/>
    <w:rsid w:val="00456189"/>
    <w:rsid w:val="0045782D"/>
    <w:rsid w:val="00460FFA"/>
    <w:rsid w:val="004629DC"/>
    <w:rsid w:val="00462CF2"/>
    <w:rsid w:val="00483941"/>
    <w:rsid w:val="00483D75"/>
    <w:rsid w:val="00484665"/>
    <w:rsid w:val="0048779F"/>
    <w:rsid w:val="00487FBF"/>
    <w:rsid w:val="00490E89"/>
    <w:rsid w:val="00491E74"/>
    <w:rsid w:val="00492366"/>
    <w:rsid w:val="00496158"/>
    <w:rsid w:val="004A1E20"/>
    <w:rsid w:val="004B1E78"/>
    <w:rsid w:val="004B381C"/>
    <w:rsid w:val="004B3F4F"/>
    <w:rsid w:val="004C14FD"/>
    <w:rsid w:val="004C1A2A"/>
    <w:rsid w:val="004C4629"/>
    <w:rsid w:val="004C4EAA"/>
    <w:rsid w:val="004C51BE"/>
    <w:rsid w:val="004C5568"/>
    <w:rsid w:val="004C68C7"/>
    <w:rsid w:val="004D0FC9"/>
    <w:rsid w:val="004D28B5"/>
    <w:rsid w:val="004D62E8"/>
    <w:rsid w:val="004E03DA"/>
    <w:rsid w:val="004E5091"/>
    <w:rsid w:val="004E7FB8"/>
    <w:rsid w:val="004F0891"/>
    <w:rsid w:val="004F2540"/>
    <w:rsid w:val="004F4A76"/>
    <w:rsid w:val="004F539D"/>
    <w:rsid w:val="004F6B62"/>
    <w:rsid w:val="00500210"/>
    <w:rsid w:val="005007C1"/>
    <w:rsid w:val="005008C7"/>
    <w:rsid w:val="00501A09"/>
    <w:rsid w:val="00503681"/>
    <w:rsid w:val="00513BB0"/>
    <w:rsid w:val="00522481"/>
    <w:rsid w:val="005228D4"/>
    <w:rsid w:val="005234E3"/>
    <w:rsid w:val="00534C59"/>
    <w:rsid w:val="0053643E"/>
    <w:rsid w:val="00537BB9"/>
    <w:rsid w:val="0054453B"/>
    <w:rsid w:val="00546E25"/>
    <w:rsid w:val="005528ED"/>
    <w:rsid w:val="00554CE3"/>
    <w:rsid w:val="00560ADD"/>
    <w:rsid w:val="00561560"/>
    <w:rsid w:val="00575248"/>
    <w:rsid w:val="00577F38"/>
    <w:rsid w:val="00577FF5"/>
    <w:rsid w:val="00580360"/>
    <w:rsid w:val="00582343"/>
    <w:rsid w:val="00592A6A"/>
    <w:rsid w:val="00592C9E"/>
    <w:rsid w:val="00593DA5"/>
    <w:rsid w:val="00596007"/>
    <w:rsid w:val="00597C69"/>
    <w:rsid w:val="005A20F2"/>
    <w:rsid w:val="005A2505"/>
    <w:rsid w:val="005A27ED"/>
    <w:rsid w:val="005A281F"/>
    <w:rsid w:val="005A3C9A"/>
    <w:rsid w:val="005A49AB"/>
    <w:rsid w:val="005A5E0E"/>
    <w:rsid w:val="005A76F8"/>
    <w:rsid w:val="005C14A2"/>
    <w:rsid w:val="005C1A40"/>
    <w:rsid w:val="005C4171"/>
    <w:rsid w:val="005C5ED3"/>
    <w:rsid w:val="005C6906"/>
    <w:rsid w:val="005D507C"/>
    <w:rsid w:val="005D51A0"/>
    <w:rsid w:val="005D62DB"/>
    <w:rsid w:val="005E3CAD"/>
    <w:rsid w:val="005E4AD4"/>
    <w:rsid w:val="005E6999"/>
    <w:rsid w:val="005E7465"/>
    <w:rsid w:val="005F0FAA"/>
    <w:rsid w:val="005F2595"/>
    <w:rsid w:val="005F339C"/>
    <w:rsid w:val="005F725F"/>
    <w:rsid w:val="00604A58"/>
    <w:rsid w:val="00621613"/>
    <w:rsid w:val="00636D17"/>
    <w:rsid w:val="00637EB6"/>
    <w:rsid w:val="0064561A"/>
    <w:rsid w:val="0064569C"/>
    <w:rsid w:val="00647FFC"/>
    <w:rsid w:val="0065219D"/>
    <w:rsid w:val="00653759"/>
    <w:rsid w:val="006565B0"/>
    <w:rsid w:val="00656969"/>
    <w:rsid w:val="00660B0B"/>
    <w:rsid w:val="00661A0A"/>
    <w:rsid w:val="00662EC2"/>
    <w:rsid w:val="006720F3"/>
    <w:rsid w:val="00672A53"/>
    <w:rsid w:val="006746D0"/>
    <w:rsid w:val="00675186"/>
    <w:rsid w:val="00677C1C"/>
    <w:rsid w:val="00683DFD"/>
    <w:rsid w:val="006850F4"/>
    <w:rsid w:val="0068754E"/>
    <w:rsid w:val="00693232"/>
    <w:rsid w:val="00693FE9"/>
    <w:rsid w:val="006946BA"/>
    <w:rsid w:val="00694C81"/>
    <w:rsid w:val="00696D79"/>
    <w:rsid w:val="006974E1"/>
    <w:rsid w:val="006A177F"/>
    <w:rsid w:val="006A272D"/>
    <w:rsid w:val="006B01A1"/>
    <w:rsid w:val="006B0AD5"/>
    <w:rsid w:val="006B18A3"/>
    <w:rsid w:val="006B1A27"/>
    <w:rsid w:val="006B1D8F"/>
    <w:rsid w:val="006B1E8B"/>
    <w:rsid w:val="006B4AED"/>
    <w:rsid w:val="006B5571"/>
    <w:rsid w:val="006B7F21"/>
    <w:rsid w:val="006D03B1"/>
    <w:rsid w:val="006D135B"/>
    <w:rsid w:val="006D2153"/>
    <w:rsid w:val="006E39BD"/>
    <w:rsid w:val="006E3DF4"/>
    <w:rsid w:val="006E73EE"/>
    <w:rsid w:val="006F0C19"/>
    <w:rsid w:val="006F17C2"/>
    <w:rsid w:val="006F7A89"/>
    <w:rsid w:val="00700C6A"/>
    <w:rsid w:val="00702D50"/>
    <w:rsid w:val="00704E6E"/>
    <w:rsid w:val="00705637"/>
    <w:rsid w:val="00706219"/>
    <w:rsid w:val="00706C1D"/>
    <w:rsid w:val="007103C2"/>
    <w:rsid w:val="00711F2B"/>
    <w:rsid w:val="00712B45"/>
    <w:rsid w:val="007159DC"/>
    <w:rsid w:val="00723B66"/>
    <w:rsid w:val="0072451C"/>
    <w:rsid w:val="00725049"/>
    <w:rsid w:val="007279F0"/>
    <w:rsid w:val="007311E0"/>
    <w:rsid w:val="00735983"/>
    <w:rsid w:val="00740DB6"/>
    <w:rsid w:val="00740F6A"/>
    <w:rsid w:val="00744A94"/>
    <w:rsid w:val="00750DA7"/>
    <w:rsid w:val="00753878"/>
    <w:rsid w:val="007605E8"/>
    <w:rsid w:val="00761BAA"/>
    <w:rsid w:val="00761D07"/>
    <w:rsid w:val="007658D8"/>
    <w:rsid w:val="0076596B"/>
    <w:rsid w:val="007671FD"/>
    <w:rsid w:val="00767863"/>
    <w:rsid w:val="007700EC"/>
    <w:rsid w:val="0077245B"/>
    <w:rsid w:val="00773B8B"/>
    <w:rsid w:val="007753E5"/>
    <w:rsid w:val="007802F1"/>
    <w:rsid w:val="00781CA1"/>
    <w:rsid w:val="007849BE"/>
    <w:rsid w:val="00787AF3"/>
    <w:rsid w:val="007935AA"/>
    <w:rsid w:val="0079495E"/>
    <w:rsid w:val="00797C58"/>
    <w:rsid w:val="007A1BA3"/>
    <w:rsid w:val="007A7258"/>
    <w:rsid w:val="007A74E8"/>
    <w:rsid w:val="007A765D"/>
    <w:rsid w:val="007B3862"/>
    <w:rsid w:val="007B50E8"/>
    <w:rsid w:val="007B6678"/>
    <w:rsid w:val="007C63D3"/>
    <w:rsid w:val="007D110C"/>
    <w:rsid w:val="007D124F"/>
    <w:rsid w:val="007D269E"/>
    <w:rsid w:val="007D2703"/>
    <w:rsid w:val="007D3F44"/>
    <w:rsid w:val="007E15DA"/>
    <w:rsid w:val="007E1626"/>
    <w:rsid w:val="007E4C7A"/>
    <w:rsid w:val="007F02EE"/>
    <w:rsid w:val="007F19D0"/>
    <w:rsid w:val="007F2054"/>
    <w:rsid w:val="007F6E98"/>
    <w:rsid w:val="007F7117"/>
    <w:rsid w:val="007F7C2B"/>
    <w:rsid w:val="0080470D"/>
    <w:rsid w:val="008048F4"/>
    <w:rsid w:val="00823E49"/>
    <w:rsid w:val="008268DA"/>
    <w:rsid w:val="00832901"/>
    <w:rsid w:val="0083327A"/>
    <w:rsid w:val="0084725F"/>
    <w:rsid w:val="00856A02"/>
    <w:rsid w:val="00860509"/>
    <w:rsid w:val="00861A2B"/>
    <w:rsid w:val="00861C00"/>
    <w:rsid w:val="008656F5"/>
    <w:rsid w:val="00867831"/>
    <w:rsid w:val="00867F03"/>
    <w:rsid w:val="00870DE0"/>
    <w:rsid w:val="00871081"/>
    <w:rsid w:val="00876FAB"/>
    <w:rsid w:val="00877604"/>
    <w:rsid w:val="00882AB1"/>
    <w:rsid w:val="008857E7"/>
    <w:rsid w:val="00887BCA"/>
    <w:rsid w:val="00892AA4"/>
    <w:rsid w:val="00893B57"/>
    <w:rsid w:val="008969CE"/>
    <w:rsid w:val="008A1B20"/>
    <w:rsid w:val="008A28BC"/>
    <w:rsid w:val="008A5166"/>
    <w:rsid w:val="008A5690"/>
    <w:rsid w:val="008A636E"/>
    <w:rsid w:val="008B3FD3"/>
    <w:rsid w:val="008C7F0C"/>
    <w:rsid w:val="008D55A8"/>
    <w:rsid w:val="008D5F69"/>
    <w:rsid w:val="008E13CB"/>
    <w:rsid w:val="008E2722"/>
    <w:rsid w:val="008E2A75"/>
    <w:rsid w:val="008E4453"/>
    <w:rsid w:val="008F06F0"/>
    <w:rsid w:val="008F3CEE"/>
    <w:rsid w:val="008F4B3E"/>
    <w:rsid w:val="00904961"/>
    <w:rsid w:val="00905A53"/>
    <w:rsid w:val="00906F87"/>
    <w:rsid w:val="009129A4"/>
    <w:rsid w:val="00913FA3"/>
    <w:rsid w:val="00915CBC"/>
    <w:rsid w:val="00915E80"/>
    <w:rsid w:val="00916175"/>
    <w:rsid w:val="0092075F"/>
    <w:rsid w:val="00921BA2"/>
    <w:rsid w:val="009228F7"/>
    <w:rsid w:val="0092339C"/>
    <w:rsid w:val="009259F7"/>
    <w:rsid w:val="00925AE3"/>
    <w:rsid w:val="00926323"/>
    <w:rsid w:val="00926880"/>
    <w:rsid w:val="00927A66"/>
    <w:rsid w:val="0093084A"/>
    <w:rsid w:val="009329CE"/>
    <w:rsid w:val="00932FF1"/>
    <w:rsid w:val="00933FB2"/>
    <w:rsid w:val="0094161B"/>
    <w:rsid w:val="0094204E"/>
    <w:rsid w:val="00942233"/>
    <w:rsid w:val="009449E2"/>
    <w:rsid w:val="009531B4"/>
    <w:rsid w:val="009576CB"/>
    <w:rsid w:val="0095796F"/>
    <w:rsid w:val="009600A8"/>
    <w:rsid w:val="0097135B"/>
    <w:rsid w:val="009717CE"/>
    <w:rsid w:val="00974950"/>
    <w:rsid w:val="00974A63"/>
    <w:rsid w:val="009800D0"/>
    <w:rsid w:val="00981734"/>
    <w:rsid w:val="0098355D"/>
    <w:rsid w:val="0098362A"/>
    <w:rsid w:val="0098460F"/>
    <w:rsid w:val="009858D6"/>
    <w:rsid w:val="00985A6B"/>
    <w:rsid w:val="009919D8"/>
    <w:rsid w:val="009A0C40"/>
    <w:rsid w:val="009A6D91"/>
    <w:rsid w:val="009A6E4F"/>
    <w:rsid w:val="009B2F5B"/>
    <w:rsid w:val="009B5962"/>
    <w:rsid w:val="009C0AE5"/>
    <w:rsid w:val="009C22F5"/>
    <w:rsid w:val="009D0670"/>
    <w:rsid w:val="009D10AE"/>
    <w:rsid w:val="009D16D3"/>
    <w:rsid w:val="009D6043"/>
    <w:rsid w:val="009E12A6"/>
    <w:rsid w:val="009E29B1"/>
    <w:rsid w:val="009E50B5"/>
    <w:rsid w:val="009E708B"/>
    <w:rsid w:val="009F1F8F"/>
    <w:rsid w:val="009F34E5"/>
    <w:rsid w:val="009F4080"/>
    <w:rsid w:val="009F42CC"/>
    <w:rsid w:val="009F4A1D"/>
    <w:rsid w:val="009F624E"/>
    <w:rsid w:val="00A00E96"/>
    <w:rsid w:val="00A02F40"/>
    <w:rsid w:val="00A1095C"/>
    <w:rsid w:val="00A14290"/>
    <w:rsid w:val="00A17995"/>
    <w:rsid w:val="00A20BED"/>
    <w:rsid w:val="00A226A4"/>
    <w:rsid w:val="00A24BB8"/>
    <w:rsid w:val="00A25D2A"/>
    <w:rsid w:val="00A30473"/>
    <w:rsid w:val="00A31758"/>
    <w:rsid w:val="00A34E5E"/>
    <w:rsid w:val="00A4208A"/>
    <w:rsid w:val="00A45A2E"/>
    <w:rsid w:val="00A47629"/>
    <w:rsid w:val="00A53EF0"/>
    <w:rsid w:val="00A56A3E"/>
    <w:rsid w:val="00A5732C"/>
    <w:rsid w:val="00A602E2"/>
    <w:rsid w:val="00A67057"/>
    <w:rsid w:val="00A70CB5"/>
    <w:rsid w:val="00A72420"/>
    <w:rsid w:val="00A7309C"/>
    <w:rsid w:val="00A77C40"/>
    <w:rsid w:val="00A84519"/>
    <w:rsid w:val="00A85687"/>
    <w:rsid w:val="00A91E5F"/>
    <w:rsid w:val="00A948CC"/>
    <w:rsid w:val="00A96045"/>
    <w:rsid w:val="00A97761"/>
    <w:rsid w:val="00AA1D6F"/>
    <w:rsid w:val="00AA3BDF"/>
    <w:rsid w:val="00AA3DE5"/>
    <w:rsid w:val="00AA6E33"/>
    <w:rsid w:val="00AA7A17"/>
    <w:rsid w:val="00AB1F28"/>
    <w:rsid w:val="00AB3B74"/>
    <w:rsid w:val="00AB48C2"/>
    <w:rsid w:val="00AB505C"/>
    <w:rsid w:val="00AB585E"/>
    <w:rsid w:val="00AC309A"/>
    <w:rsid w:val="00AD6661"/>
    <w:rsid w:val="00AE26E9"/>
    <w:rsid w:val="00AE7486"/>
    <w:rsid w:val="00AF4167"/>
    <w:rsid w:val="00AF5CDF"/>
    <w:rsid w:val="00B02F3E"/>
    <w:rsid w:val="00B037C6"/>
    <w:rsid w:val="00B03909"/>
    <w:rsid w:val="00B045A0"/>
    <w:rsid w:val="00B05613"/>
    <w:rsid w:val="00B05873"/>
    <w:rsid w:val="00B064D5"/>
    <w:rsid w:val="00B11354"/>
    <w:rsid w:val="00B119F3"/>
    <w:rsid w:val="00B12BC7"/>
    <w:rsid w:val="00B12C66"/>
    <w:rsid w:val="00B13C6E"/>
    <w:rsid w:val="00B1411B"/>
    <w:rsid w:val="00B146D1"/>
    <w:rsid w:val="00B1474C"/>
    <w:rsid w:val="00B1664E"/>
    <w:rsid w:val="00B16B9D"/>
    <w:rsid w:val="00B16FEF"/>
    <w:rsid w:val="00B22CD8"/>
    <w:rsid w:val="00B23723"/>
    <w:rsid w:val="00B2421F"/>
    <w:rsid w:val="00B25BFC"/>
    <w:rsid w:val="00B2678C"/>
    <w:rsid w:val="00B27582"/>
    <w:rsid w:val="00B30786"/>
    <w:rsid w:val="00B339CF"/>
    <w:rsid w:val="00B36A78"/>
    <w:rsid w:val="00B421B1"/>
    <w:rsid w:val="00B44D67"/>
    <w:rsid w:val="00B46EAA"/>
    <w:rsid w:val="00B5349D"/>
    <w:rsid w:val="00B54791"/>
    <w:rsid w:val="00B55636"/>
    <w:rsid w:val="00B565A1"/>
    <w:rsid w:val="00B56D88"/>
    <w:rsid w:val="00B579B3"/>
    <w:rsid w:val="00B606E6"/>
    <w:rsid w:val="00B60D4E"/>
    <w:rsid w:val="00B649EA"/>
    <w:rsid w:val="00B67E91"/>
    <w:rsid w:val="00B72975"/>
    <w:rsid w:val="00B73550"/>
    <w:rsid w:val="00B75615"/>
    <w:rsid w:val="00B75CA6"/>
    <w:rsid w:val="00B77818"/>
    <w:rsid w:val="00B8120B"/>
    <w:rsid w:val="00B81415"/>
    <w:rsid w:val="00B830F6"/>
    <w:rsid w:val="00B854C2"/>
    <w:rsid w:val="00B93910"/>
    <w:rsid w:val="00B9517B"/>
    <w:rsid w:val="00B976E2"/>
    <w:rsid w:val="00BA050E"/>
    <w:rsid w:val="00BA6590"/>
    <w:rsid w:val="00BA7290"/>
    <w:rsid w:val="00BC21DA"/>
    <w:rsid w:val="00BC56B2"/>
    <w:rsid w:val="00BC61A2"/>
    <w:rsid w:val="00BC6B02"/>
    <w:rsid w:val="00BD3543"/>
    <w:rsid w:val="00BE2DBE"/>
    <w:rsid w:val="00BE3261"/>
    <w:rsid w:val="00BE4F8E"/>
    <w:rsid w:val="00BE60C3"/>
    <w:rsid w:val="00BF03E8"/>
    <w:rsid w:val="00BF06B8"/>
    <w:rsid w:val="00BF2748"/>
    <w:rsid w:val="00C00364"/>
    <w:rsid w:val="00C00B71"/>
    <w:rsid w:val="00C04638"/>
    <w:rsid w:val="00C06174"/>
    <w:rsid w:val="00C208D0"/>
    <w:rsid w:val="00C220C3"/>
    <w:rsid w:val="00C22F55"/>
    <w:rsid w:val="00C254BF"/>
    <w:rsid w:val="00C27796"/>
    <w:rsid w:val="00C3448C"/>
    <w:rsid w:val="00C3477C"/>
    <w:rsid w:val="00C36B28"/>
    <w:rsid w:val="00C37EA6"/>
    <w:rsid w:val="00C41E17"/>
    <w:rsid w:val="00C4350D"/>
    <w:rsid w:val="00C4627E"/>
    <w:rsid w:val="00C54FAD"/>
    <w:rsid w:val="00C55D9D"/>
    <w:rsid w:val="00C62A37"/>
    <w:rsid w:val="00C63D88"/>
    <w:rsid w:val="00C76BBB"/>
    <w:rsid w:val="00C77885"/>
    <w:rsid w:val="00C77B58"/>
    <w:rsid w:val="00C844FC"/>
    <w:rsid w:val="00C860BB"/>
    <w:rsid w:val="00C86357"/>
    <w:rsid w:val="00C938EC"/>
    <w:rsid w:val="00C93ADD"/>
    <w:rsid w:val="00C97CC3"/>
    <w:rsid w:val="00CA219F"/>
    <w:rsid w:val="00CA2DB8"/>
    <w:rsid w:val="00CA5747"/>
    <w:rsid w:val="00CA6138"/>
    <w:rsid w:val="00CA7424"/>
    <w:rsid w:val="00CA7A9C"/>
    <w:rsid w:val="00CB2A24"/>
    <w:rsid w:val="00CB47B2"/>
    <w:rsid w:val="00CB6C1B"/>
    <w:rsid w:val="00CB7B17"/>
    <w:rsid w:val="00CC0F07"/>
    <w:rsid w:val="00CC11C8"/>
    <w:rsid w:val="00CC1BAE"/>
    <w:rsid w:val="00CC3956"/>
    <w:rsid w:val="00CC558E"/>
    <w:rsid w:val="00CD0C10"/>
    <w:rsid w:val="00CD1199"/>
    <w:rsid w:val="00CD184B"/>
    <w:rsid w:val="00CD63EF"/>
    <w:rsid w:val="00CD6D47"/>
    <w:rsid w:val="00CD7042"/>
    <w:rsid w:val="00CE737D"/>
    <w:rsid w:val="00CF110A"/>
    <w:rsid w:val="00CF1D1B"/>
    <w:rsid w:val="00CF25C7"/>
    <w:rsid w:val="00CF3258"/>
    <w:rsid w:val="00CF353E"/>
    <w:rsid w:val="00CF3DDB"/>
    <w:rsid w:val="00CF4C54"/>
    <w:rsid w:val="00CF798B"/>
    <w:rsid w:val="00D056D6"/>
    <w:rsid w:val="00D072BE"/>
    <w:rsid w:val="00D148D6"/>
    <w:rsid w:val="00D20954"/>
    <w:rsid w:val="00D21198"/>
    <w:rsid w:val="00D2503F"/>
    <w:rsid w:val="00D327D8"/>
    <w:rsid w:val="00D32E39"/>
    <w:rsid w:val="00D33F6C"/>
    <w:rsid w:val="00D430CA"/>
    <w:rsid w:val="00D4315F"/>
    <w:rsid w:val="00D432C7"/>
    <w:rsid w:val="00D446DD"/>
    <w:rsid w:val="00D47F93"/>
    <w:rsid w:val="00D52167"/>
    <w:rsid w:val="00D54A2E"/>
    <w:rsid w:val="00D561D9"/>
    <w:rsid w:val="00D576E9"/>
    <w:rsid w:val="00D63A97"/>
    <w:rsid w:val="00D656A2"/>
    <w:rsid w:val="00D6624A"/>
    <w:rsid w:val="00D66946"/>
    <w:rsid w:val="00D70422"/>
    <w:rsid w:val="00D77307"/>
    <w:rsid w:val="00D905EA"/>
    <w:rsid w:val="00D91CFB"/>
    <w:rsid w:val="00DA0058"/>
    <w:rsid w:val="00DB0464"/>
    <w:rsid w:val="00DB0565"/>
    <w:rsid w:val="00DB798E"/>
    <w:rsid w:val="00DC35D8"/>
    <w:rsid w:val="00DD7BE2"/>
    <w:rsid w:val="00DE45B9"/>
    <w:rsid w:val="00DE527F"/>
    <w:rsid w:val="00DE6DD5"/>
    <w:rsid w:val="00DF24A8"/>
    <w:rsid w:val="00DF3DE8"/>
    <w:rsid w:val="00DF4685"/>
    <w:rsid w:val="00DF5052"/>
    <w:rsid w:val="00DF6A27"/>
    <w:rsid w:val="00E00BC0"/>
    <w:rsid w:val="00E01165"/>
    <w:rsid w:val="00E0733E"/>
    <w:rsid w:val="00E12810"/>
    <w:rsid w:val="00E1612A"/>
    <w:rsid w:val="00E25810"/>
    <w:rsid w:val="00E25CDB"/>
    <w:rsid w:val="00E26010"/>
    <w:rsid w:val="00E271EB"/>
    <w:rsid w:val="00E279F9"/>
    <w:rsid w:val="00E33B86"/>
    <w:rsid w:val="00E34ACC"/>
    <w:rsid w:val="00E368C2"/>
    <w:rsid w:val="00E40457"/>
    <w:rsid w:val="00E431B9"/>
    <w:rsid w:val="00E43435"/>
    <w:rsid w:val="00E44AD2"/>
    <w:rsid w:val="00E46A41"/>
    <w:rsid w:val="00E4735E"/>
    <w:rsid w:val="00E50CB4"/>
    <w:rsid w:val="00E56C65"/>
    <w:rsid w:val="00E60A85"/>
    <w:rsid w:val="00E63CBE"/>
    <w:rsid w:val="00E73DF8"/>
    <w:rsid w:val="00E818BE"/>
    <w:rsid w:val="00E82710"/>
    <w:rsid w:val="00E84762"/>
    <w:rsid w:val="00E856A1"/>
    <w:rsid w:val="00E92FE1"/>
    <w:rsid w:val="00EA45DA"/>
    <w:rsid w:val="00EA5759"/>
    <w:rsid w:val="00EA5BB3"/>
    <w:rsid w:val="00EA6270"/>
    <w:rsid w:val="00EB1339"/>
    <w:rsid w:val="00EB19DA"/>
    <w:rsid w:val="00EB239D"/>
    <w:rsid w:val="00EB2ABA"/>
    <w:rsid w:val="00EC01CD"/>
    <w:rsid w:val="00EC13A2"/>
    <w:rsid w:val="00ED4660"/>
    <w:rsid w:val="00ED5CDB"/>
    <w:rsid w:val="00ED5FD0"/>
    <w:rsid w:val="00EE686F"/>
    <w:rsid w:val="00EE7D70"/>
    <w:rsid w:val="00EF04CF"/>
    <w:rsid w:val="00EF0930"/>
    <w:rsid w:val="00EF0CC5"/>
    <w:rsid w:val="00EF53ED"/>
    <w:rsid w:val="00F02157"/>
    <w:rsid w:val="00F0271D"/>
    <w:rsid w:val="00F05CF1"/>
    <w:rsid w:val="00F06372"/>
    <w:rsid w:val="00F13564"/>
    <w:rsid w:val="00F20D1C"/>
    <w:rsid w:val="00F2717B"/>
    <w:rsid w:val="00F27898"/>
    <w:rsid w:val="00F37442"/>
    <w:rsid w:val="00F4058C"/>
    <w:rsid w:val="00F42657"/>
    <w:rsid w:val="00F43AFB"/>
    <w:rsid w:val="00F44273"/>
    <w:rsid w:val="00F45823"/>
    <w:rsid w:val="00F503EF"/>
    <w:rsid w:val="00F526A0"/>
    <w:rsid w:val="00F62612"/>
    <w:rsid w:val="00F64D3B"/>
    <w:rsid w:val="00F678D0"/>
    <w:rsid w:val="00F727B8"/>
    <w:rsid w:val="00F751B0"/>
    <w:rsid w:val="00F757C6"/>
    <w:rsid w:val="00F767BE"/>
    <w:rsid w:val="00F8139F"/>
    <w:rsid w:val="00F90973"/>
    <w:rsid w:val="00F93C56"/>
    <w:rsid w:val="00F941CF"/>
    <w:rsid w:val="00F95D04"/>
    <w:rsid w:val="00F969D1"/>
    <w:rsid w:val="00FA25C5"/>
    <w:rsid w:val="00FA2AD7"/>
    <w:rsid w:val="00FB0652"/>
    <w:rsid w:val="00FB3837"/>
    <w:rsid w:val="00FB7024"/>
    <w:rsid w:val="00FC3FB0"/>
    <w:rsid w:val="00FC4485"/>
    <w:rsid w:val="00FC51A3"/>
    <w:rsid w:val="00FC546A"/>
    <w:rsid w:val="00FD0D39"/>
    <w:rsid w:val="00FD0F28"/>
    <w:rsid w:val="00FD6895"/>
    <w:rsid w:val="00FE4F08"/>
    <w:rsid w:val="00FE5B49"/>
    <w:rsid w:val="00FF0030"/>
    <w:rsid w:val="00FF29C1"/>
    <w:rsid w:val="00FF356E"/>
    <w:rsid w:val="00FF3F96"/>
    <w:rsid w:val="00FF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C483"/>
  <w15:docId w15:val="{DE89AAD7-3C91-4BBD-AFC1-CDDAB74A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12DD"/>
    <w:pPr>
      <w:spacing w:after="3" w:line="248" w:lineRule="auto"/>
      <w:ind w:left="9" w:right="4612" w:hanging="9"/>
      <w:jc w:val="both"/>
    </w:pPr>
    <w:rPr>
      <w:rFonts w:ascii="Times New Roman" w:eastAsia="Times New Roman" w:hAnsi="Times New Roman" w:cs="Times New Roman"/>
      <w:color w:val="000000"/>
      <w:sz w:val="24"/>
    </w:rPr>
  </w:style>
  <w:style w:type="paragraph" w:styleId="Heading1">
    <w:name w:val="heading 1"/>
    <w:aliases w:val="(Text)"/>
    <w:basedOn w:val="Normal"/>
    <w:next w:val="Normal"/>
    <w:link w:val="Heading1Char"/>
    <w:qFormat/>
    <w:rsid w:val="00592C9E"/>
    <w:pPr>
      <w:keepNext/>
      <w:keepLines/>
      <w:spacing w:before="240" w:after="240" w:line="240" w:lineRule="auto"/>
      <w:ind w:left="14" w:right="4608" w:hanging="14"/>
      <w:jc w:val="center"/>
      <w:outlineLvl w:val="0"/>
    </w:pPr>
    <w:rPr>
      <w:rFonts w:ascii="Times New Roman Bold" w:eastAsiaTheme="majorEastAsia" w:hAnsi="Times New Roman Bold" w:cstheme="majorBidi"/>
      <w:b/>
      <w:color w:val="auto"/>
      <w:sz w:val="28"/>
      <w:szCs w:val="32"/>
    </w:rPr>
  </w:style>
  <w:style w:type="paragraph" w:styleId="Heading2">
    <w:name w:val="heading 2"/>
    <w:basedOn w:val="Normal"/>
    <w:next w:val="Normal"/>
    <w:link w:val="Heading2Char"/>
    <w:uiPriority w:val="9"/>
    <w:unhideWhenUsed/>
    <w:qFormat/>
    <w:rsid w:val="00311B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5615"/>
    <w:pPr>
      <w:keepNext/>
      <w:keepLines/>
      <w:spacing w:before="40" w:after="0"/>
      <w:outlineLvl w:val="2"/>
    </w:pPr>
    <w:rPr>
      <w:rFonts w:ascii="Calibri Light" w:eastAsia="MS Gothic" w:hAnsi="Calibri Light"/>
      <w:color w:val="1F4D78"/>
      <w:szCs w:val="24"/>
    </w:rPr>
  </w:style>
  <w:style w:type="paragraph" w:styleId="Heading4">
    <w:name w:val="heading 4"/>
    <w:next w:val="Normal"/>
    <w:link w:val="Heading4Char"/>
    <w:uiPriority w:val="9"/>
    <w:unhideWhenUsed/>
    <w:qFormat/>
    <w:rsid w:val="007B50E8"/>
    <w:pPr>
      <w:keepNext/>
      <w:keepLines/>
      <w:spacing w:after="0"/>
      <w:ind w:left="370" w:hanging="10"/>
      <w:outlineLvl w:val="3"/>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D12DD"/>
    <w:pPr>
      <w:spacing w:after="0" w:line="240" w:lineRule="auto"/>
    </w:pPr>
    <w:rPr>
      <w:rFonts w:eastAsiaTheme="minorEastAsia"/>
    </w:rPr>
    <w:tblPr>
      <w:tblCellMar>
        <w:top w:w="0" w:type="dxa"/>
        <w:left w:w="0" w:type="dxa"/>
        <w:bottom w:w="0" w:type="dxa"/>
        <w:right w:w="0" w:type="dxa"/>
      </w:tblCellMar>
    </w:tblPr>
  </w:style>
  <w:style w:type="paragraph" w:styleId="TOC1">
    <w:name w:val="toc 1"/>
    <w:hidden/>
    <w:uiPriority w:val="39"/>
    <w:rsid w:val="000D12DD"/>
    <w:pPr>
      <w:spacing w:after="0" w:line="331" w:lineRule="auto"/>
      <w:ind w:left="25" w:right="67" w:hanging="10"/>
      <w:jc w:val="center"/>
    </w:pPr>
    <w:rPr>
      <w:rFonts w:ascii="Times New Roman" w:eastAsia="Times New Roman" w:hAnsi="Times New Roman" w:cs="Times New Roman"/>
      <w:b/>
      <w:color w:val="000000"/>
      <w:sz w:val="24"/>
    </w:rPr>
  </w:style>
  <w:style w:type="paragraph" w:styleId="TOC2">
    <w:name w:val="toc 2"/>
    <w:hidden/>
    <w:uiPriority w:val="39"/>
    <w:rsid w:val="000D12DD"/>
    <w:pPr>
      <w:spacing w:after="3" w:line="332" w:lineRule="auto"/>
      <w:ind w:left="250" w:right="67" w:hanging="10"/>
      <w:jc w:val="center"/>
    </w:pPr>
    <w:rPr>
      <w:rFonts w:ascii="Times New Roman" w:eastAsia="Times New Roman" w:hAnsi="Times New Roman" w:cs="Times New Roman"/>
      <w:color w:val="000000"/>
      <w:sz w:val="24"/>
    </w:rPr>
  </w:style>
  <w:style w:type="paragraph" w:styleId="TOC3">
    <w:name w:val="toc 3"/>
    <w:hidden/>
    <w:uiPriority w:val="39"/>
    <w:rsid w:val="000D12DD"/>
    <w:pPr>
      <w:spacing w:after="94" w:line="248" w:lineRule="auto"/>
      <w:ind w:left="264" w:right="127" w:hanging="9"/>
      <w:jc w:val="both"/>
    </w:pPr>
    <w:rPr>
      <w:rFonts w:ascii="Times New Roman" w:eastAsia="Times New Roman" w:hAnsi="Times New Roman" w:cs="Times New Roman"/>
      <w:color w:val="000000"/>
      <w:sz w:val="24"/>
    </w:rPr>
  </w:style>
  <w:style w:type="character" w:customStyle="1" w:styleId="Heading1Char">
    <w:name w:val="Heading 1 Char"/>
    <w:aliases w:val="(Text) Char"/>
    <w:basedOn w:val="DefaultParagraphFont"/>
    <w:link w:val="Heading1"/>
    <w:rsid w:val="00592C9E"/>
    <w:rPr>
      <w:rFonts w:ascii="Times New Roman Bold" w:eastAsiaTheme="majorEastAsia" w:hAnsi="Times New Roman Bold" w:cstheme="majorBidi"/>
      <w:b/>
      <w:sz w:val="28"/>
      <w:szCs w:val="32"/>
    </w:rPr>
  </w:style>
  <w:style w:type="paragraph" w:styleId="TOCHeading">
    <w:name w:val="TOC Heading"/>
    <w:basedOn w:val="Heading1"/>
    <w:next w:val="Normal"/>
    <w:uiPriority w:val="39"/>
    <w:unhideWhenUsed/>
    <w:qFormat/>
    <w:rsid w:val="000D12DD"/>
    <w:pPr>
      <w:outlineLvl w:val="9"/>
    </w:pPr>
  </w:style>
  <w:style w:type="paragraph" w:styleId="Footer">
    <w:name w:val="footer"/>
    <w:basedOn w:val="Normal"/>
    <w:link w:val="FooterChar"/>
    <w:uiPriority w:val="99"/>
    <w:rsid w:val="000D12DD"/>
    <w:pPr>
      <w:tabs>
        <w:tab w:val="center" w:pos="4320"/>
        <w:tab w:val="right" w:pos="8640"/>
      </w:tabs>
      <w:spacing w:after="0" w:line="240" w:lineRule="auto"/>
      <w:ind w:left="0" w:right="0" w:firstLine="0"/>
      <w:jc w:val="left"/>
    </w:pPr>
    <w:rPr>
      <w:color w:val="auto"/>
      <w:szCs w:val="24"/>
    </w:rPr>
  </w:style>
  <w:style w:type="character" w:customStyle="1" w:styleId="FooterChar">
    <w:name w:val="Footer Char"/>
    <w:basedOn w:val="DefaultParagraphFont"/>
    <w:link w:val="Footer"/>
    <w:uiPriority w:val="99"/>
    <w:rsid w:val="000D12DD"/>
    <w:rPr>
      <w:rFonts w:ascii="Times New Roman" w:eastAsia="Times New Roman" w:hAnsi="Times New Roman" w:cs="Times New Roman"/>
      <w:sz w:val="24"/>
      <w:szCs w:val="24"/>
    </w:rPr>
  </w:style>
  <w:style w:type="character" w:styleId="Hyperlink">
    <w:name w:val="Hyperlink"/>
    <w:basedOn w:val="DefaultParagraphFont"/>
    <w:uiPriority w:val="99"/>
    <w:rsid w:val="000D12DD"/>
    <w:rPr>
      <w:color w:val="0000FF"/>
      <w:u w:val="single"/>
    </w:rPr>
  </w:style>
  <w:style w:type="table" w:styleId="TableGrid0">
    <w:name w:val="Table Grid"/>
    <w:basedOn w:val="TableNormal"/>
    <w:uiPriority w:val="39"/>
    <w:rsid w:val="000D12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1">
    <w:name w:val="Table Grid_mod1"/>
    <w:basedOn w:val="TableNormal"/>
    <w:next w:val="TableGrid0"/>
    <w:uiPriority w:val="59"/>
    <w:rsid w:val="000D12D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0D12DD"/>
    <w:pPr>
      <w:spacing w:after="0" w:line="240" w:lineRule="auto"/>
      <w:ind w:left="0" w:right="0" w:firstLine="0"/>
      <w:jc w:val="left"/>
    </w:pPr>
    <w:rPr>
      <w:rFonts w:eastAsiaTheme="minorHAnsi"/>
      <w:color w:val="auto"/>
      <w:sz w:val="20"/>
      <w:szCs w:val="20"/>
    </w:rPr>
  </w:style>
  <w:style w:type="paragraph" w:styleId="ListParagraph">
    <w:name w:val="List Paragraph"/>
    <w:aliases w:val="List Paragraph 1,List Paragraph1,Numbered List Paragraph,References,Numbered Paragraph,Main numbered paragraph,Colorful List - Accent 11,List_Paragraph,Multilevel para_II,Bullets,123 List Paragraph,List Paragraph nowy,Liste 1,Bullet paras"/>
    <w:basedOn w:val="Normal"/>
    <w:link w:val="ListParagraphChar"/>
    <w:uiPriority w:val="34"/>
    <w:qFormat/>
    <w:rsid w:val="007B6678"/>
    <w:pPr>
      <w:ind w:left="720"/>
      <w:contextualSpacing/>
    </w:pPr>
  </w:style>
  <w:style w:type="paragraph" w:styleId="FootnoteText">
    <w:name w:val="footnote text"/>
    <w:aliases w:val="ft,fn,Footnote,Fußnote,FSR footnote,lábléc,single space,FOOTNOTES,Footnote Text Char Char Char Char Char Char,Footnote Text Char2 Char,Footnote Text Char1 Char Char,Footnote Text Char Char Char Char,Footnote Text Char1,f,single spa,ADB"/>
    <w:basedOn w:val="Normal"/>
    <w:link w:val="FootnoteTextChar"/>
    <w:uiPriority w:val="99"/>
    <w:unhideWhenUsed/>
    <w:qFormat/>
    <w:rsid w:val="009449E2"/>
    <w:pPr>
      <w:spacing w:after="0" w:line="240" w:lineRule="auto"/>
    </w:pPr>
    <w:rPr>
      <w:sz w:val="20"/>
      <w:szCs w:val="20"/>
    </w:rPr>
  </w:style>
  <w:style w:type="character" w:customStyle="1" w:styleId="FootnoteTextChar">
    <w:name w:val="Footnote Text Char"/>
    <w:aliases w:val="ft Char,fn Char,Footnote Char,Fußnote Char,FSR footnote Char,lábléc Char,single space Char,FOOTNOTES Char,Footnote Text Char Char Char Char Char Char Char,Footnote Text Char2 Char Char,Footnote Text Char1 Char Char Char,f Char"/>
    <w:basedOn w:val="DefaultParagraphFont"/>
    <w:link w:val="FootnoteText"/>
    <w:uiPriority w:val="99"/>
    <w:rsid w:val="009449E2"/>
    <w:rPr>
      <w:rFonts w:ascii="Times New Roman" w:eastAsia="Times New Roman" w:hAnsi="Times New Roman" w:cs="Times New Roman"/>
      <w:color w:val="000000"/>
      <w:sz w:val="20"/>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ootnote Reference Superscript,fr"/>
    <w:basedOn w:val="DefaultParagraphFont"/>
    <w:uiPriority w:val="99"/>
    <w:unhideWhenUsed/>
    <w:rsid w:val="009449E2"/>
    <w:rPr>
      <w:vertAlign w:val="superscript"/>
    </w:rPr>
  </w:style>
  <w:style w:type="character" w:styleId="CommentReference">
    <w:name w:val="annotation reference"/>
    <w:basedOn w:val="DefaultParagraphFont"/>
    <w:uiPriority w:val="99"/>
    <w:rsid w:val="00DE6DD5"/>
    <w:rPr>
      <w:sz w:val="16"/>
      <w:szCs w:val="16"/>
    </w:rPr>
  </w:style>
  <w:style w:type="character" w:styleId="Strong">
    <w:name w:val="Strong"/>
    <w:basedOn w:val="DefaultParagraphFont"/>
    <w:qFormat/>
    <w:rsid w:val="00DE6DD5"/>
    <w:rPr>
      <w:b/>
      <w:bCs/>
    </w:rPr>
  </w:style>
  <w:style w:type="paragraph" w:customStyle="1" w:styleId="pdbullet">
    <w:name w:val="pd bullet"/>
    <w:link w:val="pdbulletChar"/>
    <w:qFormat/>
    <w:rsid w:val="00DB0464"/>
    <w:pPr>
      <w:numPr>
        <w:numId w:val="2"/>
      </w:numPr>
      <w:tabs>
        <w:tab w:val="left" w:pos="900"/>
      </w:tabs>
      <w:spacing w:after="120" w:line="240" w:lineRule="auto"/>
      <w:jc w:val="both"/>
    </w:pPr>
    <w:rPr>
      <w:rFonts w:eastAsiaTheme="minorEastAsia" w:cs="Times New Roman"/>
      <w:spacing w:val="2"/>
    </w:rPr>
  </w:style>
  <w:style w:type="character" w:customStyle="1" w:styleId="pdbulletChar">
    <w:name w:val="pd bullet Char"/>
    <w:basedOn w:val="DefaultParagraphFont"/>
    <w:link w:val="pdbullet"/>
    <w:rsid w:val="00DB0464"/>
    <w:rPr>
      <w:rFonts w:eastAsiaTheme="minorEastAsia" w:cs="Times New Roman"/>
      <w:spacing w:val="2"/>
    </w:rPr>
  </w:style>
  <w:style w:type="character" w:customStyle="1" w:styleId="ListParagraphChar">
    <w:name w:val="List Paragraph Char"/>
    <w:aliases w:val="List Paragraph 1 Char,List Paragraph1 Char,Numbered List Paragraph Char,References Char,Numbered Paragraph Char,Main numbered paragraph Char,Colorful List - Accent 11 Char,List_Paragraph Char,Multilevel para_II Char,Bullets Char"/>
    <w:basedOn w:val="DefaultParagraphFont"/>
    <w:link w:val="ListParagraph"/>
    <w:uiPriority w:val="34"/>
    <w:locked/>
    <w:rsid w:val="00AB585E"/>
    <w:rPr>
      <w:rFonts w:ascii="Times New Roman" w:eastAsia="Times New Roman" w:hAnsi="Times New Roman" w:cs="Times New Roman"/>
      <w:color w:val="000000"/>
      <w:sz w:val="24"/>
    </w:rPr>
  </w:style>
  <w:style w:type="character" w:styleId="Emphasis">
    <w:name w:val="Emphasis"/>
    <w:basedOn w:val="DefaultParagraphFont"/>
    <w:uiPriority w:val="20"/>
    <w:qFormat/>
    <w:rsid w:val="008E2722"/>
    <w:rPr>
      <w:b/>
      <w:bCs/>
      <w:i w:val="0"/>
      <w:iCs w:val="0"/>
    </w:rPr>
  </w:style>
  <w:style w:type="character" w:customStyle="1" w:styleId="esf">
    <w:name w:val="esf"/>
    <w:basedOn w:val="DefaultParagraphFont"/>
    <w:rsid w:val="008E2722"/>
  </w:style>
  <w:style w:type="paragraph" w:styleId="BalloonText">
    <w:name w:val="Balloon Text"/>
    <w:basedOn w:val="Normal"/>
    <w:link w:val="BalloonTextChar"/>
    <w:uiPriority w:val="99"/>
    <w:semiHidden/>
    <w:unhideWhenUsed/>
    <w:rsid w:val="00347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95"/>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2C3198"/>
    <w:pPr>
      <w:spacing w:line="240" w:lineRule="auto"/>
    </w:pPr>
    <w:rPr>
      <w:sz w:val="20"/>
      <w:szCs w:val="20"/>
    </w:rPr>
  </w:style>
  <w:style w:type="character" w:customStyle="1" w:styleId="CommentTextChar">
    <w:name w:val="Comment Text Char"/>
    <w:basedOn w:val="DefaultParagraphFont"/>
    <w:link w:val="CommentText"/>
    <w:uiPriority w:val="99"/>
    <w:rsid w:val="002C319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C3198"/>
    <w:rPr>
      <w:b/>
      <w:bCs/>
    </w:rPr>
  </w:style>
  <w:style w:type="character" w:customStyle="1" w:styleId="CommentSubjectChar">
    <w:name w:val="Comment Subject Char"/>
    <w:basedOn w:val="CommentTextChar"/>
    <w:link w:val="CommentSubject"/>
    <w:uiPriority w:val="99"/>
    <w:semiHidden/>
    <w:rsid w:val="002C319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0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1D"/>
    <w:rPr>
      <w:rFonts w:ascii="Times New Roman" w:eastAsia="Times New Roman" w:hAnsi="Times New Roman" w:cs="Times New Roman"/>
      <w:color w:val="000000"/>
      <w:sz w:val="24"/>
    </w:rPr>
  </w:style>
  <w:style w:type="paragraph" w:styleId="Revision">
    <w:name w:val="Revision"/>
    <w:hidden/>
    <w:uiPriority w:val="99"/>
    <w:semiHidden/>
    <w:rsid w:val="00706C1D"/>
    <w:pPr>
      <w:spacing w:after="0" w:line="240" w:lineRule="auto"/>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rsid w:val="00311B61"/>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0"/>
    <w:uiPriority w:val="39"/>
    <w:rsid w:val="0086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B50E8"/>
    <w:rPr>
      <w:rFonts w:ascii="Times New Roman" w:eastAsia="Times New Roman" w:hAnsi="Times New Roman" w:cs="Times New Roman"/>
      <w:b/>
      <w:i/>
      <w:color w:val="000000"/>
      <w:sz w:val="24"/>
    </w:rPr>
  </w:style>
  <w:style w:type="numbering" w:customStyle="1" w:styleId="NoList1">
    <w:name w:val="No List1"/>
    <w:next w:val="NoList"/>
    <w:uiPriority w:val="99"/>
    <w:semiHidden/>
    <w:unhideWhenUsed/>
    <w:rsid w:val="007B50E8"/>
  </w:style>
  <w:style w:type="paragraph" w:customStyle="1" w:styleId="footnotedescription">
    <w:name w:val="footnote description"/>
    <w:next w:val="Normal"/>
    <w:link w:val="footnotedescriptionChar"/>
    <w:hidden/>
    <w:rsid w:val="007B50E8"/>
    <w:pPr>
      <w:spacing w:after="0"/>
      <w:ind w:left="36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B50E8"/>
    <w:rPr>
      <w:rFonts w:ascii="Times New Roman" w:eastAsia="Times New Roman" w:hAnsi="Times New Roman" w:cs="Times New Roman"/>
      <w:color w:val="000000"/>
      <w:sz w:val="20"/>
    </w:rPr>
  </w:style>
  <w:style w:type="character" w:customStyle="1" w:styleId="footnotemark">
    <w:name w:val="footnote mark"/>
    <w:hidden/>
    <w:rsid w:val="007B50E8"/>
    <w:rPr>
      <w:rFonts w:ascii="Times New Roman" w:eastAsia="Times New Roman" w:hAnsi="Times New Roman" w:cs="Times New Roman"/>
      <w:color w:val="000000"/>
      <w:sz w:val="20"/>
      <w:vertAlign w:val="superscript"/>
    </w:rPr>
  </w:style>
  <w:style w:type="table" w:customStyle="1" w:styleId="TableGrid10">
    <w:name w:val="TableGrid1"/>
    <w:rsid w:val="007B50E8"/>
    <w:pPr>
      <w:spacing w:after="0" w:line="240" w:lineRule="auto"/>
    </w:pPr>
    <w:rPr>
      <w:rFonts w:eastAsia="Times New Roman"/>
    </w:rPr>
    <w:tblPr>
      <w:tblCellMar>
        <w:top w:w="0" w:type="dxa"/>
        <w:left w:w="0" w:type="dxa"/>
        <w:bottom w:w="0" w:type="dxa"/>
        <w:right w:w="0" w:type="dxa"/>
      </w:tblCellMar>
    </w:tblPr>
  </w:style>
  <w:style w:type="numbering" w:customStyle="1" w:styleId="NoList11">
    <w:name w:val="No List11"/>
    <w:next w:val="NoList"/>
    <w:uiPriority w:val="99"/>
    <w:semiHidden/>
    <w:unhideWhenUsed/>
    <w:rsid w:val="007B50E8"/>
  </w:style>
  <w:style w:type="paragraph" w:styleId="Caption">
    <w:name w:val="caption"/>
    <w:basedOn w:val="Normal"/>
    <w:next w:val="Normal"/>
    <w:link w:val="CaptionChar"/>
    <w:uiPriority w:val="35"/>
    <w:qFormat/>
    <w:rsid w:val="007B50E8"/>
    <w:pPr>
      <w:spacing w:after="0" w:line="240" w:lineRule="auto"/>
      <w:ind w:left="0" w:right="0" w:firstLine="0"/>
      <w:jc w:val="left"/>
    </w:pPr>
    <w:rPr>
      <w:b/>
      <w:bCs/>
      <w:color w:val="auto"/>
      <w:sz w:val="20"/>
      <w:szCs w:val="20"/>
    </w:rPr>
  </w:style>
  <w:style w:type="table" w:customStyle="1" w:styleId="TableGrid2">
    <w:name w:val="Table Grid2"/>
    <w:basedOn w:val="TableNormal"/>
    <w:next w:val="TableGrid0"/>
    <w:rsid w:val="007B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B50E8"/>
    <w:pPr>
      <w:spacing w:after="0" w:line="240" w:lineRule="auto"/>
      <w:ind w:left="0" w:right="0" w:firstLine="0"/>
      <w:jc w:val="left"/>
    </w:pPr>
    <w:rPr>
      <w:color w:val="auto"/>
      <w:szCs w:val="20"/>
    </w:rPr>
  </w:style>
  <w:style w:type="character" w:customStyle="1" w:styleId="BodyTextChar">
    <w:name w:val="Body Text Char"/>
    <w:basedOn w:val="DefaultParagraphFont"/>
    <w:link w:val="BodyText"/>
    <w:rsid w:val="007B50E8"/>
    <w:rPr>
      <w:rFonts w:ascii="Times New Roman" w:eastAsia="Times New Roman" w:hAnsi="Times New Roman" w:cs="Times New Roman"/>
      <w:sz w:val="24"/>
      <w:szCs w:val="20"/>
    </w:rPr>
  </w:style>
  <w:style w:type="character" w:customStyle="1" w:styleId="urtxtstd">
    <w:name w:val="urtxtstd"/>
    <w:basedOn w:val="DefaultParagraphFont"/>
    <w:rsid w:val="007B50E8"/>
  </w:style>
  <w:style w:type="table" w:customStyle="1" w:styleId="TableGrid11">
    <w:name w:val="TableGrid11"/>
    <w:rsid w:val="007B50E8"/>
    <w:pPr>
      <w:spacing w:after="0" w:line="240" w:lineRule="auto"/>
    </w:pPr>
    <w:rPr>
      <w:rFonts w:eastAsia="Times New Roman"/>
    </w:rPr>
    <w:tblPr>
      <w:tblCellMar>
        <w:top w:w="0" w:type="dxa"/>
        <w:left w:w="0" w:type="dxa"/>
        <w:bottom w:w="0" w:type="dxa"/>
        <w:right w:w="0" w:type="dxa"/>
      </w:tblCellMar>
    </w:tblPr>
  </w:style>
  <w:style w:type="table" w:customStyle="1" w:styleId="TableGrid110">
    <w:name w:val="Table Grid11"/>
    <w:basedOn w:val="TableNormal"/>
    <w:next w:val="TableGrid0"/>
    <w:uiPriority w:val="39"/>
    <w:rsid w:val="007B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7B50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8A51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B75615"/>
    <w:pPr>
      <w:keepNext/>
      <w:keepLines/>
      <w:spacing w:before="40" w:after="0" w:line="259" w:lineRule="auto"/>
      <w:ind w:left="0" w:right="0" w:firstLine="0"/>
      <w:jc w:val="left"/>
      <w:outlineLvl w:val="2"/>
    </w:pPr>
    <w:rPr>
      <w:rFonts w:ascii="Calibri Light" w:eastAsia="MS Gothic" w:hAnsi="Calibri Light"/>
      <w:color w:val="1F4D78"/>
      <w:szCs w:val="24"/>
    </w:rPr>
  </w:style>
  <w:style w:type="numbering" w:customStyle="1" w:styleId="NoList2">
    <w:name w:val="No List2"/>
    <w:next w:val="NoList"/>
    <w:uiPriority w:val="99"/>
    <w:semiHidden/>
    <w:unhideWhenUsed/>
    <w:rsid w:val="00B75615"/>
  </w:style>
  <w:style w:type="table" w:customStyle="1" w:styleId="TableGrid4">
    <w:name w:val="Table Grid4"/>
    <w:basedOn w:val="TableNormal"/>
    <w:next w:val="TableGrid0"/>
    <w:uiPriority w:val="39"/>
    <w:rsid w:val="00B7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arawithChapter">
    <w:name w:val="Main Para with Chapter#"/>
    <w:basedOn w:val="Normal"/>
    <w:rsid w:val="00B75615"/>
    <w:pPr>
      <w:tabs>
        <w:tab w:val="num" w:pos="720"/>
      </w:tabs>
      <w:spacing w:after="0" w:line="240" w:lineRule="auto"/>
      <w:ind w:left="0" w:right="0" w:firstLine="0"/>
      <w:jc w:val="left"/>
    </w:pPr>
    <w:rPr>
      <w:color w:val="auto"/>
      <w:szCs w:val="24"/>
    </w:rPr>
  </w:style>
  <w:style w:type="paragraph" w:customStyle="1" w:styleId="Sub-Para1underXY">
    <w:name w:val="Sub-Para 1 under X.Y"/>
    <w:basedOn w:val="Normal"/>
    <w:rsid w:val="00B75615"/>
    <w:pPr>
      <w:tabs>
        <w:tab w:val="num" w:pos="1440"/>
      </w:tabs>
      <w:spacing w:after="0" w:line="240" w:lineRule="auto"/>
      <w:ind w:left="1080" w:right="0" w:hanging="360"/>
      <w:jc w:val="left"/>
    </w:pPr>
    <w:rPr>
      <w:color w:val="auto"/>
      <w:szCs w:val="24"/>
    </w:rPr>
  </w:style>
  <w:style w:type="paragraph" w:customStyle="1" w:styleId="Sub-Para2underXY">
    <w:name w:val="Sub-Para 2 under X.Y"/>
    <w:basedOn w:val="Normal"/>
    <w:rsid w:val="00B75615"/>
    <w:pPr>
      <w:tabs>
        <w:tab w:val="num" w:pos="2160"/>
      </w:tabs>
      <w:spacing w:after="0" w:line="240" w:lineRule="auto"/>
      <w:ind w:left="1440" w:right="0" w:hanging="360"/>
      <w:jc w:val="left"/>
    </w:pPr>
    <w:rPr>
      <w:color w:val="auto"/>
      <w:szCs w:val="24"/>
    </w:rPr>
  </w:style>
  <w:style w:type="paragraph" w:customStyle="1" w:styleId="Sub-Para3underXY">
    <w:name w:val="Sub-Para 3 under X.Y"/>
    <w:basedOn w:val="Normal"/>
    <w:rsid w:val="00B75615"/>
    <w:pPr>
      <w:tabs>
        <w:tab w:val="num" w:pos="1800"/>
      </w:tabs>
      <w:spacing w:after="0" w:line="240" w:lineRule="auto"/>
      <w:ind w:left="1800" w:right="0" w:hanging="360"/>
      <w:jc w:val="left"/>
    </w:pPr>
    <w:rPr>
      <w:color w:val="auto"/>
      <w:szCs w:val="24"/>
    </w:rPr>
  </w:style>
  <w:style w:type="paragraph" w:customStyle="1" w:styleId="Sub-Para4underXY">
    <w:name w:val="Sub-Para 4 under X.Y"/>
    <w:basedOn w:val="Normal"/>
    <w:rsid w:val="00B75615"/>
    <w:pPr>
      <w:tabs>
        <w:tab w:val="num" w:pos="2520"/>
      </w:tabs>
      <w:spacing w:after="0" w:line="240" w:lineRule="auto"/>
      <w:ind w:left="2160" w:right="0" w:hanging="360"/>
      <w:jc w:val="left"/>
    </w:pPr>
    <w:rPr>
      <w:color w:val="auto"/>
      <w:szCs w:val="24"/>
    </w:rPr>
  </w:style>
  <w:style w:type="character" w:customStyle="1" w:styleId="CaptionChar">
    <w:name w:val="Caption Char"/>
    <w:basedOn w:val="DefaultParagraphFont"/>
    <w:link w:val="Caption"/>
    <w:uiPriority w:val="35"/>
    <w:locked/>
    <w:rsid w:val="00B75615"/>
    <w:rPr>
      <w:rFonts w:ascii="Times New Roman" w:eastAsia="Times New Roman" w:hAnsi="Times New Roman" w:cs="Times New Roman"/>
      <w:b/>
      <w:bCs/>
      <w:sz w:val="20"/>
      <w:szCs w:val="20"/>
    </w:rPr>
  </w:style>
  <w:style w:type="table" w:customStyle="1" w:styleId="PlainTable21">
    <w:name w:val="Plain Table 21"/>
    <w:basedOn w:val="TableNormal"/>
    <w:uiPriority w:val="42"/>
    <w:rsid w:val="00B7561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ndnoteTextChar">
    <w:name w:val="Endnote Text Char"/>
    <w:basedOn w:val="DefaultParagraphFont"/>
    <w:link w:val="EndnoteText"/>
    <w:uiPriority w:val="99"/>
    <w:semiHidden/>
    <w:rsid w:val="00B75615"/>
    <w:rPr>
      <w:sz w:val="20"/>
      <w:szCs w:val="20"/>
    </w:rPr>
  </w:style>
  <w:style w:type="paragraph" w:styleId="EndnoteText">
    <w:name w:val="endnote text"/>
    <w:basedOn w:val="Normal"/>
    <w:link w:val="EndnoteTextChar"/>
    <w:uiPriority w:val="99"/>
    <w:semiHidden/>
    <w:unhideWhenUsed/>
    <w:rsid w:val="00B75615"/>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EndnoteTextChar1">
    <w:name w:val="Endnote Text Char1"/>
    <w:basedOn w:val="DefaultParagraphFont"/>
    <w:uiPriority w:val="99"/>
    <w:semiHidden/>
    <w:rsid w:val="00B75615"/>
    <w:rPr>
      <w:rFonts w:ascii="Times New Roman" w:eastAsia="Times New Roman" w:hAnsi="Times New Roman" w:cs="Times New Roman"/>
      <w:color w:val="000000"/>
      <w:sz w:val="20"/>
      <w:szCs w:val="20"/>
    </w:rPr>
  </w:style>
  <w:style w:type="paragraph" w:customStyle="1" w:styleId="Default">
    <w:name w:val="Default"/>
    <w:rsid w:val="00B756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75615"/>
    <w:pPr>
      <w:spacing w:after="0" w:line="240" w:lineRule="auto"/>
      <w:ind w:left="0" w:right="0" w:firstLine="0"/>
      <w:jc w:val="left"/>
      <w:textAlignment w:val="baseline"/>
    </w:pPr>
    <w:rPr>
      <w:color w:val="auto"/>
      <w:szCs w:val="24"/>
    </w:rPr>
  </w:style>
  <w:style w:type="paragraph" w:customStyle="1" w:styleId="Title1">
    <w:name w:val="Title1"/>
    <w:basedOn w:val="Normal"/>
    <w:next w:val="Normal"/>
    <w:uiPriority w:val="10"/>
    <w:qFormat/>
    <w:rsid w:val="00B75615"/>
    <w:pPr>
      <w:spacing w:after="0" w:line="240" w:lineRule="auto"/>
      <w:ind w:left="0" w:right="0" w:firstLine="0"/>
      <w:contextualSpacing/>
      <w:jc w:val="left"/>
    </w:pPr>
    <w:rPr>
      <w:rFonts w:ascii="Calibri Light" w:eastAsia="MS Gothic" w:hAnsi="Calibri Light"/>
      <w:color w:val="auto"/>
      <w:spacing w:val="-10"/>
      <w:kern w:val="28"/>
      <w:sz w:val="56"/>
      <w:szCs w:val="56"/>
    </w:rPr>
  </w:style>
  <w:style w:type="character" w:customStyle="1" w:styleId="TitleChar">
    <w:name w:val="Title Char"/>
    <w:basedOn w:val="DefaultParagraphFont"/>
    <w:link w:val="Title"/>
    <w:uiPriority w:val="10"/>
    <w:rsid w:val="00B75615"/>
    <w:rPr>
      <w:rFonts w:ascii="Calibri Light" w:eastAsia="MS Gothic" w:hAnsi="Calibri Light" w:cs="Times New Roman"/>
      <w:spacing w:val="-10"/>
      <w:kern w:val="28"/>
      <w:sz w:val="56"/>
      <w:szCs w:val="56"/>
    </w:rPr>
  </w:style>
  <w:style w:type="character" w:customStyle="1" w:styleId="Heading3Char">
    <w:name w:val="Heading 3 Char"/>
    <w:basedOn w:val="DefaultParagraphFont"/>
    <w:link w:val="Heading3"/>
    <w:uiPriority w:val="9"/>
    <w:rsid w:val="00B75615"/>
    <w:rPr>
      <w:rFonts w:ascii="Calibri Light" w:eastAsia="MS Gothic" w:hAnsi="Calibri Light" w:cs="Times New Roman"/>
      <w:color w:val="1F4D78"/>
      <w:sz w:val="24"/>
      <w:szCs w:val="24"/>
    </w:rPr>
  </w:style>
  <w:style w:type="character" w:customStyle="1" w:styleId="FollowedHyperlink1">
    <w:name w:val="FollowedHyperlink1"/>
    <w:basedOn w:val="DefaultParagraphFont"/>
    <w:uiPriority w:val="99"/>
    <w:semiHidden/>
    <w:unhideWhenUsed/>
    <w:rsid w:val="00B75615"/>
    <w:rPr>
      <w:color w:val="954F72"/>
      <w:u w:val="single"/>
    </w:rPr>
  </w:style>
  <w:style w:type="paragraph" w:customStyle="1" w:styleId="p1">
    <w:name w:val="p1"/>
    <w:basedOn w:val="Normal"/>
    <w:rsid w:val="00B75615"/>
    <w:pPr>
      <w:spacing w:after="0" w:line="240" w:lineRule="auto"/>
      <w:ind w:left="0" w:right="0" w:firstLine="0"/>
      <w:jc w:val="left"/>
    </w:pPr>
    <w:rPr>
      <w:rFonts w:ascii="Helvetica" w:eastAsia="Calibri" w:hAnsi="Helvetica"/>
      <w:color w:val="333333"/>
      <w:sz w:val="23"/>
      <w:szCs w:val="23"/>
    </w:rPr>
  </w:style>
  <w:style w:type="character" w:customStyle="1" w:styleId="s1">
    <w:name w:val="s1"/>
    <w:basedOn w:val="DefaultParagraphFont"/>
    <w:rsid w:val="00B75615"/>
  </w:style>
  <w:style w:type="paragraph" w:styleId="Title">
    <w:name w:val="Title"/>
    <w:basedOn w:val="Normal"/>
    <w:next w:val="Normal"/>
    <w:link w:val="TitleChar"/>
    <w:uiPriority w:val="10"/>
    <w:qFormat/>
    <w:rsid w:val="00B75615"/>
    <w:pPr>
      <w:spacing w:after="0" w:line="240" w:lineRule="auto"/>
      <w:contextualSpacing/>
    </w:pPr>
    <w:rPr>
      <w:rFonts w:ascii="Calibri Light" w:eastAsia="MS Gothic" w:hAnsi="Calibri Light"/>
      <w:color w:val="auto"/>
      <w:spacing w:val="-10"/>
      <w:kern w:val="28"/>
      <w:sz w:val="56"/>
      <w:szCs w:val="56"/>
    </w:rPr>
  </w:style>
  <w:style w:type="character" w:customStyle="1" w:styleId="TitleChar1">
    <w:name w:val="Title Char1"/>
    <w:basedOn w:val="DefaultParagraphFont"/>
    <w:uiPriority w:val="10"/>
    <w:rsid w:val="00B75615"/>
    <w:rPr>
      <w:rFonts w:asciiTheme="majorHAnsi" w:eastAsiaTheme="majorEastAsia" w:hAnsiTheme="majorHAnsi" w:cstheme="majorBidi"/>
      <w:spacing w:val="-10"/>
      <w:kern w:val="28"/>
      <w:sz w:val="56"/>
      <w:szCs w:val="56"/>
    </w:rPr>
  </w:style>
  <w:style w:type="character" w:customStyle="1" w:styleId="Heading3Char1">
    <w:name w:val="Heading 3 Char1"/>
    <w:basedOn w:val="DefaultParagraphFont"/>
    <w:uiPriority w:val="9"/>
    <w:semiHidden/>
    <w:rsid w:val="00B7561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B75615"/>
    <w:rPr>
      <w:color w:val="954F72" w:themeColor="followedHyperlink"/>
      <w:u w:val="single"/>
    </w:rPr>
  </w:style>
  <w:style w:type="character" w:styleId="PlaceholderText">
    <w:name w:val="Placeholder Text"/>
    <w:basedOn w:val="DefaultParagraphFont"/>
    <w:uiPriority w:val="99"/>
    <w:semiHidden/>
    <w:rsid w:val="00B44D67"/>
    <w:rPr>
      <w:color w:val="808080"/>
    </w:rPr>
  </w:style>
  <w:style w:type="character" w:styleId="EndnoteReference">
    <w:name w:val="endnote reference"/>
    <w:basedOn w:val="DefaultParagraphFont"/>
    <w:uiPriority w:val="99"/>
    <w:semiHidden/>
    <w:unhideWhenUsed/>
    <w:rsid w:val="000B561C"/>
    <w:rPr>
      <w:vertAlign w:val="superscript"/>
    </w:rPr>
  </w:style>
  <w:style w:type="table" w:customStyle="1" w:styleId="ListTable1Light-Accent11">
    <w:name w:val="List Table 1 Light - Accent 11"/>
    <w:basedOn w:val="TableNormal"/>
    <w:uiPriority w:val="46"/>
    <w:rsid w:val="00AC309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8839">
      <w:bodyDiv w:val="1"/>
      <w:marLeft w:val="0"/>
      <w:marRight w:val="0"/>
      <w:marTop w:val="0"/>
      <w:marBottom w:val="0"/>
      <w:divBdr>
        <w:top w:val="none" w:sz="0" w:space="0" w:color="auto"/>
        <w:left w:val="none" w:sz="0" w:space="0" w:color="auto"/>
        <w:bottom w:val="none" w:sz="0" w:space="0" w:color="auto"/>
        <w:right w:val="none" w:sz="0" w:space="0" w:color="auto"/>
      </w:divBdr>
    </w:div>
    <w:div w:id="229271090">
      <w:bodyDiv w:val="1"/>
      <w:marLeft w:val="0"/>
      <w:marRight w:val="0"/>
      <w:marTop w:val="0"/>
      <w:marBottom w:val="0"/>
      <w:divBdr>
        <w:top w:val="none" w:sz="0" w:space="0" w:color="auto"/>
        <w:left w:val="none" w:sz="0" w:space="0" w:color="auto"/>
        <w:bottom w:val="none" w:sz="0" w:space="0" w:color="auto"/>
        <w:right w:val="none" w:sz="0" w:space="0" w:color="auto"/>
      </w:divBdr>
    </w:div>
    <w:div w:id="813987886">
      <w:bodyDiv w:val="1"/>
      <w:marLeft w:val="0"/>
      <w:marRight w:val="0"/>
      <w:marTop w:val="0"/>
      <w:marBottom w:val="0"/>
      <w:divBdr>
        <w:top w:val="none" w:sz="0" w:space="0" w:color="auto"/>
        <w:left w:val="none" w:sz="0" w:space="0" w:color="auto"/>
        <w:bottom w:val="none" w:sz="0" w:space="0" w:color="auto"/>
        <w:right w:val="none" w:sz="0" w:space="0" w:color="auto"/>
      </w:divBdr>
    </w:div>
    <w:div w:id="950939279">
      <w:bodyDiv w:val="1"/>
      <w:marLeft w:val="0"/>
      <w:marRight w:val="0"/>
      <w:marTop w:val="0"/>
      <w:marBottom w:val="0"/>
      <w:divBdr>
        <w:top w:val="none" w:sz="0" w:space="0" w:color="auto"/>
        <w:left w:val="none" w:sz="0" w:space="0" w:color="auto"/>
        <w:bottom w:val="none" w:sz="0" w:space="0" w:color="auto"/>
        <w:right w:val="none" w:sz="0" w:space="0" w:color="auto"/>
      </w:divBdr>
    </w:div>
    <w:div w:id="1652565453">
      <w:bodyDiv w:val="1"/>
      <w:marLeft w:val="0"/>
      <w:marRight w:val="0"/>
      <w:marTop w:val="0"/>
      <w:marBottom w:val="0"/>
      <w:divBdr>
        <w:top w:val="none" w:sz="0" w:space="0" w:color="auto"/>
        <w:left w:val="none" w:sz="0" w:space="0" w:color="auto"/>
        <w:bottom w:val="none" w:sz="0" w:space="0" w:color="auto"/>
        <w:right w:val="none" w:sz="0" w:space="0" w:color="auto"/>
      </w:divBdr>
    </w:div>
    <w:div w:id="1759936178">
      <w:bodyDiv w:val="1"/>
      <w:marLeft w:val="0"/>
      <w:marRight w:val="0"/>
      <w:marTop w:val="0"/>
      <w:marBottom w:val="0"/>
      <w:divBdr>
        <w:top w:val="none" w:sz="0" w:space="0" w:color="auto"/>
        <w:left w:val="none" w:sz="0" w:space="0" w:color="auto"/>
        <w:bottom w:val="none" w:sz="0" w:space="0" w:color="auto"/>
        <w:right w:val="none" w:sz="0" w:space="0" w:color="auto"/>
      </w:divBdr>
    </w:div>
    <w:div w:id="18700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footer" Target="footer5.xml"/><Relationship Id="rId26" Type="http://schemas.openxmlformats.org/officeDocument/2006/relationships/hyperlink" Target="https://www.surveymonkey.net/results/SM-NCKPNF6B/" TargetMode="External"/><Relationship Id="rId3" Type="http://schemas.openxmlformats.org/officeDocument/2006/relationships/styles" Target="styles.xml"/><Relationship Id="rId21" Type="http://schemas.openxmlformats.org/officeDocument/2006/relationships/hyperlink" Target="https://www.surveymonkey.net/results/SM-J65CYF6B/"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bdocs.worldbank.org/wbdocs/viewer/docViewer/indexEx.jsp?objectId=090224b084aaa939&amp;respositoryId=WBDocs&amp;standalone=false" TargetMode="External"/><Relationship Id="rId25" Type="http://schemas.openxmlformats.org/officeDocument/2006/relationships/hyperlink" Target="https://www.surveymonkey.net/results/SM-63F3XF6B/"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surveymonkey.net/results/SM-RVKVSF6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surveymonkey.net/results/SM-G66WMF6B/"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www.surveymonkey.net/results/SM-KCXCTF6B/" TargetMode="External"/><Relationship Id="rId28"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https://www.surveymonkey.net/results/SM-T5X2WF6B/"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s://www.surveymonkey.net/results/SM-SYJ6SF6B/" TargetMode="External"/><Relationship Id="rId27" Type="http://schemas.openxmlformats.org/officeDocument/2006/relationships/hyperlink" Target="https://www.surveymonkey.net/results/SM-G27Z3F6B/" TargetMode="External"/><Relationship Id="rId30"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ECENTER-17-1746</_dlc_DocId>
    <_dlc_DocIdUrl xmlns="abd7fad0-8e9a-4f24-82a0-e4a690a7a66d">
      <Url>https://ispan.worldbank.org/sites/BOS/_layouts/15/DocIdRedir.aspx?ID=ECENTER-17-1746</Url>
      <Description>ECENTER-17-1746</Description>
    </_dlc_DocIdUrl>
    <DocumentDate xmlns="1e565efc-c76f-4e3a-ad62-733aa42cc28d">2017-07-05T04:00:00+00:00</DocumentDate>
    <unid xmlns="1e565efc-c76f-4e3a-ad62-733aa42cc28d" xsi:nil="true"/>
    <Volume_x0020_Title xmlns="1e565efc-c76f-4e3a-ad62-733aa42cc28d">Moldova - Country Partnership Framework for the Republic of Moldova for FY18-21</Volume_x0020_Title>
    <Disclosure_x0020_Type xmlns="1e565efc-c76f-4e3a-ad62-733aa42cc28d">Simultaneous Disclosure</Disclosure_x0020_Type>
    <Unit_x0020_Owning_x0020_or_x0020_Responsible xmlns="1e565efc-c76f-4e3a-ad62-733aa42cc28d">ECCMD</Unit_x0020_Owning_x0020_or_x0020_Responsible>
    <BOSWBdocsWebServiceStatus xmlns="1e565efc-c76f-4e3a-ad62-733aa42cc28d" xsi:nil="true"/>
    <RObjectID xmlns="1e565efc-c76f-4e3a-ad62-733aa42cc28d">090224b084d909af</RObjectID>
    <Document_x0020_Type xmlns="1e565efc-c76f-4e3a-ad62-733aa42cc28d">Board Report</Document_x0020_Type>
    <Bank_x0020_Group_x0020_Institution xmlns="1e565efc-c76f-4e3a-ad62-733aa42cc28d">IBRD,IDA,IFC,MIGA</Bank_x0020_Group_x0020_Institution>
    <Project_x0020_ID xmlns="1e565efc-c76f-4e3a-ad62-733aa42cc28d">P160694</Project_x0020_ID>
    <Report_x0020_Number xmlns="1e565efc-c76f-4e3a-ad62-733aa42cc28d">115716-MD </Report_x0020_Number>
    <Other_x0020_Meeting_x0020_Date xmlns="1e565efc-c76f-4e3a-ad62-733aa42cc28d" xsi:nil="true"/>
    <Version_x0020_Type xmlns="1e565efc-c76f-4e3a-ad62-733aa42cc28d">Final</Version_x0020_Type>
    <Board_x0020_Document_x0020_Number xmlns="1e565efc-c76f-4e3a-ad62-733aa42cc28d">R2017-0173,IDA/R2017-0261,IFC/R2017-0203,MIGA/R2017-0062</Board_x0020_Document_x0020_Number>
    <Disclosure_x0020_Date xmlns="1e565efc-c76f-4e3a-ad62-733aa42cc28d" xsi:nil="true"/>
    <Board_x0020_Meeting_x0020_Type xmlns="1e565efc-c76f-4e3a-ad62-733aa42cc28d">Board Meeting</Board_x0020_Meeting_x0020_Type>
    <UpdateEntityID xmlns="1e565efc-c76f-4e3a-ad62-733aa42cc28d">4b8f7de9-ad5c-e711-94bf-005056953af8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2017-07-05T19:26:25+00:00</InfolitePublishedDate>
    <Country_x0020_Region xmlns="1e565efc-c76f-4e3a-ad62-733aa42cc28d">Moldova</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2017-07-27T04:00:00+00:00</Board_x0020_Meeting_x0020_Date>
    <Archive xmlns="1e565efc-c76f-4e3a-ad62-733aa42cc28d">true</Archive>
    <ArchivedDate xmlns="1e565efc-c76f-4e3a-ad62-733aa42cc28d">2017-07-05T19:28:42+00:00</ArchivedDate>
    <PublicClassificationDecidedby xmlns="1e565efc-c76f-4e3a-ad62-733aa42cc28d">Carolina Odobescu</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Props1.xml><?xml version="1.0" encoding="utf-8"?>
<ds:datastoreItem xmlns:ds="http://schemas.openxmlformats.org/officeDocument/2006/customXml" ds:itemID="{DCF5E409-5D51-4AD4-9AF1-D8E74CFCDFE1}"/>
</file>

<file path=customXml/itemProps2.xml><?xml version="1.0" encoding="utf-8"?>
<ds:datastoreItem xmlns:ds="http://schemas.openxmlformats.org/officeDocument/2006/customXml" ds:itemID="{0E2D353E-FADB-4EA7-A0FA-636B83D841B5}"/>
</file>

<file path=customXml/itemProps3.xml><?xml version="1.0" encoding="utf-8"?>
<ds:datastoreItem xmlns:ds="http://schemas.openxmlformats.org/officeDocument/2006/customXml" ds:itemID="{FBF35FC7-A968-43DD-8709-2221ACFD6CE1}"/>
</file>

<file path=customXml/itemProps4.xml><?xml version="1.0" encoding="utf-8"?>
<ds:datastoreItem xmlns:ds="http://schemas.openxmlformats.org/officeDocument/2006/customXml" ds:itemID="{E929E9C4-DCA0-4D30-8F78-B5780197C35E}"/>
</file>

<file path=customXml/itemProps5.xml><?xml version="1.0" encoding="utf-8"?>
<ds:datastoreItem xmlns:ds="http://schemas.openxmlformats.org/officeDocument/2006/customXml" ds:itemID="{E0674AC0-0ABB-4304-8BF6-9C2D6CD9BC6A}"/>
</file>

<file path=docProps/app.xml><?xml version="1.0" encoding="utf-8"?>
<Properties xmlns="http://schemas.openxmlformats.org/officeDocument/2006/extended-properties" xmlns:vt="http://schemas.openxmlformats.org/officeDocument/2006/docPropsVTypes">
  <Template>Normal.dotm</Template>
  <TotalTime>92</TotalTime>
  <Pages>1</Pages>
  <Words>29174</Words>
  <Characters>166297</Characters>
  <Application>Microsoft Office Word</Application>
  <DocSecurity>0</DocSecurity>
  <Lines>1385</Lines>
  <Paragraphs>390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INTRODUCTION</vt:lpstr>
      <vt:lpstr>II.	COUNTRY CONTEXT AND DEVELOPMENT AGENDA</vt:lpstr>
      <vt:lpstr>BANK GROUP COUNTRY PARTNERSHIP FRAMEWORK</vt:lpstr>
      <vt:lpstr>RISKS</vt:lpstr>
      <vt:lpstr>Annex 1. FY18-21 CPF Results Framework</vt:lpstr>
      <vt:lpstr>Annex 2. Citizen Engagement</vt:lpstr>
      <vt:lpstr>Annex 3. Moldova: FY14-17 CPS Completion and Learning Review</vt:lpstr>
    </vt:vector>
  </TitlesOfParts>
  <Company/>
  <LinksUpToDate>false</LinksUpToDate>
  <CharactersWithSpaces>195081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Moldova - Country Partnership Framework for the Republic of Moldova for FY18-21</dc:title>
  <dc:subject/>
  <dc:creator>David PEARCE</dc:creator>
  <cp:keywords/>
  <dc:description/>
  <cp:lastModifiedBy>Carolina Odobescu</cp:lastModifiedBy>
  <cp:revision>13</cp:revision>
  <cp:lastPrinted>2017-06-07T15:25:00Z</cp:lastPrinted>
  <dcterms:created xsi:type="dcterms:W3CDTF">2017-06-29T05:03:00Z</dcterms:created>
  <dcterms:modified xsi:type="dcterms:W3CDTF">2017-06-29T08:18:00Z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676d2cd6-a453-49b9-b2cd-0cb003897bcf</vt:lpwstr>
  </property>
</Properties>
</file>